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D6684" w14:textId="46BB777F" w:rsidR="00FE3D8C" w:rsidRPr="004259BC" w:rsidRDefault="00032471" w:rsidP="00B043DE">
      <w:pPr>
        <w:shd w:val="clear" w:color="auto" w:fill="FFFFFF"/>
        <w:contextualSpacing/>
        <w:jc w:val="center"/>
        <w:rPr>
          <w:b/>
          <w:sz w:val="24"/>
          <w:szCs w:val="24"/>
          <w:lang w:val="lv-LV"/>
        </w:rPr>
      </w:pPr>
      <w:bookmarkStart w:id="0" w:name="OLE_LINK3"/>
      <w:bookmarkStart w:id="1" w:name="OLE_LINK1"/>
      <w:bookmarkStart w:id="2" w:name="OLE_LINK2"/>
      <w:r w:rsidRPr="004259BC">
        <w:rPr>
          <w:b/>
          <w:sz w:val="24"/>
          <w:szCs w:val="24"/>
          <w:lang w:val="lv-LV"/>
        </w:rPr>
        <w:t>Ministru kabineta noteikumu projekt</w:t>
      </w:r>
      <w:r w:rsidR="00A658C7" w:rsidRPr="004259BC">
        <w:rPr>
          <w:b/>
          <w:sz w:val="24"/>
          <w:szCs w:val="24"/>
          <w:lang w:val="lv-LV"/>
        </w:rPr>
        <w:t>s</w:t>
      </w:r>
      <w:r w:rsidRPr="004259BC">
        <w:rPr>
          <w:b/>
          <w:sz w:val="24"/>
          <w:szCs w:val="24"/>
          <w:lang w:val="lv-LV"/>
        </w:rPr>
        <w:t xml:space="preserve"> </w:t>
      </w:r>
      <w:r w:rsidR="003D3CA2" w:rsidRPr="004259BC">
        <w:rPr>
          <w:b/>
          <w:bCs/>
          <w:sz w:val="24"/>
          <w:szCs w:val="24"/>
          <w:lang w:val="lv-LV"/>
        </w:rPr>
        <w:t>“</w:t>
      </w:r>
      <w:r w:rsidR="00A658C7" w:rsidRPr="004259BC">
        <w:rPr>
          <w:b/>
          <w:bCs/>
          <w:sz w:val="24"/>
          <w:szCs w:val="24"/>
          <w:lang w:val="lv-LV"/>
        </w:rPr>
        <w:t>Grozījumi Ministru kabineta 2020.gada 14.jūlija noteikumos Nr.</w:t>
      </w:r>
      <w:r w:rsidR="0051173D" w:rsidRPr="004259BC">
        <w:rPr>
          <w:b/>
          <w:bCs/>
          <w:sz w:val="24"/>
          <w:szCs w:val="24"/>
          <w:lang w:val="lv-LV"/>
        </w:rPr>
        <w:t>454</w:t>
      </w:r>
      <w:r w:rsidR="00A658C7" w:rsidRPr="004259BC">
        <w:rPr>
          <w:b/>
          <w:bCs/>
          <w:sz w:val="24"/>
          <w:szCs w:val="24"/>
          <w:lang w:val="lv-LV"/>
        </w:rPr>
        <w:t xml:space="preserve"> “</w:t>
      </w:r>
      <w:r w:rsidR="003F2AC0" w:rsidRPr="004259BC">
        <w:rPr>
          <w:b/>
          <w:sz w:val="24"/>
          <w:szCs w:val="24"/>
          <w:lang w:val="lv-LV"/>
        </w:rPr>
        <w:t xml:space="preserve">Noteikumi par garantijām </w:t>
      </w:r>
      <w:r w:rsidR="003D72E9" w:rsidRPr="004259BC">
        <w:rPr>
          <w:b/>
          <w:bCs/>
          <w:sz w:val="24"/>
          <w:szCs w:val="24"/>
          <w:lang w:val="lv-LV"/>
        </w:rPr>
        <w:t xml:space="preserve">lielajiem </w:t>
      </w:r>
      <w:r w:rsidR="003F2AC0" w:rsidRPr="004259BC">
        <w:rPr>
          <w:b/>
          <w:bCs/>
          <w:sz w:val="24"/>
          <w:szCs w:val="24"/>
          <w:lang w:val="lv-LV"/>
        </w:rPr>
        <w:t>komersantiem, kuru darbību ietekmējusi Covid-19 izplatība</w:t>
      </w:r>
      <w:r w:rsidR="000A3654" w:rsidRPr="004259BC">
        <w:rPr>
          <w:b/>
          <w:bCs/>
          <w:sz w:val="24"/>
          <w:szCs w:val="24"/>
          <w:lang w:val="lv-LV"/>
        </w:rPr>
        <w:t>”</w:t>
      </w:r>
      <w:r w:rsidR="00A658C7" w:rsidRPr="004259BC">
        <w:rPr>
          <w:b/>
          <w:bCs/>
          <w:sz w:val="24"/>
          <w:szCs w:val="24"/>
          <w:lang w:val="lv-LV"/>
        </w:rPr>
        <w:t>”</w:t>
      </w:r>
      <w:r w:rsidR="003C585E" w:rsidRPr="004259BC">
        <w:rPr>
          <w:b/>
          <w:bCs/>
          <w:sz w:val="24"/>
          <w:szCs w:val="24"/>
          <w:lang w:val="lv-LV"/>
        </w:rPr>
        <w:t xml:space="preserve"> </w:t>
      </w:r>
      <w:r w:rsidRPr="004259BC">
        <w:rPr>
          <w:b/>
          <w:bCs/>
          <w:sz w:val="24"/>
          <w:szCs w:val="24"/>
          <w:lang w:val="lv-LV"/>
        </w:rPr>
        <w:t>sākotnējās</w:t>
      </w:r>
      <w:r w:rsidRPr="004259BC">
        <w:rPr>
          <w:b/>
          <w:sz w:val="24"/>
          <w:szCs w:val="24"/>
          <w:lang w:val="lv-LV"/>
        </w:rPr>
        <w:t xml:space="preserve"> ietekmes novērtējuma ziņojums (anotācija)</w:t>
      </w:r>
    </w:p>
    <w:p w14:paraId="3C1007C9" w14:textId="4E078B33" w:rsidR="00FA4414" w:rsidRPr="00A658C7" w:rsidRDefault="00FA4414" w:rsidP="00B043DE">
      <w:pPr>
        <w:shd w:val="clear" w:color="auto" w:fill="FFFFFF"/>
        <w:contextualSpacing/>
        <w:jc w:val="center"/>
        <w:rPr>
          <w:b/>
          <w:sz w:val="24"/>
          <w:szCs w:val="24"/>
          <w:highlight w:val="yellow"/>
          <w:lang w:val="lv-LV"/>
        </w:rPr>
      </w:pPr>
    </w:p>
    <w:tbl>
      <w:tblPr>
        <w:tblStyle w:val="TableGrid"/>
        <w:tblW w:w="9351" w:type="dxa"/>
        <w:tblLook w:val="04A0" w:firstRow="1" w:lastRow="0" w:firstColumn="1" w:lastColumn="0" w:noHBand="0" w:noVBand="1"/>
      </w:tblPr>
      <w:tblGrid>
        <w:gridCol w:w="2122"/>
        <w:gridCol w:w="7229"/>
      </w:tblGrid>
      <w:tr w:rsidR="00FE3D8C" w:rsidRPr="00A658C7" w14:paraId="47A77C9D" w14:textId="77777777" w:rsidTr="00240921">
        <w:trPr>
          <w:trHeight w:val="280"/>
        </w:trPr>
        <w:tc>
          <w:tcPr>
            <w:tcW w:w="9351" w:type="dxa"/>
            <w:gridSpan w:val="2"/>
            <w:vAlign w:val="center"/>
          </w:tcPr>
          <w:p w14:paraId="67F1F095" w14:textId="1A0B8496" w:rsidR="00FE3D8C" w:rsidRPr="004259BC" w:rsidRDefault="00FE3D8C" w:rsidP="00FA4414">
            <w:pPr>
              <w:contextualSpacing/>
              <w:rPr>
                <w:b/>
                <w:sz w:val="24"/>
                <w:szCs w:val="24"/>
                <w:lang w:val="lv-LV"/>
              </w:rPr>
            </w:pPr>
            <w:r w:rsidRPr="004259BC">
              <w:rPr>
                <w:rFonts w:eastAsia="Times New Roman"/>
                <w:b/>
                <w:bCs/>
                <w:iCs/>
                <w:sz w:val="24"/>
                <w:szCs w:val="24"/>
                <w:lang w:val="lv-LV" w:eastAsia="lv-LV"/>
              </w:rPr>
              <w:t>Tiesību akta projekta anotācijas kopsavilkums</w:t>
            </w:r>
          </w:p>
        </w:tc>
      </w:tr>
      <w:tr w:rsidR="00FE3D8C" w:rsidRPr="00256ACE" w14:paraId="562FF486" w14:textId="77777777" w:rsidTr="00240921">
        <w:trPr>
          <w:trHeight w:val="1851"/>
        </w:trPr>
        <w:tc>
          <w:tcPr>
            <w:tcW w:w="2122" w:type="dxa"/>
          </w:tcPr>
          <w:p w14:paraId="7F646FDE" w14:textId="47AA0D72" w:rsidR="00FE3D8C" w:rsidRPr="004259BC" w:rsidRDefault="00FE3D8C" w:rsidP="00FE3D8C">
            <w:pPr>
              <w:contextualSpacing/>
              <w:jc w:val="center"/>
              <w:rPr>
                <w:b/>
                <w:sz w:val="24"/>
                <w:szCs w:val="24"/>
                <w:lang w:val="lv-LV"/>
              </w:rPr>
            </w:pPr>
            <w:r w:rsidRPr="004259BC">
              <w:rPr>
                <w:rFonts w:eastAsia="Times New Roman"/>
                <w:iCs/>
                <w:sz w:val="24"/>
                <w:szCs w:val="24"/>
                <w:lang w:val="lv-LV" w:eastAsia="lv-LV"/>
              </w:rPr>
              <w:t>Mērķis, risinājums un projekta spēkā stāšanās laiks (500 zīmes bez atstarpēm</w:t>
            </w:r>
          </w:p>
        </w:tc>
        <w:tc>
          <w:tcPr>
            <w:tcW w:w="7229" w:type="dxa"/>
          </w:tcPr>
          <w:p w14:paraId="03338DC8" w14:textId="1114FEAE" w:rsidR="00FE3D8C" w:rsidRPr="004259BC" w:rsidRDefault="00FE3D8C" w:rsidP="00FE3D8C">
            <w:pPr>
              <w:contextualSpacing/>
              <w:jc w:val="both"/>
              <w:rPr>
                <w:rFonts w:eastAsia="Times New Roman"/>
                <w:iCs/>
                <w:sz w:val="24"/>
                <w:szCs w:val="24"/>
                <w:lang w:val="lv-LV"/>
              </w:rPr>
            </w:pPr>
            <w:r w:rsidRPr="004259BC">
              <w:rPr>
                <w:bCs/>
                <w:sz w:val="24"/>
                <w:szCs w:val="24"/>
                <w:lang w:val="lv-LV"/>
              </w:rPr>
              <w:t>Ministru kabineta noteikumu projekt</w:t>
            </w:r>
            <w:r w:rsidR="004259BC">
              <w:rPr>
                <w:bCs/>
                <w:sz w:val="24"/>
                <w:szCs w:val="24"/>
                <w:lang w:val="lv-LV"/>
              </w:rPr>
              <w:t>s</w:t>
            </w:r>
            <w:r w:rsidRPr="004259BC">
              <w:rPr>
                <w:bCs/>
                <w:sz w:val="24"/>
                <w:szCs w:val="24"/>
                <w:lang w:val="lv-LV"/>
              </w:rPr>
              <w:t xml:space="preserve"> </w:t>
            </w:r>
            <w:r w:rsidR="004259BC" w:rsidRPr="004259BC">
              <w:rPr>
                <w:b/>
                <w:bCs/>
                <w:sz w:val="24"/>
                <w:szCs w:val="24"/>
                <w:lang w:val="lv-LV"/>
              </w:rPr>
              <w:t>“</w:t>
            </w:r>
            <w:r w:rsidR="004259BC" w:rsidRPr="004259BC">
              <w:rPr>
                <w:sz w:val="24"/>
                <w:szCs w:val="24"/>
                <w:lang w:val="lv-LV"/>
              </w:rPr>
              <w:t>Grozījumi Ministru kabineta 2020.gada 14.jūlija noteikumos Nr.454 “Noteikumi par garantijām lielajiem komersantiem, kuru darbību ietekmējusi Covid-19 izplatība””</w:t>
            </w:r>
            <w:r w:rsidRPr="004259BC">
              <w:rPr>
                <w:sz w:val="24"/>
                <w:szCs w:val="24"/>
                <w:lang w:val="lv-LV"/>
              </w:rPr>
              <w:t xml:space="preserve">” </w:t>
            </w:r>
            <w:r w:rsidRPr="004259BC">
              <w:rPr>
                <w:rFonts w:eastAsia="Times New Roman"/>
                <w:iCs/>
                <w:sz w:val="24"/>
                <w:szCs w:val="24"/>
                <w:lang w:val="lv-LV"/>
              </w:rPr>
              <w:t xml:space="preserve">(turpmāk – MK Noteikumu projekts) paredz </w:t>
            </w:r>
            <w:r w:rsidR="004259BC" w:rsidRPr="004259BC">
              <w:rPr>
                <w:rFonts w:eastAsia="Times New Roman"/>
                <w:iCs/>
                <w:sz w:val="24"/>
                <w:szCs w:val="24"/>
                <w:lang w:val="lv-LV"/>
              </w:rPr>
              <w:t>pagarināt</w:t>
            </w:r>
            <w:r w:rsidRPr="004259BC">
              <w:rPr>
                <w:rFonts w:eastAsia="Times New Roman"/>
                <w:iCs/>
                <w:sz w:val="24"/>
                <w:szCs w:val="24"/>
                <w:lang w:val="lv-LV"/>
              </w:rPr>
              <w:t xml:space="preserve"> garantiju pieejamību komersantiem, kuru darbību ietekmējusi Covid-19 izplatība. </w:t>
            </w:r>
          </w:p>
          <w:p w14:paraId="4B2499E0" w14:textId="5F3C09BD" w:rsidR="00FE3D8C" w:rsidRPr="00356159" w:rsidRDefault="004259BC" w:rsidP="00FA4414">
            <w:pPr>
              <w:jc w:val="both"/>
              <w:rPr>
                <w:rFonts w:eastAsia="Times New Roman"/>
                <w:iCs/>
                <w:sz w:val="24"/>
                <w:szCs w:val="24"/>
                <w:highlight w:val="yellow"/>
                <w:lang w:val="sv-SE" w:eastAsia="lv-LV"/>
              </w:rPr>
            </w:pPr>
            <w:bookmarkStart w:id="3" w:name="_Hlk40442234"/>
            <w:r w:rsidRPr="00684B94">
              <w:rPr>
                <w:rFonts w:eastAsia="Times New Roman"/>
                <w:iCs/>
                <w:sz w:val="24"/>
                <w:szCs w:val="24"/>
                <w:lang w:val="lv-LV" w:eastAsia="lv-LV"/>
              </w:rPr>
              <w:t xml:space="preserve">MK </w:t>
            </w:r>
            <w:r w:rsidR="00FE3D8C" w:rsidRPr="00684B94">
              <w:rPr>
                <w:rFonts w:eastAsia="Times New Roman"/>
                <w:iCs/>
                <w:sz w:val="24"/>
                <w:szCs w:val="24"/>
                <w:lang w:val="lv-LV" w:eastAsia="lv-LV"/>
              </w:rPr>
              <w:t>Noteikum</w:t>
            </w:r>
            <w:r w:rsidRPr="00684B94">
              <w:rPr>
                <w:rFonts w:eastAsia="Times New Roman"/>
                <w:iCs/>
                <w:sz w:val="24"/>
                <w:szCs w:val="24"/>
                <w:lang w:val="lv-LV" w:eastAsia="lv-LV"/>
              </w:rPr>
              <w:t>u projekts</w:t>
            </w:r>
            <w:r w:rsidR="00FE3D8C" w:rsidRPr="00684B94">
              <w:rPr>
                <w:rFonts w:eastAsia="Times New Roman"/>
                <w:iCs/>
                <w:sz w:val="24"/>
                <w:szCs w:val="24"/>
                <w:lang w:val="lv-LV" w:eastAsia="lv-LV"/>
              </w:rPr>
              <w:t xml:space="preserve"> stāsies </w:t>
            </w:r>
            <w:r w:rsidR="00FE3D8C" w:rsidRPr="00356159">
              <w:rPr>
                <w:rFonts w:eastAsia="Times New Roman"/>
                <w:iCs/>
                <w:sz w:val="24"/>
                <w:szCs w:val="24"/>
                <w:lang w:val="lv-LV" w:eastAsia="lv-LV"/>
              </w:rPr>
              <w:t>spēkā</w:t>
            </w:r>
            <w:r w:rsidR="00356159" w:rsidRPr="00356159">
              <w:rPr>
                <w:rFonts w:eastAsia="Times New Roman"/>
                <w:iCs/>
                <w:sz w:val="24"/>
                <w:szCs w:val="24"/>
                <w:lang w:val="sv-SE" w:eastAsia="lv-LV"/>
              </w:rPr>
              <w:t xml:space="preserve"> nākamajā dienā  pēc tā publicēšanas oficiālajā izdevumā “Latvijas Vēstnesis”.</w:t>
            </w:r>
            <w:bookmarkEnd w:id="3"/>
          </w:p>
        </w:tc>
      </w:tr>
    </w:tbl>
    <w:p w14:paraId="4F03DE00" w14:textId="29ECC9FB" w:rsidR="00310924" w:rsidRPr="00A658C7" w:rsidRDefault="00310924" w:rsidP="00B043DE">
      <w:pPr>
        <w:shd w:val="clear" w:color="auto" w:fill="FFFFFF"/>
        <w:contextualSpacing/>
        <w:jc w:val="center"/>
        <w:rPr>
          <w:b/>
          <w:sz w:val="24"/>
          <w:szCs w:val="24"/>
          <w:highlight w:val="yellow"/>
          <w:lang w:val="lv-LV"/>
        </w:rPr>
      </w:pPr>
    </w:p>
    <w:tbl>
      <w:tblPr>
        <w:tblW w:w="9348" w:type="dxa"/>
        <w:tblBorders>
          <w:top w:val="outset" w:sz="6" w:space="0" w:color="414142"/>
          <w:left w:val="outset" w:sz="6" w:space="0" w:color="414142"/>
          <w:bottom w:val="outset" w:sz="6" w:space="0" w:color="414142"/>
          <w:right w:val="outset" w:sz="6" w:space="0" w:color="414142"/>
        </w:tblBorders>
        <w:tblCellMar>
          <w:top w:w="30" w:type="dxa"/>
          <w:left w:w="57" w:type="dxa"/>
          <w:bottom w:w="30" w:type="dxa"/>
          <w:right w:w="57" w:type="dxa"/>
        </w:tblCellMar>
        <w:tblLook w:val="04A0" w:firstRow="1" w:lastRow="0" w:firstColumn="1" w:lastColumn="0" w:noHBand="0" w:noVBand="1"/>
      </w:tblPr>
      <w:tblGrid>
        <w:gridCol w:w="294"/>
        <w:gridCol w:w="1847"/>
        <w:gridCol w:w="7207"/>
      </w:tblGrid>
      <w:tr w:rsidR="00844176" w:rsidRPr="00A658C7" w14:paraId="02364BB3" w14:textId="77777777" w:rsidTr="00240921">
        <w:trPr>
          <w:trHeight w:val="307"/>
        </w:trPr>
        <w:tc>
          <w:tcPr>
            <w:tcW w:w="9348" w:type="dxa"/>
            <w:gridSpan w:val="3"/>
            <w:tcBorders>
              <w:top w:val="outset" w:sz="6" w:space="0" w:color="414142"/>
              <w:left w:val="outset" w:sz="6" w:space="0" w:color="414142"/>
              <w:bottom w:val="outset" w:sz="6" w:space="0" w:color="414142"/>
              <w:right w:val="outset" w:sz="6" w:space="0" w:color="414142"/>
            </w:tcBorders>
            <w:hideMark/>
          </w:tcPr>
          <w:bookmarkEnd w:id="0"/>
          <w:bookmarkEnd w:id="1"/>
          <w:bookmarkEnd w:id="2"/>
          <w:p w14:paraId="12E54FE2" w14:textId="77777777" w:rsidR="00844176" w:rsidRPr="004259BC" w:rsidRDefault="00844176" w:rsidP="00B043DE">
            <w:pPr>
              <w:tabs>
                <w:tab w:val="left" w:pos="5888"/>
              </w:tabs>
              <w:contextualSpacing/>
              <w:jc w:val="center"/>
              <w:rPr>
                <w:rFonts w:eastAsia="Times New Roman"/>
                <w:sz w:val="24"/>
                <w:szCs w:val="24"/>
                <w:lang w:val="lv-LV" w:eastAsia="lv-LV"/>
              </w:rPr>
            </w:pPr>
            <w:r w:rsidRPr="004259BC">
              <w:rPr>
                <w:b/>
                <w:sz w:val="24"/>
                <w:szCs w:val="24"/>
                <w:lang w:val="lv-LV"/>
              </w:rPr>
              <w:t>I. Tiesību akta projekta izstrādes nepieciešamība</w:t>
            </w:r>
          </w:p>
        </w:tc>
      </w:tr>
      <w:tr w:rsidR="00844176" w:rsidRPr="00256ACE" w14:paraId="7F385C9A" w14:textId="77777777" w:rsidTr="00240921">
        <w:trPr>
          <w:trHeight w:val="405"/>
        </w:trPr>
        <w:tc>
          <w:tcPr>
            <w:tcW w:w="294" w:type="dxa"/>
            <w:tcBorders>
              <w:top w:val="outset" w:sz="6" w:space="0" w:color="414142"/>
              <w:left w:val="outset" w:sz="6" w:space="0" w:color="414142"/>
              <w:bottom w:val="outset" w:sz="6" w:space="0" w:color="414142"/>
              <w:right w:val="outset" w:sz="6" w:space="0" w:color="414142"/>
            </w:tcBorders>
            <w:hideMark/>
          </w:tcPr>
          <w:p w14:paraId="7802C726" w14:textId="77777777" w:rsidR="00844176" w:rsidRPr="004259BC" w:rsidRDefault="00844176" w:rsidP="00B043DE">
            <w:pPr>
              <w:contextualSpacing/>
              <w:rPr>
                <w:rFonts w:eastAsia="Times New Roman"/>
                <w:sz w:val="24"/>
                <w:szCs w:val="24"/>
                <w:lang w:val="lv-LV" w:eastAsia="lv-LV"/>
              </w:rPr>
            </w:pPr>
            <w:r w:rsidRPr="004259BC">
              <w:rPr>
                <w:sz w:val="24"/>
                <w:szCs w:val="24"/>
                <w:lang w:val="lv-LV"/>
              </w:rPr>
              <w:t>1.</w:t>
            </w:r>
          </w:p>
        </w:tc>
        <w:tc>
          <w:tcPr>
            <w:tcW w:w="1847" w:type="dxa"/>
            <w:tcBorders>
              <w:top w:val="outset" w:sz="6" w:space="0" w:color="414142"/>
              <w:left w:val="outset" w:sz="6" w:space="0" w:color="414142"/>
              <w:bottom w:val="outset" w:sz="6" w:space="0" w:color="414142"/>
              <w:right w:val="outset" w:sz="6" w:space="0" w:color="414142"/>
            </w:tcBorders>
            <w:hideMark/>
          </w:tcPr>
          <w:p w14:paraId="1D9EF4B2" w14:textId="77777777" w:rsidR="00844176" w:rsidRPr="004259BC" w:rsidRDefault="00844176" w:rsidP="00B043DE">
            <w:pPr>
              <w:contextualSpacing/>
              <w:rPr>
                <w:rFonts w:eastAsia="Times New Roman"/>
                <w:sz w:val="24"/>
                <w:szCs w:val="24"/>
                <w:lang w:val="lv-LV" w:eastAsia="lv-LV"/>
              </w:rPr>
            </w:pPr>
            <w:r w:rsidRPr="004259BC">
              <w:rPr>
                <w:sz w:val="24"/>
                <w:szCs w:val="24"/>
                <w:lang w:val="lv-LV"/>
              </w:rPr>
              <w:t>Pamatojums</w:t>
            </w:r>
          </w:p>
        </w:tc>
        <w:tc>
          <w:tcPr>
            <w:tcW w:w="7207" w:type="dxa"/>
            <w:tcBorders>
              <w:top w:val="outset" w:sz="6" w:space="0" w:color="414142"/>
              <w:left w:val="outset" w:sz="6" w:space="0" w:color="414142"/>
              <w:bottom w:val="outset" w:sz="6" w:space="0" w:color="414142"/>
              <w:right w:val="outset" w:sz="6" w:space="0" w:color="414142"/>
            </w:tcBorders>
            <w:hideMark/>
          </w:tcPr>
          <w:p w14:paraId="3EF170A6" w14:textId="63998DE3" w:rsidR="00A658C7" w:rsidRPr="004259BC" w:rsidRDefault="003D0F93" w:rsidP="00A658C7">
            <w:pPr>
              <w:spacing w:after="160" w:line="256" w:lineRule="auto"/>
              <w:contextualSpacing/>
              <w:jc w:val="both"/>
              <w:rPr>
                <w:rFonts w:eastAsiaTheme="minorHAnsi"/>
                <w:sz w:val="24"/>
                <w:szCs w:val="24"/>
                <w:lang w:val="lv-LV"/>
              </w:rPr>
            </w:pPr>
            <w:r w:rsidRPr="004259BC">
              <w:rPr>
                <w:rFonts w:eastAsia="Times New Roman"/>
                <w:iCs/>
                <w:sz w:val="24"/>
                <w:szCs w:val="24"/>
                <w:lang w:val="lv-LV"/>
              </w:rPr>
              <w:t>MK Noteikumu projekts</w:t>
            </w:r>
            <w:r w:rsidRPr="004259BC" w:rsidDel="003D0F93">
              <w:rPr>
                <w:rFonts w:eastAsia="Times New Roman"/>
                <w:iCs/>
                <w:sz w:val="24"/>
                <w:szCs w:val="24"/>
                <w:lang w:val="lv-LV"/>
              </w:rPr>
              <w:t xml:space="preserve"> </w:t>
            </w:r>
            <w:r w:rsidR="00A658C7" w:rsidRPr="004259BC">
              <w:rPr>
                <w:rFonts w:eastAsiaTheme="minorHAnsi"/>
                <w:sz w:val="24"/>
                <w:szCs w:val="24"/>
                <w:lang w:val="lv-LV"/>
              </w:rPr>
              <w:t xml:space="preserve">sagatavots pēc Ekonomikas ministrijas iniciatīvas, lai precizētu normatīvā akta normas saskaņā ar Eiropas Komisijas 2020. gada 19. marta paziņojumu "Pagaidu regulējums valsts atbalsta pasākumiem, ar ko atbalsta ekonomiku pašreizējā Covid-19 uzliesmojuma situācijā" </w:t>
            </w:r>
            <w:r w:rsidR="000F5401">
              <w:rPr>
                <w:rFonts w:eastAsiaTheme="minorHAnsi"/>
                <w:sz w:val="24"/>
                <w:szCs w:val="24"/>
                <w:lang w:val="lv-LV"/>
              </w:rPr>
              <w:t>(turpmāk – Pagaidu regulējums)</w:t>
            </w:r>
            <w:r w:rsidR="000F5401" w:rsidRPr="004259BC">
              <w:rPr>
                <w:rFonts w:eastAsiaTheme="minorHAnsi"/>
                <w:sz w:val="24"/>
                <w:szCs w:val="24"/>
                <w:lang w:val="lv-LV"/>
              </w:rPr>
              <w:t xml:space="preserve"> </w:t>
            </w:r>
            <w:r w:rsidR="00A658C7" w:rsidRPr="004259BC">
              <w:rPr>
                <w:rFonts w:eastAsiaTheme="minorHAnsi"/>
                <w:sz w:val="24"/>
                <w:szCs w:val="24"/>
                <w:lang w:val="lv-LV"/>
              </w:rPr>
              <w:t xml:space="preserve">(C(2020)1863), t.sk. ceturtajiem grozījumiem, kurus </w:t>
            </w:r>
            <w:r w:rsidR="0051173D" w:rsidRPr="004259BC">
              <w:rPr>
                <w:rFonts w:eastAsiaTheme="minorHAnsi"/>
                <w:sz w:val="24"/>
                <w:szCs w:val="24"/>
                <w:lang w:val="lv-LV"/>
              </w:rPr>
              <w:t xml:space="preserve">Eiropas </w:t>
            </w:r>
            <w:r w:rsidR="00A658C7" w:rsidRPr="004259BC">
              <w:rPr>
                <w:rFonts w:eastAsiaTheme="minorHAnsi"/>
                <w:sz w:val="24"/>
                <w:szCs w:val="24"/>
                <w:lang w:val="lv-LV"/>
              </w:rPr>
              <w:t>K</w:t>
            </w:r>
            <w:r w:rsidR="0051173D" w:rsidRPr="004259BC">
              <w:rPr>
                <w:rFonts w:eastAsiaTheme="minorHAnsi"/>
                <w:sz w:val="24"/>
                <w:szCs w:val="24"/>
                <w:lang w:val="lv-LV"/>
              </w:rPr>
              <w:t>omisija</w:t>
            </w:r>
            <w:r w:rsidR="00A658C7" w:rsidRPr="004259BC">
              <w:rPr>
                <w:rFonts w:eastAsiaTheme="minorHAnsi"/>
                <w:sz w:val="24"/>
                <w:szCs w:val="24"/>
                <w:lang w:val="lv-LV"/>
              </w:rPr>
              <w:t xml:space="preserve"> apstiprināja 2020.gada 13.oktobrī</w:t>
            </w:r>
            <w:r w:rsidR="00A658C7" w:rsidRPr="004259BC">
              <w:rPr>
                <w:rStyle w:val="FootnoteReference"/>
                <w:rFonts w:eastAsiaTheme="minorHAnsi"/>
                <w:sz w:val="24"/>
                <w:szCs w:val="24"/>
                <w:lang w:val="lv-LV"/>
              </w:rPr>
              <w:footnoteReference w:id="2"/>
            </w:r>
            <w:r w:rsidR="00A658C7" w:rsidRPr="004259BC">
              <w:rPr>
                <w:rFonts w:eastAsiaTheme="minorHAnsi"/>
                <w:sz w:val="24"/>
                <w:szCs w:val="24"/>
                <w:lang w:val="lv-LV"/>
              </w:rPr>
              <w:t>.</w:t>
            </w:r>
          </w:p>
          <w:p w14:paraId="79DF1BBF" w14:textId="5F7F9E6B" w:rsidR="003F2AC0" w:rsidRPr="004259BC" w:rsidRDefault="003F2AC0" w:rsidP="00B043DE">
            <w:pPr>
              <w:contextualSpacing/>
              <w:jc w:val="both"/>
              <w:rPr>
                <w:sz w:val="24"/>
                <w:szCs w:val="24"/>
                <w:lang w:val="lv-LV"/>
              </w:rPr>
            </w:pPr>
          </w:p>
        </w:tc>
      </w:tr>
      <w:tr w:rsidR="00844176" w:rsidRPr="000F5401" w14:paraId="62EDED08" w14:textId="77777777" w:rsidTr="00240921">
        <w:trPr>
          <w:trHeight w:val="465"/>
        </w:trPr>
        <w:tc>
          <w:tcPr>
            <w:tcW w:w="294" w:type="dxa"/>
            <w:tcBorders>
              <w:top w:val="outset" w:sz="6" w:space="0" w:color="414142"/>
              <w:left w:val="outset" w:sz="6" w:space="0" w:color="414142"/>
              <w:bottom w:val="outset" w:sz="6" w:space="0" w:color="414142"/>
              <w:right w:val="outset" w:sz="6" w:space="0" w:color="414142"/>
            </w:tcBorders>
            <w:hideMark/>
          </w:tcPr>
          <w:p w14:paraId="304587A4" w14:textId="77777777" w:rsidR="00844176" w:rsidRPr="00A658C7" w:rsidRDefault="00844176" w:rsidP="00B043DE">
            <w:pPr>
              <w:contextualSpacing/>
              <w:rPr>
                <w:rFonts w:eastAsia="Times New Roman"/>
                <w:sz w:val="24"/>
                <w:szCs w:val="24"/>
                <w:lang w:val="lv-LV" w:eastAsia="lv-LV"/>
              </w:rPr>
            </w:pPr>
            <w:r w:rsidRPr="00A658C7">
              <w:rPr>
                <w:sz w:val="24"/>
                <w:szCs w:val="24"/>
                <w:lang w:val="lv-LV"/>
              </w:rPr>
              <w:t>2.</w:t>
            </w:r>
          </w:p>
        </w:tc>
        <w:tc>
          <w:tcPr>
            <w:tcW w:w="1847" w:type="dxa"/>
            <w:tcBorders>
              <w:top w:val="outset" w:sz="6" w:space="0" w:color="414142"/>
              <w:left w:val="outset" w:sz="6" w:space="0" w:color="414142"/>
              <w:bottom w:val="outset" w:sz="6" w:space="0" w:color="414142"/>
              <w:right w:val="outset" w:sz="6" w:space="0" w:color="414142"/>
            </w:tcBorders>
            <w:hideMark/>
          </w:tcPr>
          <w:p w14:paraId="40AD4671" w14:textId="044133EA" w:rsidR="00844176" w:rsidRPr="00A658C7" w:rsidRDefault="00844176" w:rsidP="00B043DE">
            <w:pPr>
              <w:contextualSpacing/>
              <w:rPr>
                <w:rFonts w:eastAsia="Times New Roman"/>
                <w:sz w:val="24"/>
                <w:szCs w:val="24"/>
                <w:lang w:val="lv-LV" w:eastAsia="lv-LV"/>
              </w:rPr>
            </w:pPr>
            <w:r w:rsidRPr="00A658C7">
              <w:rPr>
                <w:sz w:val="24"/>
                <w:szCs w:val="24"/>
                <w:lang w:val="lv-LV"/>
              </w:rPr>
              <w:t>Pašreizējā situācija un problēmas, kuru risināšanai tiesību akta projekts izstrādāts, tiesiskā regulējuma mērķis un būtība</w:t>
            </w:r>
          </w:p>
        </w:tc>
        <w:tc>
          <w:tcPr>
            <w:tcW w:w="7207" w:type="dxa"/>
            <w:tcBorders>
              <w:top w:val="outset" w:sz="6" w:space="0" w:color="414142"/>
              <w:left w:val="outset" w:sz="6" w:space="0" w:color="414142"/>
              <w:bottom w:val="outset" w:sz="6" w:space="0" w:color="414142"/>
              <w:right w:val="outset" w:sz="6" w:space="0" w:color="414142"/>
            </w:tcBorders>
          </w:tcPr>
          <w:p w14:paraId="7EBA2E2B" w14:textId="6D7B1FB7" w:rsidR="0051173D" w:rsidRPr="004259BC" w:rsidRDefault="0051173D" w:rsidP="004259BC">
            <w:pPr>
              <w:spacing w:before="120"/>
              <w:jc w:val="both"/>
              <w:rPr>
                <w:rFonts w:eastAsia="Times New Roman"/>
                <w:iCs/>
                <w:sz w:val="24"/>
                <w:szCs w:val="24"/>
                <w:lang w:val="lv-LV"/>
              </w:rPr>
            </w:pPr>
            <w:r w:rsidRPr="004259BC">
              <w:rPr>
                <w:rFonts w:eastAsia="Times New Roman"/>
                <w:iCs/>
                <w:sz w:val="24"/>
                <w:szCs w:val="24"/>
                <w:lang w:val="lv-LV"/>
              </w:rPr>
              <w:t xml:space="preserve">Ar </w:t>
            </w:r>
            <w:r w:rsidRPr="004259BC">
              <w:rPr>
                <w:sz w:val="24"/>
                <w:szCs w:val="24"/>
                <w:lang w:val="lv-LV"/>
              </w:rPr>
              <w:t>Ministru kabineta 2020.gada 14.jūlija noteikumiem Nr.454 “Noteikumi par garantijām lielajiem komersantiem, kuru darbību ietekmējusi Covid-19 izplatība”</w:t>
            </w:r>
            <w:r w:rsidR="004259BC">
              <w:rPr>
                <w:sz w:val="24"/>
                <w:szCs w:val="24"/>
                <w:lang w:val="lv-LV"/>
              </w:rPr>
              <w:t xml:space="preserve"> (turpmāk – MK Noteikumi Nr.454)</w:t>
            </w:r>
            <w:r w:rsidRPr="004259BC">
              <w:rPr>
                <w:sz w:val="24"/>
                <w:szCs w:val="24"/>
                <w:lang w:val="lv-LV"/>
              </w:rPr>
              <w:t xml:space="preserve"> tika apstiprināta krīzes garantiju programma, kas paredz sniegt atbalstu lielajiem komersantiem, </w:t>
            </w:r>
            <w:r w:rsidRPr="004259BC">
              <w:rPr>
                <w:rFonts w:eastAsia="Times New Roman"/>
                <w:iCs/>
                <w:sz w:val="24"/>
                <w:szCs w:val="24"/>
                <w:lang w:val="lv-LV"/>
              </w:rPr>
              <w:t>kuriem ir pagaidu grūtības, jo to darbību uz pārejošu laika posmu ir negatīvi ietekmējusi vīrusa Covid-19 izplatība, kā arī atbalstīt komersantus ar mērķi komersantu konkurētspējas atjaunošanai, saglabāšanai un veicināšanai, kā arī apgrozījuma, t.sk.</w:t>
            </w:r>
            <w:r w:rsidR="004259BC">
              <w:rPr>
                <w:rFonts w:eastAsia="Times New Roman"/>
                <w:iCs/>
                <w:sz w:val="24"/>
                <w:szCs w:val="24"/>
                <w:lang w:val="lv-LV"/>
              </w:rPr>
              <w:t>,</w:t>
            </w:r>
            <w:r w:rsidRPr="004259BC">
              <w:rPr>
                <w:rFonts w:eastAsia="Times New Roman"/>
                <w:iCs/>
                <w:sz w:val="24"/>
                <w:szCs w:val="24"/>
                <w:lang w:val="lv-LV"/>
              </w:rPr>
              <w:t xml:space="preserve"> eksporta palielināšanai.</w:t>
            </w:r>
          </w:p>
          <w:p w14:paraId="21B20C55" w14:textId="539CE02A" w:rsidR="004259BC" w:rsidRPr="004259BC" w:rsidRDefault="004259BC" w:rsidP="004259BC">
            <w:pPr>
              <w:spacing w:before="120"/>
              <w:jc w:val="both"/>
              <w:rPr>
                <w:sz w:val="24"/>
                <w:szCs w:val="24"/>
                <w:lang w:val="lv-LV"/>
              </w:rPr>
            </w:pPr>
            <w:r w:rsidRPr="004259BC">
              <w:rPr>
                <w:sz w:val="24"/>
                <w:szCs w:val="24"/>
                <w:lang w:val="lv-LV"/>
              </w:rPr>
              <w:t>MK Noteikum</w:t>
            </w:r>
            <w:r w:rsidR="000F5401">
              <w:rPr>
                <w:sz w:val="24"/>
                <w:szCs w:val="24"/>
                <w:lang w:val="lv-LV"/>
              </w:rPr>
              <w:t>u</w:t>
            </w:r>
            <w:r w:rsidRPr="004259BC">
              <w:rPr>
                <w:sz w:val="24"/>
                <w:szCs w:val="24"/>
                <w:lang w:val="lv-LV"/>
              </w:rPr>
              <w:t xml:space="preserve"> Nr.454 ietvaros noteiktā atbalsta programma tiek ieviesta saskaņā ar </w:t>
            </w:r>
            <w:r w:rsidRPr="004259BC">
              <w:rPr>
                <w:rFonts w:eastAsiaTheme="minorHAnsi"/>
                <w:sz w:val="24"/>
                <w:szCs w:val="24"/>
                <w:lang w:val="lv-LV"/>
              </w:rPr>
              <w:t>Pagaidu regulējum</w:t>
            </w:r>
            <w:r w:rsidR="000F5401">
              <w:rPr>
                <w:rFonts w:eastAsiaTheme="minorHAnsi"/>
                <w:sz w:val="24"/>
                <w:szCs w:val="24"/>
                <w:lang w:val="lv-LV"/>
              </w:rPr>
              <w:t>u</w:t>
            </w:r>
            <w:r w:rsidRPr="004259BC">
              <w:rPr>
                <w:sz w:val="24"/>
                <w:szCs w:val="24"/>
                <w:lang w:val="lv-LV"/>
              </w:rPr>
              <w:t>. Atbalsta pasākums ir saskaņots ar Eiropas Komisiju, lēmums Nr.</w:t>
            </w:r>
            <w:r w:rsidRPr="004259BC">
              <w:rPr>
                <w:sz w:val="24"/>
                <w:szCs w:val="24"/>
              </w:rPr>
              <w:t xml:space="preserve"> </w:t>
            </w:r>
            <w:r w:rsidRPr="004259BC">
              <w:rPr>
                <w:sz w:val="24"/>
                <w:szCs w:val="24"/>
                <w:lang w:val="lv-LV"/>
              </w:rPr>
              <w:t>SA.58203</w:t>
            </w:r>
            <w:r w:rsidR="000F5401">
              <w:rPr>
                <w:sz w:val="24"/>
                <w:szCs w:val="24"/>
                <w:lang w:val="lv-LV"/>
              </w:rPr>
              <w:t>.</w:t>
            </w:r>
          </w:p>
          <w:p w14:paraId="154E74BD" w14:textId="292EB7E7" w:rsidR="00A658C7" w:rsidRDefault="00A658C7" w:rsidP="004259BC">
            <w:pPr>
              <w:spacing w:before="120"/>
              <w:jc w:val="both"/>
              <w:rPr>
                <w:rFonts w:eastAsia="Times New Roman"/>
                <w:iCs/>
                <w:sz w:val="24"/>
                <w:szCs w:val="24"/>
                <w:lang w:val="lv-LV"/>
              </w:rPr>
            </w:pPr>
            <w:r w:rsidRPr="004259BC">
              <w:rPr>
                <w:rFonts w:eastAsia="Times New Roman"/>
                <w:iCs/>
                <w:sz w:val="24"/>
                <w:szCs w:val="24"/>
                <w:lang w:val="lv-LV"/>
              </w:rPr>
              <w:t>MK Noteikumu projekta mērķis ir turpināt sniegt atbalstu liel</w:t>
            </w:r>
            <w:r w:rsidR="0051173D" w:rsidRPr="004259BC">
              <w:rPr>
                <w:rFonts w:eastAsia="Times New Roman"/>
                <w:iCs/>
                <w:sz w:val="24"/>
                <w:szCs w:val="24"/>
                <w:lang w:val="lv-LV"/>
              </w:rPr>
              <w:t>ajiem</w:t>
            </w:r>
            <w:r w:rsidRPr="004259BC">
              <w:rPr>
                <w:rFonts w:eastAsia="Times New Roman"/>
                <w:iCs/>
                <w:sz w:val="24"/>
                <w:szCs w:val="24"/>
                <w:lang w:val="lv-LV"/>
              </w:rPr>
              <w:t xml:space="preserve"> komersant</w:t>
            </w:r>
            <w:r w:rsidR="0051173D" w:rsidRPr="004259BC">
              <w:rPr>
                <w:rFonts w:eastAsia="Times New Roman"/>
                <w:iCs/>
                <w:sz w:val="24"/>
                <w:szCs w:val="24"/>
                <w:lang w:val="lv-LV"/>
              </w:rPr>
              <w:t>iem</w:t>
            </w:r>
            <w:r w:rsidRPr="004259BC">
              <w:rPr>
                <w:rFonts w:eastAsia="Times New Roman"/>
                <w:iCs/>
                <w:sz w:val="24"/>
                <w:szCs w:val="24"/>
                <w:lang w:val="lv-LV"/>
              </w:rPr>
              <w:t>, kuriem ir pagaidu grūtības, jo to darbību uz pārejošu laika posmu ir negatīvi ietekmējusi vīrusa Covid-19 izplatība</w:t>
            </w:r>
            <w:bookmarkStart w:id="4" w:name="_Hlk40442633"/>
            <w:r w:rsidR="0051173D" w:rsidRPr="004259BC">
              <w:rPr>
                <w:rFonts w:eastAsia="Times New Roman"/>
                <w:iCs/>
                <w:sz w:val="24"/>
                <w:szCs w:val="24"/>
                <w:lang w:val="lv-LV"/>
              </w:rPr>
              <w:t xml:space="preserve">, ņemot vērā </w:t>
            </w:r>
            <w:r w:rsidR="0051173D" w:rsidRPr="004259BC">
              <w:rPr>
                <w:rFonts w:eastAsiaTheme="minorHAnsi"/>
                <w:sz w:val="24"/>
                <w:szCs w:val="24"/>
                <w:lang w:val="lv-LV"/>
              </w:rPr>
              <w:t xml:space="preserve">Eiropas Komisijas 2020.gada 13.oktobrī pieņemto lēmumu pagarināt izstrādā atbalsta programmu </w:t>
            </w:r>
            <w:r w:rsidR="004259BC" w:rsidRPr="004259BC">
              <w:rPr>
                <w:rFonts w:eastAsiaTheme="minorHAnsi"/>
                <w:sz w:val="24"/>
                <w:szCs w:val="24"/>
                <w:lang w:val="lv-LV"/>
              </w:rPr>
              <w:t>pieejamību, ņemot vērā Covid-19 izplatības otro vilni un ieilgušo dīkstāves situāciju komercdarbībā</w:t>
            </w:r>
            <w:r w:rsidRPr="004259BC">
              <w:rPr>
                <w:rFonts w:eastAsia="Times New Roman"/>
                <w:iCs/>
                <w:sz w:val="24"/>
                <w:szCs w:val="24"/>
                <w:lang w:val="lv-LV"/>
              </w:rPr>
              <w:t>.</w:t>
            </w:r>
            <w:bookmarkEnd w:id="4"/>
          </w:p>
          <w:p w14:paraId="0051F16A" w14:textId="77C98C72" w:rsidR="004259BC" w:rsidRPr="00A658C7" w:rsidRDefault="004259BC" w:rsidP="004259BC">
            <w:pPr>
              <w:spacing w:before="120"/>
              <w:jc w:val="both"/>
              <w:rPr>
                <w:sz w:val="24"/>
                <w:szCs w:val="24"/>
                <w:lang w:val="lv-LV"/>
              </w:rPr>
            </w:pPr>
            <w:r>
              <w:rPr>
                <w:rFonts w:eastAsia="Times New Roman"/>
                <w:iCs/>
                <w:sz w:val="24"/>
                <w:szCs w:val="24"/>
                <w:lang w:val="lv-LV"/>
              </w:rPr>
              <w:t>Galvenā grozījumu būtība:</w:t>
            </w:r>
          </w:p>
          <w:p w14:paraId="7E21DC96" w14:textId="4611670B" w:rsidR="00A658C7" w:rsidRPr="00A658C7" w:rsidRDefault="00180DBF" w:rsidP="00180DBF">
            <w:pPr>
              <w:pStyle w:val="ListParagraph"/>
              <w:numPr>
                <w:ilvl w:val="0"/>
                <w:numId w:val="10"/>
              </w:numPr>
              <w:spacing w:before="120"/>
              <w:ind w:left="348"/>
              <w:contextualSpacing w:val="0"/>
              <w:jc w:val="both"/>
              <w:rPr>
                <w:sz w:val="24"/>
                <w:szCs w:val="24"/>
                <w:lang w:val="lv-LV"/>
              </w:rPr>
            </w:pPr>
            <w:r>
              <w:rPr>
                <w:sz w:val="24"/>
                <w:szCs w:val="24"/>
                <w:lang w:val="lv-LV"/>
              </w:rPr>
              <w:t>a</w:t>
            </w:r>
            <w:r w:rsidR="00A658C7" w:rsidRPr="00A658C7">
              <w:rPr>
                <w:sz w:val="24"/>
                <w:szCs w:val="24"/>
                <w:lang w:val="lv-LV"/>
              </w:rPr>
              <w:t xml:space="preserve">r </w:t>
            </w:r>
            <w:r>
              <w:rPr>
                <w:sz w:val="24"/>
                <w:szCs w:val="24"/>
                <w:lang w:val="lv-LV"/>
              </w:rPr>
              <w:t>MK Noteikumu projektu</w:t>
            </w:r>
            <w:r w:rsidR="00A658C7" w:rsidRPr="00A658C7">
              <w:rPr>
                <w:sz w:val="24"/>
                <w:szCs w:val="24"/>
                <w:lang w:val="lv-LV"/>
              </w:rPr>
              <w:t xml:space="preserve"> tiek pagarināts </w:t>
            </w:r>
            <w:r w:rsidRPr="004259BC">
              <w:rPr>
                <w:sz w:val="24"/>
                <w:szCs w:val="24"/>
                <w:lang w:val="lv-LV"/>
              </w:rPr>
              <w:t xml:space="preserve">MK Noteikumi Nr.454 </w:t>
            </w:r>
            <w:r w:rsidRPr="00A658C7">
              <w:rPr>
                <w:sz w:val="24"/>
                <w:szCs w:val="24"/>
                <w:lang w:val="lv-LV"/>
              </w:rPr>
              <w:t xml:space="preserve"> </w:t>
            </w:r>
            <w:r>
              <w:rPr>
                <w:sz w:val="24"/>
                <w:szCs w:val="24"/>
                <w:lang w:val="lv-LV"/>
              </w:rPr>
              <w:t>noteikto</w:t>
            </w:r>
            <w:r w:rsidRPr="00A658C7">
              <w:rPr>
                <w:sz w:val="24"/>
                <w:szCs w:val="24"/>
                <w:lang w:val="lv-LV"/>
              </w:rPr>
              <w:t xml:space="preserve"> </w:t>
            </w:r>
            <w:r w:rsidR="00A658C7" w:rsidRPr="00A658C7">
              <w:rPr>
                <w:sz w:val="24"/>
                <w:szCs w:val="24"/>
                <w:lang w:val="lv-LV"/>
              </w:rPr>
              <w:t>garantiju sniegšanas  termiņš par 6 mēnešiem saskaņā ar Pagaidu regulējuma 25.c punktu. Projekts paredz noteikumos atsaukties uz Pagaidu regulējumā noteikto darbības termiņu, tā vietā, lai norādītu konkrētu datumu līdz kuram atbalsts var tikt piešķirts.</w:t>
            </w:r>
          </w:p>
          <w:p w14:paraId="647C6B30" w14:textId="77777777" w:rsidR="00A658C7" w:rsidRPr="00A658C7" w:rsidRDefault="00A658C7" w:rsidP="00180DBF">
            <w:pPr>
              <w:pStyle w:val="ListParagraph"/>
              <w:numPr>
                <w:ilvl w:val="0"/>
                <w:numId w:val="10"/>
              </w:numPr>
              <w:spacing w:before="120"/>
              <w:ind w:left="348"/>
              <w:contextualSpacing w:val="0"/>
              <w:jc w:val="both"/>
              <w:rPr>
                <w:sz w:val="24"/>
                <w:szCs w:val="24"/>
                <w:lang w:val="lv-LV"/>
              </w:rPr>
            </w:pPr>
            <w:r w:rsidRPr="00A658C7">
              <w:rPr>
                <w:sz w:val="24"/>
                <w:szCs w:val="24"/>
                <w:lang w:val="lv-LV"/>
              </w:rPr>
              <w:lastRenderedPageBreak/>
              <w:t xml:space="preserve">MK noteikumu Nr.454 18.2.punkts nosaka, ka garantiju nesniedz atbalsta saņēmējam, ja tas uz 2019. gada 31. decembri bija nonācis finanšu grūtībās saskaņā ar Komisijas regulas Nr. 651/2014 2. panta 18. punktā vai Komisijas regulas Nr. 1388/2014 3. panta 8. punktā minēto grūtībās nonākuša uzņēmuma definīciju. </w:t>
            </w:r>
            <w:r w:rsidRPr="00180DBF">
              <w:rPr>
                <w:sz w:val="24"/>
                <w:szCs w:val="24"/>
                <w:lang w:val="lv-LV"/>
              </w:rPr>
              <w:t>Projekts paredz precizēt atbalsta piešķiršanas kritērijus attiecībā uz grūtībās nonākušu uzņēmumu vērtēšanu.</w:t>
            </w:r>
          </w:p>
          <w:p w14:paraId="1429069A" w14:textId="77777777" w:rsidR="00A658C7" w:rsidRPr="00A658C7" w:rsidRDefault="00A658C7" w:rsidP="004259BC">
            <w:pPr>
              <w:spacing w:before="120"/>
              <w:jc w:val="both"/>
              <w:rPr>
                <w:sz w:val="24"/>
                <w:szCs w:val="24"/>
                <w:lang w:val="lv-LV"/>
              </w:rPr>
            </w:pPr>
            <w:r w:rsidRPr="00A658C7">
              <w:rPr>
                <w:sz w:val="24"/>
                <w:szCs w:val="24"/>
                <w:lang w:val="lv-LV"/>
              </w:rPr>
              <w:t>Lai precizētu atbalsta normas par grūtībās nonākušiem uzņēmumiem, ir šāda pieeja:</w:t>
            </w:r>
          </w:p>
          <w:p w14:paraId="04EF0695" w14:textId="77777777" w:rsidR="00A658C7" w:rsidRPr="00180DBF" w:rsidRDefault="00A658C7" w:rsidP="004259BC">
            <w:pPr>
              <w:pStyle w:val="ListParagraph"/>
              <w:numPr>
                <w:ilvl w:val="0"/>
                <w:numId w:val="11"/>
              </w:numPr>
              <w:spacing w:before="120"/>
              <w:contextualSpacing w:val="0"/>
              <w:jc w:val="both"/>
              <w:rPr>
                <w:rFonts w:eastAsia="Times New Roman"/>
                <w:sz w:val="24"/>
                <w:szCs w:val="24"/>
                <w:lang w:val="lv-LV"/>
              </w:rPr>
            </w:pPr>
            <w:r w:rsidRPr="00180DBF">
              <w:rPr>
                <w:rFonts w:eastAsia="Times New Roman"/>
                <w:sz w:val="24"/>
                <w:szCs w:val="24"/>
                <w:lang w:val="lv-LV"/>
              </w:rPr>
              <w:t xml:space="preserve">atbalsta pretendents uz atbalsta piešķiršanas brīdi nav nonācis grūtībās, kā arī tas nebija nonācis grūtībās uz 2019.gada 31.decembri – atbalstu saskaņā ar Komisijas paziņojumu tam </w:t>
            </w:r>
            <w:r w:rsidRPr="00180DBF">
              <w:rPr>
                <w:rFonts w:eastAsia="Times New Roman"/>
                <w:sz w:val="24"/>
                <w:szCs w:val="24"/>
                <w:u w:val="single"/>
                <w:lang w:val="lv-LV"/>
              </w:rPr>
              <w:t>drīkst</w:t>
            </w:r>
            <w:r w:rsidRPr="00180DBF">
              <w:rPr>
                <w:rFonts w:eastAsia="Times New Roman"/>
                <w:sz w:val="24"/>
                <w:szCs w:val="24"/>
                <w:lang w:val="lv-LV"/>
              </w:rPr>
              <w:t xml:space="preserve"> piešķirt;</w:t>
            </w:r>
          </w:p>
          <w:p w14:paraId="60DC444A" w14:textId="77777777" w:rsidR="00A658C7" w:rsidRPr="00180DBF" w:rsidRDefault="00A658C7" w:rsidP="004259BC">
            <w:pPr>
              <w:pStyle w:val="ListParagraph"/>
              <w:numPr>
                <w:ilvl w:val="0"/>
                <w:numId w:val="11"/>
              </w:numPr>
              <w:spacing w:before="120"/>
              <w:contextualSpacing w:val="0"/>
              <w:jc w:val="both"/>
              <w:rPr>
                <w:rFonts w:eastAsia="Times New Roman"/>
                <w:sz w:val="24"/>
                <w:szCs w:val="24"/>
                <w:lang w:val="lv-LV"/>
              </w:rPr>
            </w:pPr>
            <w:r w:rsidRPr="00180DBF">
              <w:rPr>
                <w:rFonts w:eastAsia="Times New Roman"/>
                <w:sz w:val="24"/>
                <w:szCs w:val="24"/>
                <w:lang w:val="lv-LV"/>
              </w:rPr>
              <w:t xml:space="preserve">atbalsta pretendents uz atbalsta piešķiršanas brīdi ir nonācis grūtībās, bet tas nebija nonācis grūtībās uz 2019.gada 31.decembri – atbalstu saskaņā ar Komisijas paziņojumu tam </w:t>
            </w:r>
            <w:r w:rsidRPr="00180DBF">
              <w:rPr>
                <w:rFonts w:eastAsia="Times New Roman"/>
                <w:sz w:val="24"/>
                <w:szCs w:val="24"/>
                <w:u w:val="single"/>
                <w:lang w:val="lv-LV"/>
              </w:rPr>
              <w:t>drīkst</w:t>
            </w:r>
            <w:r w:rsidRPr="00180DBF">
              <w:rPr>
                <w:rFonts w:eastAsia="Times New Roman"/>
                <w:sz w:val="24"/>
                <w:szCs w:val="24"/>
                <w:lang w:val="lv-LV"/>
              </w:rPr>
              <w:t xml:space="preserve"> piešķirt;</w:t>
            </w:r>
          </w:p>
          <w:p w14:paraId="7D34B3A1" w14:textId="77777777" w:rsidR="00A658C7" w:rsidRPr="00180DBF" w:rsidRDefault="00A658C7" w:rsidP="004259BC">
            <w:pPr>
              <w:pStyle w:val="ListParagraph"/>
              <w:numPr>
                <w:ilvl w:val="0"/>
                <w:numId w:val="11"/>
              </w:numPr>
              <w:spacing w:before="120"/>
              <w:contextualSpacing w:val="0"/>
              <w:jc w:val="both"/>
              <w:rPr>
                <w:rFonts w:eastAsia="Times New Roman"/>
                <w:sz w:val="24"/>
                <w:szCs w:val="24"/>
                <w:lang w:val="lv-LV"/>
              </w:rPr>
            </w:pPr>
            <w:r w:rsidRPr="00180DBF">
              <w:rPr>
                <w:rFonts w:eastAsia="Times New Roman"/>
                <w:sz w:val="24"/>
                <w:szCs w:val="24"/>
                <w:lang w:val="lv-LV"/>
              </w:rPr>
              <w:t xml:space="preserve">atbalsta pretendents uz atbalsta piešķiršanas brīdi ir nonācis grūtībās, kā arī tas bija nonācis grūtībās jau uz 2019.gada 31.decembri – atbalstu saskaņā ar Komisijas paziņojumu tam </w:t>
            </w:r>
            <w:r w:rsidRPr="00180DBF">
              <w:rPr>
                <w:rFonts w:eastAsia="Times New Roman"/>
                <w:sz w:val="24"/>
                <w:szCs w:val="24"/>
                <w:u w:val="single"/>
                <w:lang w:val="lv-LV"/>
              </w:rPr>
              <w:t>nedrīkst</w:t>
            </w:r>
            <w:r w:rsidRPr="00180DBF">
              <w:rPr>
                <w:rFonts w:eastAsia="Times New Roman"/>
                <w:sz w:val="24"/>
                <w:szCs w:val="24"/>
                <w:lang w:val="lv-LV"/>
              </w:rPr>
              <w:t xml:space="preserve"> piešķirt (izņemot Komisijas paziņojumā paredzēto izņēmumu attiecībā uz mikro un maziem uzņēmumiem);</w:t>
            </w:r>
          </w:p>
          <w:p w14:paraId="69DC2524" w14:textId="72809014" w:rsidR="00A658C7" w:rsidRPr="00684B94" w:rsidRDefault="00A658C7" w:rsidP="004259BC">
            <w:pPr>
              <w:pStyle w:val="ListParagraph"/>
              <w:numPr>
                <w:ilvl w:val="0"/>
                <w:numId w:val="11"/>
              </w:numPr>
              <w:spacing w:before="120"/>
              <w:contextualSpacing w:val="0"/>
              <w:jc w:val="both"/>
              <w:rPr>
                <w:rFonts w:eastAsia="Times New Roman"/>
                <w:sz w:val="24"/>
                <w:szCs w:val="24"/>
                <w:lang w:val="lv-LV"/>
              </w:rPr>
            </w:pPr>
            <w:r w:rsidRPr="00684B94">
              <w:rPr>
                <w:rFonts w:eastAsia="Times New Roman"/>
                <w:sz w:val="24"/>
                <w:szCs w:val="24"/>
                <w:lang w:val="lv-LV"/>
              </w:rPr>
              <w:t xml:space="preserve">atbalsta pretendents uz atbalsta piešķiršanas brīdi nav nonācis grūtībās, bet tas bija grūtībās uz 2019.gada 31.decembri – atbalstu saskaņā ar Komisijas paziņojumu tam </w:t>
            </w:r>
            <w:r w:rsidRPr="00684B94">
              <w:rPr>
                <w:rFonts w:eastAsia="Times New Roman"/>
                <w:sz w:val="24"/>
                <w:szCs w:val="24"/>
                <w:u w:val="single"/>
                <w:lang w:val="lv-LV"/>
              </w:rPr>
              <w:t>drīkst</w:t>
            </w:r>
            <w:r w:rsidRPr="00684B94">
              <w:rPr>
                <w:rFonts w:eastAsia="Times New Roman"/>
                <w:sz w:val="24"/>
                <w:szCs w:val="24"/>
                <w:lang w:val="lv-LV"/>
              </w:rPr>
              <w:t xml:space="preserve"> piešķirt</w:t>
            </w:r>
            <w:r w:rsidR="00684B94">
              <w:rPr>
                <w:rFonts w:eastAsia="Times New Roman"/>
                <w:sz w:val="24"/>
                <w:szCs w:val="24"/>
                <w:lang w:val="lv-LV"/>
              </w:rPr>
              <w:t>;</w:t>
            </w:r>
          </w:p>
          <w:p w14:paraId="3D89C772" w14:textId="38D1074A" w:rsidR="00A658C7" w:rsidRPr="00684B94" w:rsidRDefault="000F5401" w:rsidP="00684B94">
            <w:pPr>
              <w:pStyle w:val="ListParagraph"/>
              <w:numPr>
                <w:ilvl w:val="0"/>
                <w:numId w:val="10"/>
              </w:numPr>
              <w:spacing w:before="120"/>
              <w:ind w:left="348" w:hanging="357"/>
              <w:contextualSpacing w:val="0"/>
              <w:jc w:val="both"/>
              <w:rPr>
                <w:sz w:val="24"/>
                <w:szCs w:val="24"/>
                <w:lang w:val="lv-LV"/>
              </w:rPr>
            </w:pPr>
            <w:r w:rsidRPr="004259BC">
              <w:rPr>
                <w:rFonts w:eastAsia="Times New Roman"/>
                <w:iCs/>
                <w:sz w:val="24"/>
                <w:szCs w:val="24"/>
                <w:lang w:val="lv-LV"/>
              </w:rPr>
              <w:t>MK Noteikumu projekt</w:t>
            </w:r>
            <w:r>
              <w:rPr>
                <w:rFonts w:eastAsia="Times New Roman"/>
                <w:iCs/>
                <w:sz w:val="24"/>
                <w:szCs w:val="24"/>
                <w:lang w:val="lv-LV"/>
              </w:rPr>
              <w:t xml:space="preserve">s </w:t>
            </w:r>
            <w:r w:rsidR="00A658C7" w:rsidRPr="00684B94">
              <w:rPr>
                <w:rFonts w:eastAsia="Times New Roman"/>
                <w:sz w:val="24"/>
                <w:szCs w:val="24"/>
                <w:lang w:val="lv-LV"/>
              </w:rPr>
              <w:t xml:space="preserve">precizē Covid-19 ietekmes pierādīšanu līdzīgi kā pārējās </w:t>
            </w:r>
            <w:r w:rsidR="00D06C14">
              <w:rPr>
                <w:rFonts w:eastAsia="Times New Roman"/>
                <w:sz w:val="24"/>
                <w:szCs w:val="24"/>
                <w:lang w:val="lv-LV"/>
              </w:rPr>
              <w:t xml:space="preserve">akciju </w:t>
            </w:r>
            <w:r w:rsidR="00D06C14" w:rsidRPr="00180DBF">
              <w:rPr>
                <w:rFonts w:eastAsia="Times New Roman"/>
                <w:sz w:val="24"/>
                <w:szCs w:val="24"/>
                <w:lang w:val="lv-LV"/>
              </w:rPr>
              <w:t>sabiedrīb</w:t>
            </w:r>
            <w:r w:rsidR="00D06C14">
              <w:rPr>
                <w:rFonts w:eastAsia="Times New Roman"/>
                <w:sz w:val="24"/>
                <w:szCs w:val="24"/>
                <w:lang w:val="lv-LV"/>
              </w:rPr>
              <w:t>as</w:t>
            </w:r>
            <w:r w:rsidR="00D06C14" w:rsidRPr="00180DBF">
              <w:rPr>
                <w:rFonts w:eastAsia="Times New Roman"/>
                <w:sz w:val="24"/>
                <w:szCs w:val="24"/>
                <w:lang w:val="lv-LV"/>
              </w:rPr>
              <w:t xml:space="preserve"> </w:t>
            </w:r>
            <w:r w:rsidR="00D06C14">
              <w:rPr>
                <w:rFonts w:eastAsia="Times New Roman"/>
                <w:sz w:val="24"/>
                <w:szCs w:val="24"/>
                <w:lang w:val="lv-LV"/>
              </w:rPr>
              <w:t>“</w:t>
            </w:r>
            <w:r w:rsidR="00D06C14">
              <w:rPr>
                <w:sz w:val="24"/>
                <w:szCs w:val="24"/>
                <w:lang w:val="lv-LV"/>
              </w:rPr>
              <w:t>Attīstības finanšu institūcija ALTUM</w:t>
            </w:r>
            <w:r w:rsidR="00D06C14">
              <w:rPr>
                <w:rFonts w:eastAsia="Times New Roman"/>
                <w:sz w:val="24"/>
                <w:szCs w:val="24"/>
                <w:lang w:val="lv-LV"/>
              </w:rPr>
              <w:t>”</w:t>
            </w:r>
            <w:r w:rsidR="00A658C7" w:rsidRPr="00684B94">
              <w:rPr>
                <w:rFonts w:eastAsia="Times New Roman"/>
                <w:sz w:val="24"/>
                <w:szCs w:val="24"/>
                <w:lang w:val="lv-LV"/>
              </w:rPr>
              <w:t xml:space="preserve"> </w:t>
            </w:r>
            <w:r w:rsidR="00D06C14">
              <w:rPr>
                <w:rFonts w:eastAsia="Times New Roman"/>
                <w:sz w:val="24"/>
                <w:szCs w:val="24"/>
                <w:lang w:val="lv-LV"/>
              </w:rPr>
              <w:t xml:space="preserve">(turpmāk – sabiedrības “Altum”) </w:t>
            </w:r>
            <w:r w:rsidR="00A658C7" w:rsidRPr="00684B94">
              <w:rPr>
                <w:rFonts w:eastAsia="Times New Roman"/>
                <w:sz w:val="24"/>
                <w:szCs w:val="24"/>
                <w:lang w:val="lv-LV"/>
              </w:rPr>
              <w:t>Covid-19 programmās (</w:t>
            </w:r>
            <w:r w:rsidR="00D06C14">
              <w:rPr>
                <w:rFonts w:eastAsia="Times New Roman"/>
                <w:sz w:val="24"/>
                <w:szCs w:val="24"/>
                <w:lang w:val="lv-LV"/>
              </w:rPr>
              <w:t xml:space="preserve">t.i., </w:t>
            </w:r>
            <w:r w:rsidR="00D06C14" w:rsidRPr="00684B94">
              <w:rPr>
                <w:sz w:val="24"/>
                <w:szCs w:val="24"/>
                <w:lang w:val="lv-LV"/>
              </w:rPr>
              <w:t xml:space="preserve">Ministru kabineta </w:t>
            </w:r>
            <w:r w:rsidR="00684B94" w:rsidRPr="00684B94">
              <w:rPr>
                <w:iCs/>
                <w:color w:val="000000" w:themeColor="text1"/>
                <w:sz w:val="24"/>
                <w:szCs w:val="24"/>
                <w:lang w:val="lv-LV"/>
              </w:rPr>
              <w:t xml:space="preserve">2020. gada 19. martā noteikumi Nr. 150 </w:t>
            </w:r>
            <w:r w:rsidR="00D06C14">
              <w:rPr>
                <w:iCs/>
                <w:color w:val="000000" w:themeColor="text1"/>
                <w:sz w:val="24"/>
                <w:szCs w:val="24"/>
                <w:lang w:val="lv-LV"/>
              </w:rPr>
              <w:t>“</w:t>
            </w:r>
            <w:r w:rsidR="00684B94" w:rsidRPr="00684B94">
              <w:rPr>
                <w:iCs/>
                <w:color w:val="000000" w:themeColor="text1"/>
                <w:sz w:val="24"/>
                <w:szCs w:val="24"/>
                <w:lang w:val="lv-LV"/>
              </w:rPr>
              <w:t>Noteikumi par garantijām saimnieciskās darbības veicējiem, kuru darbību ietekmējusi Covid-19 izplatība</w:t>
            </w:r>
            <w:r w:rsidR="00D06C14">
              <w:rPr>
                <w:iCs/>
                <w:color w:val="000000" w:themeColor="text1"/>
                <w:sz w:val="24"/>
                <w:szCs w:val="24"/>
                <w:lang w:val="lv-LV"/>
              </w:rPr>
              <w:t>”</w:t>
            </w:r>
            <w:r w:rsidR="00A658C7" w:rsidRPr="00684B94">
              <w:rPr>
                <w:rFonts w:eastAsia="Times New Roman"/>
                <w:sz w:val="24"/>
                <w:szCs w:val="24"/>
                <w:lang w:val="lv-LV"/>
              </w:rPr>
              <w:t xml:space="preserve">, </w:t>
            </w:r>
            <w:r w:rsidR="00684B94" w:rsidRPr="00684B94">
              <w:rPr>
                <w:sz w:val="24"/>
                <w:szCs w:val="24"/>
                <w:lang w:val="lv-LV"/>
              </w:rPr>
              <w:t xml:space="preserve">Ministru kabineta 2017. gada 5. septembra noteikumi Nr.537 </w:t>
            </w:r>
            <w:r w:rsidR="00D06C14">
              <w:rPr>
                <w:sz w:val="24"/>
                <w:szCs w:val="24"/>
                <w:lang w:val="lv-LV"/>
              </w:rPr>
              <w:t>“</w:t>
            </w:r>
            <w:r w:rsidR="00684B94" w:rsidRPr="00684B94">
              <w:rPr>
                <w:sz w:val="24"/>
                <w:szCs w:val="24"/>
                <w:lang w:val="lv-LV"/>
              </w:rPr>
              <w:t>Noteikumi par portfeļgarantijām sīko (mikro), mazo un vidējo komersantu kreditēšanas veicināšanai</w:t>
            </w:r>
            <w:r w:rsidR="00D06C14">
              <w:rPr>
                <w:sz w:val="24"/>
                <w:szCs w:val="24"/>
                <w:lang w:val="lv-LV"/>
              </w:rPr>
              <w:t>”</w:t>
            </w:r>
            <w:r w:rsidR="00A658C7" w:rsidRPr="00684B94">
              <w:rPr>
                <w:rFonts w:eastAsia="Times New Roman"/>
                <w:sz w:val="24"/>
                <w:szCs w:val="24"/>
                <w:lang w:val="lv-LV"/>
              </w:rPr>
              <w:t xml:space="preserve">, </w:t>
            </w:r>
            <w:r w:rsidR="00684B94" w:rsidRPr="00684B94">
              <w:rPr>
                <w:sz w:val="24"/>
                <w:szCs w:val="24"/>
                <w:lang w:val="lv-LV"/>
              </w:rPr>
              <w:t xml:space="preserve">Ministru kabineta 2020. gada 19. marta noteikumi Nr. 149 </w:t>
            </w:r>
            <w:r w:rsidR="00D06C14">
              <w:rPr>
                <w:sz w:val="24"/>
                <w:szCs w:val="24"/>
                <w:lang w:val="lv-LV"/>
              </w:rPr>
              <w:t>“</w:t>
            </w:r>
            <w:r w:rsidR="00684B94" w:rsidRPr="00684B94">
              <w:rPr>
                <w:sz w:val="24"/>
                <w:szCs w:val="24"/>
                <w:lang w:val="lv-LV"/>
              </w:rPr>
              <w:t>Noteikumi par apgrozāmo līdzekļu aizdevumiem saimnieciskās darbības veicējiem, kuru darbību ietekmējusi Covid-19 izplatība</w:t>
            </w:r>
            <w:r w:rsidR="00D06C14">
              <w:rPr>
                <w:sz w:val="24"/>
                <w:szCs w:val="24"/>
                <w:lang w:val="lv-LV"/>
              </w:rPr>
              <w:t>”</w:t>
            </w:r>
            <w:r w:rsidR="00684B94">
              <w:rPr>
                <w:sz w:val="24"/>
                <w:szCs w:val="24"/>
                <w:lang w:val="lv-LV"/>
              </w:rPr>
              <w:t>);</w:t>
            </w:r>
          </w:p>
          <w:p w14:paraId="445EF0A9" w14:textId="77777777" w:rsidR="00180DBF" w:rsidRDefault="00180DBF" w:rsidP="00180DBF">
            <w:pPr>
              <w:pStyle w:val="ListParagraph"/>
              <w:numPr>
                <w:ilvl w:val="0"/>
                <w:numId w:val="10"/>
              </w:numPr>
              <w:spacing w:before="120"/>
              <w:ind w:left="348"/>
              <w:contextualSpacing w:val="0"/>
              <w:jc w:val="both"/>
              <w:rPr>
                <w:rFonts w:eastAsia="Times New Roman"/>
                <w:sz w:val="24"/>
                <w:szCs w:val="24"/>
                <w:lang w:val="lv-LV"/>
              </w:rPr>
            </w:pPr>
            <w:r>
              <w:rPr>
                <w:rFonts w:eastAsia="Times New Roman"/>
                <w:sz w:val="24"/>
                <w:szCs w:val="24"/>
                <w:lang w:val="lv-LV"/>
              </w:rPr>
              <w:t>ņ</w:t>
            </w:r>
            <w:r w:rsidR="00A658C7" w:rsidRPr="00A658C7">
              <w:rPr>
                <w:rFonts w:eastAsia="Times New Roman"/>
                <w:sz w:val="24"/>
                <w:szCs w:val="24"/>
                <w:lang w:val="lv-LV"/>
              </w:rPr>
              <w:t xml:space="preserve">emot vērā, ka kredītlīnijām un overdraftiem ne vienmēr tiek atlikta pamatsumma, jo tiem nav amortizācijas grafika, bet gan maksājums ir beigās, grozījumi </w:t>
            </w:r>
            <w:r>
              <w:rPr>
                <w:sz w:val="24"/>
                <w:szCs w:val="24"/>
                <w:lang w:val="lv-LV"/>
              </w:rPr>
              <w:t xml:space="preserve">MK Noteikumu projekts </w:t>
            </w:r>
            <w:r w:rsidR="00A658C7" w:rsidRPr="00A658C7">
              <w:rPr>
                <w:rFonts w:eastAsia="Times New Roman"/>
                <w:sz w:val="24"/>
                <w:szCs w:val="24"/>
                <w:lang w:val="lv-LV"/>
              </w:rPr>
              <w:t>precizē normu, ka šiem finanšu pakalpojumiem ir jāpagarina termiņš vismaz par 12 mēnešiem.</w:t>
            </w:r>
          </w:p>
          <w:p w14:paraId="2D4F9C3B" w14:textId="77777777" w:rsidR="00180DBF" w:rsidRDefault="00180DBF" w:rsidP="00180DBF">
            <w:pPr>
              <w:pStyle w:val="ListParagraph"/>
              <w:numPr>
                <w:ilvl w:val="0"/>
                <w:numId w:val="10"/>
              </w:numPr>
              <w:spacing w:before="120"/>
              <w:ind w:left="348"/>
              <w:contextualSpacing w:val="0"/>
              <w:jc w:val="both"/>
              <w:rPr>
                <w:rFonts w:eastAsia="Times New Roman"/>
                <w:sz w:val="24"/>
                <w:szCs w:val="24"/>
                <w:lang w:val="lv-LV"/>
              </w:rPr>
            </w:pPr>
            <w:r>
              <w:rPr>
                <w:rFonts w:eastAsia="Times New Roman"/>
                <w:sz w:val="24"/>
                <w:szCs w:val="24"/>
                <w:lang w:val="lv-LV"/>
              </w:rPr>
              <w:t>š</w:t>
            </w:r>
            <w:r w:rsidR="00A658C7" w:rsidRPr="00180DBF">
              <w:rPr>
                <w:rFonts w:eastAsia="Times New Roman"/>
                <w:sz w:val="24"/>
                <w:szCs w:val="24"/>
                <w:lang w:val="lv-LV"/>
              </w:rPr>
              <w:t xml:space="preserve">obrīd </w:t>
            </w:r>
            <w:r w:rsidRPr="004259BC">
              <w:rPr>
                <w:sz w:val="24"/>
                <w:szCs w:val="24"/>
                <w:lang w:val="lv-LV"/>
              </w:rPr>
              <w:t xml:space="preserve">MK Noteikumi Nr.454 </w:t>
            </w:r>
            <w:r w:rsidRPr="00A658C7">
              <w:rPr>
                <w:sz w:val="24"/>
                <w:szCs w:val="24"/>
                <w:lang w:val="lv-LV"/>
              </w:rPr>
              <w:t xml:space="preserve"> </w:t>
            </w:r>
            <w:r w:rsidR="00A658C7" w:rsidRPr="00180DBF">
              <w:rPr>
                <w:rFonts w:eastAsia="Times New Roman"/>
                <w:sz w:val="24"/>
                <w:szCs w:val="24"/>
                <w:lang w:val="lv-LV"/>
              </w:rPr>
              <w:t xml:space="preserve">ļauj sniegt garantiju, ja tās saņēmējs ir lielais komersants un tam iepriekšējos divos noslēgtajos finanšu gados eksports ir vismaz 30 % no apgrozījuma, bet aizņēmējiem, kas pārceļ darbību uz Latviju no valsts ārpus Eiropas Ekonomikas zonas vai uzsāk jaunu saimniecisko darbību Latvijā, plānotais eksporta apjoms turpmākajos divos gados ir vismaz 50 % no apgrozījuma. </w:t>
            </w:r>
          </w:p>
          <w:p w14:paraId="4A031C4E" w14:textId="77777777" w:rsidR="000F5401" w:rsidRDefault="00A658C7" w:rsidP="00684B94">
            <w:pPr>
              <w:spacing w:before="120"/>
              <w:jc w:val="both"/>
              <w:rPr>
                <w:rFonts w:eastAsia="Times New Roman"/>
                <w:sz w:val="24"/>
                <w:szCs w:val="24"/>
                <w:lang w:val="lv-LV"/>
              </w:rPr>
            </w:pPr>
            <w:r w:rsidRPr="00180DBF">
              <w:rPr>
                <w:rFonts w:eastAsia="Times New Roman"/>
                <w:sz w:val="24"/>
                <w:szCs w:val="24"/>
                <w:lang w:val="lv-LV"/>
              </w:rPr>
              <w:t xml:space="preserve">Līdzšinēji sabiedrībā </w:t>
            </w:r>
            <w:r w:rsidR="00D06C14">
              <w:rPr>
                <w:rFonts w:eastAsia="Times New Roman"/>
                <w:sz w:val="24"/>
                <w:szCs w:val="24"/>
                <w:lang w:val="lv-LV"/>
              </w:rPr>
              <w:t>“</w:t>
            </w:r>
            <w:r w:rsidRPr="00180DBF">
              <w:rPr>
                <w:rFonts w:eastAsia="Times New Roman"/>
                <w:sz w:val="24"/>
                <w:szCs w:val="24"/>
                <w:lang w:val="lv-LV"/>
              </w:rPr>
              <w:t>Altum</w:t>
            </w:r>
            <w:r w:rsidR="00D06C14">
              <w:rPr>
                <w:rFonts w:eastAsia="Times New Roman"/>
                <w:sz w:val="24"/>
                <w:szCs w:val="24"/>
                <w:lang w:val="lv-LV"/>
              </w:rPr>
              <w:t>”</w:t>
            </w:r>
            <w:r w:rsidRPr="00180DBF">
              <w:rPr>
                <w:rFonts w:eastAsia="Times New Roman"/>
                <w:sz w:val="24"/>
                <w:szCs w:val="24"/>
                <w:lang w:val="lv-LV"/>
              </w:rPr>
              <w:t xml:space="preserve"> ir bijuši vairāki interesējoši jautājumi par projektiem, kuros plānotās jaunas investīcijas vai jāstrukturizē esoši </w:t>
            </w:r>
            <w:r w:rsidRPr="00180DBF">
              <w:rPr>
                <w:rFonts w:eastAsia="Times New Roman"/>
                <w:sz w:val="24"/>
                <w:szCs w:val="24"/>
                <w:lang w:val="lv-LV"/>
              </w:rPr>
              <w:lastRenderedPageBreak/>
              <w:t xml:space="preserve">aizdevumi Covid-19 ietekmē, bet kuri neatbilst šim kritērijam par eksporta apjomu 30% apmērā. Kā piemēru varam norādīt transporta pakalpojumu sniedzēju, mazumtirdzniecību, vairumtirdzniecību. </w:t>
            </w:r>
          </w:p>
          <w:p w14:paraId="09F04E06" w14:textId="6D4AF4D3" w:rsidR="00E231F4" w:rsidRPr="00180DBF" w:rsidRDefault="00A658C7" w:rsidP="00684B94">
            <w:pPr>
              <w:spacing w:before="120"/>
              <w:jc w:val="both"/>
              <w:rPr>
                <w:rFonts w:eastAsia="Times New Roman"/>
                <w:sz w:val="24"/>
                <w:szCs w:val="24"/>
                <w:lang w:val="lv-LV"/>
              </w:rPr>
            </w:pPr>
            <w:r w:rsidRPr="00180DBF">
              <w:rPr>
                <w:rFonts w:eastAsia="Times New Roman"/>
                <w:sz w:val="24"/>
                <w:szCs w:val="24"/>
                <w:lang w:val="lv-LV"/>
              </w:rPr>
              <w:t>Ņemot vērā, ka arī  šāda veida saimnieciskās darbības veicējiem ir nepieciešams papildus nodrošinājums kredītiestādes aizdevuma saņemšanai, bet esošo programmu ietvaros (</w:t>
            </w:r>
            <w:r w:rsidR="00684B94" w:rsidRPr="00684B94">
              <w:rPr>
                <w:sz w:val="24"/>
                <w:szCs w:val="24"/>
                <w:lang w:val="lv-LV"/>
              </w:rPr>
              <w:t>Ministru kabineta 2020. gada 16. jūnija noteikumos Nr. 383 Noteikumi par garantijām saimnieciskās darbības veicējiem konkurētspējas uzlabošanai</w:t>
            </w:r>
            <w:r w:rsidR="00684B94">
              <w:rPr>
                <w:i/>
                <w:iCs/>
                <w:sz w:val="24"/>
                <w:szCs w:val="24"/>
                <w:lang w:val="lv-LV"/>
              </w:rPr>
              <w:t xml:space="preserve"> </w:t>
            </w:r>
            <w:r w:rsidRPr="00180DBF">
              <w:rPr>
                <w:rFonts w:eastAsia="Times New Roman"/>
                <w:sz w:val="24"/>
                <w:szCs w:val="24"/>
                <w:lang w:val="lv-LV"/>
              </w:rPr>
              <w:t xml:space="preserve">vai </w:t>
            </w:r>
            <w:r w:rsidR="00684B94" w:rsidRPr="00684B94">
              <w:rPr>
                <w:rFonts w:eastAsia="Times New Roman"/>
                <w:iCs/>
                <w:sz w:val="24"/>
                <w:szCs w:val="24"/>
                <w:lang w:val="lv-LV"/>
              </w:rPr>
              <w:t xml:space="preserve">MK </w:t>
            </w:r>
            <w:r w:rsidR="00684B94" w:rsidRPr="00684B94">
              <w:rPr>
                <w:iCs/>
                <w:color w:val="000000" w:themeColor="text1"/>
                <w:sz w:val="24"/>
                <w:szCs w:val="24"/>
                <w:lang w:val="lv-LV"/>
              </w:rPr>
              <w:t>2020. gada 19. martā noteikum</w:t>
            </w:r>
            <w:r w:rsidR="00684B94">
              <w:rPr>
                <w:iCs/>
                <w:color w:val="000000" w:themeColor="text1"/>
                <w:sz w:val="24"/>
                <w:szCs w:val="24"/>
                <w:lang w:val="lv-LV"/>
              </w:rPr>
              <w:t>os</w:t>
            </w:r>
            <w:r w:rsidR="00684B94" w:rsidRPr="00684B94">
              <w:rPr>
                <w:iCs/>
                <w:color w:val="000000" w:themeColor="text1"/>
                <w:sz w:val="24"/>
                <w:szCs w:val="24"/>
                <w:lang w:val="lv-LV"/>
              </w:rPr>
              <w:t xml:space="preserve"> Nr. 150 </w:t>
            </w:r>
            <w:r w:rsidR="00684B94">
              <w:rPr>
                <w:iCs/>
                <w:color w:val="000000" w:themeColor="text1"/>
                <w:sz w:val="24"/>
                <w:szCs w:val="24"/>
                <w:lang w:val="lv-LV"/>
              </w:rPr>
              <w:t>“</w:t>
            </w:r>
            <w:r w:rsidR="00684B94" w:rsidRPr="00684B94">
              <w:rPr>
                <w:iCs/>
                <w:color w:val="000000" w:themeColor="text1"/>
                <w:sz w:val="24"/>
                <w:szCs w:val="24"/>
                <w:lang w:val="lv-LV"/>
              </w:rPr>
              <w:t>Noteikumi par garantijām saimnieciskās darbības veicējiem, kuru darbību ietekmējusi Covid-19 izplatība</w:t>
            </w:r>
            <w:r w:rsidR="00684B94">
              <w:rPr>
                <w:iCs/>
                <w:color w:val="000000" w:themeColor="text1"/>
                <w:sz w:val="24"/>
                <w:szCs w:val="24"/>
                <w:lang w:val="lv-LV"/>
              </w:rPr>
              <w:t>”</w:t>
            </w:r>
            <w:r w:rsidRPr="00180DBF">
              <w:rPr>
                <w:rFonts w:eastAsia="Times New Roman"/>
                <w:sz w:val="24"/>
                <w:szCs w:val="24"/>
                <w:lang w:val="lv-LV"/>
              </w:rPr>
              <w:t xml:space="preserve">) ir mazāks saņemamais atbalsts (attiecīgi 1.5 </w:t>
            </w:r>
            <w:r w:rsidR="00180DBF" w:rsidRPr="00180DBF">
              <w:rPr>
                <w:rFonts w:eastAsia="Times New Roman"/>
                <w:sz w:val="24"/>
                <w:szCs w:val="24"/>
                <w:lang w:val="lv-LV"/>
              </w:rPr>
              <w:t>milj. EUR</w:t>
            </w:r>
            <w:r w:rsidRPr="00180DBF">
              <w:rPr>
                <w:rFonts w:eastAsia="Times New Roman"/>
                <w:sz w:val="24"/>
                <w:szCs w:val="24"/>
                <w:lang w:val="lv-LV"/>
              </w:rPr>
              <w:t xml:space="preserve"> un 10 </w:t>
            </w:r>
            <w:r w:rsidR="00180DBF" w:rsidRPr="00180DBF">
              <w:rPr>
                <w:rFonts w:eastAsia="Times New Roman"/>
                <w:sz w:val="24"/>
                <w:szCs w:val="24"/>
                <w:lang w:val="lv-LV"/>
              </w:rPr>
              <w:t>milj. EUR</w:t>
            </w:r>
            <w:r w:rsidR="000F5401" w:rsidRPr="00180DBF">
              <w:rPr>
                <w:rFonts w:eastAsia="Times New Roman"/>
                <w:sz w:val="24"/>
                <w:szCs w:val="24"/>
                <w:lang w:val="lv-LV"/>
              </w:rPr>
              <w:t xml:space="preserve">), </w:t>
            </w:r>
            <w:r w:rsidR="000F5401">
              <w:rPr>
                <w:rFonts w:eastAsia="Times New Roman"/>
                <w:sz w:val="24"/>
                <w:szCs w:val="24"/>
                <w:lang w:val="lv-LV"/>
              </w:rPr>
              <w:t xml:space="preserve">ar </w:t>
            </w:r>
            <w:r w:rsidR="000F5401" w:rsidRPr="00180DBF">
              <w:rPr>
                <w:sz w:val="24"/>
                <w:szCs w:val="24"/>
                <w:lang w:val="lv-LV"/>
              </w:rPr>
              <w:t>MK Noteikumu projekt</w:t>
            </w:r>
            <w:r w:rsidR="000F5401">
              <w:rPr>
                <w:sz w:val="24"/>
                <w:szCs w:val="24"/>
                <w:lang w:val="lv-LV"/>
              </w:rPr>
              <w:t>a 1. punktu</w:t>
            </w:r>
            <w:r w:rsidR="000F5401" w:rsidRPr="00180DBF">
              <w:rPr>
                <w:sz w:val="24"/>
                <w:szCs w:val="24"/>
                <w:lang w:val="lv-LV"/>
              </w:rPr>
              <w:t xml:space="preserve"> par</w:t>
            </w:r>
            <w:r w:rsidR="000F5401">
              <w:rPr>
                <w:sz w:val="24"/>
                <w:szCs w:val="24"/>
                <w:lang w:val="lv-LV"/>
              </w:rPr>
              <w:t>edzēts</w:t>
            </w:r>
            <w:r w:rsidR="000F5401" w:rsidRPr="00180DBF">
              <w:rPr>
                <w:sz w:val="24"/>
                <w:szCs w:val="24"/>
                <w:lang w:val="lv-LV"/>
              </w:rPr>
              <w:t xml:space="preserve"> </w:t>
            </w:r>
            <w:r w:rsidR="000F5401" w:rsidRPr="00180DBF">
              <w:rPr>
                <w:rFonts w:eastAsia="Times New Roman"/>
                <w:sz w:val="24"/>
                <w:szCs w:val="24"/>
                <w:lang w:val="lv-LV"/>
              </w:rPr>
              <w:t>svītrot prasību par eksporta procentuālaj</w:t>
            </w:r>
            <w:r w:rsidR="000F5401">
              <w:rPr>
                <w:rFonts w:eastAsia="Times New Roman"/>
                <w:sz w:val="24"/>
                <w:szCs w:val="24"/>
                <w:lang w:val="lv-LV"/>
              </w:rPr>
              <w:t>ie</w:t>
            </w:r>
            <w:r w:rsidR="000F5401" w:rsidRPr="00180DBF">
              <w:rPr>
                <w:rFonts w:eastAsia="Times New Roman"/>
                <w:sz w:val="24"/>
                <w:szCs w:val="24"/>
                <w:lang w:val="lv-LV"/>
              </w:rPr>
              <w:t>m apmēr</w:t>
            </w:r>
            <w:r w:rsidR="000F5401">
              <w:rPr>
                <w:rFonts w:eastAsia="Times New Roman"/>
                <w:sz w:val="24"/>
                <w:szCs w:val="24"/>
                <w:lang w:val="lv-LV"/>
              </w:rPr>
              <w:t>ie</w:t>
            </w:r>
            <w:r w:rsidR="000F5401" w:rsidRPr="00180DBF">
              <w:rPr>
                <w:rFonts w:eastAsia="Times New Roman"/>
                <w:sz w:val="24"/>
                <w:szCs w:val="24"/>
                <w:lang w:val="lv-LV"/>
              </w:rPr>
              <w:t>m</w:t>
            </w:r>
            <w:r w:rsidRPr="00180DBF">
              <w:rPr>
                <w:rFonts w:eastAsia="Times New Roman"/>
                <w:sz w:val="24"/>
                <w:szCs w:val="24"/>
                <w:lang w:val="lv-LV"/>
              </w:rPr>
              <w:t>. Šāda veida grozījumi veicinās Latvijas uzņēmumu konkurētspēju.</w:t>
            </w:r>
          </w:p>
        </w:tc>
      </w:tr>
      <w:tr w:rsidR="00844176" w:rsidRPr="00A658C7" w14:paraId="41041CF1" w14:textId="77777777" w:rsidTr="00240921">
        <w:trPr>
          <w:trHeight w:val="465"/>
        </w:trPr>
        <w:tc>
          <w:tcPr>
            <w:tcW w:w="294" w:type="dxa"/>
            <w:tcBorders>
              <w:top w:val="outset" w:sz="6" w:space="0" w:color="414142"/>
              <w:left w:val="outset" w:sz="6" w:space="0" w:color="414142"/>
              <w:bottom w:val="outset" w:sz="6" w:space="0" w:color="414142"/>
              <w:right w:val="outset" w:sz="6" w:space="0" w:color="414142"/>
            </w:tcBorders>
            <w:hideMark/>
          </w:tcPr>
          <w:p w14:paraId="5CAB363A" w14:textId="77777777" w:rsidR="00844176" w:rsidRPr="00180DBF" w:rsidRDefault="00844176" w:rsidP="00B043DE">
            <w:pPr>
              <w:contextualSpacing/>
              <w:rPr>
                <w:rFonts w:eastAsia="Times New Roman"/>
                <w:sz w:val="24"/>
                <w:szCs w:val="24"/>
                <w:lang w:val="lv-LV" w:eastAsia="lv-LV"/>
              </w:rPr>
            </w:pPr>
            <w:r w:rsidRPr="00180DBF">
              <w:rPr>
                <w:sz w:val="24"/>
                <w:szCs w:val="24"/>
                <w:lang w:val="lv-LV"/>
              </w:rPr>
              <w:lastRenderedPageBreak/>
              <w:t>3.</w:t>
            </w:r>
          </w:p>
        </w:tc>
        <w:tc>
          <w:tcPr>
            <w:tcW w:w="1847" w:type="dxa"/>
            <w:tcBorders>
              <w:top w:val="outset" w:sz="6" w:space="0" w:color="414142"/>
              <w:left w:val="outset" w:sz="6" w:space="0" w:color="414142"/>
              <w:bottom w:val="outset" w:sz="6" w:space="0" w:color="414142"/>
              <w:right w:val="outset" w:sz="6" w:space="0" w:color="414142"/>
            </w:tcBorders>
            <w:hideMark/>
          </w:tcPr>
          <w:p w14:paraId="2F4C459C" w14:textId="2F738161" w:rsidR="00844176" w:rsidRPr="00180DBF" w:rsidRDefault="00557B17" w:rsidP="00B043DE">
            <w:pPr>
              <w:contextualSpacing/>
              <w:rPr>
                <w:rFonts w:eastAsia="Times New Roman"/>
                <w:sz w:val="24"/>
                <w:szCs w:val="24"/>
                <w:lang w:val="lv-LV" w:eastAsia="lv-LV"/>
              </w:rPr>
            </w:pPr>
            <w:r w:rsidRPr="00180DBF">
              <w:rPr>
                <w:sz w:val="24"/>
                <w:szCs w:val="24"/>
                <w:lang w:val="lv-LV"/>
              </w:rPr>
              <w:t>Projekta izstrādē iesaistītās institūcijas un publiskas personas kapitālsabiedrības</w:t>
            </w:r>
          </w:p>
        </w:tc>
        <w:tc>
          <w:tcPr>
            <w:tcW w:w="7207" w:type="dxa"/>
            <w:tcBorders>
              <w:top w:val="outset" w:sz="6" w:space="0" w:color="414142"/>
              <w:left w:val="outset" w:sz="6" w:space="0" w:color="414142"/>
              <w:bottom w:val="outset" w:sz="6" w:space="0" w:color="414142"/>
              <w:right w:val="outset" w:sz="6" w:space="0" w:color="414142"/>
            </w:tcBorders>
            <w:hideMark/>
          </w:tcPr>
          <w:p w14:paraId="1C1732C9" w14:textId="0B5F386F" w:rsidR="00844176" w:rsidRPr="00180DBF" w:rsidRDefault="00CE0AC5" w:rsidP="00B043DE">
            <w:pPr>
              <w:ind w:left="-31"/>
              <w:contextualSpacing/>
              <w:rPr>
                <w:rFonts w:eastAsia="Times New Roman"/>
                <w:sz w:val="24"/>
                <w:szCs w:val="24"/>
                <w:lang w:val="lv-LV" w:eastAsia="lv-LV"/>
              </w:rPr>
            </w:pPr>
            <w:r w:rsidRPr="00180DBF">
              <w:rPr>
                <w:sz w:val="24"/>
                <w:szCs w:val="24"/>
                <w:lang w:val="lv-LV"/>
              </w:rPr>
              <w:t>E</w:t>
            </w:r>
            <w:r w:rsidR="00547ACF" w:rsidRPr="00180DBF">
              <w:rPr>
                <w:sz w:val="24"/>
                <w:szCs w:val="24"/>
                <w:lang w:val="lv-LV"/>
              </w:rPr>
              <w:t>konomikas ministrija</w:t>
            </w:r>
            <w:r w:rsidRPr="00180DBF">
              <w:rPr>
                <w:sz w:val="24"/>
                <w:szCs w:val="24"/>
                <w:lang w:val="lv-LV"/>
              </w:rPr>
              <w:t xml:space="preserve">, </w:t>
            </w:r>
            <w:r w:rsidR="00547ACF" w:rsidRPr="00180DBF">
              <w:rPr>
                <w:sz w:val="24"/>
                <w:szCs w:val="24"/>
                <w:lang w:val="lv-LV"/>
              </w:rPr>
              <w:t>sabiedrība “Altum”</w:t>
            </w:r>
            <w:r w:rsidR="00180DBF">
              <w:rPr>
                <w:sz w:val="24"/>
                <w:szCs w:val="24"/>
                <w:lang w:val="lv-LV"/>
              </w:rPr>
              <w:t>.</w:t>
            </w:r>
          </w:p>
        </w:tc>
      </w:tr>
      <w:tr w:rsidR="00844176" w:rsidRPr="00A658C7" w14:paraId="3C98D228" w14:textId="77777777" w:rsidTr="00240921">
        <w:tc>
          <w:tcPr>
            <w:tcW w:w="294" w:type="dxa"/>
            <w:tcBorders>
              <w:top w:val="outset" w:sz="6" w:space="0" w:color="414142"/>
              <w:left w:val="outset" w:sz="6" w:space="0" w:color="414142"/>
              <w:bottom w:val="outset" w:sz="6" w:space="0" w:color="414142"/>
              <w:right w:val="outset" w:sz="6" w:space="0" w:color="414142"/>
            </w:tcBorders>
            <w:hideMark/>
          </w:tcPr>
          <w:p w14:paraId="55D70DCF" w14:textId="77777777" w:rsidR="00844176" w:rsidRPr="00180DBF" w:rsidRDefault="00844176" w:rsidP="00B043DE">
            <w:pPr>
              <w:contextualSpacing/>
              <w:rPr>
                <w:rFonts w:eastAsia="Times New Roman"/>
                <w:sz w:val="24"/>
                <w:szCs w:val="24"/>
                <w:lang w:val="lv-LV" w:eastAsia="lv-LV"/>
              </w:rPr>
            </w:pPr>
            <w:r w:rsidRPr="00180DBF">
              <w:rPr>
                <w:sz w:val="24"/>
                <w:szCs w:val="24"/>
                <w:lang w:val="lv-LV"/>
              </w:rPr>
              <w:t>4.</w:t>
            </w:r>
          </w:p>
        </w:tc>
        <w:tc>
          <w:tcPr>
            <w:tcW w:w="1847" w:type="dxa"/>
            <w:tcBorders>
              <w:top w:val="outset" w:sz="6" w:space="0" w:color="414142"/>
              <w:left w:val="outset" w:sz="6" w:space="0" w:color="414142"/>
              <w:bottom w:val="outset" w:sz="6" w:space="0" w:color="414142"/>
              <w:right w:val="outset" w:sz="6" w:space="0" w:color="414142"/>
            </w:tcBorders>
            <w:hideMark/>
          </w:tcPr>
          <w:p w14:paraId="3639AA3F" w14:textId="77777777" w:rsidR="00844176" w:rsidRPr="00180DBF" w:rsidRDefault="00844176" w:rsidP="00B043DE">
            <w:pPr>
              <w:contextualSpacing/>
              <w:rPr>
                <w:rFonts w:eastAsia="Times New Roman"/>
                <w:sz w:val="24"/>
                <w:szCs w:val="24"/>
                <w:lang w:val="lv-LV" w:eastAsia="lv-LV"/>
              </w:rPr>
            </w:pPr>
            <w:r w:rsidRPr="00180DBF">
              <w:rPr>
                <w:sz w:val="24"/>
                <w:szCs w:val="24"/>
                <w:lang w:val="lv-LV"/>
              </w:rPr>
              <w:t>Cita informācija</w:t>
            </w:r>
          </w:p>
        </w:tc>
        <w:tc>
          <w:tcPr>
            <w:tcW w:w="7207" w:type="dxa"/>
            <w:tcBorders>
              <w:top w:val="outset" w:sz="6" w:space="0" w:color="414142"/>
              <w:left w:val="outset" w:sz="6" w:space="0" w:color="414142"/>
              <w:bottom w:val="outset" w:sz="6" w:space="0" w:color="414142"/>
              <w:right w:val="outset" w:sz="6" w:space="0" w:color="414142"/>
            </w:tcBorders>
            <w:hideMark/>
          </w:tcPr>
          <w:p w14:paraId="5D4509E1" w14:textId="77777777" w:rsidR="00844176" w:rsidRPr="00180DBF" w:rsidRDefault="00844176" w:rsidP="00B043DE">
            <w:pPr>
              <w:contextualSpacing/>
              <w:rPr>
                <w:rFonts w:eastAsia="Times New Roman"/>
                <w:sz w:val="24"/>
                <w:szCs w:val="24"/>
                <w:lang w:val="lv-LV" w:eastAsia="lv-LV"/>
              </w:rPr>
            </w:pPr>
            <w:r w:rsidRPr="00180DBF">
              <w:rPr>
                <w:sz w:val="24"/>
                <w:szCs w:val="24"/>
                <w:lang w:val="lv-LV"/>
              </w:rPr>
              <w:t xml:space="preserve">Nav </w:t>
            </w:r>
          </w:p>
        </w:tc>
      </w:tr>
    </w:tbl>
    <w:p w14:paraId="00447F19" w14:textId="3BFE4D51" w:rsidR="009A00EB" w:rsidRPr="00A658C7" w:rsidRDefault="009A00EB" w:rsidP="00B043DE">
      <w:pPr>
        <w:contextualSpacing/>
        <w:rPr>
          <w:rFonts w:eastAsia="Times New Roman"/>
          <w:sz w:val="24"/>
          <w:szCs w:val="24"/>
          <w:highlight w:val="yellow"/>
          <w:lang w:val="lv-LV" w:eastAsia="lv-LV"/>
        </w:rPr>
      </w:pPr>
    </w:p>
    <w:tbl>
      <w:tblPr>
        <w:tblW w:w="9351"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70"/>
        <w:gridCol w:w="2702"/>
        <w:gridCol w:w="6379"/>
      </w:tblGrid>
      <w:tr w:rsidR="00844176" w:rsidRPr="00256ACE" w14:paraId="5271E387" w14:textId="77777777" w:rsidTr="00FA4414">
        <w:trPr>
          <w:trHeight w:val="555"/>
        </w:trPr>
        <w:tc>
          <w:tcPr>
            <w:tcW w:w="9351" w:type="dxa"/>
            <w:gridSpan w:val="3"/>
            <w:tcBorders>
              <w:top w:val="single" w:sz="4" w:space="0" w:color="auto"/>
              <w:left w:val="single" w:sz="4" w:space="0" w:color="auto"/>
              <w:bottom w:val="single" w:sz="4" w:space="0" w:color="auto"/>
              <w:right w:val="single" w:sz="4" w:space="0" w:color="auto"/>
            </w:tcBorders>
            <w:hideMark/>
          </w:tcPr>
          <w:p w14:paraId="4DC32511" w14:textId="2050B5AE" w:rsidR="00844176" w:rsidRPr="00180DBF" w:rsidRDefault="009A00EB" w:rsidP="00B043DE">
            <w:pPr>
              <w:contextualSpacing/>
              <w:jc w:val="center"/>
              <w:rPr>
                <w:rFonts w:eastAsia="Times New Roman"/>
                <w:sz w:val="24"/>
                <w:szCs w:val="24"/>
                <w:lang w:val="lv-LV" w:eastAsia="lv-LV"/>
              </w:rPr>
            </w:pPr>
            <w:r w:rsidRPr="00180DBF">
              <w:rPr>
                <w:rFonts w:eastAsia="Times New Roman"/>
                <w:b/>
                <w:bCs/>
                <w:sz w:val="24"/>
                <w:szCs w:val="24"/>
                <w:lang w:val="lv-LV" w:eastAsia="lv-LV"/>
              </w:rPr>
              <w:t>II. Tiesību akta projekta ietekme uz sabiedrību, tautsaimniecības attīstību un administratīvo slogu</w:t>
            </w:r>
          </w:p>
        </w:tc>
      </w:tr>
      <w:tr w:rsidR="00A76C0A" w:rsidRPr="00356159" w14:paraId="7F8630C6" w14:textId="77777777" w:rsidTr="00FA4414">
        <w:trPr>
          <w:trHeight w:val="465"/>
        </w:trPr>
        <w:tc>
          <w:tcPr>
            <w:tcW w:w="270" w:type="dxa"/>
            <w:tcBorders>
              <w:top w:val="single" w:sz="4" w:space="0" w:color="auto"/>
              <w:left w:val="outset" w:sz="6" w:space="0" w:color="414142"/>
              <w:bottom w:val="outset" w:sz="6" w:space="0" w:color="414142"/>
              <w:right w:val="outset" w:sz="6" w:space="0" w:color="414142"/>
            </w:tcBorders>
            <w:hideMark/>
          </w:tcPr>
          <w:p w14:paraId="523CFEBF" w14:textId="77777777" w:rsidR="009A00EB" w:rsidRPr="00180DBF" w:rsidRDefault="009A00EB" w:rsidP="00B043DE">
            <w:pPr>
              <w:contextualSpacing/>
              <w:rPr>
                <w:rFonts w:eastAsia="Times New Roman"/>
                <w:sz w:val="24"/>
                <w:szCs w:val="24"/>
                <w:lang w:val="lv-LV" w:eastAsia="lv-LV"/>
              </w:rPr>
            </w:pPr>
            <w:r w:rsidRPr="00180DBF">
              <w:rPr>
                <w:rFonts w:eastAsia="Times New Roman"/>
                <w:sz w:val="24"/>
                <w:szCs w:val="24"/>
                <w:lang w:val="lv-LV" w:eastAsia="lv-LV"/>
              </w:rPr>
              <w:t>1.</w:t>
            </w:r>
          </w:p>
        </w:tc>
        <w:tc>
          <w:tcPr>
            <w:tcW w:w="2702" w:type="dxa"/>
            <w:tcBorders>
              <w:top w:val="single" w:sz="4" w:space="0" w:color="auto"/>
              <w:left w:val="outset" w:sz="6" w:space="0" w:color="414142"/>
              <w:bottom w:val="outset" w:sz="6" w:space="0" w:color="414142"/>
              <w:right w:val="outset" w:sz="6" w:space="0" w:color="414142"/>
            </w:tcBorders>
            <w:hideMark/>
          </w:tcPr>
          <w:p w14:paraId="0905C526" w14:textId="77777777" w:rsidR="009A00EB" w:rsidRPr="00180DBF" w:rsidRDefault="009A00EB" w:rsidP="00B043DE">
            <w:pPr>
              <w:contextualSpacing/>
              <w:rPr>
                <w:rFonts w:eastAsia="Times New Roman"/>
                <w:sz w:val="24"/>
                <w:szCs w:val="24"/>
                <w:lang w:val="lv-LV" w:eastAsia="lv-LV"/>
              </w:rPr>
            </w:pPr>
            <w:r w:rsidRPr="00180DBF">
              <w:rPr>
                <w:rFonts w:eastAsia="Times New Roman"/>
                <w:sz w:val="24"/>
                <w:szCs w:val="24"/>
                <w:lang w:val="lv-LV" w:eastAsia="lv-LV"/>
              </w:rPr>
              <w:t>Sabiedrības mērķgrupas, kuras tiesiskais regulējums ietekmē vai varētu ietekmēt</w:t>
            </w:r>
          </w:p>
        </w:tc>
        <w:tc>
          <w:tcPr>
            <w:tcW w:w="6379" w:type="dxa"/>
            <w:tcBorders>
              <w:top w:val="single" w:sz="4" w:space="0" w:color="auto"/>
              <w:left w:val="outset" w:sz="6" w:space="0" w:color="414142"/>
              <w:bottom w:val="outset" w:sz="6" w:space="0" w:color="414142"/>
              <w:right w:val="outset" w:sz="6" w:space="0" w:color="414142"/>
            </w:tcBorders>
            <w:hideMark/>
          </w:tcPr>
          <w:p w14:paraId="3D68FB87" w14:textId="56AEF69A" w:rsidR="009A00EB" w:rsidRPr="00180DBF" w:rsidRDefault="00151F22" w:rsidP="00B043DE">
            <w:pPr>
              <w:ind w:right="201"/>
              <w:contextualSpacing/>
              <w:jc w:val="both"/>
              <w:rPr>
                <w:sz w:val="24"/>
                <w:szCs w:val="24"/>
                <w:lang w:val="lv-LV"/>
              </w:rPr>
            </w:pPr>
            <w:r w:rsidRPr="00180DBF">
              <w:rPr>
                <w:sz w:val="24"/>
                <w:szCs w:val="24"/>
                <w:lang w:val="lv-LV"/>
              </w:rPr>
              <w:t xml:space="preserve">Latvijā reģistrēti </w:t>
            </w:r>
            <w:r>
              <w:rPr>
                <w:sz w:val="24"/>
                <w:szCs w:val="24"/>
                <w:lang w:val="lv-LV"/>
              </w:rPr>
              <w:t>a</w:t>
            </w:r>
            <w:r w:rsidRPr="00180DBF">
              <w:rPr>
                <w:sz w:val="24"/>
                <w:szCs w:val="24"/>
                <w:lang w:val="lv-LV"/>
              </w:rPr>
              <w:t xml:space="preserve">p 250 lielie komersanti, </w:t>
            </w:r>
            <w:r>
              <w:rPr>
                <w:sz w:val="24"/>
                <w:szCs w:val="24"/>
                <w:lang w:val="lv-LV"/>
              </w:rPr>
              <w:t>i</w:t>
            </w:r>
            <w:r w:rsidRPr="00180DBF">
              <w:rPr>
                <w:sz w:val="24"/>
                <w:szCs w:val="24"/>
                <w:lang w:val="lv-LV"/>
              </w:rPr>
              <w:t>ndikatīvi tie būs 15 lielie uzņēmumi, kas saņems atbalstu.</w:t>
            </w:r>
            <w:r>
              <w:rPr>
                <w:sz w:val="24"/>
                <w:szCs w:val="24"/>
                <w:lang w:val="lv-LV"/>
              </w:rPr>
              <w:t xml:space="preserve"> S</w:t>
            </w:r>
            <w:r w:rsidRPr="00180DBF">
              <w:rPr>
                <w:sz w:val="24"/>
                <w:szCs w:val="24"/>
                <w:lang w:val="lv-LV"/>
              </w:rPr>
              <w:t>abiedrība “Altum”.</w:t>
            </w:r>
          </w:p>
        </w:tc>
      </w:tr>
      <w:tr w:rsidR="00A76C0A" w:rsidRPr="00256ACE" w14:paraId="718E705D" w14:textId="77777777" w:rsidTr="00FA4414">
        <w:trPr>
          <w:trHeight w:val="510"/>
        </w:trPr>
        <w:tc>
          <w:tcPr>
            <w:tcW w:w="270" w:type="dxa"/>
            <w:tcBorders>
              <w:top w:val="outset" w:sz="6" w:space="0" w:color="414142"/>
              <w:left w:val="outset" w:sz="6" w:space="0" w:color="414142"/>
              <w:bottom w:val="outset" w:sz="6" w:space="0" w:color="414142"/>
              <w:right w:val="outset" w:sz="6" w:space="0" w:color="414142"/>
            </w:tcBorders>
            <w:hideMark/>
          </w:tcPr>
          <w:p w14:paraId="5A0A07C0" w14:textId="77777777" w:rsidR="009A00EB" w:rsidRPr="00180DBF" w:rsidRDefault="009A00EB" w:rsidP="00B043DE">
            <w:pPr>
              <w:contextualSpacing/>
              <w:rPr>
                <w:rFonts w:eastAsia="Times New Roman"/>
                <w:sz w:val="24"/>
                <w:szCs w:val="24"/>
                <w:lang w:val="lv-LV" w:eastAsia="lv-LV"/>
              </w:rPr>
            </w:pPr>
            <w:r w:rsidRPr="00180DBF">
              <w:rPr>
                <w:rFonts w:eastAsia="Times New Roman"/>
                <w:sz w:val="24"/>
                <w:szCs w:val="24"/>
                <w:lang w:val="lv-LV" w:eastAsia="lv-LV"/>
              </w:rPr>
              <w:t>2.</w:t>
            </w:r>
          </w:p>
        </w:tc>
        <w:tc>
          <w:tcPr>
            <w:tcW w:w="2702" w:type="dxa"/>
            <w:tcBorders>
              <w:top w:val="outset" w:sz="6" w:space="0" w:color="414142"/>
              <w:left w:val="outset" w:sz="6" w:space="0" w:color="414142"/>
              <w:bottom w:val="outset" w:sz="6" w:space="0" w:color="414142"/>
              <w:right w:val="outset" w:sz="6" w:space="0" w:color="414142"/>
            </w:tcBorders>
            <w:hideMark/>
          </w:tcPr>
          <w:p w14:paraId="4DD83946" w14:textId="77777777" w:rsidR="009A00EB" w:rsidRPr="00180DBF" w:rsidRDefault="009A00EB" w:rsidP="00B043DE">
            <w:pPr>
              <w:contextualSpacing/>
              <w:rPr>
                <w:rFonts w:eastAsia="Times New Roman"/>
                <w:sz w:val="24"/>
                <w:szCs w:val="24"/>
                <w:lang w:val="lv-LV" w:eastAsia="lv-LV"/>
              </w:rPr>
            </w:pPr>
            <w:r w:rsidRPr="00180DBF">
              <w:rPr>
                <w:rFonts w:eastAsia="Times New Roman"/>
                <w:sz w:val="24"/>
                <w:szCs w:val="24"/>
                <w:lang w:val="lv-LV" w:eastAsia="lv-LV"/>
              </w:rPr>
              <w:t>Tiesiskā regulējuma ietekme uz tautsaimniecību un administratīvo slogu</w:t>
            </w:r>
          </w:p>
        </w:tc>
        <w:tc>
          <w:tcPr>
            <w:tcW w:w="6379" w:type="dxa"/>
            <w:tcBorders>
              <w:top w:val="outset" w:sz="6" w:space="0" w:color="414142"/>
              <w:left w:val="outset" w:sz="6" w:space="0" w:color="414142"/>
              <w:bottom w:val="outset" w:sz="6" w:space="0" w:color="414142"/>
              <w:right w:val="outset" w:sz="6" w:space="0" w:color="414142"/>
            </w:tcBorders>
            <w:hideMark/>
          </w:tcPr>
          <w:p w14:paraId="33918B01" w14:textId="04C66A1E" w:rsidR="009A00EB" w:rsidRPr="00180DBF" w:rsidRDefault="00151F22" w:rsidP="00B043DE">
            <w:pPr>
              <w:pStyle w:val="BodyText"/>
              <w:ind w:right="201"/>
              <w:contextualSpacing/>
              <w:rPr>
                <w:rFonts w:eastAsia="Calibri"/>
                <w:sz w:val="24"/>
                <w:szCs w:val="24"/>
                <w:lang w:eastAsia="en-US"/>
              </w:rPr>
            </w:pPr>
            <w:r>
              <w:rPr>
                <w:sz w:val="24"/>
                <w:szCs w:val="24"/>
              </w:rPr>
              <w:t xml:space="preserve">Ar MK Noteikumu projektu tiek atviegloti atbalsta saņemšanas nosacījumi, tādējādi paredzams, ka komersantiem tiek radīta labvēlīgāka normatīvā vide lielo komersantu komercdarbības projektu īstenošanai un dīkstāves mazināšanai Covid-19 apstākļos. Šobrīd skaitliskie aprēķini nav iespējami, bet paredzams, ka ietekmēs jau līdz šim komersantu izrādīto interesi no </w:t>
            </w:r>
            <w:r w:rsidRPr="00180DBF">
              <w:rPr>
                <w:sz w:val="24"/>
                <w:szCs w:val="24"/>
              </w:rPr>
              <w:t>transporta pakalpojumu, mazumtirdzniecību, vairumtirdzniecīb</w:t>
            </w:r>
            <w:r>
              <w:rPr>
                <w:sz w:val="24"/>
                <w:szCs w:val="24"/>
              </w:rPr>
              <w:t>as jomām</w:t>
            </w:r>
            <w:r w:rsidR="000D1EA5">
              <w:rPr>
                <w:sz w:val="24"/>
                <w:szCs w:val="24"/>
              </w:rPr>
              <w:t>, kā arī palielināsies citu nozaru pārstāvēto komersantu interese</w:t>
            </w:r>
            <w:r w:rsidR="00E90D4F">
              <w:rPr>
                <w:sz w:val="24"/>
                <w:szCs w:val="24"/>
              </w:rPr>
              <w:t xml:space="preserve"> atbalsta saņemšanai</w:t>
            </w:r>
            <w:r w:rsidR="00AC105D" w:rsidRPr="00180DBF">
              <w:rPr>
                <w:rFonts w:eastAsia="Calibri"/>
                <w:sz w:val="24"/>
                <w:szCs w:val="24"/>
                <w:lang w:eastAsia="en-US"/>
              </w:rPr>
              <w:t>.</w:t>
            </w:r>
          </w:p>
        </w:tc>
      </w:tr>
      <w:tr w:rsidR="00A76C0A" w:rsidRPr="00A658C7" w14:paraId="6AF18C8D" w14:textId="77777777" w:rsidTr="00FA4414">
        <w:trPr>
          <w:trHeight w:val="510"/>
        </w:trPr>
        <w:tc>
          <w:tcPr>
            <w:tcW w:w="270" w:type="dxa"/>
            <w:tcBorders>
              <w:top w:val="outset" w:sz="6" w:space="0" w:color="414142"/>
              <w:left w:val="outset" w:sz="6" w:space="0" w:color="414142"/>
              <w:bottom w:val="outset" w:sz="6" w:space="0" w:color="414142"/>
              <w:right w:val="outset" w:sz="6" w:space="0" w:color="414142"/>
            </w:tcBorders>
            <w:hideMark/>
          </w:tcPr>
          <w:p w14:paraId="0079992C" w14:textId="77777777" w:rsidR="009A00EB" w:rsidRPr="00180DBF" w:rsidRDefault="009A00EB" w:rsidP="00B043DE">
            <w:pPr>
              <w:contextualSpacing/>
              <w:rPr>
                <w:rFonts w:eastAsia="Times New Roman"/>
                <w:sz w:val="24"/>
                <w:szCs w:val="24"/>
                <w:lang w:val="lv-LV" w:eastAsia="lv-LV"/>
              </w:rPr>
            </w:pPr>
            <w:r w:rsidRPr="00180DBF">
              <w:rPr>
                <w:rFonts w:eastAsia="Times New Roman"/>
                <w:sz w:val="24"/>
                <w:szCs w:val="24"/>
                <w:lang w:val="lv-LV" w:eastAsia="lv-LV"/>
              </w:rPr>
              <w:t>3.</w:t>
            </w:r>
          </w:p>
        </w:tc>
        <w:tc>
          <w:tcPr>
            <w:tcW w:w="2702" w:type="dxa"/>
            <w:tcBorders>
              <w:top w:val="outset" w:sz="6" w:space="0" w:color="414142"/>
              <w:left w:val="outset" w:sz="6" w:space="0" w:color="414142"/>
              <w:bottom w:val="outset" w:sz="6" w:space="0" w:color="414142"/>
              <w:right w:val="outset" w:sz="6" w:space="0" w:color="414142"/>
            </w:tcBorders>
            <w:hideMark/>
          </w:tcPr>
          <w:p w14:paraId="53F5EA5A" w14:textId="77777777" w:rsidR="009A00EB" w:rsidRPr="00180DBF" w:rsidRDefault="009A00EB" w:rsidP="00B043DE">
            <w:pPr>
              <w:contextualSpacing/>
              <w:rPr>
                <w:rFonts w:eastAsia="Times New Roman"/>
                <w:sz w:val="24"/>
                <w:szCs w:val="24"/>
                <w:lang w:val="lv-LV" w:eastAsia="lv-LV"/>
              </w:rPr>
            </w:pPr>
            <w:r w:rsidRPr="00180DBF">
              <w:rPr>
                <w:rFonts w:eastAsia="Times New Roman"/>
                <w:sz w:val="24"/>
                <w:szCs w:val="24"/>
                <w:lang w:val="lv-LV" w:eastAsia="lv-LV"/>
              </w:rPr>
              <w:t>Administratīvo izmaksu monetārs novērtējums</w:t>
            </w:r>
          </w:p>
        </w:tc>
        <w:tc>
          <w:tcPr>
            <w:tcW w:w="6379" w:type="dxa"/>
            <w:tcBorders>
              <w:top w:val="outset" w:sz="6" w:space="0" w:color="414142"/>
              <w:left w:val="outset" w:sz="6" w:space="0" w:color="414142"/>
              <w:bottom w:val="outset" w:sz="6" w:space="0" w:color="414142"/>
              <w:right w:val="outset" w:sz="6" w:space="0" w:color="414142"/>
            </w:tcBorders>
            <w:hideMark/>
          </w:tcPr>
          <w:p w14:paraId="1C2C4F79" w14:textId="2C5A5850" w:rsidR="009A00EB" w:rsidRPr="00180DBF" w:rsidRDefault="003D0F93" w:rsidP="00B043DE">
            <w:pPr>
              <w:pStyle w:val="BodyText"/>
              <w:ind w:right="201"/>
              <w:contextualSpacing/>
              <w:rPr>
                <w:rFonts w:eastAsia="Calibri"/>
                <w:sz w:val="24"/>
                <w:szCs w:val="24"/>
                <w:lang w:eastAsia="en-US"/>
              </w:rPr>
            </w:pPr>
            <w:r w:rsidRPr="00180DBF">
              <w:rPr>
                <w:iCs/>
                <w:sz w:val="24"/>
                <w:szCs w:val="24"/>
              </w:rPr>
              <w:t>MK Noteikumu projekts</w:t>
            </w:r>
            <w:r w:rsidRPr="00180DBF" w:rsidDel="003D0F93">
              <w:rPr>
                <w:rFonts w:eastAsia="Calibri"/>
                <w:sz w:val="24"/>
                <w:szCs w:val="24"/>
                <w:lang w:eastAsia="en-US"/>
              </w:rPr>
              <w:t xml:space="preserve"> </w:t>
            </w:r>
            <w:r w:rsidR="009A00EB" w:rsidRPr="00180DBF">
              <w:rPr>
                <w:rFonts w:eastAsia="Calibri"/>
                <w:sz w:val="24"/>
                <w:szCs w:val="24"/>
                <w:lang w:eastAsia="en-US"/>
              </w:rPr>
              <w:t>šo jomu neskar</w:t>
            </w:r>
          </w:p>
        </w:tc>
      </w:tr>
      <w:tr w:rsidR="00A76C0A" w:rsidRPr="00A658C7" w14:paraId="259E0982" w14:textId="77777777" w:rsidTr="00FA4414">
        <w:trPr>
          <w:trHeight w:val="510"/>
        </w:trPr>
        <w:tc>
          <w:tcPr>
            <w:tcW w:w="270" w:type="dxa"/>
            <w:tcBorders>
              <w:top w:val="outset" w:sz="6" w:space="0" w:color="auto"/>
              <w:left w:val="outset" w:sz="6" w:space="0" w:color="auto"/>
              <w:bottom w:val="outset" w:sz="6" w:space="0" w:color="auto"/>
              <w:right w:val="outset" w:sz="6" w:space="0" w:color="auto"/>
            </w:tcBorders>
          </w:tcPr>
          <w:p w14:paraId="4FA9F4E2" w14:textId="77777777" w:rsidR="009A00EB" w:rsidRPr="00180DBF" w:rsidRDefault="009A00EB" w:rsidP="00B043DE">
            <w:pPr>
              <w:contextualSpacing/>
              <w:rPr>
                <w:rFonts w:eastAsia="Times New Roman"/>
                <w:sz w:val="24"/>
                <w:szCs w:val="24"/>
                <w:lang w:val="lv-LV" w:eastAsia="lv-LV"/>
              </w:rPr>
            </w:pPr>
            <w:r w:rsidRPr="00180DBF">
              <w:rPr>
                <w:rFonts w:eastAsia="Times New Roman"/>
                <w:sz w:val="24"/>
                <w:szCs w:val="24"/>
                <w:lang w:val="lv-LV" w:eastAsia="lv-LV"/>
              </w:rPr>
              <w:t>4.</w:t>
            </w:r>
          </w:p>
        </w:tc>
        <w:tc>
          <w:tcPr>
            <w:tcW w:w="2702" w:type="dxa"/>
            <w:tcBorders>
              <w:top w:val="outset" w:sz="6" w:space="0" w:color="auto"/>
              <w:left w:val="outset" w:sz="6" w:space="0" w:color="auto"/>
              <w:bottom w:val="outset" w:sz="6" w:space="0" w:color="auto"/>
              <w:right w:val="outset" w:sz="6" w:space="0" w:color="auto"/>
            </w:tcBorders>
          </w:tcPr>
          <w:p w14:paraId="46245F16" w14:textId="77777777" w:rsidR="009A00EB" w:rsidRPr="00180DBF" w:rsidRDefault="009A00EB" w:rsidP="00B043DE">
            <w:pPr>
              <w:contextualSpacing/>
              <w:rPr>
                <w:rFonts w:eastAsia="Times New Roman"/>
                <w:sz w:val="24"/>
                <w:szCs w:val="24"/>
                <w:lang w:val="lv-LV" w:eastAsia="lv-LV"/>
              </w:rPr>
            </w:pPr>
            <w:r w:rsidRPr="00180DBF">
              <w:rPr>
                <w:rFonts w:eastAsia="Times New Roman"/>
                <w:sz w:val="24"/>
                <w:szCs w:val="24"/>
                <w:lang w:val="lv-LV" w:eastAsia="lv-LV"/>
              </w:rPr>
              <w:t>Atbilstības izmaksu monetārs novērtējums</w:t>
            </w:r>
          </w:p>
        </w:tc>
        <w:tc>
          <w:tcPr>
            <w:tcW w:w="6379" w:type="dxa"/>
            <w:tcBorders>
              <w:top w:val="outset" w:sz="6" w:space="0" w:color="auto"/>
              <w:left w:val="outset" w:sz="6" w:space="0" w:color="auto"/>
              <w:bottom w:val="outset" w:sz="6" w:space="0" w:color="auto"/>
              <w:right w:val="outset" w:sz="6" w:space="0" w:color="auto"/>
            </w:tcBorders>
          </w:tcPr>
          <w:p w14:paraId="7C60B8CA" w14:textId="20FAC90F" w:rsidR="009A00EB" w:rsidRPr="00180DBF" w:rsidRDefault="003D0F93" w:rsidP="00B043DE">
            <w:pPr>
              <w:pStyle w:val="BodyText"/>
              <w:ind w:right="201"/>
              <w:contextualSpacing/>
              <w:rPr>
                <w:rFonts w:eastAsia="Calibri"/>
                <w:sz w:val="24"/>
                <w:szCs w:val="24"/>
                <w:lang w:eastAsia="en-US"/>
              </w:rPr>
            </w:pPr>
            <w:r w:rsidRPr="00180DBF">
              <w:rPr>
                <w:iCs/>
                <w:sz w:val="24"/>
                <w:szCs w:val="24"/>
              </w:rPr>
              <w:t>MK Noteikumu projekts</w:t>
            </w:r>
            <w:r w:rsidRPr="00180DBF" w:rsidDel="003D0F93">
              <w:rPr>
                <w:rFonts w:eastAsia="Calibri"/>
                <w:sz w:val="24"/>
                <w:szCs w:val="24"/>
                <w:lang w:eastAsia="en-US"/>
              </w:rPr>
              <w:t xml:space="preserve"> </w:t>
            </w:r>
            <w:r w:rsidR="009A00EB" w:rsidRPr="00180DBF">
              <w:rPr>
                <w:rFonts w:eastAsia="Calibri"/>
                <w:sz w:val="24"/>
                <w:szCs w:val="24"/>
                <w:lang w:eastAsia="en-US"/>
              </w:rPr>
              <w:t>šo jomu neskar</w:t>
            </w:r>
          </w:p>
        </w:tc>
      </w:tr>
      <w:tr w:rsidR="00A76C0A" w:rsidRPr="00A658C7" w14:paraId="14FCA979" w14:textId="77777777" w:rsidTr="00FA4414">
        <w:trPr>
          <w:trHeight w:val="345"/>
        </w:trPr>
        <w:tc>
          <w:tcPr>
            <w:tcW w:w="270" w:type="dxa"/>
            <w:tcBorders>
              <w:top w:val="outset" w:sz="6" w:space="0" w:color="414142"/>
              <w:left w:val="outset" w:sz="6" w:space="0" w:color="414142"/>
              <w:bottom w:val="outset" w:sz="6" w:space="0" w:color="414142"/>
              <w:right w:val="outset" w:sz="6" w:space="0" w:color="414142"/>
            </w:tcBorders>
            <w:hideMark/>
          </w:tcPr>
          <w:p w14:paraId="3ADF77E6" w14:textId="77777777" w:rsidR="009A00EB" w:rsidRPr="00180DBF" w:rsidRDefault="009A00EB" w:rsidP="00B043DE">
            <w:pPr>
              <w:contextualSpacing/>
              <w:rPr>
                <w:rFonts w:eastAsia="Times New Roman"/>
                <w:sz w:val="24"/>
                <w:szCs w:val="24"/>
                <w:lang w:val="lv-LV" w:eastAsia="lv-LV"/>
              </w:rPr>
            </w:pPr>
            <w:r w:rsidRPr="00180DBF">
              <w:rPr>
                <w:rFonts w:eastAsia="Times New Roman"/>
                <w:sz w:val="24"/>
                <w:szCs w:val="24"/>
                <w:lang w:val="lv-LV" w:eastAsia="lv-LV"/>
              </w:rPr>
              <w:t>5.</w:t>
            </w:r>
          </w:p>
        </w:tc>
        <w:tc>
          <w:tcPr>
            <w:tcW w:w="2702" w:type="dxa"/>
            <w:tcBorders>
              <w:top w:val="outset" w:sz="6" w:space="0" w:color="414142"/>
              <w:left w:val="outset" w:sz="6" w:space="0" w:color="414142"/>
              <w:bottom w:val="outset" w:sz="6" w:space="0" w:color="414142"/>
              <w:right w:val="outset" w:sz="6" w:space="0" w:color="414142"/>
            </w:tcBorders>
            <w:hideMark/>
          </w:tcPr>
          <w:p w14:paraId="2A078AD2" w14:textId="77777777" w:rsidR="009A00EB" w:rsidRPr="00180DBF" w:rsidRDefault="009A00EB" w:rsidP="00B043DE">
            <w:pPr>
              <w:contextualSpacing/>
              <w:rPr>
                <w:rFonts w:eastAsia="Times New Roman"/>
                <w:sz w:val="24"/>
                <w:szCs w:val="24"/>
                <w:lang w:val="lv-LV" w:eastAsia="lv-LV"/>
              </w:rPr>
            </w:pPr>
            <w:r w:rsidRPr="00180DBF">
              <w:rPr>
                <w:rFonts w:eastAsia="Times New Roman"/>
                <w:sz w:val="24"/>
                <w:szCs w:val="24"/>
                <w:lang w:val="lv-LV" w:eastAsia="lv-LV"/>
              </w:rPr>
              <w:t>Cita informācija</w:t>
            </w:r>
          </w:p>
        </w:tc>
        <w:tc>
          <w:tcPr>
            <w:tcW w:w="6379" w:type="dxa"/>
            <w:tcBorders>
              <w:top w:val="outset" w:sz="6" w:space="0" w:color="414142"/>
              <w:left w:val="outset" w:sz="6" w:space="0" w:color="414142"/>
              <w:bottom w:val="outset" w:sz="6" w:space="0" w:color="414142"/>
              <w:right w:val="outset" w:sz="6" w:space="0" w:color="414142"/>
            </w:tcBorders>
            <w:hideMark/>
          </w:tcPr>
          <w:p w14:paraId="7E657313" w14:textId="77777777" w:rsidR="009A00EB" w:rsidRPr="00180DBF" w:rsidRDefault="009A00EB" w:rsidP="00B043DE">
            <w:pPr>
              <w:ind w:right="201"/>
              <w:contextualSpacing/>
              <w:jc w:val="both"/>
              <w:rPr>
                <w:sz w:val="24"/>
                <w:szCs w:val="24"/>
                <w:lang w:val="lv-LV"/>
              </w:rPr>
            </w:pPr>
            <w:r w:rsidRPr="00180DBF">
              <w:rPr>
                <w:sz w:val="24"/>
                <w:szCs w:val="24"/>
                <w:lang w:val="lv-LV"/>
              </w:rPr>
              <w:t>Nav</w:t>
            </w:r>
          </w:p>
        </w:tc>
      </w:tr>
    </w:tbl>
    <w:p w14:paraId="57F14BC5" w14:textId="001CFD96" w:rsidR="00844176" w:rsidRPr="00A658C7" w:rsidRDefault="00844176" w:rsidP="00B043DE">
      <w:pPr>
        <w:contextualSpacing/>
        <w:rPr>
          <w:rFonts w:eastAsia="Times New Roman"/>
          <w:sz w:val="24"/>
          <w:szCs w:val="24"/>
          <w:highlight w:val="yellow"/>
          <w:lang w:val="lv-LV" w:eastAsia="lv-LV"/>
        </w:rPr>
      </w:pPr>
    </w:p>
    <w:tbl>
      <w:tblPr>
        <w:tblW w:w="9206"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18"/>
        <w:gridCol w:w="2550"/>
        <w:gridCol w:w="6238"/>
      </w:tblGrid>
      <w:tr w:rsidR="00CD433A" w:rsidRPr="00256ACE" w14:paraId="1F2AB1AA" w14:textId="77777777" w:rsidTr="00777098">
        <w:tc>
          <w:tcPr>
            <w:tcW w:w="9206" w:type="dxa"/>
            <w:gridSpan w:val="3"/>
            <w:tcBorders>
              <w:top w:val="outset" w:sz="6" w:space="0" w:color="414142"/>
              <w:left w:val="outset" w:sz="6" w:space="0" w:color="414142"/>
              <w:bottom w:val="outset" w:sz="6" w:space="0" w:color="414142"/>
              <w:right w:val="outset" w:sz="6" w:space="0" w:color="414142"/>
            </w:tcBorders>
            <w:shd w:val="clear" w:color="auto" w:fill="auto"/>
            <w:vAlign w:val="center"/>
          </w:tcPr>
          <w:p w14:paraId="0E6A4D78" w14:textId="4D0B9837" w:rsidR="00CD433A" w:rsidRPr="000E46A4" w:rsidRDefault="00CD433A" w:rsidP="00CD433A">
            <w:pPr>
              <w:contextualSpacing/>
              <w:jc w:val="center"/>
              <w:rPr>
                <w:b/>
                <w:sz w:val="24"/>
                <w:szCs w:val="24"/>
                <w:lang w:val="lv-LV"/>
              </w:rPr>
            </w:pPr>
            <w:r w:rsidRPr="008C5A53">
              <w:rPr>
                <w:rFonts w:eastAsia="Times New Roman"/>
                <w:b/>
                <w:bCs/>
                <w:iCs/>
                <w:sz w:val="24"/>
                <w:szCs w:val="24"/>
                <w:lang w:val="lv-LV" w:eastAsia="lv-LV"/>
              </w:rPr>
              <w:t>III. Tiesību akta projekta ietekme uz valsts budžetu un pašvaldību budžetiem</w:t>
            </w:r>
          </w:p>
        </w:tc>
      </w:tr>
      <w:tr w:rsidR="00CD433A" w:rsidRPr="00A658C7" w14:paraId="2F0ABF03" w14:textId="77777777" w:rsidTr="00777098">
        <w:tc>
          <w:tcPr>
            <w:tcW w:w="9206" w:type="dxa"/>
            <w:gridSpan w:val="3"/>
            <w:tcBorders>
              <w:top w:val="outset" w:sz="6" w:space="0" w:color="414142"/>
              <w:left w:val="outset" w:sz="6" w:space="0" w:color="414142"/>
              <w:bottom w:val="outset" w:sz="6" w:space="0" w:color="414142"/>
              <w:right w:val="outset" w:sz="6" w:space="0" w:color="414142"/>
            </w:tcBorders>
            <w:shd w:val="clear" w:color="auto" w:fill="auto"/>
            <w:vAlign w:val="center"/>
          </w:tcPr>
          <w:p w14:paraId="43EE7BA8" w14:textId="50DB5297" w:rsidR="00CD433A" w:rsidRPr="000E46A4" w:rsidRDefault="00CD433A" w:rsidP="00CD433A">
            <w:pPr>
              <w:contextualSpacing/>
              <w:jc w:val="center"/>
              <w:rPr>
                <w:b/>
                <w:sz w:val="24"/>
                <w:szCs w:val="24"/>
                <w:lang w:val="lv-LV"/>
              </w:rPr>
            </w:pPr>
            <w:r w:rsidRPr="008C5A53">
              <w:rPr>
                <w:rFonts w:eastAsia="Times New Roman"/>
                <w:iCs/>
                <w:sz w:val="24"/>
                <w:szCs w:val="24"/>
                <w:lang w:val="lv-LV" w:eastAsia="lv-LV"/>
              </w:rPr>
              <w:t>MK Noteikumu projekts šo jomu neskar.</w:t>
            </w:r>
          </w:p>
        </w:tc>
      </w:tr>
      <w:tr w:rsidR="00CD433A" w:rsidRPr="00A658C7" w14:paraId="524EDC85" w14:textId="77777777" w:rsidTr="00777098">
        <w:tc>
          <w:tcPr>
            <w:tcW w:w="9206" w:type="dxa"/>
            <w:gridSpan w:val="3"/>
            <w:tcBorders>
              <w:top w:val="outset" w:sz="6" w:space="0" w:color="414142"/>
              <w:left w:val="outset" w:sz="6" w:space="0" w:color="414142"/>
              <w:bottom w:val="outset" w:sz="6" w:space="0" w:color="414142"/>
              <w:right w:val="outset" w:sz="6" w:space="0" w:color="414142"/>
            </w:tcBorders>
            <w:shd w:val="clear" w:color="auto" w:fill="auto"/>
            <w:hideMark/>
          </w:tcPr>
          <w:p w14:paraId="6949E123" w14:textId="7D0C2AE1" w:rsidR="00CD433A" w:rsidRPr="000E46A4" w:rsidRDefault="00CD433A" w:rsidP="00CD433A">
            <w:pPr>
              <w:contextualSpacing/>
              <w:jc w:val="center"/>
              <w:rPr>
                <w:rFonts w:eastAsia="Times New Roman"/>
                <w:sz w:val="24"/>
                <w:szCs w:val="24"/>
                <w:lang w:val="lv-LV" w:eastAsia="lv-LV"/>
              </w:rPr>
            </w:pPr>
            <w:r w:rsidRPr="000E46A4">
              <w:rPr>
                <w:b/>
                <w:sz w:val="24"/>
                <w:szCs w:val="24"/>
                <w:lang w:val="lv-LV"/>
              </w:rPr>
              <w:t xml:space="preserve">IV. </w:t>
            </w:r>
            <w:r w:rsidRPr="000E46A4">
              <w:rPr>
                <w:b/>
                <w:bCs/>
                <w:color w:val="414142"/>
                <w:sz w:val="24"/>
                <w:szCs w:val="24"/>
                <w:shd w:val="clear" w:color="auto" w:fill="FFFFFF"/>
                <w:lang w:val="lv-LV"/>
              </w:rPr>
              <w:t>Tiesību akta projekta ietekme uz spēkā esošo tiesību normu sistēmu</w:t>
            </w:r>
          </w:p>
        </w:tc>
      </w:tr>
      <w:tr w:rsidR="00CD433A" w:rsidRPr="00A658C7" w14:paraId="06690703" w14:textId="77777777" w:rsidTr="00777098">
        <w:tc>
          <w:tcPr>
            <w:tcW w:w="9206" w:type="dxa"/>
            <w:gridSpan w:val="3"/>
            <w:tcBorders>
              <w:top w:val="outset" w:sz="6" w:space="0" w:color="414142"/>
              <w:left w:val="outset" w:sz="6" w:space="0" w:color="414142"/>
              <w:bottom w:val="outset" w:sz="6" w:space="0" w:color="414142"/>
              <w:right w:val="outset" w:sz="6" w:space="0" w:color="414142"/>
            </w:tcBorders>
            <w:shd w:val="clear" w:color="auto" w:fill="auto"/>
          </w:tcPr>
          <w:p w14:paraId="7FF21DAA" w14:textId="7FE04B89" w:rsidR="00CD433A" w:rsidRPr="000E46A4" w:rsidRDefault="00CD433A" w:rsidP="00CD433A">
            <w:pPr>
              <w:pStyle w:val="ListParagraph"/>
              <w:ind w:left="105"/>
              <w:jc w:val="center"/>
              <w:rPr>
                <w:sz w:val="24"/>
                <w:szCs w:val="24"/>
                <w:lang w:val="lv-LV"/>
              </w:rPr>
            </w:pPr>
            <w:r w:rsidRPr="000E46A4">
              <w:rPr>
                <w:color w:val="414142"/>
                <w:sz w:val="24"/>
                <w:szCs w:val="24"/>
                <w:shd w:val="clear" w:color="auto" w:fill="FFFFFF"/>
                <w:lang w:val="lv-LV"/>
              </w:rPr>
              <w:t>Projekts šo jomu neskar</w:t>
            </w:r>
          </w:p>
        </w:tc>
      </w:tr>
      <w:tr w:rsidR="00CD433A" w:rsidRPr="00A658C7" w14:paraId="07C3ABEE" w14:textId="77777777" w:rsidTr="00777098">
        <w:tc>
          <w:tcPr>
            <w:tcW w:w="9206" w:type="dxa"/>
            <w:gridSpan w:val="3"/>
            <w:tcBorders>
              <w:top w:val="outset" w:sz="6" w:space="0" w:color="414142"/>
              <w:left w:val="outset" w:sz="6" w:space="0" w:color="414142"/>
              <w:bottom w:val="outset" w:sz="6" w:space="0" w:color="414142"/>
              <w:right w:val="outset" w:sz="6" w:space="0" w:color="414142"/>
            </w:tcBorders>
            <w:shd w:val="clear" w:color="auto" w:fill="auto"/>
            <w:hideMark/>
          </w:tcPr>
          <w:p w14:paraId="6901DE8D" w14:textId="77777777" w:rsidR="00CD433A" w:rsidRPr="000E46A4" w:rsidRDefault="00CD433A" w:rsidP="00CD433A">
            <w:pPr>
              <w:contextualSpacing/>
              <w:jc w:val="center"/>
              <w:rPr>
                <w:rFonts w:eastAsia="Times New Roman"/>
                <w:sz w:val="24"/>
                <w:szCs w:val="24"/>
                <w:lang w:val="lv-LV" w:eastAsia="lv-LV"/>
              </w:rPr>
            </w:pPr>
            <w:r w:rsidRPr="000E46A4">
              <w:rPr>
                <w:b/>
                <w:sz w:val="24"/>
                <w:szCs w:val="24"/>
                <w:lang w:val="lv-LV"/>
              </w:rPr>
              <w:t>V. Tiesību akta projekta atbilstība Latvijas Republikas starptautiskajām saistībām</w:t>
            </w:r>
          </w:p>
        </w:tc>
      </w:tr>
      <w:tr w:rsidR="00CD433A" w:rsidRPr="00256ACE" w14:paraId="17F7F902" w14:textId="77777777" w:rsidTr="00777098">
        <w:tc>
          <w:tcPr>
            <w:tcW w:w="418" w:type="dxa"/>
            <w:tcBorders>
              <w:top w:val="outset" w:sz="6" w:space="0" w:color="414142"/>
              <w:left w:val="outset" w:sz="6" w:space="0" w:color="414142"/>
              <w:bottom w:val="outset" w:sz="6" w:space="0" w:color="414142"/>
              <w:right w:val="outset" w:sz="6" w:space="0" w:color="414142"/>
            </w:tcBorders>
            <w:shd w:val="clear" w:color="auto" w:fill="auto"/>
            <w:hideMark/>
          </w:tcPr>
          <w:p w14:paraId="78A781BB" w14:textId="77777777" w:rsidR="00CD433A" w:rsidRPr="000E46A4" w:rsidRDefault="00CD433A" w:rsidP="00CD433A">
            <w:pPr>
              <w:contextualSpacing/>
              <w:rPr>
                <w:rFonts w:eastAsia="Times New Roman"/>
                <w:sz w:val="24"/>
                <w:szCs w:val="24"/>
                <w:lang w:val="lv-LV" w:eastAsia="lv-LV"/>
              </w:rPr>
            </w:pPr>
            <w:r w:rsidRPr="000E46A4">
              <w:rPr>
                <w:rFonts w:eastAsia="Times New Roman"/>
                <w:sz w:val="24"/>
                <w:szCs w:val="24"/>
                <w:lang w:val="lv-LV" w:eastAsia="lv-LV"/>
              </w:rPr>
              <w:lastRenderedPageBreak/>
              <w:t>1.</w:t>
            </w:r>
          </w:p>
        </w:tc>
        <w:tc>
          <w:tcPr>
            <w:tcW w:w="2550" w:type="dxa"/>
            <w:tcBorders>
              <w:top w:val="outset" w:sz="6" w:space="0" w:color="414142"/>
              <w:left w:val="outset" w:sz="6" w:space="0" w:color="414142"/>
              <w:bottom w:val="outset" w:sz="6" w:space="0" w:color="414142"/>
              <w:right w:val="outset" w:sz="6" w:space="0" w:color="414142"/>
            </w:tcBorders>
            <w:shd w:val="clear" w:color="auto" w:fill="auto"/>
            <w:hideMark/>
          </w:tcPr>
          <w:p w14:paraId="4D28CC95" w14:textId="77777777" w:rsidR="00CD433A" w:rsidRPr="000E46A4" w:rsidRDefault="00CD433A" w:rsidP="00CD433A">
            <w:pPr>
              <w:contextualSpacing/>
              <w:jc w:val="both"/>
              <w:rPr>
                <w:rFonts w:eastAsia="Times New Roman"/>
                <w:sz w:val="24"/>
                <w:szCs w:val="24"/>
                <w:lang w:val="lv-LV" w:eastAsia="lv-LV"/>
              </w:rPr>
            </w:pPr>
            <w:r w:rsidRPr="000E46A4">
              <w:rPr>
                <w:rFonts w:eastAsia="Times New Roman"/>
                <w:sz w:val="24"/>
                <w:szCs w:val="24"/>
                <w:lang w:val="lv-LV" w:eastAsia="lv-LV"/>
              </w:rPr>
              <w:t>Saistības pret Eiropas Savienību</w:t>
            </w:r>
          </w:p>
        </w:tc>
        <w:tc>
          <w:tcPr>
            <w:tcW w:w="6238" w:type="dxa"/>
            <w:tcBorders>
              <w:top w:val="outset" w:sz="6" w:space="0" w:color="414142"/>
              <w:left w:val="outset" w:sz="6" w:space="0" w:color="414142"/>
              <w:bottom w:val="outset" w:sz="6" w:space="0" w:color="414142"/>
              <w:right w:val="outset" w:sz="6" w:space="0" w:color="414142"/>
            </w:tcBorders>
            <w:shd w:val="clear" w:color="auto" w:fill="auto"/>
            <w:hideMark/>
          </w:tcPr>
          <w:p w14:paraId="7ED6CAE4" w14:textId="517FF94F" w:rsidR="00CD433A" w:rsidRPr="00256ACE" w:rsidRDefault="00CD433A" w:rsidP="00CD433A">
            <w:pPr>
              <w:pStyle w:val="ListParagraph"/>
              <w:ind w:left="105"/>
              <w:jc w:val="both"/>
              <w:rPr>
                <w:rFonts w:eastAsia="Times New Roman"/>
                <w:sz w:val="24"/>
                <w:szCs w:val="24"/>
                <w:lang w:val="lv-LV" w:eastAsia="lv-LV"/>
              </w:rPr>
            </w:pPr>
            <w:r w:rsidRPr="00256ACE">
              <w:rPr>
                <w:rFonts w:eastAsia="Times New Roman"/>
                <w:sz w:val="24"/>
                <w:szCs w:val="24"/>
                <w:lang w:val="lv-LV" w:eastAsia="lv-LV"/>
              </w:rPr>
              <w:t>Komisijas Regula Nr. 651/2014.</w:t>
            </w:r>
          </w:p>
          <w:p w14:paraId="7845995E" w14:textId="476A1641" w:rsidR="00CD433A" w:rsidRPr="00256ACE" w:rsidRDefault="00CD433A" w:rsidP="00CD433A">
            <w:pPr>
              <w:pStyle w:val="ListParagraph"/>
              <w:ind w:left="105"/>
              <w:jc w:val="both"/>
              <w:rPr>
                <w:color w:val="000000" w:themeColor="text1"/>
                <w:sz w:val="24"/>
                <w:szCs w:val="24"/>
                <w:shd w:val="clear" w:color="auto" w:fill="FFFFFF"/>
                <w:lang w:val="lv-LV"/>
              </w:rPr>
            </w:pPr>
            <w:r w:rsidRPr="00256ACE">
              <w:rPr>
                <w:color w:val="000000" w:themeColor="text1"/>
                <w:sz w:val="24"/>
                <w:szCs w:val="24"/>
                <w:shd w:val="clear" w:color="auto" w:fill="FFFFFF"/>
                <w:lang w:val="lv-LV"/>
              </w:rPr>
              <w:t>Komisijas 2014.gada 16.decembra Regula (ES) Nr. </w:t>
            </w:r>
            <w:hyperlink r:id="rId8" w:tgtFrame="_blank" w:history="1">
              <w:r w:rsidRPr="00256ACE">
                <w:rPr>
                  <w:rStyle w:val="Hyperlink"/>
                  <w:color w:val="000000" w:themeColor="text1"/>
                  <w:sz w:val="24"/>
                  <w:szCs w:val="24"/>
                  <w:shd w:val="clear" w:color="auto" w:fill="FFFFFF"/>
                  <w:lang w:val="lv-LV"/>
                </w:rPr>
                <w:t>1388/2014</w:t>
              </w:r>
            </w:hyperlink>
            <w:r w:rsidRPr="00256ACE">
              <w:rPr>
                <w:color w:val="000000" w:themeColor="text1"/>
                <w:sz w:val="24"/>
                <w:szCs w:val="24"/>
                <w:shd w:val="clear" w:color="auto" w:fill="FFFFFF"/>
                <w:lang w:val="lv-LV"/>
              </w:rPr>
              <w:t>, ar ko konkrētas atbalsta kategorijas uzņēmumiem, kuri nodarbojas ar zvejas un akvakultūras produktu ražošanu, apstrādi un tirdzniecību, atzīst par saderīgām ar iekšējo tirgu, piemērojot Līguma par Eiropas Savienības darbību 107. un 108. pantu (Eiropas Savienības Oficiālais Vēstnesis, 2014. gada 24. decembris, Nr. L 369) (turpmāk – Komisijas regula Nr. </w:t>
            </w:r>
            <w:hyperlink r:id="rId9" w:tgtFrame="_blank" w:history="1">
              <w:r w:rsidRPr="00256ACE">
                <w:rPr>
                  <w:rStyle w:val="Hyperlink"/>
                  <w:color w:val="000000" w:themeColor="text1"/>
                  <w:sz w:val="24"/>
                  <w:szCs w:val="24"/>
                  <w:shd w:val="clear" w:color="auto" w:fill="FFFFFF"/>
                  <w:lang w:val="lv-LV"/>
                </w:rPr>
                <w:t>1388/2014</w:t>
              </w:r>
            </w:hyperlink>
            <w:r w:rsidRPr="00256ACE">
              <w:rPr>
                <w:color w:val="000000" w:themeColor="text1"/>
                <w:sz w:val="24"/>
                <w:szCs w:val="24"/>
                <w:shd w:val="clear" w:color="auto" w:fill="FFFFFF"/>
                <w:lang w:val="lv-LV"/>
              </w:rPr>
              <w:t>;</w:t>
            </w:r>
          </w:p>
          <w:p w14:paraId="313D4E77" w14:textId="1FCD8488" w:rsidR="00CD433A" w:rsidRPr="00777098" w:rsidRDefault="00256ACE" w:rsidP="00777098">
            <w:pPr>
              <w:pStyle w:val="ListParagraph"/>
              <w:ind w:left="105"/>
              <w:jc w:val="both"/>
              <w:rPr>
                <w:sz w:val="24"/>
                <w:szCs w:val="24"/>
                <w:lang w:val="lv-LV"/>
              </w:rPr>
            </w:pPr>
            <w:r w:rsidRPr="00256ACE">
              <w:rPr>
                <w:sz w:val="24"/>
                <w:szCs w:val="24"/>
                <w:lang w:val="lv-LV"/>
              </w:rPr>
              <w:t xml:space="preserve">Pagaidu regulējums </w:t>
            </w:r>
            <w:r w:rsidRPr="00256ACE">
              <w:rPr>
                <w:color w:val="000000"/>
                <w:sz w:val="24"/>
                <w:szCs w:val="24"/>
                <w:lang w:val="lv-LV"/>
              </w:rPr>
              <w:t>(</w:t>
            </w:r>
            <w:r w:rsidRPr="00256ACE">
              <w:rPr>
                <w:color w:val="000000"/>
                <w:sz w:val="24"/>
                <w:szCs w:val="24"/>
                <w:lang w:val="lv-LV"/>
              </w:rPr>
              <w:t xml:space="preserve">t.sk., ar </w:t>
            </w:r>
            <w:r w:rsidRPr="00256ACE">
              <w:rPr>
                <w:color w:val="000000"/>
                <w:sz w:val="24"/>
                <w:szCs w:val="24"/>
                <w:lang w:val="lv-LV"/>
              </w:rPr>
              <w:t>2020.gada 13.oktobra grozījumi</w:t>
            </w:r>
            <w:r w:rsidRPr="00256ACE">
              <w:rPr>
                <w:color w:val="000000"/>
                <w:sz w:val="24"/>
                <w:szCs w:val="24"/>
                <w:lang w:val="lv-LV"/>
              </w:rPr>
              <w:t>em</w:t>
            </w:r>
            <w:r w:rsidRPr="00256ACE">
              <w:rPr>
                <w:color w:val="000000"/>
                <w:sz w:val="24"/>
                <w:szCs w:val="24"/>
                <w:lang w:val="lv-LV"/>
              </w:rPr>
              <w:t>)</w:t>
            </w:r>
            <w:r w:rsidR="00CD433A" w:rsidRPr="00256ACE">
              <w:rPr>
                <w:sz w:val="24"/>
                <w:szCs w:val="24"/>
                <w:lang w:val="lv-LV"/>
              </w:rPr>
              <w:t>.</w:t>
            </w:r>
          </w:p>
        </w:tc>
      </w:tr>
      <w:tr w:rsidR="00CD433A" w:rsidRPr="000E46A4" w14:paraId="2BF33DFD" w14:textId="77777777" w:rsidTr="00777098">
        <w:tc>
          <w:tcPr>
            <w:tcW w:w="418" w:type="dxa"/>
            <w:tcBorders>
              <w:top w:val="outset" w:sz="6" w:space="0" w:color="414142"/>
              <w:left w:val="outset" w:sz="6" w:space="0" w:color="414142"/>
              <w:bottom w:val="outset" w:sz="6" w:space="0" w:color="414142"/>
              <w:right w:val="outset" w:sz="6" w:space="0" w:color="414142"/>
            </w:tcBorders>
            <w:shd w:val="clear" w:color="auto" w:fill="auto"/>
            <w:hideMark/>
          </w:tcPr>
          <w:p w14:paraId="1F188A09" w14:textId="77777777" w:rsidR="00CD433A" w:rsidRPr="000E46A4" w:rsidRDefault="00CD433A" w:rsidP="00CD433A">
            <w:pPr>
              <w:contextualSpacing/>
              <w:rPr>
                <w:rFonts w:eastAsia="Times New Roman"/>
                <w:sz w:val="24"/>
                <w:szCs w:val="24"/>
                <w:lang w:val="lv-LV" w:eastAsia="lv-LV"/>
              </w:rPr>
            </w:pPr>
            <w:r w:rsidRPr="000E46A4">
              <w:rPr>
                <w:rFonts w:eastAsia="Times New Roman"/>
                <w:sz w:val="24"/>
                <w:szCs w:val="24"/>
                <w:lang w:val="lv-LV" w:eastAsia="lv-LV"/>
              </w:rPr>
              <w:t>2.</w:t>
            </w:r>
          </w:p>
        </w:tc>
        <w:tc>
          <w:tcPr>
            <w:tcW w:w="2550" w:type="dxa"/>
            <w:tcBorders>
              <w:top w:val="outset" w:sz="6" w:space="0" w:color="414142"/>
              <w:left w:val="outset" w:sz="6" w:space="0" w:color="414142"/>
              <w:bottom w:val="outset" w:sz="6" w:space="0" w:color="414142"/>
              <w:right w:val="outset" w:sz="6" w:space="0" w:color="414142"/>
            </w:tcBorders>
            <w:shd w:val="clear" w:color="auto" w:fill="auto"/>
            <w:hideMark/>
          </w:tcPr>
          <w:p w14:paraId="0B74399D" w14:textId="77777777" w:rsidR="00CD433A" w:rsidRPr="000E46A4" w:rsidRDefault="00CD433A" w:rsidP="00CD433A">
            <w:pPr>
              <w:contextualSpacing/>
              <w:jc w:val="both"/>
              <w:rPr>
                <w:rFonts w:eastAsia="Times New Roman"/>
                <w:sz w:val="24"/>
                <w:szCs w:val="24"/>
                <w:lang w:val="lv-LV" w:eastAsia="lv-LV"/>
              </w:rPr>
            </w:pPr>
            <w:r w:rsidRPr="000E46A4">
              <w:rPr>
                <w:rFonts w:eastAsia="Times New Roman"/>
                <w:sz w:val="24"/>
                <w:szCs w:val="24"/>
                <w:lang w:val="lv-LV" w:eastAsia="lv-LV"/>
              </w:rPr>
              <w:t>Citas starptautiskās saistības</w:t>
            </w:r>
          </w:p>
        </w:tc>
        <w:tc>
          <w:tcPr>
            <w:tcW w:w="6238" w:type="dxa"/>
            <w:tcBorders>
              <w:top w:val="outset" w:sz="6" w:space="0" w:color="414142"/>
              <w:left w:val="outset" w:sz="6" w:space="0" w:color="414142"/>
              <w:bottom w:val="outset" w:sz="6" w:space="0" w:color="414142"/>
              <w:right w:val="outset" w:sz="6" w:space="0" w:color="414142"/>
            </w:tcBorders>
            <w:shd w:val="clear" w:color="auto" w:fill="auto"/>
            <w:hideMark/>
          </w:tcPr>
          <w:p w14:paraId="04D2F44F" w14:textId="1B204823" w:rsidR="00CD433A" w:rsidRPr="000E46A4" w:rsidRDefault="00CD433A" w:rsidP="00CD433A">
            <w:pPr>
              <w:contextualSpacing/>
              <w:jc w:val="both"/>
              <w:rPr>
                <w:rFonts w:eastAsia="Times New Roman"/>
                <w:sz w:val="24"/>
                <w:szCs w:val="24"/>
                <w:lang w:val="lv-LV" w:eastAsia="lv-LV"/>
              </w:rPr>
            </w:pPr>
            <w:r w:rsidRPr="000E46A4">
              <w:rPr>
                <w:rFonts w:eastAsia="Times New Roman"/>
                <w:sz w:val="24"/>
                <w:szCs w:val="24"/>
                <w:lang w:val="lv-LV" w:eastAsia="lv-LV"/>
              </w:rPr>
              <w:t>Projekts šo jomu neskar.</w:t>
            </w:r>
          </w:p>
        </w:tc>
      </w:tr>
      <w:tr w:rsidR="00CD433A" w:rsidRPr="000E46A4" w14:paraId="64229F4B" w14:textId="77777777" w:rsidTr="00777098">
        <w:tc>
          <w:tcPr>
            <w:tcW w:w="418" w:type="dxa"/>
            <w:tcBorders>
              <w:top w:val="outset" w:sz="6" w:space="0" w:color="414142"/>
              <w:left w:val="outset" w:sz="6" w:space="0" w:color="414142"/>
              <w:bottom w:val="outset" w:sz="6" w:space="0" w:color="414142"/>
              <w:right w:val="outset" w:sz="6" w:space="0" w:color="414142"/>
            </w:tcBorders>
            <w:shd w:val="clear" w:color="auto" w:fill="auto"/>
            <w:hideMark/>
          </w:tcPr>
          <w:p w14:paraId="2D9DCABC" w14:textId="77777777" w:rsidR="00CD433A" w:rsidRPr="000E46A4" w:rsidRDefault="00CD433A" w:rsidP="00CD433A">
            <w:pPr>
              <w:contextualSpacing/>
              <w:rPr>
                <w:rFonts w:eastAsia="Times New Roman"/>
                <w:sz w:val="24"/>
                <w:szCs w:val="24"/>
                <w:lang w:val="lv-LV" w:eastAsia="lv-LV"/>
              </w:rPr>
            </w:pPr>
            <w:r w:rsidRPr="000E46A4">
              <w:rPr>
                <w:rFonts w:eastAsia="Times New Roman"/>
                <w:sz w:val="24"/>
                <w:szCs w:val="24"/>
                <w:lang w:val="lv-LV" w:eastAsia="lv-LV"/>
              </w:rPr>
              <w:t>3.</w:t>
            </w:r>
          </w:p>
        </w:tc>
        <w:tc>
          <w:tcPr>
            <w:tcW w:w="2550" w:type="dxa"/>
            <w:tcBorders>
              <w:top w:val="outset" w:sz="6" w:space="0" w:color="414142"/>
              <w:left w:val="outset" w:sz="6" w:space="0" w:color="414142"/>
              <w:bottom w:val="outset" w:sz="6" w:space="0" w:color="414142"/>
              <w:right w:val="outset" w:sz="6" w:space="0" w:color="414142"/>
            </w:tcBorders>
            <w:shd w:val="clear" w:color="auto" w:fill="auto"/>
            <w:hideMark/>
          </w:tcPr>
          <w:p w14:paraId="19774E23" w14:textId="77777777" w:rsidR="00CD433A" w:rsidRPr="000E46A4" w:rsidRDefault="00CD433A" w:rsidP="00CD433A">
            <w:pPr>
              <w:contextualSpacing/>
              <w:jc w:val="both"/>
              <w:rPr>
                <w:rFonts w:eastAsia="Times New Roman"/>
                <w:sz w:val="24"/>
                <w:szCs w:val="24"/>
                <w:lang w:val="lv-LV" w:eastAsia="lv-LV"/>
              </w:rPr>
            </w:pPr>
            <w:r w:rsidRPr="000E46A4">
              <w:rPr>
                <w:rFonts w:eastAsia="Times New Roman"/>
                <w:sz w:val="24"/>
                <w:szCs w:val="24"/>
                <w:lang w:val="lv-LV" w:eastAsia="lv-LV"/>
              </w:rPr>
              <w:t>Cita informācija</w:t>
            </w:r>
          </w:p>
        </w:tc>
        <w:tc>
          <w:tcPr>
            <w:tcW w:w="6238" w:type="dxa"/>
            <w:tcBorders>
              <w:top w:val="outset" w:sz="6" w:space="0" w:color="414142"/>
              <w:left w:val="outset" w:sz="6" w:space="0" w:color="414142"/>
              <w:bottom w:val="outset" w:sz="6" w:space="0" w:color="414142"/>
              <w:right w:val="outset" w:sz="6" w:space="0" w:color="414142"/>
            </w:tcBorders>
            <w:shd w:val="clear" w:color="auto" w:fill="auto"/>
            <w:hideMark/>
          </w:tcPr>
          <w:p w14:paraId="10FD6544" w14:textId="16C3A3F5" w:rsidR="00CD433A" w:rsidRPr="000E46A4" w:rsidRDefault="00CD433A" w:rsidP="00CD433A">
            <w:pPr>
              <w:contextualSpacing/>
              <w:jc w:val="both"/>
              <w:rPr>
                <w:rFonts w:eastAsia="Times New Roman"/>
                <w:sz w:val="24"/>
                <w:szCs w:val="24"/>
                <w:lang w:val="lv-LV" w:eastAsia="lv-LV"/>
              </w:rPr>
            </w:pPr>
            <w:r w:rsidRPr="000E46A4">
              <w:rPr>
                <w:rFonts w:eastAsia="Times New Roman"/>
                <w:sz w:val="24"/>
                <w:szCs w:val="24"/>
                <w:lang w:val="lv-LV" w:eastAsia="lv-LV"/>
              </w:rPr>
              <w:t>Nav</w:t>
            </w:r>
          </w:p>
        </w:tc>
      </w:tr>
    </w:tbl>
    <w:p w14:paraId="1F45E5ED" w14:textId="3E0D1E21" w:rsidR="00844176" w:rsidRPr="000E46A4" w:rsidRDefault="00844176" w:rsidP="00B043DE">
      <w:pPr>
        <w:contextualSpacing/>
        <w:rPr>
          <w:sz w:val="24"/>
          <w:szCs w:val="24"/>
          <w:lang w:val="lv-LV"/>
        </w:rPr>
      </w:pPr>
    </w:p>
    <w:tbl>
      <w:tblPr>
        <w:tblW w:w="5162"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2827"/>
        <w:gridCol w:w="1778"/>
        <w:gridCol w:w="2227"/>
        <w:gridCol w:w="2516"/>
      </w:tblGrid>
      <w:tr w:rsidR="00A5551D" w:rsidRPr="00256ACE" w14:paraId="212A0171" w14:textId="77777777" w:rsidTr="00FA4414">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533520" w14:textId="77777777" w:rsidR="00A5551D" w:rsidRPr="000E46A4" w:rsidRDefault="00A5551D" w:rsidP="00B043DE">
            <w:pPr>
              <w:jc w:val="center"/>
              <w:rPr>
                <w:rFonts w:eastAsia="Times New Roman"/>
                <w:b/>
                <w:bCs/>
                <w:color w:val="414142"/>
                <w:sz w:val="24"/>
                <w:szCs w:val="24"/>
                <w:lang w:val="lv-LV" w:eastAsia="lv-LV"/>
              </w:rPr>
            </w:pPr>
            <w:r w:rsidRPr="000E46A4">
              <w:rPr>
                <w:rFonts w:eastAsia="Times New Roman"/>
                <w:b/>
                <w:bCs/>
                <w:color w:val="414142"/>
                <w:sz w:val="24"/>
                <w:szCs w:val="24"/>
                <w:lang w:val="lv-LV" w:eastAsia="lv-LV"/>
              </w:rPr>
              <w:t>1. tabula</w:t>
            </w:r>
            <w:r w:rsidRPr="000E46A4">
              <w:rPr>
                <w:rFonts w:eastAsia="Times New Roman"/>
                <w:b/>
                <w:bCs/>
                <w:color w:val="414142"/>
                <w:sz w:val="24"/>
                <w:szCs w:val="24"/>
                <w:lang w:val="lv-LV" w:eastAsia="lv-LV"/>
              </w:rPr>
              <w:br/>
              <w:t>Tiesību akta projekta atbilstība ES tiesību aktiem</w:t>
            </w:r>
          </w:p>
        </w:tc>
      </w:tr>
      <w:tr w:rsidR="00A5551D" w:rsidRPr="00A658C7" w14:paraId="63717CEB" w14:textId="77777777" w:rsidTr="00FA4414">
        <w:tc>
          <w:tcPr>
            <w:tcW w:w="1512" w:type="pct"/>
            <w:tcBorders>
              <w:top w:val="outset" w:sz="6" w:space="0" w:color="414142"/>
              <w:left w:val="outset" w:sz="6" w:space="0" w:color="414142"/>
              <w:bottom w:val="outset" w:sz="6" w:space="0" w:color="414142"/>
              <w:right w:val="outset" w:sz="6" w:space="0" w:color="414142"/>
            </w:tcBorders>
            <w:shd w:val="clear" w:color="auto" w:fill="FFFFFF"/>
            <w:hideMark/>
          </w:tcPr>
          <w:p w14:paraId="63860658" w14:textId="77777777" w:rsidR="00A5551D" w:rsidRPr="000E46A4" w:rsidRDefault="00A5551D" w:rsidP="00B043DE">
            <w:pPr>
              <w:rPr>
                <w:rFonts w:eastAsia="Times New Roman"/>
                <w:color w:val="414142"/>
                <w:sz w:val="24"/>
                <w:szCs w:val="24"/>
                <w:lang w:val="lv-LV" w:eastAsia="lv-LV"/>
              </w:rPr>
            </w:pPr>
            <w:r w:rsidRPr="000E46A4">
              <w:rPr>
                <w:rFonts w:eastAsia="Times New Roman"/>
                <w:color w:val="414142"/>
                <w:sz w:val="24"/>
                <w:szCs w:val="24"/>
                <w:lang w:val="lv-LV" w:eastAsia="lv-LV"/>
              </w:rPr>
              <w:t>Attiecīgā ES tiesību akta datums, numurs un nosaukums</w:t>
            </w:r>
          </w:p>
        </w:tc>
        <w:tc>
          <w:tcPr>
            <w:tcW w:w="3488"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0065534" w14:textId="77777777" w:rsidR="0099282E" w:rsidRPr="000E46A4" w:rsidRDefault="0099282E" w:rsidP="00B043DE">
            <w:pPr>
              <w:pStyle w:val="naiskr"/>
              <w:spacing w:before="0" w:after="0"/>
              <w:jc w:val="both"/>
              <w:rPr>
                <w:color w:val="414142"/>
              </w:rPr>
            </w:pPr>
            <w:r w:rsidRPr="000E46A4">
              <w:rPr>
                <w:color w:val="414142"/>
              </w:rPr>
              <w:t>Ar Noteikumu projektu tiek ieviestas šādas Eiropas Savienības tiesību aktu prasības:</w:t>
            </w:r>
          </w:p>
          <w:p w14:paraId="69A40115" w14:textId="48BD2088" w:rsidR="00AC105D" w:rsidRPr="000E46A4" w:rsidRDefault="00777098" w:rsidP="00C67534">
            <w:pPr>
              <w:pStyle w:val="naiskr"/>
              <w:numPr>
                <w:ilvl w:val="0"/>
                <w:numId w:val="3"/>
              </w:numPr>
              <w:spacing w:before="0" w:after="0"/>
              <w:jc w:val="both"/>
            </w:pPr>
            <w:r>
              <w:rPr>
                <w:color w:val="000000"/>
              </w:rPr>
              <w:t>Pagaidu regulējums (2020.gada 13.oktobra grozījumi)</w:t>
            </w:r>
            <w:r w:rsidR="00AC105D" w:rsidRPr="000E46A4">
              <w:t>.</w:t>
            </w:r>
          </w:p>
          <w:p w14:paraId="281B0D72" w14:textId="2361195C" w:rsidR="008F40FA" w:rsidRPr="000E46A4" w:rsidRDefault="001B6AC0" w:rsidP="00C67534">
            <w:pPr>
              <w:pStyle w:val="naiskr"/>
              <w:numPr>
                <w:ilvl w:val="0"/>
                <w:numId w:val="3"/>
              </w:numPr>
              <w:spacing w:before="0" w:after="0"/>
              <w:jc w:val="both"/>
            </w:pPr>
            <w:r w:rsidRPr="000E46A4">
              <w:t xml:space="preserve">Komisijas </w:t>
            </w:r>
            <w:r w:rsidR="00AA71C4" w:rsidRPr="000E46A4">
              <w:t>R</w:t>
            </w:r>
            <w:r w:rsidR="008F40FA" w:rsidRPr="000E46A4">
              <w:t>egula Nr. 651/2014;</w:t>
            </w:r>
          </w:p>
          <w:p w14:paraId="31C58836" w14:textId="2B16B0AA" w:rsidR="008F40FA" w:rsidRPr="000E46A4" w:rsidRDefault="00C67534" w:rsidP="00C67534">
            <w:pPr>
              <w:pStyle w:val="naiskr"/>
              <w:numPr>
                <w:ilvl w:val="0"/>
                <w:numId w:val="3"/>
              </w:numPr>
              <w:spacing w:before="0" w:after="0"/>
              <w:jc w:val="both"/>
              <w:rPr>
                <w:color w:val="000000"/>
                <w:lang w:eastAsia="en-US"/>
              </w:rPr>
            </w:pPr>
            <w:r w:rsidRPr="000E46A4">
              <w:rPr>
                <w:color w:val="000000" w:themeColor="text1"/>
              </w:rPr>
              <w:t>Komisijas Regula Nr. 1388/2014</w:t>
            </w:r>
            <w:r w:rsidR="008F40FA" w:rsidRPr="000E46A4">
              <w:t>.</w:t>
            </w:r>
          </w:p>
          <w:p w14:paraId="27AE43F3" w14:textId="0F6E4A9F" w:rsidR="008B0720" w:rsidRPr="000E46A4" w:rsidRDefault="008B0720" w:rsidP="00B043DE">
            <w:pPr>
              <w:pStyle w:val="naiskr"/>
              <w:spacing w:before="0" w:after="0"/>
              <w:jc w:val="both"/>
              <w:rPr>
                <w:color w:val="000000"/>
                <w:lang w:eastAsia="en-US"/>
              </w:rPr>
            </w:pPr>
          </w:p>
        </w:tc>
      </w:tr>
      <w:tr w:rsidR="00A5551D" w:rsidRPr="00A658C7" w14:paraId="6EDB5B7C" w14:textId="77777777" w:rsidTr="00FA4414">
        <w:tc>
          <w:tcPr>
            <w:tcW w:w="1512"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13D233B1" w14:textId="77777777" w:rsidR="00A5551D" w:rsidRPr="00684B94" w:rsidRDefault="00A5551D" w:rsidP="00B043DE">
            <w:pPr>
              <w:jc w:val="center"/>
              <w:rPr>
                <w:rFonts w:eastAsia="Times New Roman"/>
                <w:color w:val="414142"/>
                <w:sz w:val="24"/>
                <w:szCs w:val="24"/>
                <w:lang w:val="lv-LV" w:eastAsia="lv-LV"/>
              </w:rPr>
            </w:pPr>
            <w:r w:rsidRPr="00684B94">
              <w:rPr>
                <w:rFonts w:eastAsia="Times New Roman"/>
                <w:color w:val="414142"/>
                <w:sz w:val="24"/>
                <w:szCs w:val="24"/>
                <w:lang w:val="lv-LV" w:eastAsia="lv-LV"/>
              </w:rPr>
              <w:t>A</w:t>
            </w:r>
          </w:p>
        </w:tc>
        <w:tc>
          <w:tcPr>
            <w:tcW w:w="951"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0215CB7F" w14:textId="77777777" w:rsidR="00A5551D" w:rsidRPr="00684B94" w:rsidRDefault="00A5551D" w:rsidP="00B043DE">
            <w:pPr>
              <w:jc w:val="center"/>
              <w:rPr>
                <w:rFonts w:eastAsia="Times New Roman"/>
                <w:color w:val="414142"/>
                <w:sz w:val="24"/>
                <w:szCs w:val="24"/>
                <w:lang w:val="lv-LV" w:eastAsia="lv-LV"/>
              </w:rPr>
            </w:pPr>
            <w:r w:rsidRPr="00684B94">
              <w:rPr>
                <w:rFonts w:eastAsia="Times New Roman"/>
                <w:color w:val="414142"/>
                <w:sz w:val="24"/>
                <w:szCs w:val="24"/>
                <w:lang w:val="lv-LV" w:eastAsia="lv-LV"/>
              </w:rPr>
              <w:t>B</w:t>
            </w:r>
          </w:p>
        </w:tc>
        <w:tc>
          <w:tcPr>
            <w:tcW w:w="1191"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192C7179" w14:textId="77777777" w:rsidR="00A5551D" w:rsidRPr="00684B94" w:rsidRDefault="00A5551D" w:rsidP="00B043DE">
            <w:pPr>
              <w:jc w:val="center"/>
              <w:rPr>
                <w:rFonts w:eastAsia="Times New Roman"/>
                <w:color w:val="414142"/>
                <w:sz w:val="24"/>
                <w:szCs w:val="24"/>
                <w:lang w:val="lv-LV" w:eastAsia="lv-LV"/>
              </w:rPr>
            </w:pPr>
            <w:r w:rsidRPr="00684B94">
              <w:rPr>
                <w:rFonts w:eastAsia="Times New Roman"/>
                <w:color w:val="414142"/>
                <w:sz w:val="24"/>
                <w:szCs w:val="24"/>
                <w:lang w:val="lv-LV" w:eastAsia="lv-LV"/>
              </w:rPr>
              <w:t>C</w:t>
            </w:r>
          </w:p>
        </w:tc>
        <w:tc>
          <w:tcPr>
            <w:tcW w:w="1346"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5909FA7C" w14:textId="77777777" w:rsidR="00A5551D" w:rsidRPr="00684B94" w:rsidRDefault="00A5551D" w:rsidP="00B043DE">
            <w:pPr>
              <w:jc w:val="center"/>
              <w:rPr>
                <w:rFonts w:eastAsia="Times New Roman"/>
                <w:color w:val="414142"/>
                <w:sz w:val="24"/>
                <w:szCs w:val="24"/>
                <w:lang w:val="lv-LV" w:eastAsia="lv-LV"/>
              </w:rPr>
            </w:pPr>
            <w:r w:rsidRPr="00684B94">
              <w:rPr>
                <w:rFonts w:eastAsia="Times New Roman"/>
                <w:color w:val="414142"/>
                <w:sz w:val="24"/>
                <w:szCs w:val="24"/>
                <w:lang w:val="lv-LV" w:eastAsia="lv-LV"/>
              </w:rPr>
              <w:t>D</w:t>
            </w:r>
          </w:p>
        </w:tc>
      </w:tr>
      <w:tr w:rsidR="007C415F" w:rsidRPr="00A658C7" w14:paraId="33343D9F" w14:textId="77777777" w:rsidTr="00FA4414">
        <w:tc>
          <w:tcPr>
            <w:tcW w:w="1512" w:type="pct"/>
            <w:tcBorders>
              <w:top w:val="single" w:sz="4" w:space="0" w:color="auto"/>
              <w:left w:val="outset" w:sz="6" w:space="0" w:color="414142"/>
              <w:bottom w:val="single" w:sz="4" w:space="0" w:color="auto"/>
              <w:right w:val="outset" w:sz="6" w:space="0" w:color="414142"/>
            </w:tcBorders>
            <w:shd w:val="clear" w:color="auto" w:fill="FFFFFF"/>
          </w:tcPr>
          <w:p w14:paraId="07380260" w14:textId="77777777" w:rsidR="007C415F" w:rsidRPr="00684B94" w:rsidRDefault="00904815" w:rsidP="007C415F">
            <w:pPr>
              <w:rPr>
                <w:rFonts w:eastAsia="Times New Roman"/>
                <w:i/>
                <w:iCs/>
                <w:color w:val="000000" w:themeColor="text1"/>
                <w:sz w:val="24"/>
                <w:szCs w:val="24"/>
                <w:lang w:val="lv-LV" w:eastAsia="lv-LV"/>
              </w:rPr>
            </w:pPr>
            <w:r w:rsidRPr="00684B94">
              <w:rPr>
                <w:rFonts w:eastAsia="Times New Roman"/>
                <w:i/>
                <w:iCs/>
                <w:color w:val="000000" w:themeColor="text1"/>
                <w:sz w:val="24"/>
                <w:szCs w:val="24"/>
                <w:lang w:val="lv-LV" w:eastAsia="lv-LV"/>
              </w:rPr>
              <w:t>Komisijas regulas Nr. 651/2014 2. pants 18. Punkts;</w:t>
            </w:r>
          </w:p>
          <w:p w14:paraId="024BBC23" w14:textId="77777777" w:rsidR="00684B94" w:rsidRPr="00684B94" w:rsidRDefault="00904815" w:rsidP="007C415F">
            <w:pPr>
              <w:rPr>
                <w:i/>
                <w:iCs/>
                <w:color w:val="000000"/>
                <w:sz w:val="24"/>
                <w:szCs w:val="24"/>
                <w:lang w:val="lv-LV"/>
              </w:rPr>
            </w:pPr>
            <w:r w:rsidRPr="00684B94">
              <w:rPr>
                <w:rFonts w:eastAsia="Times New Roman"/>
                <w:i/>
                <w:iCs/>
                <w:color w:val="000000" w:themeColor="text1"/>
                <w:sz w:val="24"/>
                <w:szCs w:val="24"/>
                <w:lang w:val="lv-LV" w:eastAsia="lv-LV"/>
              </w:rPr>
              <w:t>Komisijas regulas Nr. 1388/2014 3. panta 8. punktā</w:t>
            </w:r>
            <w:r w:rsidR="00684B94" w:rsidRPr="00684B94">
              <w:rPr>
                <w:i/>
                <w:iCs/>
                <w:color w:val="000000"/>
                <w:sz w:val="24"/>
                <w:szCs w:val="24"/>
                <w:lang w:val="lv-LV"/>
              </w:rPr>
              <w:t xml:space="preserve"> </w:t>
            </w:r>
          </w:p>
          <w:p w14:paraId="4F3D980F" w14:textId="3C5E2204" w:rsidR="00904815" w:rsidRPr="00684B94" w:rsidRDefault="00684B94" w:rsidP="007C415F">
            <w:pPr>
              <w:rPr>
                <w:i/>
                <w:iCs/>
                <w:color w:val="000000"/>
                <w:sz w:val="24"/>
                <w:szCs w:val="24"/>
                <w:lang w:val="lv-LV"/>
              </w:rPr>
            </w:pPr>
            <w:r w:rsidRPr="00684B94">
              <w:rPr>
                <w:i/>
                <w:iCs/>
                <w:color w:val="000000"/>
                <w:sz w:val="24"/>
                <w:szCs w:val="24"/>
                <w:lang w:val="lv-LV"/>
              </w:rPr>
              <w:t>Komisijas paziņojuma 25 h.apakšpunkts</w:t>
            </w:r>
          </w:p>
        </w:tc>
        <w:tc>
          <w:tcPr>
            <w:tcW w:w="951" w:type="pct"/>
            <w:tcBorders>
              <w:top w:val="single" w:sz="4" w:space="0" w:color="auto"/>
              <w:left w:val="single" w:sz="4" w:space="0" w:color="auto"/>
              <w:bottom w:val="single" w:sz="4" w:space="0" w:color="auto"/>
              <w:right w:val="single" w:sz="4" w:space="0" w:color="auto"/>
            </w:tcBorders>
            <w:shd w:val="clear" w:color="auto" w:fill="auto"/>
          </w:tcPr>
          <w:p w14:paraId="08FF5B7B" w14:textId="4C2FDBE7" w:rsidR="007C415F" w:rsidRPr="00684B94" w:rsidRDefault="007C415F" w:rsidP="007C415F">
            <w:pPr>
              <w:rPr>
                <w:i/>
                <w:iCs/>
                <w:color w:val="000000"/>
                <w:sz w:val="24"/>
                <w:szCs w:val="24"/>
                <w:lang w:val="lv-LV"/>
              </w:rPr>
            </w:pPr>
            <w:r w:rsidRPr="00684B94">
              <w:rPr>
                <w:i/>
                <w:iCs/>
                <w:color w:val="000000"/>
                <w:sz w:val="24"/>
                <w:szCs w:val="24"/>
                <w:lang w:val="lv-LV"/>
              </w:rPr>
              <w:t xml:space="preserve">Noteikumu projekta </w:t>
            </w:r>
            <w:r w:rsidR="00904815" w:rsidRPr="00684B94">
              <w:rPr>
                <w:i/>
                <w:iCs/>
                <w:color w:val="000000"/>
                <w:sz w:val="24"/>
                <w:szCs w:val="24"/>
                <w:lang w:val="lv-LV"/>
              </w:rPr>
              <w:t>3</w:t>
            </w:r>
            <w:r w:rsidRPr="00684B94">
              <w:rPr>
                <w:i/>
                <w:iCs/>
                <w:color w:val="000000"/>
                <w:sz w:val="24"/>
                <w:szCs w:val="24"/>
                <w:lang w:val="lv-LV"/>
              </w:rPr>
              <w:t>. punkts</w:t>
            </w:r>
          </w:p>
        </w:tc>
        <w:tc>
          <w:tcPr>
            <w:tcW w:w="1191" w:type="pct"/>
            <w:tcBorders>
              <w:top w:val="single" w:sz="4" w:space="0" w:color="auto"/>
              <w:left w:val="single" w:sz="4" w:space="0" w:color="auto"/>
              <w:bottom w:val="single" w:sz="4" w:space="0" w:color="auto"/>
              <w:right w:val="single" w:sz="4" w:space="0" w:color="auto"/>
            </w:tcBorders>
            <w:shd w:val="clear" w:color="auto" w:fill="auto"/>
          </w:tcPr>
          <w:p w14:paraId="476543F7" w14:textId="0FDFB1A5" w:rsidR="007C415F" w:rsidRPr="00684B94" w:rsidRDefault="007C415F" w:rsidP="007C415F">
            <w:pPr>
              <w:rPr>
                <w:i/>
                <w:iCs/>
                <w:color w:val="000000"/>
                <w:sz w:val="24"/>
                <w:szCs w:val="24"/>
                <w:lang w:val="lv-LV"/>
              </w:rPr>
            </w:pPr>
            <w:r w:rsidRPr="00684B94">
              <w:rPr>
                <w:i/>
                <w:iCs/>
                <w:color w:val="000000"/>
                <w:sz w:val="24"/>
                <w:szCs w:val="24"/>
                <w:lang w:val="lv-LV"/>
              </w:rPr>
              <w:t>Ieviests pilnībā</w:t>
            </w:r>
          </w:p>
        </w:tc>
        <w:tc>
          <w:tcPr>
            <w:tcW w:w="1346" w:type="pct"/>
            <w:tcBorders>
              <w:top w:val="single" w:sz="4" w:space="0" w:color="auto"/>
              <w:left w:val="single" w:sz="4" w:space="0" w:color="auto"/>
              <w:bottom w:val="single" w:sz="4" w:space="0" w:color="auto"/>
              <w:right w:val="single" w:sz="4" w:space="0" w:color="auto"/>
            </w:tcBorders>
            <w:shd w:val="clear" w:color="auto" w:fill="auto"/>
          </w:tcPr>
          <w:p w14:paraId="12ED431C" w14:textId="13AEB9F8" w:rsidR="007C415F" w:rsidRPr="00684B94" w:rsidRDefault="007C415F" w:rsidP="007C415F">
            <w:pPr>
              <w:rPr>
                <w:i/>
                <w:iCs/>
                <w:color w:val="000000"/>
                <w:sz w:val="24"/>
                <w:szCs w:val="24"/>
                <w:lang w:val="lv-LV"/>
              </w:rPr>
            </w:pPr>
            <w:r w:rsidRPr="00684B94">
              <w:rPr>
                <w:i/>
                <w:iCs/>
                <w:color w:val="000000"/>
                <w:sz w:val="24"/>
                <w:szCs w:val="24"/>
                <w:lang w:val="lv-LV"/>
              </w:rPr>
              <w:t>Neparedz stingrākas prasības.</w:t>
            </w:r>
          </w:p>
        </w:tc>
      </w:tr>
      <w:tr w:rsidR="00684B94" w:rsidRPr="00777098" w14:paraId="2FF190C6" w14:textId="77777777" w:rsidTr="00FA4414">
        <w:tc>
          <w:tcPr>
            <w:tcW w:w="1512" w:type="pct"/>
            <w:tcBorders>
              <w:top w:val="single" w:sz="4" w:space="0" w:color="auto"/>
              <w:left w:val="outset" w:sz="6" w:space="0" w:color="414142"/>
              <w:bottom w:val="outset" w:sz="6" w:space="0" w:color="414142"/>
              <w:right w:val="outset" w:sz="6" w:space="0" w:color="414142"/>
            </w:tcBorders>
            <w:shd w:val="clear" w:color="auto" w:fill="FFFFFF"/>
            <w:hideMark/>
          </w:tcPr>
          <w:p w14:paraId="3C809721" w14:textId="77777777" w:rsidR="00684B94" w:rsidRPr="000E46A4" w:rsidRDefault="00684B94" w:rsidP="00684B94">
            <w:pPr>
              <w:rPr>
                <w:rFonts w:eastAsia="Times New Roman"/>
                <w:color w:val="414142"/>
                <w:sz w:val="24"/>
                <w:szCs w:val="24"/>
                <w:lang w:val="lv-LV" w:eastAsia="lv-LV"/>
              </w:rPr>
            </w:pPr>
            <w:r w:rsidRPr="000E46A4">
              <w:rPr>
                <w:rFonts w:eastAsia="Times New Roman"/>
                <w:color w:val="414142"/>
                <w:sz w:val="24"/>
                <w:szCs w:val="24"/>
                <w:lang w:val="lv-LV" w:eastAsia="lv-LV"/>
              </w:rPr>
              <w:t>Kā ir izmantota ES tiesību aktā paredzētā rīcības brīvība dalībvalstij pārņemt vai ieviest noteiktas ES tiesību akta normas? Kādēļ?</w:t>
            </w:r>
          </w:p>
        </w:tc>
        <w:tc>
          <w:tcPr>
            <w:tcW w:w="3488" w:type="pct"/>
            <w:gridSpan w:val="3"/>
            <w:tcBorders>
              <w:top w:val="single" w:sz="4" w:space="0" w:color="auto"/>
              <w:left w:val="single" w:sz="4" w:space="0" w:color="auto"/>
              <w:bottom w:val="single" w:sz="4" w:space="0" w:color="auto"/>
              <w:right w:val="single" w:sz="4" w:space="0" w:color="auto"/>
            </w:tcBorders>
            <w:hideMark/>
          </w:tcPr>
          <w:p w14:paraId="7770BDF3" w14:textId="59906C76" w:rsidR="00777098" w:rsidRPr="000E46A4" w:rsidRDefault="00684B94" w:rsidP="00777098">
            <w:pPr>
              <w:rPr>
                <w:rFonts w:eastAsia="Times New Roman"/>
                <w:color w:val="414142"/>
                <w:sz w:val="24"/>
                <w:szCs w:val="24"/>
                <w:lang w:val="lv-LV" w:eastAsia="lv-LV"/>
              </w:rPr>
            </w:pPr>
            <w:r w:rsidRPr="000E46A4">
              <w:rPr>
                <w:rFonts w:eastAsia="Times New Roman"/>
                <w:sz w:val="24"/>
                <w:szCs w:val="24"/>
                <w:lang w:val="lv-LV"/>
              </w:rPr>
              <w:t>Projekts šo jomu neskar.</w:t>
            </w:r>
            <w:r w:rsidR="00777098" w:rsidRPr="00684B94">
              <w:rPr>
                <w:i/>
                <w:iCs/>
                <w:color w:val="000000"/>
                <w:sz w:val="24"/>
                <w:szCs w:val="24"/>
                <w:lang w:val="lv-LV"/>
              </w:rPr>
              <w:t xml:space="preserve"> </w:t>
            </w:r>
          </w:p>
          <w:p w14:paraId="2C32B25E" w14:textId="49501160" w:rsidR="00684B94" w:rsidRPr="000E46A4" w:rsidRDefault="00684B94" w:rsidP="00777098">
            <w:pPr>
              <w:rPr>
                <w:rFonts w:eastAsia="Times New Roman"/>
                <w:color w:val="414142"/>
                <w:sz w:val="24"/>
                <w:szCs w:val="24"/>
                <w:lang w:val="lv-LV" w:eastAsia="lv-LV"/>
              </w:rPr>
            </w:pPr>
          </w:p>
        </w:tc>
      </w:tr>
      <w:tr w:rsidR="00684B94" w:rsidRPr="000E46A4" w14:paraId="380F5C9A" w14:textId="77777777" w:rsidTr="00FA4414">
        <w:tc>
          <w:tcPr>
            <w:tcW w:w="1512" w:type="pct"/>
            <w:tcBorders>
              <w:top w:val="outset" w:sz="6" w:space="0" w:color="414142"/>
              <w:left w:val="outset" w:sz="6" w:space="0" w:color="414142"/>
              <w:bottom w:val="outset" w:sz="6" w:space="0" w:color="414142"/>
              <w:right w:val="outset" w:sz="6" w:space="0" w:color="414142"/>
            </w:tcBorders>
            <w:shd w:val="clear" w:color="auto" w:fill="FFFFFF"/>
            <w:hideMark/>
          </w:tcPr>
          <w:p w14:paraId="614BC07D" w14:textId="77777777" w:rsidR="00684B94" w:rsidRPr="000E46A4" w:rsidRDefault="00684B94" w:rsidP="00684B94">
            <w:pPr>
              <w:rPr>
                <w:rFonts w:eastAsia="Times New Roman"/>
                <w:color w:val="414142"/>
                <w:sz w:val="24"/>
                <w:szCs w:val="24"/>
                <w:lang w:val="lv-LV" w:eastAsia="lv-LV"/>
              </w:rPr>
            </w:pPr>
            <w:r w:rsidRPr="000E46A4">
              <w:rPr>
                <w:rFonts w:eastAsia="Times New Roman"/>
                <w:color w:val="414142"/>
                <w:sz w:val="24"/>
                <w:szCs w:val="24"/>
                <w:lang w:val="lv-LV"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488" w:type="pct"/>
            <w:gridSpan w:val="3"/>
            <w:tcBorders>
              <w:top w:val="single" w:sz="4" w:space="0" w:color="auto"/>
              <w:left w:val="single" w:sz="4" w:space="0" w:color="auto"/>
              <w:bottom w:val="single" w:sz="4" w:space="0" w:color="auto"/>
              <w:right w:val="single" w:sz="4" w:space="0" w:color="auto"/>
            </w:tcBorders>
            <w:hideMark/>
          </w:tcPr>
          <w:p w14:paraId="32245CF8" w14:textId="21FF1618" w:rsidR="00684B94" w:rsidRPr="000E46A4" w:rsidRDefault="00777098" w:rsidP="00684B94">
            <w:pPr>
              <w:rPr>
                <w:rFonts w:eastAsia="Times New Roman"/>
                <w:color w:val="414142"/>
                <w:sz w:val="24"/>
                <w:szCs w:val="24"/>
                <w:lang w:val="lv-LV" w:eastAsia="lv-LV"/>
              </w:rPr>
            </w:pPr>
            <w:r w:rsidRPr="000E46A4">
              <w:rPr>
                <w:rFonts w:eastAsia="Times New Roman"/>
                <w:sz w:val="24"/>
                <w:szCs w:val="24"/>
                <w:lang w:val="lv-LV"/>
              </w:rPr>
              <w:t>Projekts šo jomu neskar.</w:t>
            </w:r>
            <w:r w:rsidRPr="00684B94">
              <w:rPr>
                <w:i/>
                <w:iCs/>
                <w:color w:val="000000"/>
                <w:sz w:val="24"/>
                <w:szCs w:val="24"/>
                <w:lang w:val="lv-LV"/>
              </w:rPr>
              <w:t xml:space="preserve"> </w:t>
            </w:r>
          </w:p>
        </w:tc>
      </w:tr>
      <w:tr w:rsidR="00684B94" w:rsidRPr="00256ACE" w14:paraId="21014EF5" w14:textId="77777777" w:rsidTr="00FA4414">
        <w:tc>
          <w:tcPr>
            <w:tcW w:w="1512" w:type="pct"/>
            <w:tcBorders>
              <w:top w:val="outset" w:sz="6" w:space="0" w:color="414142"/>
              <w:left w:val="outset" w:sz="6" w:space="0" w:color="414142"/>
              <w:bottom w:val="outset" w:sz="6" w:space="0" w:color="414142"/>
              <w:right w:val="outset" w:sz="6" w:space="0" w:color="414142"/>
            </w:tcBorders>
            <w:shd w:val="clear" w:color="auto" w:fill="FFFFFF"/>
            <w:hideMark/>
          </w:tcPr>
          <w:p w14:paraId="406056DD" w14:textId="77777777" w:rsidR="00684B94" w:rsidRPr="000E46A4" w:rsidRDefault="00684B94" w:rsidP="00684B94">
            <w:pPr>
              <w:rPr>
                <w:rFonts w:eastAsia="Times New Roman"/>
                <w:color w:val="414142"/>
                <w:sz w:val="24"/>
                <w:szCs w:val="24"/>
                <w:lang w:val="lv-LV" w:eastAsia="lv-LV"/>
              </w:rPr>
            </w:pPr>
            <w:r w:rsidRPr="000E46A4">
              <w:rPr>
                <w:rFonts w:eastAsia="Times New Roman"/>
                <w:color w:val="414142"/>
                <w:sz w:val="24"/>
                <w:szCs w:val="24"/>
                <w:lang w:val="lv-LV" w:eastAsia="lv-LV"/>
              </w:rPr>
              <w:t>Cita informācija</w:t>
            </w:r>
          </w:p>
        </w:tc>
        <w:tc>
          <w:tcPr>
            <w:tcW w:w="3488" w:type="pct"/>
            <w:gridSpan w:val="3"/>
            <w:tcBorders>
              <w:top w:val="single" w:sz="4" w:space="0" w:color="auto"/>
              <w:left w:val="single" w:sz="4" w:space="0" w:color="auto"/>
              <w:bottom w:val="single" w:sz="4" w:space="0" w:color="auto"/>
              <w:right w:val="single" w:sz="4" w:space="0" w:color="auto"/>
            </w:tcBorders>
            <w:hideMark/>
          </w:tcPr>
          <w:p w14:paraId="4AF12ABC" w14:textId="3DEEC45E" w:rsidR="00684B94" w:rsidRPr="00777098" w:rsidRDefault="00777098" w:rsidP="002B133E">
            <w:pPr>
              <w:jc w:val="both"/>
              <w:rPr>
                <w:rFonts w:eastAsia="Times New Roman"/>
                <w:color w:val="414142"/>
                <w:sz w:val="24"/>
                <w:szCs w:val="24"/>
                <w:lang w:val="lv-LV" w:eastAsia="lv-LV"/>
              </w:rPr>
            </w:pPr>
            <w:r w:rsidRPr="00777098">
              <w:rPr>
                <w:color w:val="000000"/>
                <w:sz w:val="24"/>
                <w:szCs w:val="24"/>
                <w:lang w:val="lv-LV"/>
              </w:rPr>
              <w:t>Ar MK Noteikumu projektu  (4.un 6.punktu) tiek pārņemts</w:t>
            </w:r>
            <w:r w:rsidR="002B133E">
              <w:rPr>
                <w:color w:val="000000"/>
                <w:sz w:val="24"/>
                <w:szCs w:val="24"/>
                <w:lang w:val="lv-LV"/>
              </w:rPr>
              <w:t xml:space="preserve"> </w:t>
            </w:r>
            <w:bookmarkStart w:id="5" w:name="_GoBack"/>
            <w:bookmarkEnd w:id="5"/>
            <w:r>
              <w:rPr>
                <w:color w:val="000000"/>
                <w:sz w:val="24"/>
                <w:szCs w:val="24"/>
                <w:lang w:val="lv-LV"/>
              </w:rPr>
              <w:t>Pagaidu regulējuma</w:t>
            </w:r>
            <w:r w:rsidRPr="00777098">
              <w:rPr>
                <w:color w:val="000000"/>
                <w:sz w:val="24"/>
                <w:szCs w:val="24"/>
                <w:lang w:val="lv-LV"/>
              </w:rPr>
              <w:t xml:space="preserve"> ceturto grozījumu 25.punkts.</w:t>
            </w:r>
          </w:p>
        </w:tc>
      </w:tr>
    </w:tbl>
    <w:p w14:paraId="75F8D6BE" w14:textId="77777777" w:rsidR="00A5551D" w:rsidRPr="000E46A4" w:rsidRDefault="00A5551D" w:rsidP="00B043DE">
      <w:pPr>
        <w:contextualSpacing/>
        <w:rPr>
          <w:sz w:val="24"/>
          <w:szCs w:val="24"/>
          <w:lang w:val="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2"/>
        <w:gridCol w:w="2665"/>
        <w:gridCol w:w="6379"/>
      </w:tblGrid>
      <w:tr w:rsidR="006F4B13" w:rsidRPr="00256ACE" w14:paraId="7EEC0F00" w14:textId="77777777" w:rsidTr="00240921">
        <w:trPr>
          <w:trHeight w:val="421"/>
        </w:trPr>
        <w:tc>
          <w:tcPr>
            <w:tcW w:w="9356" w:type="dxa"/>
            <w:gridSpan w:val="3"/>
            <w:tcBorders>
              <w:top w:val="single" w:sz="2" w:space="0" w:color="auto"/>
            </w:tcBorders>
            <w:vAlign w:val="center"/>
          </w:tcPr>
          <w:p w14:paraId="7BCCE7F8" w14:textId="77777777" w:rsidR="006F4B13" w:rsidRPr="000E46A4" w:rsidRDefault="006F4B13" w:rsidP="00B043DE">
            <w:pPr>
              <w:ind w:left="57" w:right="57"/>
              <w:contextualSpacing/>
              <w:jc w:val="center"/>
              <w:rPr>
                <w:rFonts w:eastAsia="Times New Roman"/>
                <w:sz w:val="24"/>
                <w:szCs w:val="24"/>
                <w:lang w:val="lv-LV"/>
              </w:rPr>
            </w:pPr>
            <w:r w:rsidRPr="000E46A4">
              <w:rPr>
                <w:rFonts w:eastAsia="Times New Roman"/>
                <w:b/>
                <w:sz w:val="24"/>
                <w:szCs w:val="24"/>
                <w:lang w:val="lv-LV"/>
              </w:rPr>
              <w:t>VI. Sabiedrības līdzdalība un komunikācijas aktivitātes</w:t>
            </w:r>
          </w:p>
        </w:tc>
      </w:tr>
      <w:tr w:rsidR="006F4B13" w:rsidRPr="000E46A4" w14:paraId="6FEF54FD" w14:textId="77777777" w:rsidTr="00240921">
        <w:trPr>
          <w:trHeight w:val="553"/>
        </w:trPr>
        <w:tc>
          <w:tcPr>
            <w:tcW w:w="312" w:type="dxa"/>
          </w:tcPr>
          <w:p w14:paraId="41086138" w14:textId="77777777" w:rsidR="006F4B13" w:rsidRPr="000E46A4" w:rsidRDefault="006F4B13" w:rsidP="00B043DE">
            <w:pPr>
              <w:ind w:left="57" w:right="57"/>
              <w:contextualSpacing/>
              <w:jc w:val="both"/>
              <w:rPr>
                <w:sz w:val="24"/>
                <w:szCs w:val="24"/>
                <w:lang w:val="lv-LV"/>
              </w:rPr>
            </w:pPr>
            <w:r w:rsidRPr="000E46A4">
              <w:rPr>
                <w:sz w:val="24"/>
                <w:szCs w:val="24"/>
                <w:lang w:val="lv-LV"/>
              </w:rPr>
              <w:t>1.</w:t>
            </w:r>
          </w:p>
        </w:tc>
        <w:tc>
          <w:tcPr>
            <w:tcW w:w="2665" w:type="dxa"/>
          </w:tcPr>
          <w:p w14:paraId="798682AC" w14:textId="77777777" w:rsidR="006F4B13" w:rsidRPr="000E46A4" w:rsidRDefault="006F4B13" w:rsidP="00B043DE">
            <w:pPr>
              <w:tabs>
                <w:tab w:val="left" w:pos="170"/>
              </w:tabs>
              <w:ind w:left="57" w:right="57"/>
              <w:contextualSpacing/>
              <w:rPr>
                <w:rFonts w:eastAsia="PMingLiU"/>
                <w:sz w:val="24"/>
                <w:szCs w:val="24"/>
                <w:lang w:val="lv-LV" w:eastAsia="ja-JP"/>
              </w:rPr>
            </w:pPr>
            <w:r w:rsidRPr="000E46A4">
              <w:rPr>
                <w:rFonts w:eastAsia="PMingLiU"/>
                <w:sz w:val="24"/>
                <w:szCs w:val="24"/>
                <w:lang w:val="lv-LV" w:eastAsia="ja-JP"/>
              </w:rPr>
              <w:t>Plānotās sabiedrības līdzdalības un komunikācijas aktivitātes saistībā ar projektu</w:t>
            </w:r>
          </w:p>
        </w:tc>
        <w:tc>
          <w:tcPr>
            <w:tcW w:w="6379" w:type="dxa"/>
          </w:tcPr>
          <w:p w14:paraId="49F61F5E" w14:textId="1B32D275" w:rsidR="00151F22" w:rsidRPr="00E82FC7" w:rsidRDefault="00151F22" w:rsidP="00151F22">
            <w:pPr>
              <w:jc w:val="both"/>
              <w:rPr>
                <w:bCs/>
                <w:sz w:val="24"/>
                <w:szCs w:val="24"/>
                <w:lang w:val="lv-LV"/>
              </w:rPr>
            </w:pPr>
            <w:r w:rsidRPr="00E82FC7">
              <w:rPr>
                <w:bCs/>
                <w:sz w:val="24"/>
                <w:szCs w:val="24"/>
                <w:lang w:val="lv-LV"/>
              </w:rPr>
              <w:t xml:space="preserve">Sabiedrības līdzdalība </w:t>
            </w:r>
            <w:r w:rsidR="00777098">
              <w:rPr>
                <w:bCs/>
                <w:sz w:val="24"/>
                <w:szCs w:val="24"/>
                <w:lang w:val="lv-LV"/>
              </w:rPr>
              <w:t xml:space="preserve">MK </w:t>
            </w:r>
            <w:r w:rsidRPr="00E82FC7">
              <w:rPr>
                <w:bCs/>
                <w:sz w:val="24"/>
                <w:szCs w:val="24"/>
                <w:lang w:val="lv-LV"/>
              </w:rPr>
              <w:t>Noteikumu projekta izstrādē tiek īstenota atbilstoši Ministru kabineta 2009. gada 25. augusta noteikumiem Nr. 970 “Sabiedrības līdzdalības kārtība attīstības plānošanas procesā” 7.4.</w:t>
            </w:r>
            <w:r w:rsidRPr="00E82FC7">
              <w:rPr>
                <w:sz w:val="24"/>
                <w:szCs w:val="24"/>
                <w:vertAlign w:val="superscript"/>
                <w:lang w:val="lv-LV"/>
              </w:rPr>
              <w:t xml:space="preserve"> 1</w:t>
            </w:r>
            <w:r w:rsidRPr="00E82FC7">
              <w:rPr>
                <w:bCs/>
                <w:sz w:val="24"/>
                <w:szCs w:val="24"/>
                <w:lang w:val="lv-LV"/>
              </w:rPr>
              <w:t xml:space="preserve"> apakšpunktā, proti, sabiedrības pārstāvjiem tiek dota iespēja rakstiski sniegt viedokli par Noteikumu projektu tā izstrādes stadijā.</w:t>
            </w:r>
          </w:p>
          <w:p w14:paraId="384FFED0" w14:textId="30CF6EC0" w:rsidR="00D27E4D" w:rsidRPr="000E46A4" w:rsidRDefault="009C030C" w:rsidP="00B043DE">
            <w:pPr>
              <w:shd w:val="clear" w:color="auto" w:fill="FFFFFF"/>
              <w:ind w:right="113"/>
              <w:contextualSpacing/>
              <w:jc w:val="both"/>
              <w:rPr>
                <w:rFonts w:eastAsia="PMingLiU"/>
                <w:sz w:val="24"/>
                <w:szCs w:val="24"/>
                <w:lang w:val="lv-LV" w:eastAsia="ja-JP"/>
              </w:rPr>
            </w:pPr>
            <w:r w:rsidRPr="000E46A4">
              <w:rPr>
                <w:rFonts w:eastAsia="PMingLiU"/>
                <w:sz w:val="24"/>
                <w:szCs w:val="24"/>
                <w:lang w:val="lv-LV" w:eastAsia="ja-JP"/>
              </w:rPr>
              <w:t>S</w:t>
            </w:r>
            <w:r w:rsidR="001C70CC" w:rsidRPr="000E46A4">
              <w:rPr>
                <w:rFonts w:eastAsia="PMingLiU"/>
                <w:sz w:val="24"/>
                <w:szCs w:val="24"/>
                <w:lang w:val="lv-LV" w:eastAsia="ja-JP"/>
              </w:rPr>
              <w:t xml:space="preserve">abiedrības līdzdalība </w:t>
            </w:r>
            <w:r w:rsidR="00D27E4D" w:rsidRPr="000E46A4">
              <w:rPr>
                <w:rFonts w:eastAsia="PMingLiU"/>
                <w:sz w:val="24"/>
                <w:szCs w:val="24"/>
                <w:lang w:val="lv-LV" w:eastAsia="ja-JP"/>
              </w:rPr>
              <w:t xml:space="preserve">nodrošināta </w:t>
            </w:r>
            <w:r w:rsidR="000E46A4" w:rsidRPr="000E46A4">
              <w:rPr>
                <w:rFonts w:eastAsia="PMingLiU"/>
                <w:sz w:val="24"/>
                <w:szCs w:val="24"/>
                <w:lang w:val="lv-LV" w:eastAsia="ja-JP"/>
              </w:rPr>
              <w:t xml:space="preserve">no </w:t>
            </w:r>
            <w:r w:rsidR="003D0F93" w:rsidRPr="000E46A4">
              <w:rPr>
                <w:rFonts w:eastAsia="PMingLiU"/>
                <w:sz w:val="24"/>
                <w:szCs w:val="24"/>
                <w:lang w:val="lv-LV" w:eastAsia="ja-JP"/>
              </w:rPr>
              <w:t>2020.</w:t>
            </w:r>
            <w:r w:rsidR="00B63C0B" w:rsidRPr="000E46A4">
              <w:rPr>
                <w:rFonts w:eastAsia="PMingLiU"/>
                <w:sz w:val="24"/>
                <w:szCs w:val="24"/>
                <w:lang w:val="lv-LV" w:eastAsia="ja-JP"/>
              </w:rPr>
              <w:t xml:space="preserve">gada </w:t>
            </w:r>
            <w:r w:rsidR="000E46A4" w:rsidRPr="000E46A4">
              <w:rPr>
                <w:rFonts w:eastAsia="PMingLiU"/>
                <w:sz w:val="24"/>
                <w:szCs w:val="24"/>
                <w:lang w:val="lv-LV" w:eastAsia="ja-JP"/>
              </w:rPr>
              <w:t>5.novembra līdz 1</w:t>
            </w:r>
            <w:r w:rsidR="000E46A4">
              <w:rPr>
                <w:rFonts w:eastAsia="PMingLiU"/>
                <w:sz w:val="24"/>
                <w:szCs w:val="24"/>
                <w:lang w:val="lv-LV" w:eastAsia="ja-JP"/>
              </w:rPr>
              <w:t>6</w:t>
            </w:r>
            <w:r w:rsidR="000E46A4" w:rsidRPr="000E46A4">
              <w:rPr>
                <w:rFonts w:eastAsia="PMingLiU"/>
                <w:sz w:val="24"/>
                <w:szCs w:val="24"/>
                <w:lang w:val="lv-LV" w:eastAsia="ja-JP"/>
              </w:rPr>
              <w:t>.novembrim</w:t>
            </w:r>
            <w:r w:rsidR="00D27E4D" w:rsidRPr="000E46A4">
              <w:rPr>
                <w:rFonts w:eastAsia="PMingLiU"/>
                <w:sz w:val="24"/>
                <w:szCs w:val="24"/>
                <w:lang w:val="lv-LV" w:eastAsia="ja-JP"/>
              </w:rPr>
              <w:t xml:space="preserve">. </w:t>
            </w:r>
          </w:p>
        </w:tc>
      </w:tr>
      <w:tr w:rsidR="006F4B13" w:rsidRPr="00151F22" w14:paraId="3F5FD1CD" w14:textId="77777777" w:rsidTr="00240921">
        <w:trPr>
          <w:trHeight w:val="339"/>
        </w:trPr>
        <w:tc>
          <w:tcPr>
            <w:tcW w:w="312" w:type="dxa"/>
          </w:tcPr>
          <w:p w14:paraId="4B9C6F89" w14:textId="77777777" w:rsidR="006F4B13" w:rsidRPr="000E46A4" w:rsidRDefault="006F4B13" w:rsidP="00B043DE">
            <w:pPr>
              <w:ind w:left="57" w:right="57"/>
              <w:contextualSpacing/>
              <w:jc w:val="both"/>
              <w:rPr>
                <w:sz w:val="24"/>
                <w:szCs w:val="24"/>
                <w:lang w:val="lv-LV"/>
              </w:rPr>
            </w:pPr>
            <w:r w:rsidRPr="000E46A4">
              <w:rPr>
                <w:sz w:val="24"/>
                <w:szCs w:val="24"/>
                <w:lang w:val="lv-LV"/>
              </w:rPr>
              <w:t>2.</w:t>
            </w:r>
          </w:p>
        </w:tc>
        <w:tc>
          <w:tcPr>
            <w:tcW w:w="2665" w:type="dxa"/>
          </w:tcPr>
          <w:p w14:paraId="4B6FBDE6" w14:textId="77777777" w:rsidR="006F4B13" w:rsidRPr="000E46A4" w:rsidRDefault="006F4B13" w:rsidP="00B043DE">
            <w:pPr>
              <w:ind w:left="57" w:right="57"/>
              <w:contextualSpacing/>
              <w:rPr>
                <w:rFonts w:eastAsia="PMingLiU"/>
                <w:sz w:val="24"/>
                <w:szCs w:val="24"/>
                <w:lang w:val="lv-LV" w:eastAsia="ja-JP"/>
              </w:rPr>
            </w:pPr>
            <w:r w:rsidRPr="000E46A4">
              <w:rPr>
                <w:rFonts w:eastAsia="PMingLiU"/>
                <w:sz w:val="24"/>
                <w:szCs w:val="24"/>
                <w:lang w:val="lv-LV" w:eastAsia="ja-JP"/>
              </w:rPr>
              <w:t>Sabiedrības līdzdalība projekta izstrādē</w:t>
            </w:r>
          </w:p>
        </w:tc>
        <w:tc>
          <w:tcPr>
            <w:tcW w:w="6379" w:type="dxa"/>
          </w:tcPr>
          <w:p w14:paraId="200165B8" w14:textId="77777777" w:rsidR="00151F22" w:rsidRDefault="00151F22" w:rsidP="00151F22">
            <w:pPr>
              <w:shd w:val="clear" w:color="auto" w:fill="FFFFFF"/>
              <w:ind w:left="57" w:right="113"/>
              <w:contextualSpacing/>
              <w:jc w:val="both"/>
              <w:rPr>
                <w:rFonts w:eastAsia="PMingLiU"/>
                <w:sz w:val="24"/>
                <w:szCs w:val="24"/>
                <w:shd w:val="clear" w:color="auto" w:fill="FFFFFF"/>
                <w:lang w:val="lv-LV" w:eastAsia="ja-JP"/>
              </w:rPr>
            </w:pPr>
            <w:r>
              <w:rPr>
                <w:rFonts w:eastAsia="PMingLiU"/>
                <w:sz w:val="24"/>
                <w:szCs w:val="24"/>
                <w:shd w:val="clear" w:color="auto" w:fill="FFFFFF"/>
                <w:lang w:val="lv-LV" w:eastAsia="ja-JP"/>
              </w:rPr>
              <w:t xml:space="preserve">Ekonomikas ministrijas mājas lapā: </w:t>
            </w:r>
            <w:hyperlink r:id="rId10" w:history="1">
              <w:r w:rsidRPr="00B14C45">
                <w:rPr>
                  <w:rStyle w:val="Hyperlink"/>
                  <w:rFonts w:eastAsia="PMingLiU"/>
                  <w:sz w:val="24"/>
                  <w:szCs w:val="24"/>
                  <w:shd w:val="clear" w:color="auto" w:fill="FFFFFF"/>
                  <w:lang w:val="lv-LV" w:eastAsia="ja-JP"/>
                </w:rPr>
                <w:t>https://em.gov.lv/lv/Ministrija/sabiedribas_lidzdaliba/diskusiju_dokumenti/</w:t>
              </w:r>
            </w:hyperlink>
          </w:p>
          <w:p w14:paraId="09F90EB0" w14:textId="77777777" w:rsidR="00777098" w:rsidRDefault="00777098" w:rsidP="00151F22">
            <w:pPr>
              <w:shd w:val="clear" w:color="auto" w:fill="FFFFFF"/>
              <w:ind w:left="57" w:right="113"/>
              <w:contextualSpacing/>
              <w:jc w:val="both"/>
              <w:rPr>
                <w:rFonts w:eastAsia="PMingLiU"/>
                <w:sz w:val="24"/>
                <w:szCs w:val="24"/>
                <w:shd w:val="clear" w:color="auto" w:fill="FFFFFF"/>
                <w:lang w:val="lv-LV" w:eastAsia="ja-JP"/>
              </w:rPr>
            </w:pPr>
            <w:r>
              <w:rPr>
                <w:rFonts w:eastAsia="PMingLiU"/>
                <w:sz w:val="24"/>
                <w:szCs w:val="24"/>
                <w:shd w:val="clear" w:color="auto" w:fill="FFFFFF"/>
                <w:lang w:val="lv-LV" w:eastAsia="ja-JP"/>
              </w:rPr>
              <w:t>Valts kancelejas mājas lapā:</w:t>
            </w:r>
          </w:p>
          <w:p w14:paraId="18D5064F" w14:textId="644F7103" w:rsidR="00777098" w:rsidRPr="000E46A4" w:rsidRDefault="004022E2" w:rsidP="00151F22">
            <w:pPr>
              <w:shd w:val="clear" w:color="auto" w:fill="FFFFFF"/>
              <w:ind w:left="57" w:right="113"/>
              <w:contextualSpacing/>
              <w:jc w:val="both"/>
              <w:rPr>
                <w:rFonts w:eastAsia="PMingLiU"/>
                <w:sz w:val="24"/>
                <w:szCs w:val="24"/>
                <w:shd w:val="clear" w:color="auto" w:fill="FFFFFF"/>
                <w:lang w:val="lv-LV" w:eastAsia="ja-JP"/>
              </w:rPr>
            </w:pPr>
            <w:hyperlink r:id="rId11" w:history="1">
              <w:r w:rsidR="00777098" w:rsidRPr="00B14C45">
                <w:rPr>
                  <w:rStyle w:val="Hyperlink"/>
                  <w:rFonts w:eastAsia="PMingLiU"/>
                  <w:sz w:val="24"/>
                  <w:szCs w:val="24"/>
                  <w:shd w:val="clear" w:color="auto" w:fill="FFFFFF"/>
                  <w:lang w:val="lv-LV" w:eastAsia="ja-JP"/>
                </w:rPr>
                <w:t>https://www.mk.gov.lv/lv/content/sabiedribas-lidzdaliba</w:t>
              </w:r>
            </w:hyperlink>
            <w:r w:rsidR="00777098">
              <w:rPr>
                <w:rFonts w:eastAsia="PMingLiU"/>
                <w:sz w:val="24"/>
                <w:szCs w:val="24"/>
                <w:shd w:val="clear" w:color="auto" w:fill="FFFFFF"/>
                <w:lang w:val="lv-LV" w:eastAsia="ja-JP"/>
              </w:rPr>
              <w:t xml:space="preserve"> </w:t>
            </w:r>
          </w:p>
        </w:tc>
      </w:tr>
      <w:tr w:rsidR="006F4B13" w:rsidRPr="000E46A4" w14:paraId="0F937EA3" w14:textId="77777777" w:rsidTr="00240921">
        <w:trPr>
          <w:trHeight w:val="476"/>
        </w:trPr>
        <w:tc>
          <w:tcPr>
            <w:tcW w:w="312" w:type="dxa"/>
          </w:tcPr>
          <w:p w14:paraId="5A007BCA" w14:textId="77777777" w:rsidR="006F4B13" w:rsidRPr="000E46A4" w:rsidRDefault="006F4B13" w:rsidP="00B043DE">
            <w:pPr>
              <w:ind w:left="57" w:right="57"/>
              <w:contextualSpacing/>
              <w:jc w:val="both"/>
              <w:rPr>
                <w:sz w:val="24"/>
                <w:szCs w:val="24"/>
                <w:lang w:val="lv-LV"/>
              </w:rPr>
            </w:pPr>
            <w:r w:rsidRPr="000E46A4">
              <w:rPr>
                <w:sz w:val="24"/>
                <w:szCs w:val="24"/>
                <w:lang w:val="lv-LV"/>
              </w:rPr>
              <w:t>3.</w:t>
            </w:r>
          </w:p>
        </w:tc>
        <w:tc>
          <w:tcPr>
            <w:tcW w:w="2665" w:type="dxa"/>
          </w:tcPr>
          <w:p w14:paraId="5F99D7D0" w14:textId="77777777" w:rsidR="006F4B13" w:rsidRPr="000E46A4" w:rsidRDefault="006F4B13" w:rsidP="00B043DE">
            <w:pPr>
              <w:ind w:left="57" w:right="57"/>
              <w:contextualSpacing/>
              <w:rPr>
                <w:rFonts w:eastAsia="PMingLiU"/>
                <w:sz w:val="24"/>
                <w:szCs w:val="24"/>
                <w:lang w:val="lv-LV" w:eastAsia="ja-JP"/>
              </w:rPr>
            </w:pPr>
            <w:r w:rsidRPr="000E46A4">
              <w:rPr>
                <w:rFonts w:eastAsia="PMingLiU"/>
                <w:sz w:val="24"/>
                <w:szCs w:val="24"/>
                <w:lang w:val="lv-LV" w:eastAsia="ja-JP"/>
              </w:rPr>
              <w:t>Sabiedrības līdzdalības rezultāti</w:t>
            </w:r>
          </w:p>
        </w:tc>
        <w:tc>
          <w:tcPr>
            <w:tcW w:w="6379" w:type="dxa"/>
          </w:tcPr>
          <w:p w14:paraId="2BF921D4" w14:textId="56AF799F" w:rsidR="006F4B13" w:rsidRPr="000E46A4" w:rsidRDefault="00151F22" w:rsidP="00B043DE">
            <w:pPr>
              <w:shd w:val="clear" w:color="auto" w:fill="FFFFFF"/>
              <w:ind w:left="57" w:right="113"/>
              <w:contextualSpacing/>
              <w:jc w:val="both"/>
              <w:rPr>
                <w:rFonts w:eastAsia="PMingLiU"/>
                <w:sz w:val="24"/>
                <w:szCs w:val="24"/>
                <w:shd w:val="clear" w:color="auto" w:fill="FFFFFF"/>
                <w:lang w:val="lv-LV" w:eastAsia="ja-JP"/>
              </w:rPr>
            </w:pPr>
            <w:r>
              <w:rPr>
                <w:rFonts w:eastAsia="PMingLiU"/>
                <w:sz w:val="24"/>
                <w:szCs w:val="24"/>
                <w:shd w:val="clear" w:color="auto" w:fill="FFFFFF"/>
                <w:lang w:val="lv-LV" w:eastAsia="ja-JP"/>
              </w:rPr>
              <w:t>Tiks papildināts atbilstoši aktivitātei</w:t>
            </w:r>
            <w:r w:rsidR="00777098">
              <w:rPr>
                <w:rFonts w:eastAsia="PMingLiU"/>
                <w:sz w:val="24"/>
                <w:szCs w:val="24"/>
                <w:shd w:val="clear" w:color="auto" w:fill="FFFFFF"/>
                <w:lang w:val="lv-LV" w:eastAsia="ja-JP"/>
              </w:rPr>
              <w:t>.</w:t>
            </w:r>
          </w:p>
        </w:tc>
      </w:tr>
      <w:tr w:rsidR="006F4B13" w:rsidRPr="000E46A4" w14:paraId="13638F96" w14:textId="77777777" w:rsidTr="00240921">
        <w:trPr>
          <w:trHeight w:val="205"/>
        </w:trPr>
        <w:tc>
          <w:tcPr>
            <w:tcW w:w="312" w:type="dxa"/>
          </w:tcPr>
          <w:p w14:paraId="286DE4AB" w14:textId="77777777" w:rsidR="006F4B13" w:rsidRPr="000E46A4" w:rsidRDefault="006F4B13" w:rsidP="00B043DE">
            <w:pPr>
              <w:ind w:left="57" w:right="57"/>
              <w:contextualSpacing/>
              <w:jc w:val="both"/>
              <w:rPr>
                <w:sz w:val="24"/>
                <w:szCs w:val="24"/>
                <w:lang w:val="lv-LV"/>
              </w:rPr>
            </w:pPr>
            <w:r w:rsidRPr="000E46A4">
              <w:rPr>
                <w:sz w:val="24"/>
                <w:szCs w:val="24"/>
                <w:lang w:val="lv-LV"/>
              </w:rPr>
              <w:t>4.</w:t>
            </w:r>
          </w:p>
        </w:tc>
        <w:tc>
          <w:tcPr>
            <w:tcW w:w="2665" w:type="dxa"/>
          </w:tcPr>
          <w:p w14:paraId="1AEA4978" w14:textId="77777777" w:rsidR="006F4B13" w:rsidRPr="000E46A4" w:rsidRDefault="006F4B13" w:rsidP="00B043DE">
            <w:pPr>
              <w:ind w:left="57" w:right="57"/>
              <w:contextualSpacing/>
              <w:rPr>
                <w:rFonts w:eastAsia="PMingLiU"/>
                <w:sz w:val="24"/>
                <w:szCs w:val="24"/>
                <w:lang w:val="lv-LV" w:eastAsia="ja-JP"/>
              </w:rPr>
            </w:pPr>
            <w:r w:rsidRPr="000E46A4">
              <w:rPr>
                <w:rFonts w:eastAsia="PMingLiU"/>
                <w:sz w:val="24"/>
                <w:szCs w:val="24"/>
                <w:lang w:val="lv-LV" w:eastAsia="ja-JP"/>
              </w:rPr>
              <w:t>Cita informācija</w:t>
            </w:r>
          </w:p>
        </w:tc>
        <w:tc>
          <w:tcPr>
            <w:tcW w:w="6379" w:type="dxa"/>
          </w:tcPr>
          <w:p w14:paraId="29112FCD" w14:textId="5927F71D" w:rsidR="006F4B13" w:rsidRPr="000E46A4" w:rsidRDefault="006F4B13" w:rsidP="00B043DE">
            <w:pPr>
              <w:ind w:left="57" w:right="113"/>
              <w:contextualSpacing/>
              <w:jc w:val="both"/>
              <w:rPr>
                <w:rFonts w:eastAsia="PMingLiU"/>
                <w:sz w:val="24"/>
                <w:szCs w:val="24"/>
                <w:lang w:val="lv-LV" w:eastAsia="ja-JP"/>
              </w:rPr>
            </w:pPr>
            <w:r w:rsidRPr="000E46A4">
              <w:rPr>
                <w:rFonts w:eastAsia="PMingLiU"/>
                <w:sz w:val="24"/>
                <w:szCs w:val="24"/>
                <w:lang w:val="lv-LV" w:eastAsia="ja-JP"/>
              </w:rPr>
              <w:t>Nav</w:t>
            </w:r>
          </w:p>
        </w:tc>
      </w:tr>
    </w:tbl>
    <w:p w14:paraId="07B85D36" w14:textId="1E6EF1D8" w:rsidR="00844176" w:rsidRPr="00A658C7" w:rsidRDefault="00844176" w:rsidP="00B043DE">
      <w:pPr>
        <w:contextualSpacing/>
        <w:rPr>
          <w:rFonts w:eastAsia="Times New Roman"/>
          <w:sz w:val="24"/>
          <w:szCs w:val="24"/>
          <w:highlight w:val="yellow"/>
          <w:lang w:val="lv-LV" w:eastAsia="lv-LV"/>
        </w:rPr>
      </w:pPr>
    </w:p>
    <w:tbl>
      <w:tblPr>
        <w:tblW w:w="934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68"/>
        <w:gridCol w:w="2701"/>
        <w:gridCol w:w="6379"/>
      </w:tblGrid>
      <w:tr w:rsidR="00844176" w:rsidRPr="00256ACE" w14:paraId="72278BCA" w14:textId="77777777" w:rsidTr="00240921">
        <w:trPr>
          <w:trHeight w:val="375"/>
        </w:trPr>
        <w:tc>
          <w:tcPr>
            <w:tcW w:w="9348" w:type="dxa"/>
            <w:gridSpan w:val="3"/>
            <w:tcBorders>
              <w:top w:val="outset" w:sz="6" w:space="0" w:color="414142"/>
              <w:left w:val="outset" w:sz="6" w:space="0" w:color="414142"/>
              <w:bottom w:val="outset" w:sz="6" w:space="0" w:color="414142"/>
              <w:right w:val="outset" w:sz="6" w:space="0" w:color="414142"/>
            </w:tcBorders>
            <w:hideMark/>
          </w:tcPr>
          <w:p w14:paraId="34C12EA7" w14:textId="53912CA3" w:rsidR="00844176" w:rsidRPr="000E46A4" w:rsidRDefault="00844176" w:rsidP="00B043DE">
            <w:pPr>
              <w:ind w:firstLine="300"/>
              <w:jc w:val="center"/>
              <w:rPr>
                <w:rFonts w:eastAsia="Times New Roman"/>
                <w:sz w:val="24"/>
                <w:szCs w:val="24"/>
                <w:lang w:val="lv-LV" w:eastAsia="lv-LV"/>
              </w:rPr>
            </w:pPr>
            <w:r w:rsidRPr="000E46A4">
              <w:rPr>
                <w:b/>
                <w:sz w:val="24"/>
                <w:szCs w:val="24"/>
                <w:lang w:val="lv-LV"/>
              </w:rPr>
              <w:t>VII. Tiesību akta projekta izpildes nodrošināšana un tās ietekme uz institūcijām</w:t>
            </w:r>
          </w:p>
        </w:tc>
      </w:tr>
      <w:tr w:rsidR="00844176" w:rsidRPr="000E46A4" w14:paraId="3BE578E7" w14:textId="77777777" w:rsidTr="00240921">
        <w:trPr>
          <w:trHeight w:val="420"/>
        </w:trPr>
        <w:tc>
          <w:tcPr>
            <w:tcW w:w="268" w:type="dxa"/>
            <w:tcBorders>
              <w:top w:val="outset" w:sz="6" w:space="0" w:color="414142"/>
              <w:left w:val="outset" w:sz="6" w:space="0" w:color="414142"/>
              <w:bottom w:val="outset" w:sz="6" w:space="0" w:color="414142"/>
              <w:right w:val="outset" w:sz="6" w:space="0" w:color="414142"/>
            </w:tcBorders>
            <w:hideMark/>
          </w:tcPr>
          <w:p w14:paraId="722ABD64" w14:textId="77777777" w:rsidR="00844176" w:rsidRPr="000E46A4" w:rsidRDefault="00844176" w:rsidP="00B043DE">
            <w:pPr>
              <w:contextualSpacing/>
              <w:rPr>
                <w:rFonts w:eastAsia="Times New Roman"/>
                <w:sz w:val="24"/>
                <w:szCs w:val="24"/>
                <w:lang w:val="lv-LV" w:eastAsia="lv-LV"/>
              </w:rPr>
            </w:pPr>
            <w:r w:rsidRPr="000E46A4">
              <w:rPr>
                <w:sz w:val="24"/>
                <w:szCs w:val="24"/>
                <w:lang w:val="lv-LV"/>
              </w:rPr>
              <w:t>1.</w:t>
            </w:r>
          </w:p>
        </w:tc>
        <w:tc>
          <w:tcPr>
            <w:tcW w:w="2701" w:type="dxa"/>
            <w:tcBorders>
              <w:top w:val="outset" w:sz="6" w:space="0" w:color="414142"/>
              <w:left w:val="outset" w:sz="6" w:space="0" w:color="414142"/>
              <w:bottom w:val="outset" w:sz="6" w:space="0" w:color="414142"/>
              <w:right w:val="outset" w:sz="6" w:space="0" w:color="414142"/>
            </w:tcBorders>
            <w:hideMark/>
          </w:tcPr>
          <w:p w14:paraId="6CB08CA7" w14:textId="77777777" w:rsidR="00844176" w:rsidRPr="000E46A4" w:rsidRDefault="00844176" w:rsidP="00B043DE">
            <w:pPr>
              <w:ind w:right="112"/>
              <w:contextualSpacing/>
              <w:jc w:val="both"/>
              <w:rPr>
                <w:sz w:val="24"/>
                <w:szCs w:val="24"/>
                <w:lang w:val="lv-LV"/>
              </w:rPr>
            </w:pPr>
            <w:r w:rsidRPr="000E46A4">
              <w:rPr>
                <w:sz w:val="24"/>
                <w:szCs w:val="24"/>
                <w:lang w:val="lv-LV"/>
              </w:rPr>
              <w:t>Projekta izpildē iesaistītās institūcijas</w:t>
            </w:r>
          </w:p>
        </w:tc>
        <w:tc>
          <w:tcPr>
            <w:tcW w:w="6379" w:type="dxa"/>
            <w:tcBorders>
              <w:top w:val="outset" w:sz="6" w:space="0" w:color="414142"/>
              <w:left w:val="outset" w:sz="6" w:space="0" w:color="414142"/>
              <w:bottom w:val="outset" w:sz="6" w:space="0" w:color="414142"/>
              <w:right w:val="outset" w:sz="6" w:space="0" w:color="414142"/>
            </w:tcBorders>
            <w:hideMark/>
          </w:tcPr>
          <w:p w14:paraId="4C10CF17" w14:textId="1EC3A696" w:rsidR="00844176" w:rsidRPr="000E46A4" w:rsidRDefault="00844176" w:rsidP="00B043DE">
            <w:pPr>
              <w:ind w:left="82" w:right="161"/>
              <w:contextualSpacing/>
              <w:jc w:val="both"/>
              <w:rPr>
                <w:sz w:val="24"/>
                <w:szCs w:val="24"/>
                <w:lang w:val="lv-LV"/>
              </w:rPr>
            </w:pPr>
            <w:r w:rsidRPr="000E46A4">
              <w:rPr>
                <w:sz w:val="24"/>
                <w:szCs w:val="24"/>
                <w:lang w:val="lv-LV"/>
              </w:rPr>
              <w:t>E</w:t>
            </w:r>
            <w:r w:rsidR="00733C32" w:rsidRPr="000E46A4">
              <w:rPr>
                <w:sz w:val="24"/>
                <w:szCs w:val="24"/>
                <w:lang w:val="lv-LV"/>
              </w:rPr>
              <w:t>konomikas ministrija</w:t>
            </w:r>
            <w:r w:rsidR="0074545C" w:rsidRPr="000E46A4">
              <w:rPr>
                <w:sz w:val="24"/>
                <w:szCs w:val="24"/>
                <w:lang w:val="lv-LV"/>
              </w:rPr>
              <w:t>, sabiedrība</w:t>
            </w:r>
            <w:r w:rsidR="00733C32" w:rsidRPr="000E46A4">
              <w:rPr>
                <w:sz w:val="24"/>
                <w:szCs w:val="24"/>
                <w:lang w:val="lv-LV"/>
              </w:rPr>
              <w:t xml:space="preserve"> “Altum”</w:t>
            </w:r>
          </w:p>
        </w:tc>
      </w:tr>
      <w:tr w:rsidR="00844176" w:rsidRPr="00256ACE" w14:paraId="2CF2C3EA" w14:textId="77777777" w:rsidTr="00240921">
        <w:trPr>
          <w:trHeight w:val="450"/>
        </w:trPr>
        <w:tc>
          <w:tcPr>
            <w:tcW w:w="268" w:type="dxa"/>
            <w:tcBorders>
              <w:top w:val="outset" w:sz="6" w:space="0" w:color="414142"/>
              <w:left w:val="outset" w:sz="6" w:space="0" w:color="414142"/>
              <w:bottom w:val="outset" w:sz="6" w:space="0" w:color="414142"/>
              <w:right w:val="outset" w:sz="6" w:space="0" w:color="414142"/>
            </w:tcBorders>
            <w:hideMark/>
          </w:tcPr>
          <w:p w14:paraId="6D5BFDB2" w14:textId="77777777" w:rsidR="00844176" w:rsidRPr="000E46A4" w:rsidRDefault="00844176" w:rsidP="00B043DE">
            <w:pPr>
              <w:contextualSpacing/>
              <w:rPr>
                <w:rFonts w:eastAsia="Times New Roman"/>
                <w:sz w:val="24"/>
                <w:szCs w:val="24"/>
                <w:lang w:val="lv-LV" w:eastAsia="lv-LV"/>
              </w:rPr>
            </w:pPr>
            <w:r w:rsidRPr="000E46A4">
              <w:rPr>
                <w:sz w:val="24"/>
                <w:szCs w:val="24"/>
                <w:lang w:val="lv-LV"/>
              </w:rPr>
              <w:t>2.</w:t>
            </w:r>
          </w:p>
        </w:tc>
        <w:tc>
          <w:tcPr>
            <w:tcW w:w="2701" w:type="dxa"/>
            <w:tcBorders>
              <w:top w:val="outset" w:sz="6" w:space="0" w:color="414142"/>
              <w:left w:val="outset" w:sz="6" w:space="0" w:color="414142"/>
              <w:bottom w:val="outset" w:sz="6" w:space="0" w:color="414142"/>
              <w:right w:val="outset" w:sz="6" w:space="0" w:color="414142"/>
            </w:tcBorders>
            <w:hideMark/>
          </w:tcPr>
          <w:p w14:paraId="7D209650" w14:textId="77777777" w:rsidR="00844176" w:rsidRPr="000E46A4" w:rsidRDefault="00844176" w:rsidP="00B043DE">
            <w:pPr>
              <w:ind w:right="112"/>
              <w:contextualSpacing/>
              <w:jc w:val="both"/>
              <w:rPr>
                <w:sz w:val="24"/>
                <w:szCs w:val="24"/>
                <w:lang w:val="lv-LV"/>
              </w:rPr>
            </w:pPr>
            <w:r w:rsidRPr="000E46A4">
              <w:rPr>
                <w:sz w:val="24"/>
                <w:szCs w:val="24"/>
                <w:lang w:val="lv-LV"/>
              </w:rPr>
              <w:t>Projekta izpildes ietekme uz pārvaldes funkcijām un institucionālo struktūru. Jaunu institūciju izveide, esošu institūciju likvidācija vai reorganizācija, to ietekme uz institūcijas cilvēkresursiem.</w:t>
            </w:r>
          </w:p>
        </w:tc>
        <w:tc>
          <w:tcPr>
            <w:tcW w:w="6379" w:type="dxa"/>
            <w:tcBorders>
              <w:top w:val="outset" w:sz="6" w:space="0" w:color="414142"/>
              <w:left w:val="outset" w:sz="6" w:space="0" w:color="414142"/>
              <w:bottom w:val="outset" w:sz="6" w:space="0" w:color="414142"/>
              <w:right w:val="outset" w:sz="6" w:space="0" w:color="414142"/>
            </w:tcBorders>
            <w:hideMark/>
          </w:tcPr>
          <w:p w14:paraId="5F5A7977" w14:textId="1BAAF187" w:rsidR="00844176" w:rsidRPr="000E46A4" w:rsidRDefault="003D0F93" w:rsidP="00B043DE">
            <w:pPr>
              <w:ind w:left="82" w:right="161"/>
              <w:contextualSpacing/>
              <w:jc w:val="both"/>
              <w:rPr>
                <w:sz w:val="24"/>
                <w:szCs w:val="24"/>
                <w:lang w:val="lv-LV"/>
              </w:rPr>
            </w:pPr>
            <w:r w:rsidRPr="000E46A4">
              <w:rPr>
                <w:rFonts w:eastAsia="Times New Roman"/>
                <w:iCs/>
                <w:sz w:val="24"/>
                <w:szCs w:val="24"/>
                <w:lang w:val="lv-LV"/>
              </w:rPr>
              <w:t>MK Noteikumu projekt</w:t>
            </w:r>
            <w:r w:rsidR="00D06C14">
              <w:rPr>
                <w:rFonts w:eastAsia="Times New Roman"/>
                <w:iCs/>
                <w:sz w:val="24"/>
                <w:szCs w:val="24"/>
                <w:lang w:val="lv-LV"/>
              </w:rPr>
              <w:t>a</w:t>
            </w:r>
            <w:r w:rsidRPr="000E46A4" w:rsidDel="003D0F93">
              <w:rPr>
                <w:sz w:val="24"/>
                <w:szCs w:val="24"/>
                <w:lang w:val="lv-LV"/>
              </w:rPr>
              <w:t xml:space="preserve"> </w:t>
            </w:r>
            <w:r w:rsidR="00733C32" w:rsidRPr="000E46A4">
              <w:rPr>
                <w:sz w:val="24"/>
                <w:szCs w:val="24"/>
                <w:lang w:val="lv-LV"/>
              </w:rPr>
              <w:t>izpilde tiks nodrošināta Ekonomikas ministrijas</w:t>
            </w:r>
            <w:r w:rsidR="00844176" w:rsidRPr="000E46A4">
              <w:rPr>
                <w:sz w:val="24"/>
                <w:szCs w:val="24"/>
                <w:lang w:val="lv-LV"/>
              </w:rPr>
              <w:t xml:space="preserve"> un </w:t>
            </w:r>
            <w:r w:rsidR="0074545C" w:rsidRPr="000E46A4">
              <w:rPr>
                <w:sz w:val="24"/>
                <w:szCs w:val="24"/>
                <w:lang w:val="lv-LV"/>
              </w:rPr>
              <w:t>sabiedrības</w:t>
            </w:r>
            <w:r w:rsidR="00733C32" w:rsidRPr="000E46A4">
              <w:rPr>
                <w:sz w:val="24"/>
                <w:szCs w:val="24"/>
                <w:lang w:val="lv-LV"/>
              </w:rPr>
              <w:t xml:space="preserve"> “Altum” </w:t>
            </w:r>
            <w:r w:rsidR="00844176" w:rsidRPr="000E46A4">
              <w:rPr>
                <w:sz w:val="24"/>
                <w:szCs w:val="24"/>
                <w:lang w:val="lv-LV"/>
              </w:rPr>
              <w:t xml:space="preserve">esošo funkciju </w:t>
            </w:r>
            <w:r w:rsidR="002B7681" w:rsidRPr="000E46A4">
              <w:rPr>
                <w:sz w:val="24"/>
                <w:szCs w:val="24"/>
                <w:lang w:val="lv-LV"/>
              </w:rPr>
              <w:t xml:space="preserve">un cilvēkresursu </w:t>
            </w:r>
            <w:r w:rsidR="00844176" w:rsidRPr="000E46A4">
              <w:rPr>
                <w:sz w:val="24"/>
                <w:szCs w:val="24"/>
                <w:lang w:val="lv-LV"/>
              </w:rPr>
              <w:t>ietvaros</w:t>
            </w:r>
            <w:r w:rsidR="002B7681" w:rsidRPr="000E46A4">
              <w:rPr>
                <w:sz w:val="24"/>
                <w:szCs w:val="24"/>
                <w:lang w:val="lv-LV"/>
              </w:rPr>
              <w:t>, kā arī nav paredzēta jaunu institūciju izveide, esošu institūciju likvidācija vai reorganizācija</w:t>
            </w:r>
            <w:r w:rsidR="00844176" w:rsidRPr="000E46A4">
              <w:rPr>
                <w:sz w:val="24"/>
                <w:szCs w:val="24"/>
                <w:lang w:val="lv-LV"/>
              </w:rPr>
              <w:t>.</w:t>
            </w:r>
          </w:p>
        </w:tc>
      </w:tr>
      <w:tr w:rsidR="00844176" w:rsidRPr="000E46A4" w14:paraId="2EBACAF6" w14:textId="77777777" w:rsidTr="00240921">
        <w:trPr>
          <w:trHeight w:val="390"/>
        </w:trPr>
        <w:tc>
          <w:tcPr>
            <w:tcW w:w="268" w:type="dxa"/>
            <w:tcBorders>
              <w:top w:val="outset" w:sz="6" w:space="0" w:color="414142"/>
              <w:left w:val="outset" w:sz="6" w:space="0" w:color="414142"/>
              <w:bottom w:val="outset" w:sz="6" w:space="0" w:color="414142"/>
              <w:right w:val="outset" w:sz="6" w:space="0" w:color="414142"/>
            </w:tcBorders>
            <w:hideMark/>
          </w:tcPr>
          <w:p w14:paraId="7852C13F" w14:textId="77777777" w:rsidR="00844176" w:rsidRPr="000E46A4" w:rsidRDefault="00844176" w:rsidP="00B043DE">
            <w:pPr>
              <w:contextualSpacing/>
              <w:rPr>
                <w:rFonts w:eastAsia="Times New Roman"/>
                <w:sz w:val="24"/>
                <w:szCs w:val="24"/>
                <w:lang w:val="lv-LV" w:eastAsia="lv-LV"/>
              </w:rPr>
            </w:pPr>
            <w:r w:rsidRPr="000E46A4">
              <w:rPr>
                <w:sz w:val="24"/>
                <w:szCs w:val="24"/>
                <w:lang w:val="lv-LV"/>
              </w:rPr>
              <w:t>3.</w:t>
            </w:r>
          </w:p>
        </w:tc>
        <w:tc>
          <w:tcPr>
            <w:tcW w:w="2701" w:type="dxa"/>
            <w:tcBorders>
              <w:top w:val="outset" w:sz="6" w:space="0" w:color="414142"/>
              <w:left w:val="outset" w:sz="6" w:space="0" w:color="414142"/>
              <w:bottom w:val="outset" w:sz="6" w:space="0" w:color="414142"/>
              <w:right w:val="outset" w:sz="6" w:space="0" w:color="414142"/>
            </w:tcBorders>
            <w:hideMark/>
          </w:tcPr>
          <w:p w14:paraId="19CC748B" w14:textId="77777777" w:rsidR="00844176" w:rsidRPr="000E46A4" w:rsidRDefault="00844176" w:rsidP="00B043DE">
            <w:pPr>
              <w:contextualSpacing/>
              <w:jc w:val="both"/>
              <w:rPr>
                <w:rFonts w:eastAsia="Times New Roman"/>
                <w:sz w:val="24"/>
                <w:szCs w:val="24"/>
                <w:lang w:val="lv-LV" w:eastAsia="lv-LV"/>
              </w:rPr>
            </w:pPr>
            <w:r w:rsidRPr="000E46A4">
              <w:rPr>
                <w:rFonts w:eastAsia="Times New Roman"/>
                <w:sz w:val="24"/>
                <w:szCs w:val="24"/>
                <w:lang w:val="lv-LV" w:eastAsia="lv-LV"/>
              </w:rPr>
              <w:t>Cita informācija</w:t>
            </w:r>
          </w:p>
        </w:tc>
        <w:tc>
          <w:tcPr>
            <w:tcW w:w="6379" w:type="dxa"/>
            <w:tcBorders>
              <w:top w:val="outset" w:sz="6" w:space="0" w:color="414142"/>
              <w:left w:val="outset" w:sz="6" w:space="0" w:color="414142"/>
              <w:bottom w:val="outset" w:sz="6" w:space="0" w:color="414142"/>
              <w:right w:val="outset" w:sz="6" w:space="0" w:color="414142"/>
            </w:tcBorders>
            <w:hideMark/>
          </w:tcPr>
          <w:p w14:paraId="539FA647" w14:textId="77777777" w:rsidR="00844176" w:rsidRPr="000E46A4" w:rsidRDefault="00844176" w:rsidP="00B043DE">
            <w:pPr>
              <w:contextualSpacing/>
              <w:jc w:val="both"/>
              <w:rPr>
                <w:rFonts w:eastAsia="Times New Roman"/>
                <w:sz w:val="24"/>
                <w:szCs w:val="24"/>
                <w:lang w:val="lv-LV" w:eastAsia="lv-LV"/>
              </w:rPr>
            </w:pPr>
            <w:r w:rsidRPr="000E46A4">
              <w:rPr>
                <w:rFonts w:eastAsia="Times New Roman"/>
                <w:sz w:val="24"/>
                <w:szCs w:val="24"/>
                <w:lang w:val="lv-LV" w:eastAsia="lv-LV"/>
              </w:rPr>
              <w:t>Nav</w:t>
            </w:r>
          </w:p>
        </w:tc>
      </w:tr>
    </w:tbl>
    <w:p w14:paraId="44C4F269" w14:textId="77777777" w:rsidR="00FA4414" w:rsidRPr="000E46A4" w:rsidRDefault="00FA4414" w:rsidP="00B043DE">
      <w:pPr>
        <w:contextualSpacing/>
        <w:jc w:val="both"/>
        <w:rPr>
          <w:rFonts w:eastAsia="Times New Roman"/>
          <w:iCs/>
          <w:sz w:val="24"/>
          <w:szCs w:val="24"/>
          <w:lang w:val="lv-LV"/>
        </w:rPr>
      </w:pPr>
    </w:p>
    <w:p w14:paraId="3C97E095" w14:textId="77777777" w:rsidR="00FA4414" w:rsidRPr="000E46A4" w:rsidRDefault="00FA4414" w:rsidP="003D0F93">
      <w:pPr>
        <w:ind w:firstLine="709"/>
        <w:jc w:val="both"/>
        <w:rPr>
          <w:sz w:val="24"/>
          <w:szCs w:val="24"/>
          <w:lang w:val="lv-LV"/>
        </w:rPr>
      </w:pPr>
    </w:p>
    <w:p w14:paraId="67755341" w14:textId="463A1080" w:rsidR="003D0F93" w:rsidRPr="000E46A4" w:rsidRDefault="003D0F93" w:rsidP="003D0F93">
      <w:pPr>
        <w:ind w:firstLine="709"/>
        <w:jc w:val="both"/>
        <w:rPr>
          <w:b/>
          <w:bCs/>
          <w:sz w:val="24"/>
          <w:szCs w:val="24"/>
          <w:lang w:val="lv-LV"/>
        </w:rPr>
      </w:pPr>
      <w:r w:rsidRPr="000E46A4">
        <w:rPr>
          <w:b/>
          <w:bCs/>
          <w:sz w:val="24"/>
          <w:szCs w:val="24"/>
          <w:lang w:val="lv-LV"/>
        </w:rPr>
        <w:t>Ekonomikas ministrs</w:t>
      </w:r>
      <w:r w:rsidRPr="000E46A4">
        <w:rPr>
          <w:b/>
          <w:bCs/>
          <w:sz w:val="24"/>
          <w:szCs w:val="24"/>
          <w:lang w:val="lv-LV"/>
        </w:rPr>
        <w:tab/>
      </w:r>
      <w:r w:rsidRPr="000E46A4">
        <w:rPr>
          <w:b/>
          <w:bCs/>
          <w:sz w:val="24"/>
          <w:szCs w:val="24"/>
          <w:lang w:val="lv-LV"/>
        </w:rPr>
        <w:tab/>
      </w:r>
      <w:r w:rsidRPr="000E46A4">
        <w:rPr>
          <w:b/>
          <w:bCs/>
          <w:sz w:val="24"/>
          <w:szCs w:val="24"/>
          <w:lang w:val="lv-LV"/>
        </w:rPr>
        <w:tab/>
      </w:r>
      <w:r w:rsidRPr="000E46A4">
        <w:rPr>
          <w:b/>
          <w:bCs/>
          <w:sz w:val="24"/>
          <w:szCs w:val="24"/>
          <w:lang w:val="lv-LV"/>
        </w:rPr>
        <w:tab/>
      </w:r>
      <w:r w:rsidRPr="000E46A4">
        <w:rPr>
          <w:b/>
          <w:bCs/>
          <w:sz w:val="24"/>
          <w:szCs w:val="24"/>
          <w:lang w:val="lv-LV"/>
        </w:rPr>
        <w:tab/>
      </w:r>
      <w:r w:rsidRPr="000E46A4">
        <w:rPr>
          <w:b/>
          <w:bCs/>
          <w:sz w:val="24"/>
          <w:szCs w:val="24"/>
          <w:lang w:val="lv-LV"/>
        </w:rPr>
        <w:tab/>
        <w:t>Jānis Vitenbergs</w:t>
      </w:r>
    </w:p>
    <w:p w14:paraId="7EA4A4E0" w14:textId="54602C65" w:rsidR="003D0F93" w:rsidRPr="00777098" w:rsidRDefault="003D0F93" w:rsidP="00777098">
      <w:pPr>
        <w:rPr>
          <w:sz w:val="24"/>
          <w:szCs w:val="24"/>
          <w:lang w:val="lv-LV"/>
        </w:rPr>
      </w:pPr>
      <w:r w:rsidRPr="00777098">
        <w:rPr>
          <w:sz w:val="24"/>
          <w:szCs w:val="24"/>
          <w:lang w:val="lv-LV"/>
        </w:rPr>
        <w:tab/>
        <w:t>Vīza:</w:t>
      </w:r>
      <w:r w:rsidR="000E46A4" w:rsidRPr="00777098">
        <w:rPr>
          <w:sz w:val="24"/>
          <w:szCs w:val="24"/>
          <w:lang w:val="lv-LV"/>
        </w:rPr>
        <w:tab/>
      </w:r>
    </w:p>
    <w:p w14:paraId="3BBE9E2B" w14:textId="2227F70D" w:rsidR="003D0F93" w:rsidRPr="000E46A4" w:rsidRDefault="003D0F93" w:rsidP="00BB1455">
      <w:pPr>
        <w:tabs>
          <w:tab w:val="left" w:pos="6237"/>
        </w:tabs>
        <w:ind w:firstLine="720"/>
        <w:contextualSpacing/>
        <w:rPr>
          <w:b/>
          <w:bCs/>
          <w:sz w:val="24"/>
          <w:szCs w:val="24"/>
          <w:lang w:val="lv-LV"/>
        </w:rPr>
      </w:pPr>
      <w:r w:rsidRPr="000E46A4">
        <w:rPr>
          <w:b/>
          <w:bCs/>
          <w:sz w:val="24"/>
          <w:szCs w:val="24"/>
          <w:lang w:val="lv-LV"/>
        </w:rPr>
        <w:t xml:space="preserve">Valsts </w:t>
      </w:r>
      <w:r w:rsidR="00BB1455" w:rsidRPr="000E46A4">
        <w:rPr>
          <w:b/>
          <w:bCs/>
          <w:sz w:val="24"/>
          <w:szCs w:val="24"/>
          <w:lang w:val="lv-LV"/>
        </w:rPr>
        <w:t>sekretā</w:t>
      </w:r>
      <w:r w:rsidR="000E46A4">
        <w:rPr>
          <w:b/>
          <w:bCs/>
          <w:sz w:val="24"/>
          <w:szCs w:val="24"/>
          <w:lang w:val="lv-LV"/>
        </w:rPr>
        <w:t>rs</w:t>
      </w:r>
      <w:r w:rsidRPr="000E46A4">
        <w:rPr>
          <w:b/>
          <w:bCs/>
          <w:sz w:val="24"/>
          <w:szCs w:val="24"/>
          <w:lang w:val="lv-LV"/>
        </w:rPr>
        <w:tab/>
      </w:r>
      <w:r w:rsidR="000E46A4">
        <w:rPr>
          <w:b/>
          <w:bCs/>
          <w:sz w:val="24"/>
          <w:szCs w:val="24"/>
          <w:lang w:val="lv-LV"/>
        </w:rPr>
        <w:tab/>
      </w:r>
      <w:r w:rsidRPr="000E46A4">
        <w:rPr>
          <w:b/>
          <w:bCs/>
          <w:sz w:val="24"/>
          <w:szCs w:val="24"/>
          <w:lang w:val="lv-LV"/>
        </w:rPr>
        <w:tab/>
      </w:r>
      <w:r w:rsidR="000E46A4">
        <w:rPr>
          <w:b/>
          <w:bCs/>
          <w:sz w:val="24"/>
          <w:szCs w:val="24"/>
          <w:lang w:val="lv-LV"/>
        </w:rPr>
        <w:t>EdmundsValantis</w:t>
      </w:r>
    </w:p>
    <w:p w14:paraId="6B58FC4C" w14:textId="77777777" w:rsidR="00BB1455" w:rsidRPr="000E46A4" w:rsidRDefault="00BB1455" w:rsidP="00573049">
      <w:pPr>
        <w:tabs>
          <w:tab w:val="left" w:pos="6840"/>
        </w:tabs>
        <w:jc w:val="both"/>
      </w:pPr>
      <w:bookmarkStart w:id="6" w:name="_Hlk41558316"/>
    </w:p>
    <w:bookmarkEnd w:id="6"/>
    <w:p w14:paraId="0B7FC0B1" w14:textId="723D79C6" w:rsidR="003D0F93" w:rsidRPr="00C921F5" w:rsidRDefault="003D0F93" w:rsidP="00BB1455">
      <w:pPr>
        <w:tabs>
          <w:tab w:val="left" w:pos="6840"/>
        </w:tabs>
        <w:jc w:val="both"/>
        <w:rPr>
          <w:sz w:val="24"/>
          <w:szCs w:val="24"/>
          <w:lang w:val="lv-LV"/>
        </w:rPr>
      </w:pPr>
      <w:r w:rsidRPr="00C921F5">
        <w:rPr>
          <w:sz w:val="24"/>
          <w:szCs w:val="24"/>
          <w:lang w:val="lv-LV"/>
        </w:rPr>
        <w:tab/>
      </w:r>
    </w:p>
    <w:sectPr w:rsidR="003D0F93" w:rsidRPr="00C921F5" w:rsidSect="006064F8">
      <w:headerReference w:type="default" r:id="rId12"/>
      <w:footerReference w:type="default" r:id="rId13"/>
      <w:footerReference w:type="first" r:id="rId14"/>
      <w:endnotePr>
        <w:numFmt w:val="decimal"/>
      </w:endnotePr>
      <w:type w:val="continuous"/>
      <w:pgSz w:w="11906" w:h="16838" w:code="9"/>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FFC0F" w14:textId="77777777" w:rsidR="004022E2" w:rsidRDefault="004022E2" w:rsidP="006B2FEF">
      <w:r>
        <w:separator/>
      </w:r>
    </w:p>
  </w:endnote>
  <w:endnote w:type="continuationSeparator" w:id="0">
    <w:p w14:paraId="61E08077" w14:textId="77777777" w:rsidR="004022E2" w:rsidRDefault="004022E2" w:rsidP="006B2FEF">
      <w:r>
        <w:continuationSeparator/>
      </w:r>
    </w:p>
  </w:endnote>
  <w:endnote w:type="continuationNotice" w:id="1">
    <w:p w14:paraId="1BCE0D62" w14:textId="77777777" w:rsidR="004022E2" w:rsidRDefault="004022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entury Gothic">
    <w:panose1 w:val="020B0502020202020204"/>
    <w:charset w:val="BA"/>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14F74" w14:textId="1B98F9AC" w:rsidR="004259BC" w:rsidRPr="000E46A4" w:rsidRDefault="000E46A4" w:rsidP="000E46A4">
    <w:pPr>
      <w:pStyle w:val="Footer"/>
      <w:jc w:val="both"/>
      <w:rPr>
        <w:lang w:val="lv-LV"/>
      </w:rPr>
    </w:pPr>
    <w:r w:rsidRPr="0014051E">
      <w:rPr>
        <w:lang w:val="lv-LV"/>
      </w:rPr>
      <w:t>EM</w:t>
    </w:r>
    <w:r>
      <w:rPr>
        <w:lang w:val="lv-LV"/>
      </w:rPr>
      <w:t>An</w:t>
    </w:r>
    <w:r w:rsidRPr="0014051E">
      <w:rPr>
        <w:lang w:val="lv-LV"/>
      </w:rPr>
      <w:t>ot_</w:t>
    </w:r>
    <w:r>
      <w:rPr>
        <w:lang w:val="lv-LV"/>
      </w:rPr>
      <w:t>0211</w:t>
    </w:r>
    <w:r w:rsidRPr="0014051E">
      <w:rPr>
        <w:lang w:val="lv-LV"/>
      </w:rPr>
      <w:t>20_LielGarant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BB8FB" w14:textId="77E33D3F" w:rsidR="004259BC" w:rsidRPr="0014051E" w:rsidRDefault="004259BC" w:rsidP="0014051E">
    <w:pPr>
      <w:pStyle w:val="Footer"/>
      <w:jc w:val="both"/>
      <w:rPr>
        <w:lang w:val="lv-LV"/>
      </w:rPr>
    </w:pPr>
    <w:r w:rsidRPr="0014051E">
      <w:rPr>
        <w:lang w:val="lv-LV"/>
      </w:rPr>
      <w:t>EM</w:t>
    </w:r>
    <w:r>
      <w:rPr>
        <w:lang w:val="lv-LV"/>
      </w:rPr>
      <w:t>An</w:t>
    </w:r>
    <w:r w:rsidRPr="0014051E">
      <w:rPr>
        <w:lang w:val="lv-LV"/>
      </w:rPr>
      <w:t>ot_</w:t>
    </w:r>
    <w:r w:rsidR="00180DBF">
      <w:rPr>
        <w:lang w:val="lv-LV"/>
      </w:rPr>
      <w:t>0211</w:t>
    </w:r>
    <w:r w:rsidRPr="0014051E">
      <w:rPr>
        <w:lang w:val="lv-LV"/>
      </w:rPr>
      <w:t>20_LielGarant</w:t>
    </w:r>
  </w:p>
  <w:p w14:paraId="2658AF59" w14:textId="77777777" w:rsidR="004259BC" w:rsidRDefault="00425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856DB" w14:textId="77777777" w:rsidR="004022E2" w:rsidRDefault="004022E2" w:rsidP="006B2FEF">
      <w:r>
        <w:separator/>
      </w:r>
    </w:p>
  </w:footnote>
  <w:footnote w:type="continuationSeparator" w:id="0">
    <w:p w14:paraId="106A3F36" w14:textId="77777777" w:rsidR="004022E2" w:rsidRDefault="004022E2" w:rsidP="006B2FEF">
      <w:r>
        <w:continuationSeparator/>
      </w:r>
    </w:p>
  </w:footnote>
  <w:footnote w:type="continuationNotice" w:id="1">
    <w:p w14:paraId="5FE4BB67" w14:textId="77777777" w:rsidR="004022E2" w:rsidRDefault="004022E2"/>
  </w:footnote>
  <w:footnote w:id="2">
    <w:p w14:paraId="496AE43B" w14:textId="77777777" w:rsidR="004259BC" w:rsidRDefault="004259BC" w:rsidP="00A658C7">
      <w:pPr>
        <w:pStyle w:val="FootnoteText"/>
      </w:pPr>
      <w:r>
        <w:rPr>
          <w:rStyle w:val="FootnoteReference"/>
        </w:rPr>
        <w:footnoteRef/>
      </w:r>
      <w:r>
        <w:t xml:space="preserve"> </w:t>
      </w:r>
      <w:hyperlink r:id="rId1" w:history="1">
        <w:r>
          <w:rPr>
            <w:rStyle w:val="Hyperlink"/>
          </w:rPr>
          <w:t>https://ec.europa.eu/competition/state_aid/what_is_new/sa_covid19_4th_amendment_and_prolongation_temporary_framework_en.pdf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4627235"/>
      <w:docPartObj>
        <w:docPartGallery w:val="Page Numbers (Top of Page)"/>
        <w:docPartUnique/>
      </w:docPartObj>
    </w:sdtPr>
    <w:sdtEndPr>
      <w:rPr>
        <w:sz w:val="24"/>
        <w:szCs w:val="24"/>
      </w:rPr>
    </w:sdtEndPr>
    <w:sdtContent>
      <w:p w14:paraId="4597F8B3" w14:textId="3CA29690" w:rsidR="004259BC" w:rsidRPr="005A1518" w:rsidRDefault="004259BC" w:rsidP="005A1518">
        <w:pPr>
          <w:pStyle w:val="Header"/>
          <w:jc w:val="center"/>
          <w:rPr>
            <w:sz w:val="24"/>
          </w:rPr>
        </w:pPr>
        <w:r w:rsidRPr="00B014C2">
          <w:rPr>
            <w:sz w:val="24"/>
            <w:szCs w:val="24"/>
          </w:rPr>
          <w:fldChar w:fldCharType="begin"/>
        </w:r>
        <w:r w:rsidRPr="00B014C2">
          <w:rPr>
            <w:sz w:val="24"/>
            <w:szCs w:val="24"/>
          </w:rPr>
          <w:instrText xml:space="preserve"> PAGE   \* MERGEFORMAT </w:instrText>
        </w:r>
        <w:r w:rsidRPr="00B014C2">
          <w:rPr>
            <w:sz w:val="24"/>
            <w:szCs w:val="24"/>
          </w:rPr>
          <w:fldChar w:fldCharType="separate"/>
        </w:r>
        <w:r>
          <w:rPr>
            <w:noProof/>
            <w:sz w:val="24"/>
            <w:szCs w:val="24"/>
          </w:rPr>
          <w:t>7</w:t>
        </w:r>
        <w:r w:rsidRPr="00B014C2">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5247A"/>
    <w:multiLevelType w:val="hybridMultilevel"/>
    <w:tmpl w:val="9E303A1E"/>
    <w:lvl w:ilvl="0" w:tplc="CE983B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D8307F7"/>
    <w:multiLevelType w:val="hybridMultilevel"/>
    <w:tmpl w:val="AA90F2CA"/>
    <w:lvl w:ilvl="0" w:tplc="A254E062">
      <w:start w:val="9"/>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CC0D3F"/>
    <w:multiLevelType w:val="hybridMultilevel"/>
    <w:tmpl w:val="0D06DB20"/>
    <w:lvl w:ilvl="0" w:tplc="33E8D8DC">
      <w:start w:val="2020"/>
      <w:numFmt w:val="bullet"/>
      <w:lvlText w:val="-"/>
      <w:lvlJc w:val="left"/>
      <w:pPr>
        <w:ind w:left="405" w:hanging="360"/>
      </w:pPr>
      <w:rPr>
        <w:rFonts w:ascii="Times New Roman" w:eastAsia="Times New Roman" w:hAnsi="Times New Roman" w:cs="Times New Roman" w:hint="default"/>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3" w15:restartNumberingAfterBreak="0">
    <w:nsid w:val="33CD7DD8"/>
    <w:multiLevelType w:val="hybridMultilevel"/>
    <w:tmpl w:val="5D96A968"/>
    <w:lvl w:ilvl="0" w:tplc="741CB2FE">
      <w:start w:val="1"/>
      <w:numFmt w:val="decimal"/>
      <w:lvlText w:val="%1)"/>
      <w:lvlJc w:val="left"/>
      <w:pPr>
        <w:ind w:left="720" w:hanging="360"/>
      </w:pPr>
      <w:rPr>
        <w:rFonts w:hint="default"/>
        <w:color w:val="000000"/>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54D5118"/>
    <w:multiLevelType w:val="multilevel"/>
    <w:tmpl w:val="74FE8F06"/>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ABE1100"/>
    <w:multiLevelType w:val="hybridMultilevel"/>
    <w:tmpl w:val="10144120"/>
    <w:lvl w:ilvl="0" w:tplc="D0A627CC">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9CE54EA"/>
    <w:multiLevelType w:val="hybridMultilevel"/>
    <w:tmpl w:val="DBECA9F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6D9A0D5B"/>
    <w:multiLevelType w:val="hybridMultilevel"/>
    <w:tmpl w:val="268E5ABE"/>
    <w:lvl w:ilvl="0" w:tplc="A9AEE2D8">
      <w:start w:val="2020"/>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8" w15:restartNumberingAfterBreak="0">
    <w:nsid w:val="754E7EE9"/>
    <w:multiLevelType w:val="hybridMultilevel"/>
    <w:tmpl w:val="02A48FCA"/>
    <w:lvl w:ilvl="0" w:tplc="E9700D42">
      <w:start w:val="1"/>
      <w:numFmt w:val="bullet"/>
      <w:lvlText w:val=""/>
      <w:lvlJc w:val="left"/>
      <w:pPr>
        <w:ind w:left="720" w:hanging="360"/>
      </w:pPr>
      <w:rPr>
        <w:rFonts w:ascii="Symbol" w:hAnsi="Symbol" w:hint="default"/>
        <w:color w:val="00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76351B06"/>
    <w:multiLevelType w:val="hybridMultilevel"/>
    <w:tmpl w:val="BA2C9F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4"/>
  </w:num>
  <w:num w:numId="6">
    <w:abstractNumId w:val="9"/>
  </w:num>
  <w:num w:numId="7">
    <w:abstractNumId w:val="7"/>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D3"/>
    <w:rsid w:val="000008A9"/>
    <w:rsid w:val="00003B9C"/>
    <w:rsid w:val="000058AA"/>
    <w:rsid w:val="0000653D"/>
    <w:rsid w:val="00007491"/>
    <w:rsid w:val="0001048C"/>
    <w:rsid w:val="00013B61"/>
    <w:rsid w:val="00014B9F"/>
    <w:rsid w:val="00016159"/>
    <w:rsid w:val="0002003C"/>
    <w:rsid w:val="000231D2"/>
    <w:rsid w:val="000240CA"/>
    <w:rsid w:val="00024ACB"/>
    <w:rsid w:val="00024D9D"/>
    <w:rsid w:val="00024EF9"/>
    <w:rsid w:val="0002596F"/>
    <w:rsid w:val="00026F18"/>
    <w:rsid w:val="0003012D"/>
    <w:rsid w:val="00030B7E"/>
    <w:rsid w:val="0003245D"/>
    <w:rsid w:val="00032471"/>
    <w:rsid w:val="0003265E"/>
    <w:rsid w:val="00033F5A"/>
    <w:rsid w:val="00035C7B"/>
    <w:rsid w:val="000430AC"/>
    <w:rsid w:val="0004380E"/>
    <w:rsid w:val="00044683"/>
    <w:rsid w:val="00044743"/>
    <w:rsid w:val="00045B58"/>
    <w:rsid w:val="00045F86"/>
    <w:rsid w:val="00047095"/>
    <w:rsid w:val="00047962"/>
    <w:rsid w:val="000527A4"/>
    <w:rsid w:val="000665BC"/>
    <w:rsid w:val="000678CD"/>
    <w:rsid w:val="00070F56"/>
    <w:rsid w:val="00071082"/>
    <w:rsid w:val="0007156D"/>
    <w:rsid w:val="00071BC9"/>
    <w:rsid w:val="00072B02"/>
    <w:rsid w:val="0007330D"/>
    <w:rsid w:val="00074090"/>
    <w:rsid w:val="000773A5"/>
    <w:rsid w:val="00077D13"/>
    <w:rsid w:val="0008002B"/>
    <w:rsid w:val="00080352"/>
    <w:rsid w:val="000818FB"/>
    <w:rsid w:val="00081EC5"/>
    <w:rsid w:val="0008515E"/>
    <w:rsid w:val="00085640"/>
    <w:rsid w:val="00091668"/>
    <w:rsid w:val="00091F4F"/>
    <w:rsid w:val="0009324B"/>
    <w:rsid w:val="00094B1E"/>
    <w:rsid w:val="00095280"/>
    <w:rsid w:val="00096060"/>
    <w:rsid w:val="000964C6"/>
    <w:rsid w:val="0009743E"/>
    <w:rsid w:val="000A0059"/>
    <w:rsid w:val="000A14E3"/>
    <w:rsid w:val="000A3654"/>
    <w:rsid w:val="000A37C3"/>
    <w:rsid w:val="000A38DA"/>
    <w:rsid w:val="000A44CE"/>
    <w:rsid w:val="000A4B5A"/>
    <w:rsid w:val="000A5D04"/>
    <w:rsid w:val="000A6486"/>
    <w:rsid w:val="000A7E05"/>
    <w:rsid w:val="000B0748"/>
    <w:rsid w:val="000B1926"/>
    <w:rsid w:val="000B1B64"/>
    <w:rsid w:val="000B20D2"/>
    <w:rsid w:val="000B2C54"/>
    <w:rsid w:val="000B3449"/>
    <w:rsid w:val="000B3FAB"/>
    <w:rsid w:val="000B492B"/>
    <w:rsid w:val="000B71B4"/>
    <w:rsid w:val="000C090A"/>
    <w:rsid w:val="000C33C1"/>
    <w:rsid w:val="000C4418"/>
    <w:rsid w:val="000C7F31"/>
    <w:rsid w:val="000D1EA5"/>
    <w:rsid w:val="000D2474"/>
    <w:rsid w:val="000D3D56"/>
    <w:rsid w:val="000D43D9"/>
    <w:rsid w:val="000D74B9"/>
    <w:rsid w:val="000E257B"/>
    <w:rsid w:val="000E46A4"/>
    <w:rsid w:val="000E53C3"/>
    <w:rsid w:val="000E56F8"/>
    <w:rsid w:val="000E5DD2"/>
    <w:rsid w:val="000E63F3"/>
    <w:rsid w:val="000F0A62"/>
    <w:rsid w:val="000F0E0E"/>
    <w:rsid w:val="000F25D2"/>
    <w:rsid w:val="000F2EA7"/>
    <w:rsid w:val="000F4230"/>
    <w:rsid w:val="000F5401"/>
    <w:rsid w:val="001001F5"/>
    <w:rsid w:val="00102922"/>
    <w:rsid w:val="00102B0D"/>
    <w:rsid w:val="00102B1D"/>
    <w:rsid w:val="00104BDD"/>
    <w:rsid w:val="00105A7C"/>
    <w:rsid w:val="00105D17"/>
    <w:rsid w:val="00110128"/>
    <w:rsid w:val="001133E7"/>
    <w:rsid w:val="0011606F"/>
    <w:rsid w:val="0012177A"/>
    <w:rsid w:val="0012624C"/>
    <w:rsid w:val="0013024B"/>
    <w:rsid w:val="00130C79"/>
    <w:rsid w:val="00131C9F"/>
    <w:rsid w:val="00137388"/>
    <w:rsid w:val="00137F96"/>
    <w:rsid w:val="0014051E"/>
    <w:rsid w:val="00142C3C"/>
    <w:rsid w:val="00143BB6"/>
    <w:rsid w:val="00145366"/>
    <w:rsid w:val="00146697"/>
    <w:rsid w:val="00146D17"/>
    <w:rsid w:val="00151BBD"/>
    <w:rsid w:val="00151F22"/>
    <w:rsid w:val="00152387"/>
    <w:rsid w:val="0015295F"/>
    <w:rsid w:val="00156C28"/>
    <w:rsid w:val="0016143E"/>
    <w:rsid w:val="00161BA7"/>
    <w:rsid w:val="001633A3"/>
    <w:rsid w:val="001650AC"/>
    <w:rsid w:val="001655DD"/>
    <w:rsid w:val="00165747"/>
    <w:rsid w:val="00165F5E"/>
    <w:rsid w:val="0016668A"/>
    <w:rsid w:val="00166A8B"/>
    <w:rsid w:val="0016744E"/>
    <w:rsid w:val="00167597"/>
    <w:rsid w:val="00172082"/>
    <w:rsid w:val="00176AB2"/>
    <w:rsid w:val="00177250"/>
    <w:rsid w:val="00177882"/>
    <w:rsid w:val="00177C69"/>
    <w:rsid w:val="00180DBF"/>
    <w:rsid w:val="00180E2B"/>
    <w:rsid w:val="00183B65"/>
    <w:rsid w:val="00183C0A"/>
    <w:rsid w:val="00186A4D"/>
    <w:rsid w:val="00187140"/>
    <w:rsid w:val="00190B3D"/>
    <w:rsid w:val="001935C8"/>
    <w:rsid w:val="001946C8"/>
    <w:rsid w:val="00195D43"/>
    <w:rsid w:val="001A120C"/>
    <w:rsid w:val="001A1322"/>
    <w:rsid w:val="001A1368"/>
    <w:rsid w:val="001A1439"/>
    <w:rsid w:val="001A2748"/>
    <w:rsid w:val="001A38EA"/>
    <w:rsid w:val="001A3ED2"/>
    <w:rsid w:val="001A7C3A"/>
    <w:rsid w:val="001A7E1D"/>
    <w:rsid w:val="001B6AC0"/>
    <w:rsid w:val="001B70CA"/>
    <w:rsid w:val="001B7454"/>
    <w:rsid w:val="001C0801"/>
    <w:rsid w:val="001C143C"/>
    <w:rsid w:val="001C1B72"/>
    <w:rsid w:val="001C2832"/>
    <w:rsid w:val="001C362D"/>
    <w:rsid w:val="001C5ED6"/>
    <w:rsid w:val="001C6208"/>
    <w:rsid w:val="001C68A2"/>
    <w:rsid w:val="001C70CC"/>
    <w:rsid w:val="001D0561"/>
    <w:rsid w:val="001D0800"/>
    <w:rsid w:val="001D2C06"/>
    <w:rsid w:val="001D3167"/>
    <w:rsid w:val="001D6EFA"/>
    <w:rsid w:val="001D7397"/>
    <w:rsid w:val="001D7DC1"/>
    <w:rsid w:val="001E023A"/>
    <w:rsid w:val="001E1B0F"/>
    <w:rsid w:val="001E3588"/>
    <w:rsid w:val="001E4C2F"/>
    <w:rsid w:val="001E5FBC"/>
    <w:rsid w:val="001E76BE"/>
    <w:rsid w:val="001F2BA2"/>
    <w:rsid w:val="001F6DBE"/>
    <w:rsid w:val="001F7086"/>
    <w:rsid w:val="001F7AAD"/>
    <w:rsid w:val="00200E7D"/>
    <w:rsid w:val="00201D17"/>
    <w:rsid w:val="0020468C"/>
    <w:rsid w:val="002107BF"/>
    <w:rsid w:val="00210E64"/>
    <w:rsid w:val="00211315"/>
    <w:rsid w:val="00215A5A"/>
    <w:rsid w:val="00215C6A"/>
    <w:rsid w:val="0021738A"/>
    <w:rsid w:val="002177B0"/>
    <w:rsid w:val="00217F5B"/>
    <w:rsid w:val="00223778"/>
    <w:rsid w:val="00224E84"/>
    <w:rsid w:val="002267E7"/>
    <w:rsid w:val="00227BC3"/>
    <w:rsid w:val="00227F25"/>
    <w:rsid w:val="00232596"/>
    <w:rsid w:val="0023582E"/>
    <w:rsid w:val="00237878"/>
    <w:rsid w:val="00240921"/>
    <w:rsid w:val="002438ED"/>
    <w:rsid w:val="00244A9E"/>
    <w:rsid w:val="00246849"/>
    <w:rsid w:val="00247A0B"/>
    <w:rsid w:val="00250127"/>
    <w:rsid w:val="0025023B"/>
    <w:rsid w:val="00252EEF"/>
    <w:rsid w:val="00253B6C"/>
    <w:rsid w:val="00254651"/>
    <w:rsid w:val="00254901"/>
    <w:rsid w:val="0025543B"/>
    <w:rsid w:val="00255BAC"/>
    <w:rsid w:val="0025654B"/>
    <w:rsid w:val="00256ACE"/>
    <w:rsid w:val="00257981"/>
    <w:rsid w:val="002601C7"/>
    <w:rsid w:val="00261B97"/>
    <w:rsid w:val="002651EA"/>
    <w:rsid w:val="0027369F"/>
    <w:rsid w:val="00273700"/>
    <w:rsid w:val="00273B21"/>
    <w:rsid w:val="00274E8B"/>
    <w:rsid w:val="00277D9D"/>
    <w:rsid w:val="00281C0B"/>
    <w:rsid w:val="00282251"/>
    <w:rsid w:val="0028288E"/>
    <w:rsid w:val="00290EE2"/>
    <w:rsid w:val="00292062"/>
    <w:rsid w:val="002932D2"/>
    <w:rsid w:val="00294593"/>
    <w:rsid w:val="00294DDB"/>
    <w:rsid w:val="00294DF3"/>
    <w:rsid w:val="002957B7"/>
    <w:rsid w:val="002965D2"/>
    <w:rsid w:val="002A0435"/>
    <w:rsid w:val="002A0BC1"/>
    <w:rsid w:val="002A166A"/>
    <w:rsid w:val="002A1AA4"/>
    <w:rsid w:val="002A2C52"/>
    <w:rsid w:val="002A3287"/>
    <w:rsid w:val="002A3EC2"/>
    <w:rsid w:val="002A6400"/>
    <w:rsid w:val="002B071C"/>
    <w:rsid w:val="002B133E"/>
    <w:rsid w:val="002B24D2"/>
    <w:rsid w:val="002B3EAE"/>
    <w:rsid w:val="002B4900"/>
    <w:rsid w:val="002B6364"/>
    <w:rsid w:val="002B7681"/>
    <w:rsid w:val="002B7F82"/>
    <w:rsid w:val="002C15A0"/>
    <w:rsid w:val="002C22CF"/>
    <w:rsid w:val="002C3E23"/>
    <w:rsid w:val="002C3E51"/>
    <w:rsid w:val="002C504B"/>
    <w:rsid w:val="002C743D"/>
    <w:rsid w:val="002D339C"/>
    <w:rsid w:val="002D43A2"/>
    <w:rsid w:val="002D6A10"/>
    <w:rsid w:val="002D6BDB"/>
    <w:rsid w:val="002D744A"/>
    <w:rsid w:val="002D7D0E"/>
    <w:rsid w:val="002E024D"/>
    <w:rsid w:val="002E1075"/>
    <w:rsid w:val="002E5019"/>
    <w:rsid w:val="002E5643"/>
    <w:rsid w:val="002E678E"/>
    <w:rsid w:val="002E708A"/>
    <w:rsid w:val="002E7635"/>
    <w:rsid w:val="002F06CE"/>
    <w:rsid w:val="002F21A8"/>
    <w:rsid w:val="002F5587"/>
    <w:rsid w:val="002F5FB0"/>
    <w:rsid w:val="002F741D"/>
    <w:rsid w:val="00300B84"/>
    <w:rsid w:val="00301A6D"/>
    <w:rsid w:val="0030247A"/>
    <w:rsid w:val="00303955"/>
    <w:rsid w:val="00303F18"/>
    <w:rsid w:val="00304810"/>
    <w:rsid w:val="003048C5"/>
    <w:rsid w:val="003055C3"/>
    <w:rsid w:val="003061FB"/>
    <w:rsid w:val="00306270"/>
    <w:rsid w:val="0031008A"/>
    <w:rsid w:val="00310924"/>
    <w:rsid w:val="0031259B"/>
    <w:rsid w:val="00314298"/>
    <w:rsid w:val="0031471E"/>
    <w:rsid w:val="003176D3"/>
    <w:rsid w:val="00320B22"/>
    <w:rsid w:val="003228DE"/>
    <w:rsid w:val="00323C8A"/>
    <w:rsid w:val="00326096"/>
    <w:rsid w:val="00326AE5"/>
    <w:rsid w:val="00330421"/>
    <w:rsid w:val="0033237E"/>
    <w:rsid w:val="003334FB"/>
    <w:rsid w:val="003344E7"/>
    <w:rsid w:val="0033779C"/>
    <w:rsid w:val="00337AC6"/>
    <w:rsid w:val="00343A18"/>
    <w:rsid w:val="0034476B"/>
    <w:rsid w:val="00346913"/>
    <w:rsid w:val="003469B5"/>
    <w:rsid w:val="00346CE0"/>
    <w:rsid w:val="00354ABE"/>
    <w:rsid w:val="00356159"/>
    <w:rsid w:val="00356492"/>
    <w:rsid w:val="00357C6C"/>
    <w:rsid w:val="00360657"/>
    <w:rsid w:val="00366AFE"/>
    <w:rsid w:val="00367B98"/>
    <w:rsid w:val="00370711"/>
    <w:rsid w:val="00371757"/>
    <w:rsid w:val="00373F39"/>
    <w:rsid w:val="00374F73"/>
    <w:rsid w:val="0037530A"/>
    <w:rsid w:val="00375D4C"/>
    <w:rsid w:val="00375F30"/>
    <w:rsid w:val="00376F09"/>
    <w:rsid w:val="00380AC5"/>
    <w:rsid w:val="00380D03"/>
    <w:rsid w:val="00381382"/>
    <w:rsid w:val="003814A5"/>
    <w:rsid w:val="00381B26"/>
    <w:rsid w:val="00382FEC"/>
    <w:rsid w:val="00385772"/>
    <w:rsid w:val="00387734"/>
    <w:rsid w:val="003911D7"/>
    <w:rsid w:val="0039139B"/>
    <w:rsid w:val="003913FB"/>
    <w:rsid w:val="00391F87"/>
    <w:rsid w:val="003926B4"/>
    <w:rsid w:val="00392998"/>
    <w:rsid w:val="00393026"/>
    <w:rsid w:val="0039319E"/>
    <w:rsid w:val="00393E8A"/>
    <w:rsid w:val="003949F0"/>
    <w:rsid w:val="00395460"/>
    <w:rsid w:val="00396152"/>
    <w:rsid w:val="003962D9"/>
    <w:rsid w:val="00397D0E"/>
    <w:rsid w:val="003A1D77"/>
    <w:rsid w:val="003A24AD"/>
    <w:rsid w:val="003A2C91"/>
    <w:rsid w:val="003A3887"/>
    <w:rsid w:val="003A3B51"/>
    <w:rsid w:val="003A40AD"/>
    <w:rsid w:val="003A66B2"/>
    <w:rsid w:val="003A6A32"/>
    <w:rsid w:val="003A6B7C"/>
    <w:rsid w:val="003A7D7E"/>
    <w:rsid w:val="003B1693"/>
    <w:rsid w:val="003B32EC"/>
    <w:rsid w:val="003B3488"/>
    <w:rsid w:val="003B42F1"/>
    <w:rsid w:val="003B5E55"/>
    <w:rsid w:val="003B5F6A"/>
    <w:rsid w:val="003B623A"/>
    <w:rsid w:val="003B63BE"/>
    <w:rsid w:val="003B7B62"/>
    <w:rsid w:val="003C072B"/>
    <w:rsid w:val="003C3D3D"/>
    <w:rsid w:val="003C5836"/>
    <w:rsid w:val="003C585E"/>
    <w:rsid w:val="003C7796"/>
    <w:rsid w:val="003D0189"/>
    <w:rsid w:val="003D0448"/>
    <w:rsid w:val="003D0D82"/>
    <w:rsid w:val="003D0F93"/>
    <w:rsid w:val="003D0FB7"/>
    <w:rsid w:val="003D1A86"/>
    <w:rsid w:val="003D3252"/>
    <w:rsid w:val="003D3CA2"/>
    <w:rsid w:val="003D3E7E"/>
    <w:rsid w:val="003D72E9"/>
    <w:rsid w:val="003D7F0B"/>
    <w:rsid w:val="003E06DF"/>
    <w:rsid w:val="003E145E"/>
    <w:rsid w:val="003E171B"/>
    <w:rsid w:val="003E3100"/>
    <w:rsid w:val="003E4132"/>
    <w:rsid w:val="003E5276"/>
    <w:rsid w:val="003E58C7"/>
    <w:rsid w:val="003E5A6D"/>
    <w:rsid w:val="003E5B81"/>
    <w:rsid w:val="003E5D7B"/>
    <w:rsid w:val="003E637A"/>
    <w:rsid w:val="003E78C2"/>
    <w:rsid w:val="003F0341"/>
    <w:rsid w:val="003F0484"/>
    <w:rsid w:val="003F288B"/>
    <w:rsid w:val="003F2AC0"/>
    <w:rsid w:val="003F2B20"/>
    <w:rsid w:val="003F2C34"/>
    <w:rsid w:val="003F2DF0"/>
    <w:rsid w:val="003F30FC"/>
    <w:rsid w:val="003F45CD"/>
    <w:rsid w:val="003F4CC7"/>
    <w:rsid w:val="003F7C94"/>
    <w:rsid w:val="00401397"/>
    <w:rsid w:val="004022E2"/>
    <w:rsid w:val="004038BC"/>
    <w:rsid w:val="00406AE2"/>
    <w:rsid w:val="0041036A"/>
    <w:rsid w:val="0041316A"/>
    <w:rsid w:val="004158F6"/>
    <w:rsid w:val="00415A66"/>
    <w:rsid w:val="00416547"/>
    <w:rsid w:val="00416A31"/>
    <w:rsid w:val="00417136"/>
    <w:rsid w:val="00417240"/>
    <w:rsid w:val="0041770B"/>
    <w:rsid w:val="004205F6"/>
    <w:rsid w:val="00420760"/>
    <w:rsid w:val="00420CFF"/>
    <w:rsid w:val="004224C2"/>
    <w:rsid w:val="00423B46"/>
    <w:rsid w:val="00424376"/>
    <w:rsid w:val="004259BC"/>
    <w:rsid w:val="00425AA9"/>
    <w:rsid w:val="00426250"/>
    <w:rsid w:val="00426A69"/>
    <w:rsid w:val="00426B77"/>
    <w:rsid w:val="00430F61"/>
    <w:rsid w:val="00431019"/>
    <w:rsid w:val="00433EC2"/>
    <w:rsid w:val="00434856"/>
    <w:rsid w:val="00434CD9"/>
    <w:rsid w:val="004352F7"/>
    <w:rsid w:val="0043554A"/>
    <w:rsid w:val="0043619D"/>
    <w:rsid w:val="004362D3"/>
    <w:rsid w:val="0043788C"/>
    <w:rsid w:val="00442A8B"/>
    <w:rsid w:val="00442D1E"/>
    <w:rsid w:val="00443016"/>
    <w:rsid w:val="00444344"/>
    <w:rsid w:val="00445945"/>
    <w:rsid w:val="00450691"/>
    <w:rsid w:val="00450D9C"/>
    <w:rsid w:val="00452140"/>
    <w:rsid w:val="00453BB3"/>
    <w:rsid w:val="004545A3"/>
    <w:rsid w:val="00454695"/>
    <w:rsid w:val="004569B2"/>
    <w:rsid w:val="00457427"/>
    <w:rsid w:val="00457C1C"/>
    <w:rsid w:val="004619FE"/>
    <w:rsid w:val="00462679"/>
    <w:rsid w:val="00463574"/>
    <w:rsid w:val="00464762"/>
    <w:rsid w:val="004666F3"/>
    <w:rsid w:val="00467343"/>
    <w:rsid w:val="0046742A"/>
    <w:rsid w:val="0047031A"/>
    <w:rsid w:val="00471A6D"/>
    <w:rsid w:val="0047322E"/>
    <w:rsid w:val="004741BD"/>
    <w:rsid w:val="004757CE"/>
    <w:rsid w:val="00475FA3"/>
    <w:rsid w:val="00476F80"/>
    <w:rsid w:val="00480F68"/>
    <w:rsid w:val="00481C20"/>
    <w:rsid w:val="00483B86"/>
    <w:rsid w:val="00485293"/>
    <w:rsid w:val="00485E47"/>
    <w:rsid w:val="00490499"/>
    <w:rsid w:val="00497AB8"/>
    <w:rsid w:val="004A2EE3"/>
    <w:rsid w:val="004A4356"/>
    <w:rsid w:val="004A5EEF"/>
    <w:rsid w:val="004B0B1D"/>
    <w:rsid w:val="004B3711"/>
    <w:rsid w:val="004B3C41"/>
    <w:rsid w:val="004B61CF"/>
    <w:rsid w:val="004B6792"/>
    <w:rsid w:val="004C0738"/>
    <w:rsid w:val="004C0D20"/>
    <w:rsid w:val="004C0FE6"/>
    <w:rsid w:val="004C20F1"/>
    <w:rsid w:val="004C212C"/>
    <w:rsid w:val="004C253C"/>
    <w:rsid w:val="004C2FC4"/>
    <w:rsid w:val="004C30C9"/>
    <w:rsid w:val="004D0B68"/>
    <w:rsid w:val="004D0F95"/>
    <w:rsid w:val="004D232B"/>
    <w:rsid w:val="004D3010"/>
    <w:rsid w:val="004D3ABB"/>
    <w:rsid w:val="004D4A6B"/>
    <w:rsid w:val="004E1476"/>
    <w:rsid w:val="004E4946"/>
    <w:rsid w:val="004E5D38"/>
    <w:rsid w:val="004E603B"/>
    <w:rsid w:val="004E626B"/>
    <w:rsid w:val="004E6C7D"/>
    <w:rsid w:val="004F13BD"/>
    <w:rsid w:val="004F478F"/>
    <w:rsid w:val="00501246"/>
    <w:rsid w:val="0050230D"/>
    <w:rsid w:val="0050364D"/>
    <w:rsid w:val="00503D17"/>
    <w:rsid w:val="00504D00"/>
    <w:rsid w:val="00504D6E"/>
    <w:rsid w:val="005116FB"/>
    <w:rsid w:val="0051173D"/>
    <w:rsid w:val="0051378F"/>
    <w:rsid w:val="00514B75"/>
    <w:rsid w:val="00515D44"/>
    <w:rsid w:val="00523C60"/>
    <w:rsid w:val="00527164"/>
    <w:rsid w:val="00531AFF"/>
    <w:rsid w:val="00532875"/>
    <w:rsid w:val="00534305"/>
    <w:rsid w:val="00535A41"/>
    <w:rsid w:val="0053691B"/>
    <w:rsid w:val="00537FF8"/>
    <w:rsid w:val="00542913"/>
    <w:rsid w:val="0054467E"/>
    <w:rsid w:val="005464E6"/>
    <w:rsid w:val="00546938"/>
    <w:rsid w:val="00547ACF"/>
    <w:rsid w:val="005525C7"/>
    <w:rsid w:val="00552639"/>
    <w:rsid w:val="00555557"/>
    <w:rsid w:val="00557927"/>
    <w:rsid w:val="00557AA8"/>
    <w:rsid w:val="00557B17"/>
    <w:rsid w:val="00561126"/>
    <w:rsid w:val="00561296"/>
    <w:rsid w:val="00566916"/>
    <w:rsid w:val="00566F71"/>
    <w:rsid w:val="00567EBC"/>
    <w:rsid w:val="00567FC5"/>
    <w:rsid w:val="00571CCF"/>
    <w:rsid w:val="00572180"/>
    <w:rsid w:val="00572337"/>
    <w:rsid w:val="00573049"/>
    <w:rsid w:val="00573FFE"/>
    <w:rsid w:val="00575FC3"/>
    <w:rsid w:val="0057625C"/>
    <w:rsid w:val="00576743"/>
    <w:rsid w:val="005771D5"/>
    <w:rsid w:val="0058066B"/>
    <w:rsid w:val="0058099B"/>
    <w:rsid w:val="00580B98"/>
    <w:rsid w:val="00581784"/>
    <w:rsid w:val="005836A3"/>
    <w:rsid w:val="00583CBA"/>
    <w:rsid w:val="00584453"/>
    <w:rsid w:val="00591838"/>
    <w:rsid w:val="00592809"/>
    <w:rsid w:val="00593343"/>
    <w:rsid w:val="00594A83"/>
    <w:rsid w:val="005A0C78"/>
    <w:rsid w:val="005A1518"/>
    <w:rsid w:val="005A4807"/>
    <w:rsid w:val="005A5A80"/>
    <w:rsid w:val="005B0FC7"/>
    <w:rsid w:val="005B297A"/>
    <w:rsid w:val="005B29EF"/>
    <w:rsid w:val="005B2DA5"/>
    <w:rsid w:val="005B476F"/>
    <w:rsid w:val="005B5F05"/>
    <w:rsid w:val="005B6095"/>
    <w:rsid w:val="005B65B8"/>
    <w:rsid w:val="005B6A0D"/>
    <w:rsid w:val="005B6D1C"/>
    <w:rsid w:val="005B6FD2"/>
    <w:rsid w:val="005C04E5"/>
    <w:rsid w:val="005C1764"/>
    <w:rsid w:val="005C3B2C"/>
    <w:rsid w:val="005C3D03"/>
    <w:rsid w:val="005C51FA"/>
    <w:rsid w:val="005C5413"/>
    <w:rsid w:val="005C59B9"/>
    <w:rsid w:val="005C63C7"/>
    <w:rsid w:val="005C6628"/>
    <w:rsid w:val="005C6B2C"/>
    <w:rsid w:val="005C73E4"/>
    <w:rsid w:val="005C7B1F"/>
    <w:rsid w:val="005D06E8"/>
    <w:rsid w:val="005D1195"/>
    <w:rsid w:val="005D11E7"/>
    <w:rsid w:val="005D2167"/>
    <w:rsid w:val="005D688E"/>
    <w:rsid w:val="005D6B98"/>
    <w:rsid w:val="005D6F53"/>
    <w:rsid w:val="005D794E"/>
    <w:rsid w:val="005E2FF9"/>
    <w:rsid w:val="005E30B2"/>
    <w:rsid w:val="005E39B3"/>
    <w:rsid w:val="005E4164"/>
    <w:rsid w:val="005F24C4"/>
    <w:rsid w:val="005F3196"/>
    <w:rsid w:val="005F32D1"/>
    <w:rsid w:val="005F3FC6"/>
    <w:rsid w:val="005F75C4"/>
    <w:rsid w:val="006002BF"/>
    <w:rsid w:val="00600301"/>
    <w:rsid w:val="006008D1"/>
    <w:rsid w:val="00603CC2"/>
    <w:rsid w:val="006064F8"/>
    <w:rsid w:val="006101CF"/>
    <w:rsid w:val="00611ADA"/>
    <w:rsid w:val="00611E18"/>
    <w:rsid w:val="00611FC0"/>
    <w:rsid w:val="00613A4A"/>
    <w:rsid w:val="00614157"/>
    <w:rsid w:val="00614A2A"/>
    <w:rsid w:val="00614ECD"/>
    <w:rsid w:val="006231D7"/>
    <w:rsid w:val="00624A71"/>
    <w:rsid w:val="00626031"/>
    <w:rsid w:val="00630C6C"/>
    <w:rsid w:val="00630ED2"/>
    <w:rsid w:val="00631935"/>
    <w:rsid w:val="006342EF"/>
    <w:rsid w:val="00636B91"/>
    <w:rsid w:val="006373FF"/>
    <w:rsid w:val="00637833"/>
    <w:rsid w:val="00641AC4"/>
    <w:rsid w:val="00646A6F"/>
    <w:rsid w:val="0065132D"/>
    <w:rsid w:val="00653397"/>
    <w:rsid w:val="006535C3"/>
    <w:rsid w:val="006553CD"/>
    <w:rsid w:val="006559F5"/>
    <w:rsid w:val="0065752A"/>
    <w:rsid w:val="00661782"/>
    <w:rsid w:val="00662C11"/>
    <w:rsid w:val="0066570F"/>
    <w:rsid w:val="00672822"/>
    <w:rsid w:val="006729D2"/>
    <w:rsid w:val="00673B07"/>
    <w:rsid w:val="00673BC6"/>
    <w:rsid w:val="006775B3"/>
    <w:rsid w:val="006815C5"/>
    <w:rsid w:val="00684808"/>
    <w:rsid w:val="0068483E"/>
    <w:rsid w:val="00684B94"/>
    <w:rsid w:val="00687967"/>
    <w:rsid w:val="00690F72"/>
    <w:rsid w:val="0069237F"/>
    <w:rsid w:val="00695FE4"/>
    <w:rsid w:val="006A0F95"/>
    <w:rsid w:val="006A516C"/>
    <w:rsid w:val="006A6B80"/>
    <w:rsid w:val="006B1301"/>
    <w:rsid w:val="006B2D92"/>
    <w:rsid w:val="006B2FEF"/>
    <w:rsid w:val="006B4B31"/>
    <w:rsid w:val="006B6581"/>
    <w:rsid w:val="006B6D6C"/>
    <w:rsid w:val="006B77B3"/>
    <w:rsid w:val="006C20C5"/>
    <w:rsid w:val="006C5DED"/>
    <w:rsid w:val="006C5ECD"/>
    <w:rsid w:val="006D1520"/>
    <w:rsid w:val="006D2482"/>
    <w:rsid w:val="006D2E02"/>
    <w:rsid w:val="006D2F0C"/>
    <w:rsid w:val="006D3604"/>
    <w:rsid w:val="006D416D"/>
    <w:rsid w:val="006D536E"/>
    <w:rsid w:val="006D5EB4"/>
    <w:rsid w:val="006E03EB"/>
    <w:rsid w:val="006E2082"/>
    <w:rsid w:val="006E3BE5"/>
    <w:rsid w:val="006E5D5B"/>
    <w:rsid w:val="006E67BA"/>
    <w:rsid w:val="006F2362"/>
    <w:rsid w:val="006F47EB"/>
    <w:rsid w:val="006F4B13"/>
    <w:rsid w:val="006F4DE9"/>
    <w:rsid w:val="006F61B5"/>
    <w:rsid w:val="006F681A"/>
    <w:rsid w:val="006F71C2"/>
    <w:rsid w:val="007008B0"/>
    <w:rsid w:val="00700AC3"/>
    <w:rsid w:val="00700AD6"/>
    <w:rsid w:val="00700E68"/>
    <w:rsid w:val="00701065"/>
    <w:rsid w:val="0070175E"/>
    <w:rsid w:val="00703DC5"/>
    <w:rsid w:val="007040F2"/>
    <w:rsid w:val="007049DF"/>
    <w:rsid w:val="00705DFA"/>
    <w:rsid w:val="007061B6"/>
    <w:rsid w:val="007120EE"/>
    <w:rsid w:val="0071279F"/>
    <w:rsid w:val="007153C5"/>
    <w:rsid w:val="007161D3"/>
    <w:rsid w:val="00720C35"/>
    <w:rsid w:val="00720E7B"/>
    <w:rsid w:val="0072232C"/>
    <w:rsid w:val="007262F0"/>
    <w:rsid w:val="00726398"/>
    <w:rsid w:val="00727BE9"/>
    <w:rsid w:val="007314F1"/>
    <w:rsid w:val="00731BE9"/>
    <w:rsid w:val="00731E2B"/>
    <w:rsid w:val="00733C32"/>
    <w:rsid w:val="007366D2"/>
    <w:rsid w:val="007420D7"/>
    <w:rsid w:val="0074545C"/>
    <w:rsid w:val="00745C4D"/>
    <w:rsid w:val="0074742D"/>
    <w:rsid w:val="00752DBC"/>
    <w:rsid w:val="00753FF4"/>
    <w:rsid w:val="0075411D"/>
    <w:rsid w:val="0075462B"/>
    <w:rsid w:val="00755531"/>
    <w:rsid w:val="00755CB1"/>
    <w:rsid w:val="00756116"/>
    <w:rsid w:val="00756F8A"/>
    <w:rsid w:val="00757367"/>
    <w:rsid w:val="007601AF"/>
    <w:rsid w:val="00760295"/>
    <w:rsid w:val="00760998"/>
    <w:rsid w:val="00760B97"/>
    <w:rsid w:val="00762675"/>
    <w:rsid w:val="00762FC8"/>
    <w:rsid w:val="00765825"/>
    <w:rsid w:val="007700D3"/>
    <w:rsid w:val="00770970"/>
    <w:rsid w:val="0077131C"/>
    <w:rsid w:val="0077138B"/>
    <w:rsid w:val="00774B70"/>
    <w:rsid w:val="0077534E"/>
    <w:rsid w:val="00777098"/>
    <w:rsid w:val="00777133"/>
    <w:rsid w:val="0077733C"/>
    <w:rsid w:val="0078045E"/>
    <w:rsid w:val="00780B70"/>
    <w:rsid w:val="00782502"/>
    <w:rsid w:val="007827A4"/>
    <w:rsid w:val="00782847"/>
    <w:rsid w:val="00783777"/>
    <w:rsid w:val="00783D20"/>
    <w:rsid w:val="00785232"/>
    <w:rsid w:val="0078549A"/>
    <w:rsid w:val="007862D0"/>
    <w:rsid w:val="00791D8D"/>
    <w:rsid w:val="0079247D"/>
    <w:rsid w:val="00792559"/>
    <w:rsid w:val="00794F2D"/>
    <w:rsid w:val="007954D3"/>
    <w:rsid w:val="00796159"/>
    <w:rsid w:val="00797AAD"/>
    <w:rsid w:val="007A2F02"/>
    <w:rsid w:val="007A5127"/>
    <w:rsid w:val="007A5C51"/>
    <w:rsid w:val="007B25FF"/>
    <w:rsid w:val="007B2A03"/>
    <w:rsid w:val="007B41D7"/>
    <w:rsid w:val="007B671D"/>
    <w:rsid w:val="007B70B5"/>
    <w:rsid w:val="007C0DB7"/>
    <w:rsid w:val="007C1585"/>
    <w:rsid w:val="007C1A7D"/>
    <w:rsid w:val="007C1F6C"/>
    <w:rsid w:val="007C4094"/>
    <w:rsid w:val="007C415F"/>
    <w:rsid w:val="007C45C5"/>
    <w:rsid w:val="007C608D"/>
    <w:rsid w:val="007D1EA6"/>
    <w:rsid w:val="007D29EC"/>
    <w:rsid w:val="007D4E04"/>
    <w:rsid w:val="007D50AE"/>
    <w:rsid w:val="007D516C"/>
    <w:rsid w:val="007E1EA6"/>
    <w:rsid w:val="007E2FDE"/>
    <w:rsid w:val="007E4C1F"/>
    <w:rsid w:val="007E50CC"/>
    <w:rsid w:val="007E6491"/>
    <w:rsid w:val="007E6851"/>
    <w:rsid w:val="007E6943"/>
    <w:rsid w:val="007E6E32"/>
    <w:rsid w:val="007F0204"/>
    <w:rsid w:val="007F11B0"/>
    <w:rsid w:val="007F3879"/>
    <w:rsid w:val="007F5C3C"/>
    <w:rsid w:val="007F5C58"/>
    <w:rsid w:val="007F6449"/>
    <w:rsid w:val="007F6674"/>
    <w:rsid w:val="0080630B"/>
    <w:rsid w:val="00806AB5"/>
    <w:rsid w:val="00807142"/>
    <w:rsid w:val="008074E3"/>
    <w:rsid w:val="00807802"/>
    <w:rsid w:val="0080799C"/>
    <w:rsid w:val="00810C18"/>
    <w:rsid w:val="00814421"/>
    <w:rsid w:val="00814AFC"/>
    <w:rsid w:val="00814B22"/>
    <w:rsid w:val="00822862"/>
    <w:rsid w:val="0082350A"/>
    <w:rsid w:val="00823765"/>
    <w:rsid w:val="0082597B"/>
    <w:rsid w:val="00831A5D"/>
    <w:rsid w:val="00831DB4"/>
    <w:rsid w:val="00832D85"/>
    <w:rsid w:val="008365EC"/>
    <w:rsid w:val="00837390"/>
    <w:rsid w:val="00840A7F"/>
    <w:rsid w:val="00840A8F"/>
    <w:rsid w:val="00844176"/>
    <w:rsid w:val="00844A32"/>
    <w:rsid w:val="00846A9D"/>
    <w:rsid w:val="008503CA"/>
    <w:rsid w:val="008513A9"/>
    <w:rsid w:val="00852BA6"/>
    <w:rsid w:val="0085308E"/>
    <w:rsid w:val="0085318D"/>
    <w:rsid w:val="008540A7"/>
    <w:rsid w:val="008565FB"/>
    <w:rsid w:val="008577FA"/>
    <w:rsid w:val="00862580"/>
    <w:rsid w:val="00862834"/>
    <w:rsid w:val="00870E97"/>
    <w:rsid w:val="00871516"/>
    <w:rsid w:val="00871540"/>
    <w:rsid w:val="00871E2F"/>
    <w:rsid w:val="00876284"/>
    <w:rsid w:val="008764DD"/>
    <w:rsid w:val="00877499"/>
    <w:rsid w:val="008814E9"/>
    <w:rsid w:val="00883C37"/>
    <w:rsid w:val="008841EB"/>
    <w:rsid w:val="008854B0"/>
    <w:rsid w:val="0088688D"/>
    <w:rsid w:val="008910B2"/>
    <w:rsid w:val="00891622"/>
    <w:rsid w:val="00891C00"/>
    <w:rsid w:val="008921BE"/>
    <w:rsid w:val="00895E41"/>
    <w:rsid w:val="0089734D"/>
    <w:rsid w:val="008A0A32"/>
    <w:rsid w:val="008A1056"/>
    <w:rsid w:val="008A50CB"/>
    <w:rsid w:val="008A7CC5"/>
    <w:rsid w:val="008B0720"/>
    <w:rsid w:val="008B1C5A"/>
    <w:rsid w:val="008B1CC3"/>
    <w:rsid w:val="008B206C"/>
    <w:rsid w:val="008B34AA"/>
    <w:rsid w:val="008B4335"/>
    <w:rsid w:val="008B5413"/>
    <w:rsid w:val="008B56DF"/>
    <w:rsid w:val="008B5B2C"/>
    <w:rsid w:val="008B5EFB"/>
    <w:rsid w:val="008B69DC"/>
    <w:rsid w:val="008C01BC"/>
    <w:rsid w:val="008C1990"/>
    <w:rsid w:val="008C4728"/>
    <w:rsid w:val="008C7959"/>
    <w:rsid w:val="008C7CA6"/>
    <w:rsid w:val="008D3653"/>
    <w:rsid w:val="008D4F09"/>
    <w:rsid w:val="008D539E"/>
    <w:rsid w:val="008D65D5"/>
    <w:rsid w:val="008D75EB"/>
    <w:rsid w:val="008D7F23"/>
    <w:rsid w:val="008E12FB"/>
    <w:rsid w:val="008E1F57"/>
    <w:rsid w:val="008E5D85"/>
    <w:rsid w:val="008E751B"/>
    <w:rsid w:val="008F40FA"/>
    <w:rsid w:val="008F5CF9"/>
    <w:rsid w:val="00900C33"/>
    <w:rsid w:val="0090193D"/>
    <w:rsid w:val="009034C7"/>
    <w:rsid w:val="00904815"/>
    <w:rsid w:val="00906ABE"/>
    <w:rsid w:val="00907D1C"/>
    <w:rsid w:val="00907DD7"/>
    <w:rsid w:val="00910BBC"/>
    <w:rsid w:val="0091182D"/>
    <w:rsid w:val="00911DA2"/>
    <w:rsid w:val="009120EC"/>
    <w:rsid w:val="00915081"/>
    <w:rsid w:val="009165D6"/>
    <w:rsid w:val="00917D6F"/>
    <w:rsid w:val="00921504"/>
    <w:rsid w:val="00921E12"/>
    <w:rsid w:val="00922352"/>
    <w:rsid w:val="0092710C"/>
    <w:rsid w:val="0093112B"/>
    <w:rsid w:val="0093298F"/>
    <w:rsid w:val="009354F2"/>
    <w:rsid w:val="009370A3"/>
    <w:rsid w:val="00937BB0"/>
    <w:rsid w:val="0094022B"/>
    <w:rsid w:val="00941E05"/>
    <w:rsid w:val="00942D63"/>
    <w:rsid w:val="0094437B"/>
    <w:rsid w:val="009455DB"/>
    <w:rsid w:val="00945DB2"/>
    <w:rsid w:val="009511D6"/>
    <w:rsid w:val="00951ED7"/>
    <w:rsid w:val="0095349E"/>
    <w:rsid w:val="00954428"/>
    <w:rsid w:val="00954541"/>
    <w:rsid w:val="00954C0F"/>
    <w:rsid w:val="00956218"/>
    <w:rsid w:val="00956C4B"/>
    <w:rsid w:val="00957E64"/>
    <w:rsid w:val="00961605"/>
    <w:rsid w:val="009620C5"/>
    <w:rsid w:val="00963C88"/>
    <w:rsid w:val="00965995"/>
    <w:rsid w:val="00966814"/>
    <w:rsid w:val="00970D58"/>
    <w:rsid w:val="00973167"/>
    <w:rsid w:val="00980174"/>
    <w:rsid w:val="00981A42"/>
    <w:rsid w:val="00985A6C"/>
    <w:rsid w:val="009921E3"/>
    <w:rsid w:val="0099282E"/>
    <w:rsid w:val="00993596"/>
    <w:rsid w:val="009A00EB"/>
    <w:rsid w:val="009A6766"/>
    <w:rsid w:val="009A692C"/>
    <w:rsid w:val="009A7E10"/>
    <w:rsid w:val="009B1CEB"/>
    <w:rsid w:val="009B2576"/>
    <w:rsid w:val="009B3508"/>
    <w:rsid w:val="009B3AE3"/>
    <w:rsid w:val="009B430C"/>
    <w:rsid w:val="009B43EB"/>
    <w:rsid w:val="009B584C"/>
    <w:rsid w:val="009B6613"/>
    <w:rsid w:val="009B6674"/>
    <w:rsid w:val="009B7000"/>
    <w:rsid w:val="009B75D4"/>
    <w:rsid w:val="009C0178"/>
    <w:rsid w:val="009C030C"/>
    <w:rsid w:val="009C061A"/>
    <w:rsid w:val="009C108E"/>
    <w:rsid w:val="009C1FE8"/>
    <w:rsid w:val="009C228A"/>
    <w:rsid w:val="009C282F"/>
    <w:rsid w:val="009C2E2D"/>
    <w:rsid w:val="009C3257"/>
    <w:rsid w:val="009C5640"/>
    <w:rsid w:val="009C7F6E"/>
    <w:rsid w:val="009D0A96"/>
    <w:rsid w:val="009D1051"/>
    <w:rsid w:val="009D2037"/>
    <w:rsid w:val="009D3F87"/>
    <w:rsid w:val="009D43B2"/>
    <w:rsid w:val="009E03F3"/>
    <w:rsid w:val="009E5C84"/>
    <w:rsid w:val="009F0FC9"/>
    <w:rsid w:val="009F1A7E"/>
    <w:rsid w:val="00A03E32"/>
    <w:rsid w:val="00A075B0"/>
    <w:rsid w:val="00A11259"/>
    <w:rsid w:val="00A12B76"/>
    <w:rsid w:val="00A13FC8"/>
    <w:rsid w:val="00A14369"/>
    <w:rsid w:val="00A154D5"/>
    <w:rsid w:val="00A2067E"/>
    <w:rsid w:val="00A20B99"/>
    <w:rsid w:val="00A21F19"/>
    <w:rsid w:val="00A229AC"/>
    <w:rsid w:val="00A23E8B"/>
    <w:rsid w:val="00A25225"/>
    <w:rsid w:val="00A26607"/>
    <w:rsid w:val="00A26676"/>
    <w:rsid w:val="00A267B2"/>
    <w:rsid w:val="00A27A02"/>
    <w:rsid w:val="00A30DAB"/>
    <w:rsid w:val="00A3172A"/>
    <w:rsid w:val="00A32A3F"/>
    <w:rsid w:val="00A337C5"/>
    <w:rsid w:val="00A33B10"/>
    <w:rsid w:val="00A340FB"/>
    <w:rsid w:val="00A34C17"/>
    <w:rsid w:val="00A34EAB"/>
    <w:rsid w:val="00A3537A"/>
    <w:rsid w:val="00A37CD5"/>
    <w:rsid w:val="00A41FB2"/>
    <w:rsid w:val="00A43105"/>
    <w:rsid w:val="00A43A02"/>
    <w:rsid w:val="00A468F1"/>
    <w:rsid w:val="00A471D7"/>
    <w:rsid w:val="00A50812"/>
    <w:rsid w:val="00A541ED"/>
    <w:rsid w:val="00A5551D"/>
    <w:rsid w:val="00A562DC"/>
    <w:rsid w:val="00A56E9B"/>
    <w:rsid w:val="00A56F27"/>
    <w:rsid w:val="00A57518"/>
    <w:rsid w:val="00A60C80"/>
    <w:rsid w:val="00A62D53"/>
    <w:rsid w:val="00A656FE"/>
    <w:rsid w:val="00A658C7"/>
    <w:rsid w:val="00A66F1F"/>
    <w:rsid w:val="00A71824"/>
    <w:rsid w:val="00A718EE"/>
    <w:rsid w:val="00A73448"/>
    <w:rsid w:val="00A74203"/>
    <w:rsid w:val="00A76C0A"/>
    <w:rsid w:val="00A82313"/>
    <w:rsid w:val="00A86F1C"/>
    <w:rsid w:val="00A87100"/>
    <w:rsid w:val="00A9174A"/>
    <w:rsid w:val="00A92A07"/>
    <w:rsid w:val="00A93054"/>
    <w:rsid w:val="00A94B68"/>
    <w:rsid w:val="00A969CC"/>
    <w:rsid w:val="00A96C8D"/>
    <w:rsid w:val="00A9708B"/>
    <w:rsid w:val="00AA34A6"/>
    <w:rsid w:val="00AA3A72"/>
    <w:rsid w:val="00AA45BA"/>
    <w:rsid w:val="00AA6E88"/>
    <w:rsid w:val="00AA71C4"/>
    <w:rsid w:val="00AB3EB4"/>
    <w:rsid w:val="00AB4677"/>
    <w:rsid w:val="00AB6AE8"/>
    <w:rsid w:val="00AB7C59"/>
    <w:rsid w:val="00AC105D"/>
    <w:rsid w:val="00AC16D2"/>
    <w:rsid w:val="00AC24BD"/>
    <w:rsid w:val="00AC5779"/>
    <w:rsid w:val="00AC6178"/>
    <w:rsid w:val="00AD3D79"/>
    <w:rsid w:val="00AD48AA"/>
    <w:rsid w:val="00AD5B91"/>
    <w:rsid w:val="00AD5C75"/>
    <w:rsid w:val="00AD6AEF"/>
    <w:rsid w:val="00AE0055"/>
    <w:rsid w:val="00AE091D"/>
    <w:rsid w:val="00AE3B88"/>
    <w:rsid w:val="00AE4C8F"/>
    <w:rsid w:val="00AE5675"/>
    <w:rsid w:val="00AE57EC"/>
    <w:rsid w:val="00AE64F9"/>
    <w:rsid w:val="00AF1C04"/>
    <w:rsid w:val="00AF21BE"/>
    <w:rsid w:val="00AF2547"/>
    <w:rsid w:val="00AF254A"/>
    <w:rsid w:val="00AF36C9"/>
    <w:rsid w:val="00AF5DF5"/>
    <w:rsid w:val="00AF755E"/>
    <w:rsid w:val="00B0174E"/>
    <w:rsid w:val="00B02EDD"/>
    <w:rsid w:val="00B039A0"/>
    <w:rsid w:val="00B043DE"/>
    <w:rsid w:val="00B04603"/>
    <w:rsid w:val="00B0569D"/>
    <w:rsid w:val="00B1092B"/>
    <w:rsid w:val="00B10B94"/>
    <w:rsid w:val="00B111A5"/>
    <w:rsid w:val="00B117F2"/>
    <w:rsid w:val="00B13379"/>
    <w:rsid w:val="00B13C6F"/>
    <w:rsid w:val="00B14D75"/>
    <w:rsid w:val="00B15DBA"/>
    <w:rsid w:val="00B16A95"/>
    <w:rsid w:val="00B2297A"/>
    <w:rsid w:val="00B230F6"/>
    <w:rsid w:val="00B26202"/>
    <w:rsid w:val="00B300C7"/>
    <w:rsid w:val="00B30CFE"/>
    <w:rsid w:val="00B31DDF"/>
    <w:rsid w:val="00B32793"/>
    <w:rsid w:val="00B33D89"/>
    <w:rsid w:val="00B34F7D"/>
    <w:rsid w:val="00B355D9"/>
    <w:rsid w:val="00B404B6"/>
    <w:rsid w:val="00B414FF"/>
    <w:rsid w:val="00B4164D"/>
    <w:rsid w:val="00B450C4"/>
    <w:rsid w:val="00B457C4"/>
    <w:rsid w:val="00B462F7"/>
    <w:rsid w:val="00B4697F"/>
    <w:rsid w:val="00B46A16"/>
    <w:rsid w:val="00B47747"/>
    <w:rsid w:val="00B47E34"/>
    <w:rsid w:val="00B50D88"/>
    <w:rsid w:val="00B51099"/>
    <w:rsid w:val="00B51427"/>
    <w:rsid w:val="00B5564B"/>
    <w:rsid w:val="00B55A30"/>
    <w:rsid w:val="00B56674"/>
    <w:rsid w:val="00B56A48"/>
    <w:rsid w:val="00B56B47"/>
    <w:rsid w:val="00B618A9"/>
    <w:rsid w:val="00B621AF"/>
    <w:rsid w:val="00B63C0B"/>
    <w:rsid w:val="00B652FE"/>
    <w:rsid w:val="00B65A0A"/>
    <w:rsid w:val="00B65CF6"/>
    <w:rsid w:val="00B700CC"/>
    <w:rsid w:val="00B72365"/>
    <w:rsid w:val="00B74B38"/>
    <w:rsid w:val="00B762A0"/>
    <w:rsid w:val="00B77E56"/>
    <w:rsid w:val="00B80371"/>
    <w:rsid w:val="00B8269F"/>
    <w:rsid w:val="00B837AE"/>
    <w:rsid w:val="00B83EED"/>
    <w:rsid w:val="00B85597"/>
    <w:rsid w:val="00B85A89"/>
    <w:rsid w:val="00B868AD"/>
    <w:rsid w:val="00B86DD0"/>
    <w:rsid w:val="00B91B04"/>
    <w:rsid w:val="00B9742D"/>
    <w:rsid w:val="00BA131A"/>
    <w:rsid w:val="00BA2274"/>
    <w:rsid w:val="00BA31BC"/>
    <w:rsid w:val="00BB0042"/>
    <w:rsid w:val="00BB0BAA"/>
    <w:rsid w:val="00BB1455"/>
    <w:rsid w:val="00BB1EA2"/>
    <w:rsid w:val="00BB480B"/>
    <w:rsid w:val="00BB4E62"/>
    <w:rsid w:val="00BB55EA"/>
    <w:rsid w:val="00BB6326"/>
    <w:rsid w:val="00BB7389"/>
    <w:rsid w:val="00BB7D03"/>
    <w:rsid w:val="00BC31E7"/>
    <w:rsid w:val="00BC37E0"/>
    <w:rsid w:val="00BC38A7"/>
    <w:rsid w:val="00BC608E"/>
    <w:rsid w:val="00BC69DC"/>
    <w:rsid w:val="00BC7045"/>
    <w:rsid w:val="00BD07F2"/>
    <w:rsid w:val="00BD1C32"/>
    <w:rsid w:val="00BD20AE"/>
    <w:rsid w:val="00BD746F"/>
    <w:rsid w:val="00BD7AE1"/>
    <w:rsid w:val="00BE0E6C"/>
    <w:rsid w:val="00BE15E4"/>
    <w:rsid w:val="00BE6127"/>
    <w:rsid w:val="00BE786E"/>
    <w:rsid w:val="00BF13E6"/>
    <w:rsid w:val="00BF15B9"/>
    <w:rsid w:val="00BF2AA4"/>
    <w:rsid w:val="00BF742F"/>
    <w:rsid w:val="00BF7BD9"/>
    <w:rsid w:val="00BF7D60"/>
    <w:rsid w:val="00C017FE"/>
    <w:rsid w:val="00C03273"/>
    <w:rsid w:val="00C0447C"/>
    <w:rsid w:val="00C04CAF"/>
    <w:rsid w:val="00C050AF"/>
    <w:rsid w:val="00C054A9"/>
    <w:rsid w:val="00C05EF2"/>
    <w:rsid w:val="00C0600E"/>
    <w:rsid w:val="00C07585"/>
    <w:rsid w:val="00C11685"/>
    <w:rsid w:val="00C1189F"/>
    <w:rsid w:val="00C11F32"/>
    <w:rsid w:val="00C12263"/>
    <w:rsid w:val="00C12CF8"/>
    <w:rsid w:val="00C136CD"/>
    <w:rsid w:val="00C13D67"/>
    <w:rsid w:val="00C14903"/>
    <w:rsid w:val="00C151DF"/>
    <w:rsid w:val="00C1563D"/>
    <w:rsid w:val="00C15EB7"/>
    <w:rsid w:val="00C1626D"/>
    <w:rsid w:val="00C17A3E"/>
    <w:rsid w:val="00C212B4"/>
    <w:rsid w:val="00C21746"/>
    <w:rsid w:val="00C220E6"/>
    <w:rsid w:val="00C23427"/>
    <w:rsid w:val="00C23F73"/>
    <w:rsid w:val="00C25016"/>
    <w:rsid w:val="00C2517F"/>
    <w:rsid w:val="00C26333"/>
    <w:rsid w:val="00C264E6"/>
    <w:rsid w:val="00C26E37"/>
    <w:rsid w:val="00C271E6"/>
    <w:rsid w:val="00C27354"/>
    <w:rsid w:val="00C32C97"/>
    <w:rsid w:val="00C32DF0"/>
    <w:rsid w:val="00C33A18"/>
    <w:rsid w:val="00C353F8"/>
    <w:rsid w:val="00C35A54"/>
    <w:rsid w:val="00C416DB"/>
    <w:rsid w:val="00C423B7"/>
    <w:rsid w:val="00C42887"/>
    <w:rsid w:val="00C42ACD"/>
    <w:rsid w:val="00C42C49"/>
    <w:rsid w:val="00C446A5"/>
    <w:rsid w:val="00C45150"/>
    <w:rsid w:val="00C46737"/>
    <w:rsid w:val="00C52004"/>
    <w:rsid w:val="00C56568"/>
    <w:rsid w:val="00C60883"/>
    <w:rsid w:val="00C62D9D"/>
    <w:rsid w:val="00C6333E"/>
    <w:rsid w:val="00C633A8"/>
    <w:rsid w:val="00C64DE5"/>
    <w:rsid w:val="00C65AAE"/>
    <w:rsid w:val="00C66A4D"/>
    <w:rsid w:val="00C67534"/>
    <w:rsid w:val="00C7141D"/>
    <w:rsid w:val="00C72945"/>
    <w:rsid w:val="00C74D5C"/>
    <w:rsid w:val="00C75E3A"/>
    <w:rsid w:val="00C77378"/>
    <w:rsid w:val="00C77C68"/>
    <w:rsid w:val="00C82E0E"/>
    <w:rsid w:val="00C85115"/>
    <w:rsid w:val="00C86896"/>
    <w:rsid w:val="00C86AE5"/>
    <w:rsid w:val="00C921F5"/>
    <w:rsid w:val="00C933DE"/>
    <w:rsid w:val="00C95D2F"/>
    <w:rsid w:val="00CA082C"/>
    <w:rsid w:val="00CA0BCB"/>
    <w:rsid w:val="00CA130E"/>
    <w:rsid w:val="00CA373F"/>
    <w:rsid w:val="00CB237D"/>
    <w:rsid w:val="00CB2A80"/>
    <w:rsid w:val="00CB2F00"/>
    <w:rsid w:val="00CB48BB"/>
    <w:rsid w:val="00CB5A26"/>
    <w:rsid w:val="00CB6AC4"/>
    <w:rsid w:val="00CC10D3"/>
    <w:rsid w:val="00CC2DAC"/>
    <w:rsid w:val="00CC4858"/>
    <w:rsid w:val="00CD00B0"/>
    <w:rsid w:val="00CD1C12"/>
    <w:rsid w:val="00CD1D66"/>
    <w:rsid w:val="00CD1F7F"/>
    <w:rsid w:val="00CD2774"/>
    <w:rsid w:val="00CD433A"/>
    <w:rsid w:val="00CD57A7"/>
    <w:rsid w:val="00CD5FCA"/>
    <w:rsid w:val="00CD7CCA"/>
    <w:rsid w:val="00CE0AC5"/>
    <w:rsid w:val="00CE1DD6"/>
    <w:rsid w:val="00CE261F"/>
    <w:rsid w:val="00CE35E1"/>
    <w:rsid w:val="00CE5541"/>
    <w:rsid w:val="00CE5C53"/>
    <w:rsid w:val="00CF0573"/>
    <w:rsid w:val="00CF4607"/>
    <w:rsid w:val="00CF6767"/>
    <w:rsid w:val="00CF747C"/>
    <w:rsid w:val="00D00576"/>
    <w:rsid w:val="00D0207F"/>
    <w:rsid w:val="00D02CD4"/>
    <w:rsid w:val="00D04299"/>
    <w:rsid w:val="00D0506F"/>
    <w:rsid w:val="00D05A7A"/>
    <w:rsid w:val="00D06C14"/>
    <w:rsid w:val="00D07B78"/>
    <w:rsid w:val="00D12B80"/>
    <w:rsid w:val="00D13BD0"/>
    <w:rsid w:val="00D13D6F"/>
    <w:rsid w:val="00D165F4"/>
    <w:rsid w:val="00D1668E"/>
    <w:rsid w:val="00D167C5"/>
    <w:rsid w:val="00D16C33"/>
    <w:rsid w:val="00D177EA"/>
    <w:rsid w:val="00D20CC5"/>
    <w:rsid w:val="00D217AC"/>
    <w:rsid w:val="00D27E4D"/>
    <w:rsid w:val="00D31BE1"/>
    <w:rsid w:val="00D35B96"/>
    <w:rsid w:val="00D35CE6"/>
    <w:rsid w:val="00D37973"/>
    <w:rsid w:val="00D40EAC"/>
    <w:rsid w:val="00D41F46"/>
    <w:rsid w:val="00D4222D"/>
    <w:rsid w:val="00D42754"/>
    <w:rsid w:val="00D455A4"/>
    <w:rsid w:val="00D51DD0"/>
    <w:rsid w:val="00D5265D"/>
    <w:rsid w:val="00D60415"/>
    <w:rsid w:val="00D62E09"/>
    <w:rsid w:val="00D64101"/>
    <w:rsid w:val="00D64FFD"/>
    <w:rsid w:val="00D671F5"/>
    <w:rsid w:val="00D67CE9"/>
    <w:rsid w:val="00D67F89"/>
    <w:rsid w:val="00D70AAA"/>
    <w:rsid w:val="00D7105E"/>
    <w:rsid w:val="00D710DA"/>
    <w:rsid w:val="00D71684"/>
    <w:rsid w:val="00D72D32"/>
    <w:rsid w:val="00D7671C"/>
    <w:rsid w:val="00D767E6"/>
    <w:rsid w:val="00D76D7C"/>
    <w:rsid w:val="00D77A0C"/>
    <w:rsid w:val="00D8131B"/>
    <w:rsid w:val="00D81D94"/>
    <w:rsid w:val="00D8420C"/>
    <w:rsid w:val="00D84DE0"/>
    <w:rsid w:val="00D852A4"/>
    <w:rsid w:val="00D85764"/>
    <w:rsid w:val="00D863D0"/>
    <w:rsid w:val="00D90CAE"/>
    <w:rsid w:val="00D96FBA"/>
    <w:rsid w:val="00D97622"/>
    <w:rsid w:val="00DA1B53"/>
    <w:rsid w:val="00DA1FCE"/>
    <w:rsid w:val="00DA239C"/>
    <w:rsid w:val="00DA3088"/>
    <w:rsid w:val="00DA433D"/>
    <w:rsid w:val="00DA58AF"/>
    <w:rsid w:val="00DA7141"/>
    <w:rsid w:val="00DA744D"/>
    <w:rsid w:val="00DB1E78"/>
    <w:rsid w:val="00DB3228"/>
    <w:rsid w:val="00DB3721"/>
    <w:rsid w:val="00DB3D04"/>
    <w:rsid w:val="00DB57B4"/>
    <w:rsid w:val="00DC07AE"/>
    <w:rsid w:val="00DC10A1"/>
    <w:rsid w:val="00DC15CB"/>
    <w:rsid w:val="00DC1AC5"/>
    <w:rsid w:val="00DC3534"/>
    <w:rsid w:val="00DC499A"/>
    <w:rsid w:val="00DC64F8"/>
    <w:rsid w:val="00DC72F1"/>
    <w:rsid w:val="00DD00BE"/>
    <w:rsid w:val="00DD02D4"/>
    <w:rsid w:val="00DD0953"/>
    <w:rsid w:val="00DD0F2E"/>
    <w:rsid w:val="00DD1CB9"/>
    <w:rsid w:val="00DD1F77"/>
    <w:rsid w:val="00DD226B"/>
    <w:rsid w:val="00DD23E0"/>
    <w:rsid w:val="00DD2637"/>
    <w:rsid w:val="00DD2F35"/>
    <w:rsid w:val="00DD696D"/>
    <w:rsid w:val="00DD7872"/>
    <w:rsid w:val="00DE0896"/>
    <w:rsid w:val="00DE0AD5"/>
    <w:rsid w:val="00DE592E"/>
    <w:rsid w:val="00DE7E62"/>
    <w:rsid w:val="00DF1C2B"/>
    <w:rsid w:val="00DF2F6B"/>
    <w:rsid w:val="00DF3993"/>
    <w:rsid w:val="00DF6E16"/>
    <w:rsid w:val="00E00218"/>
    <w:rsid w:val="00E018E1"/>
    <w:rsid w:val="00E0333C"/>
    <w:rsid w:val="00E0484E"/>
    <w:rsid w:val="00E07AC4"/>
    <w:rsid w:val="00E10305"/>
    <w:rsid w:val="00E105CB"/>
    <w:rsid w:val="00E1062C"/>
    <w:rsid w:val="00E1136D"/>
    <w:rsid w:val="00E116BA"/>
    <w:rsid w:val="00E11D27"/>
    <w:rsid w:val="00E11D29"/>
    <w:rsid w:val="00E140A6"/>
    <w:rsid w:val="00E15447"/>
    <w:rsid w:val="00E15B7B"/>
    <w:rsid w:val="00E20773"/>
    <w:rsid w:val="00E2107F"/>
    <w:rsid w:val="00E23059"/>
    <w:rsid w:val="00E231E0"/>
    <w:rsid w:val="00E231F4"/>
    <w:rsid w:val="00E30352"/>
    <w:rsid w:val="00E32516"/>
    <w:rsid w:val="00E33146"/>
    <w:rsid w:val="00E374D1"/>
    <w:rsid w:val="00E37F50"/>
    <w:rsid w:val="00E40942"/>
    <w:rsid w:val="00E50D80"/>
    <w:rsid w:val="00E50E6F"/>
    <w:rsid w:val="00E51035"/>
    <w:rsid w:val="00E53438"/>
    <w:rsid w:val="00E539B3"/>
    <w:rsid w:val="00E55EC8"/>
    <w:rsid w:val="00E56469"/>
    <w:rsid w:val="00E56D02"/>
    <w:rsid w:val="00E57209"/>
    <w:rsid w:val="00E5727D"/>
    <w:rsid w:val="00E57FAB"/>
    <w:rsid w:val="00E670D3"/>
    <w:rsid w:val="00E713A7"/>
    <w:rsid w:val="00E72404"/>
    <w:rsid w:val="00E73990"/>
    <w:rsid w:val="00E74A15"/>
    <w:rsid w:val="00E7567F"/>
    <w:rsid w:val="00E81F3E"/>
    <w:rsid w:val="00E85807"/>
    <w:rsid w:val="00E86211"/>
    <w:rsid w:val="00E86ACB"/>
    <w:rsid w:val="00E900E0"/>
    <w:rsid w:val="00E90628"/>
    <w:rsid w:val="00E90D4F"/>
    <w:rsid w:val="00E9122B"/>
    <w:rsid w:val="00E93CFE"/>
    <w:rsid w:val="00E953B9"/>
    <w:rsid w:val="00EA0D43"/>
    <w:rsid w:val="00EA0EBB"/>
    <w:rsid w:val="00EA1619"/>
    <w:rsid w:val="00EA49CE"/>
    <w:rsid w:val="00EA4CBA"/>
    <w:rsid w:val="00EA6CD3"/>
    <w:rsid w:val="00EA7EDF"/>
    <w:rsid w:val="00EB184B"/>
    <w:rsid w:val="00EB27FB"/>
    <w:rsid w:val="00EB4B7B"/>
    <w:rsid w:val="00EC03E6"/>
    <w:rsid w:val="00EC218F"/>
    <w:rsid w:val="00EC5935"/>
    <w:rsid w:val="00ED053C"/>
    <w:rsid w:val="00ED0911"/>
    <w:rsid w:val="00ED0A46"/>
    <w:rsid w:val="00ED18C9"/>
    <w:rsid w:val="00ED2979"/>
    <w:rsid w:val="00ED377A"/>
    <w:rsid w:val="00ED39FF"/>
    <w:rsid w:val="00ED4255"/>
    <w:rsid w:val="00ED5CF7"/>
    <w:rsid w:val="00ED603E"/>
    <w:rsid w:val="00EE44FE"/>
    <w:rsid w:val="00EE4A54"/>
    <w:rsid w:val="00EE4C51"/>
    <w:rsid w:val="00EE61BD"/>
    <w:rsid w:val="00EE7BA0"/>
    <w:rsid w:val="00EF17FD"/>
    <w:rsid w:val="00EF2696"/>
    <w:rsid w:val="00EF55B6"/>
    <w:rsid w:val="00F00E88"/>
    <w:rsid w:val="00F01691"/>
    <w:rsid w:val="00F019FA"/>
    <w:rsid w:val="00F02EB7"/>
    <w:rsid w:val="00F03FAA"/>
    <w:rsid w:val="00F0662E"/>
    <w:rsid w:val="00F066C5"/>
    <w:rsid w:val="00F06F21"/>
    <w:rsid w:val="00F1504D"/>
    <w:rsid w:val="00F15773"/>
    <w:rsid w:val="00F1588A"/>
    <w:rsid w:val="00F205D5"/>
    <w:rsid w:val="00F23C9C"/>
    <w:rsid w:val="00F25C34"/>
    <w:rsid w:val="00F2652E"/>
    <w:rsid w:val="00F27363"/>
    <w:rsid w:val="00F2791C"/>
    <w:rsid w:val="00F30608"/>
    <w:rsid w:val="00F30A0A"/>
    <w:rsid w:val="00F32129"/>
    <w:rsid w:val="00F32822"/>
    <w:rsid w:val="00F32ADC"/>
    <w:rsid w:val="00F3414C"/>
    <w:rsid w:val="00F352DD"/>
    <w:rsid w:val="00F35567"/>
    <w:rsid w:val="00F40716"/>
    <w:rsid w:val="00F40762"/>
    <w:rsid w:val="00F40F20"/>
    <w:rsid w:val="00F418C2"/>
    <w:rsid w:val="00F42208"/>
    <w:rsid w:val="00F449A8"/>
    <w:rsid w:val="00F44B3E"/>
    <w:rsid w:val="00F51164"/>
    <w:rsid w:val="00F53042"/>
    <w:rsid w:val="00F5311D"/>
    <w:rsid w:val="00F53217"/>
    <w:rsid w:val="00F53508"/>
    <w:rsid w:val="00F53B91"/>
    <w:rsid w:val="00F542FA"/>
    <w:rsid w:val="00F5586F"/>
    <w:rsid w:val="00F626F8"/>
    <w:rsid w:val="00F64D33"/>
    <w:rsid w:val="00F652EB"/>
    <w:rsid w:val="00F669EB"/>
    <w:rsid w:val="00F66C35"/>
    <w:rsid w:val="00F70443"/>
    <w:rsid w:val="00F7097D"/>
    <w:rsid w:val="00F716EF"/>
    <w:rsid w:val="00F77D50"/>
    <w:rsid w:val="00F81A0A"/>
    <w:rsid w:val="00F838F0"/>
    <w:rsid w:val="00F858D1"/>
    <w:rsid w:val="00F85A24"/>
    <w:rsid w:val="00F86C74"/>
    <w:rsid w:val="00F9016C"/>
    <w:rsid w:val="00F929ED"/>
    <w:rsid w:val="00F9305D"/>
    <w:rsid w:val="00F94D89"/>
    <w:rsid w:val="00F9522F"/>
    <w:rsid w:val="00F96902"/>
    <w:rsid w:val="00FA2346"/>
    <w:rsid w:val="00FA37DC"/>
    <w:rsid w:val="00FA3AB1"/>
    <w:rsid w:val="00FA3B62"/>
    <w:rsid w:val="00FA4414"/>
    <w:rsid w:val="00FA4EC5"/>
    <w:rsid w:val="00FA5EE1"/>
    <w:rsid w:val="00FB1472"/>
    <w:rsid w:val="00FC3C5A"/>
    <w:rsid w:val="00FC3C7A"/>
    <w:rsid w:val="00FC4BE9"/>
    <w:rsid w:val="00FC6839"/>
    <w:rsid w:val="00FC6FCC"/>
    <w:rsid w:val="00FD01FC"/>
    <w:rsid w:val="00FD061B"/>
    <w:rsid w:val="00FD31D4"/>
    <w:rsid w:val="00FD5F34"/>
    <w:rsid w:val="00FD5FEF"/>
    <w:rsid w:val="00FD6027"/>
    <w:rsid w:val="00FE2D33"/>
    <w:rsid w:val="00FE3D8C"/>
    <w:rsid w:val="00FE6FC3"/>
    <w:rsid w:val="00FE76B5"/>
    <w:rsid w:val="00FE76D2"/>
    <w:rsid w:val="00FF15B4"/>
    <w:rsid w:val="00FF22AC"/>
    <w:rsid w:val="00FF2598"/>
    <w:rsid w:val="00FF3664"/>
    <w:rsid w:val="00FF42CE"/>
    <w:rsid w:val="00FF5967"/>
    <w:rsid w:val="00FF6B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49DE3"/>
  <w15:docId w15:val="{FFC5070A-869C-45D7-974A-330AE733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D3"/>
    <w:pPr>
      <w:spacing w:after="0" w:line="240" w:lineRule="auto"/>
    </w:pPr>
    <w:rPr>
      <w:rFonts w:ascii="Times New Roman" w:eastAsia="Calibri"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6CD3"/>
    <w:pPr>
      <w:tabs>
        <w:tab w:val="center" w:pos="4153"/>
        <w:tab w:val="right" w:pos="8306"/>
      </w:tabs>
    </w:pPr>
  </w:style>
  <w:style w:type="character" w:customStyle="1" w:styleId="FooterChar">
    <w:name w:val="Footer Char"/>
    <w:basedOn w:val="DefaultParagraphFont"/>
    <w:link w:val="Footer"/>
    <w:uiPriority w:val="99"/>
    <w:rsid w:val="00EA6CD3"/>
    <w:rPr>
      <w:rFonts w:ascii="Times New Roman" w:eastAsia="Calibri" w:hAnsi="Times New Roman" w:cs="Times New Roman"/>
      <w:sz w:val="20"/>
      <w:szCs w:val="20"/>
      <w:lang w:val="en-AU"/>
    </w:rPr>
  </w:style>
  <w:style w:type="paragraph" w:styleId="BodyText">
    <w:name w:val="Body Text"/>
    <w:basedOn w:val="Normal"/>
    <w:link w:val="BodyTextChar"/>
    <w:unhideWhenUsed/>
    <w:rsid w:val="00EA6CD3"/>
    <w:pPr>
      <w:jc w:val="both"/>
    </w:pPr>
    <w:rPr>
      <w:rFonts w:eastAsia="Times New Roman"/>
      <w:sz w:val="28"/>
      <w:lang w:val="lv-LV" w:eastAsia="lv-LV"/>
    </w:rPr>
  </w:style>
  <w:style w:type="character" w:customStyle="1" w:styleId="BodyTextChar">
    <w:name w:val="Body Text Char"/>
    <w:basedOn w:val="DefaultParagraphFont"/>
    <w:link w:val="BodyText"/>
    <w:rsid w:val="00EA6CD3"/>
    <w:rPr>
      <w:rFonts w:ascii="Times New Roman" w:eastAsia="Times New Roman" w:hAnsi="Times New Roman" w:cs="Times New Roman"/>
      <w:sz w:val="28"/>
      <w:szCs w:val="20"/>
      <w:lang w:eastAsia="lv-LV"/>
    </w:rPr>
  </w:style>
  <w:style w:type="paragraph" w:styleId="Header">
    <w:name w:val="header"/>
    <w:basedOn w:val="Normal"/>
    <w:link w:val="HeaderChar"/>
    <w:unhideWhenUsed/>
    <w:rsid w:val="00EA6CD3"/>
    <w:pPr>
      <w:tabs>
        <w:tab w:val="center" w:pos="4153"/>
        <w:tab w:val="right" w:pos="8306"/>
      </w:tabs>
    </w:pPr>
  </w:style>
  <w:style w:type="character" w:customStyle="1" w:styleId="HeaderChar">
    <w:name w:val="Header Char"/>
    <w:basedOn w:val="DefaultParagraphFont"/>
    <w:link w:val="Header"/>
    <w:rsid w:val="00EA6CD3"/>
    <w:rPr>
      <w:rFonts w:ascii="Times New Roman" w:eastAsia="Calibri" w:hAnsi="Times New Roman" w:cs="Times New Roman"/>
      <w:sz w:val="20"/>
      <w:szCs w:val="20"/>
      <w:lang w:val="en-AU"/>
    </w:rPr>
  </w:style>
  <w:style w:type="paragraph" w:customStyle="1" w:styleId="naisf">
    <w:name w:val="naisf"/>
    <w:basedOn w:val="Normal"/>
    <w:rsid w:val="00EA6CD3"/>
    <w:pPr>
      <w:spacing w:before="75" w:after="75"/>
      <w:ind w:firstLine="375"/>
      <w:jc w:val="both"/>
    </w:pPr>
    <w:rPr>
      <w:rFonts w:eastAsia="Times New Roman"/>
      <w:sz w:val="24"/>
      <w:szCs w:val="24"/>
      <w:lang w:val="lv-LV" w:eastAsia="lv-LV"/>
    </w:rPr>
  </w:style>
  <w:style w:type="paragraph" w:customStyle="1" w:styleId="naiskr">
    <w:name w:val="naiskr"/>
    <w:basedOn w:val="Normal"/>
    <w:rsid w:val="00EA6CD3"/>
    <w:pPr>
      <w:spacing w:before="75" w:after="75"/>
    </w:pPr>
    <w:rPr>
      <w:rFonts w:eastAsia="Times New Roman"/>
      <w:sz w:val="24"/>
      <w:szCs w:val="24"/>
      <w:lang w:val="lv-LV" w:eastAsia="lv-LV"/>
    </w:rPr>
  </w:style>
  <w:style w:type="paragraph" w:customStyle="1" w:styleId="tv2131">
    <w:name w:val="tv2131"/>
    <w:basedOn w:val="Normal"/>
    <w:rsid w:val="00EA6CD3"/>
    <w:pPr>
      <w:spacing w:line="360" w:lineRule="auto"/>
      <w:ind w:firstLine="335"/>
    </w:pPr>
    <w:rPr>
      <w:rFonts w:eastAsia="Times New Roman"/>
      <w:color w:val="414142"/>
      <w:sz w:val="22"/>
      <w:szCs w:val="22"/>
      <w:lang w:val="en-US"/>
    </w:rPr>
  </w:style>
  <w:style w:type="paragraph" w:styleId="BalloonText">
    <w:name w:val="Balloon Text"/>
    <w:basedOn w:val="Normal"/>
    <w:link w:val="BalloonTextChar"/>
    <w:uiPriority w:val="99"/>
    <w:semiHidden/>
    <w:unhideWhenUsed/>
    <w:rsid w:val="008D65D5"/>
    <w:rPr>
      <w:rFonts w:ascii="Tahoma" w:hAnsi="Tahoma" w:cs="Tahoma"/>
      <w:sz w:val="16"/>
      <w:szCs w:val="16"/>
    </w:rPr>
  </w:style>
  <w:style w:type="character" w:customStyle="1" w:styleId="BalloonTextChar">
    <w:name w:val="Balloon Text Char"/>
    <w:basedOn w:val="DefaultParagraphFont"/>
    <w:link w:val="BalloonText"/>
    <w:uiPriority w:val="99"/>
    <w:semiHidden/>
    <w:rsid w:val="008D65D5"/>
    <w:rPr>
      <w:rFonts w:ascii="Tahoma" w:eastAsia="Calibri" w:hAnsi="Tahoma" w:cs="Tahoma"/>
      <w:sz w:val="16"/>
      <w:szCs w:val="16"/>
      <w:lang w:val="en-AU"/>
    </w:rPr>
  </w:style>
  <w:style w:type="paragraph" w:styleId="ListParagraph">
    <w:name w:val="List Paragraph"/>
    <w:aliases w:val="2,Strip,H&amp;P List Paragraph,Saraksta rindkopa,Saraksta rindkopa1"/>
    <w:basedOn w:val="Normal"/>
    <w:link w:val="ListParagraphChar"/>
    <w:uiPriority w:val="34"/>
    <w:qFormat/>
    <w:rsid w:val="00166A8B"/>
    <w:pPr>
      <w:ind w:left="720"/>
      <w:contextualSpacing/>
    </w:pPr>
  </w:style>
  <w:style w:type="character" w:styleId="CommentReference">
    <w:name w:val="annotation reference"/>
    <w:basedOn w:val="DefaultParagraphFont"/>
    <w:uiPriority w:val="99"/>
    <w:unhideWhenUsed/>
    <w:rsid w:val="00961605"/>
    <w:rPr>
      <w:sz w:val="16"/>
      <w:szCs w:val="16"/>
    </w:rPr>
  </w:style>
  <w:style w:type="paragraph" w:styleId="CommentText">
    <w:name w:val="annotation text"/>
    <w:basedOn w:val="Normal"/>
    <w:link w:val="CommentTextChar"/>
    <w:uiPriority w:val="99"/>
    <w:unhideWhenUsed/>
    <w:rsid w:val="00961605"/>
  </w:style>
  <w:style w:type="character" w:customStyle="1" w:styleId="CommentTextChar">
    <w:name w:val="Comment Text Char"/>
    <w:basedOn w:val="DefaultParagraphFont"/>
    <w:link w:val="CommentText"/>
    <w:uiPriority w:val="99"/>
    <w:rsid w:val="00961605"/>
    <w:rPr>
      <w:rFonts w:ascii="Times New Roman" w:eastAsia="Calibri"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961605"/>
    <w:rPr>
      <w:b/>
      <w:bCs/>
    </w:rPr>
  </w:style>
  <w:style w:type="character" w:customStyle="1" w:styleId="CommentSubjectChar">
    <w:name w:val="Comment Subject Char"/>
    <w:basedOn w:val="CommentTextChar"/>
    <w:link w:val="CommentSubject"/>
    <w:uiPriority w:val="99"/>
    <w:semiHidden/>
    <w:rsid w:val="00961605"/>
    <w:rPr>
      <w:rFonts w:ascii="Times New Roman" w:eastAsia="Calibri" w:hAnsi="Times New Roman" w:cs="Times New Roman"/>
      <w:b/>
      <w:bCs/>
      <w:sz w:val="20"/>
      <w:szCs w:val="20"/>
      <w:lang w:val="en-AU"/>
    </w:rPr>
  </w:style>
  <w:style w:type="character" w:styleId="Hyperlink">
    <w:name w:val="Hyperlink"/>
    <w:basedOn w:val="DefaultParagraphFont"/>
    <w:uiPriority w:val="99"/>
    <w:unhideWhenUsed/>
    <w:rsid w:val="00B46A16"/>
    <w:rPr>
      <w:color w:val="0000FF" w:themeColor="hyperlink"/>
      <w:u w:val="single"/>
    </w:rPr>
  </w:style>
  <w:style w:type="paragraph" w:styleId="FootnoteText">
    <w:name w:val="footnote text"/>
    <w:basedOn w:val="Normal"/>
    <w:link w:val="FootnoteTextChar"/>
    <w:uiPriority w:val="99"/>
    <w:rsid w:val="00AD6AEF"/>
    <w:pPr>
      <w:jc w:val="both"/>
    </w:pPr>
    <w:rPr>
      <w:rFonts w:eastAsia="Times New Roman"/>
      <w:lang w:val="lv-LV"/>
    </w:rPr>
  </w:style>
  <w:style w:type="character" w:customStyle="1" w:styleId="FootnoteTextChar">
    <w:name w:val="Footnote Text Char"/>
    <w:basedOn w:val="DefaultParagraphFont"/>
    <w:link w:val="FootnoteText"/>
    <w:uiPriority w:val="99"/>
    <w:rsid w:val="00AD6AEF"/>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rsid w:val="00AD6AEF"/>
    <w:rPr>
      <w:rFonts w:ascii="Times New Roman" w:hAnsi="Times New Roman"/>
      <w:vertAlign w:val="superscript"/>
    </w:rPr>
  </w:style>
  <w:style w:type="character" w:customStyle="1" w:styleId="apple-converted-space">
    <w:name w:val="apple-converted-space"/>
    <w:basedOn w:val="DefaultParagraphFont"/>
    <w:rsid w:val="00753FF4"/>
  </w:style>
  <w:style w:type="character" w:customStyle="1" w:styleId="bumpedfont15">
    <w:name w:val="bumpedfont15"/>
    <w:rsid w:val="006C20C5"/>
  </w:style>
  <w:style w:type="character" w:styleId="PlaceholderText">
    <w:name w:val="Placeholder Text"/>
    <w:basedOn w:val="DefaultParagraphFont"/>
    <w:uiPriority w:val="99"/>
    <w:semiHidden/>
    <w:rsid w:val="00200E7D"/>
    <w:rPr>
      <w:color w:val="808080"/>
    </w:rPr>
  </w:style>
  <w:style w:type="character" w:customStyle="1" w:styleId="ListParagraphChar">
    <w:name w:val="List Paragraph Char"/>
    <w:aliases w:val="2 Char,Strip Char,H&amp;P List Paragraph Char,Saraksta rindkopa Char,Saraksta rindkopa1 Char"/>
    <w:link w:val="ListParagraph"/>
    <w:uiPriority w:val="34"/>
    <w:locked/>
    <w:rsid w:val="00D165F4"/>
    <w:rPr>
      <w:rFonts w:ascii="Times New Roman" w:eastAsia="Calibri" w:hAnsi="Times New Roman" w:cs="Times New Roman"/>
      <w:sz w:val="20"/>
      <w:szCs w:val="20"/>
      <w:lang w:val="en-AU"/>
    </w:rPr>
  </w:style>
  <w:style w:type="paragraph" w:styleId="NormalWeb">
    <w:name w:val="Normal (Web)"/>
    <w:basedOn w:val="Normal"/>
    <w:uiPriority w:val="99"/>
    <w:semiHidden/>
    <w:unhideWhenUsed/>
    <w:rsid w:val="005E30B2"/>
    <w:pPr>
      <w:spacing w:before="100" w:beforeAutospacing="1" w:after="100" w:afterAutospacing="1"/>
    </w:pPr>
    <w:rPr>
      <w:rFonts w:eastAsia="Times New Roman"/>
      <w:sz w:val="24"/>
      <w:szCs w:val="24"/>
      <w:lang w:val="lv-LV" w:eastAsia="lv-LV"/>
    </w:rPr>
  </w:style>
  <w:style w:type="paragraph" w:customStyle="1" w:styleId="naisnod">
    <w:name w:val="naisnod"/>
    <w:basedOn w:val="Normal"/>
    <w:rsid w:val="00DC64F8"/>
    <w:pPr>
      <w:spacing w:before="100" w:beforeAutospacing="1" w:after="100" w:afterAutospacing="1"/>
    </w:pPr>
    <w:rPr>
      <w:rFonts w:eastAsia="Times New Roman"/>
      <w:sz w:val="24"/>
      <w:szCs w:val="24"/>
      <w:lang w:val="lv-LV" w:eastAsia="lv-LV"/>
    </w:rPr>
  </w:style>
  <w:style w:type="paragraph" w:customStyle="1" w:styleId="Default">
    <w:name w:val="Default"/>
    <w:rsid w:val="00FE76B5"/>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tv213">
    <w:name w:val="tv213"/>
    <w:basedOn w:val="Normal"/>
    <w:rsid w:val="00F94D89"/>
    <w:pPr>
      <w:spacing w:before="100" w:beforeAutospacing="1" w:after="100" w:afterAutospacing="1"/>
    </w:pPr>
    <w:rPr>
      <w:rFonts w:eastAsia="Times New Roman"/>
      <w:sz w:val="24"/>
      <w:szCs w:val="24"/>
      <w:lang w:val="lv-LV" w:eastAsia="lv-LV"/>
    </w:rPr>
  </w:style>
  <w:style w:type="paragraph" w:styleId="Revision">
    <w:name w:val="Revision"/>
    <w:hidden/>
    <w:uiPriority w:val="99"/>
    <w:semiHidden/>
    <w:rsid w:val="00733C32"/>
    <w:pPr>
      <w:spacing w:after="0" w:line="240" w:lineRule="auto"/>
    </w:pPr>
    <w:rPr>
      <w:rFonts w:ascii="Times New Roman" w:eastAsia="Calibri" w:hAnsi="Times New Roman" w:cs="Times New Roman"/>
      <w:sz w:val="20"/>
      <w:szCs w:val="20"/>
      <w:lang w:val="en-AU"/>
    </w:rPr>
  </w:style>
  <w:style w:type="character" w:styleId="FollowedHyperlink">
    <w:name w:val="FollowedHyperlink"/>
    <w:basedOn w:val="DefaultParagraphFont"/>
    <w:uiPriority w:val="99"/>
    <w:semiHidden/>
    <w:unhideWhenUsed/>
    <w:rsid w:val="00547ACF"/>
    <w:rPr>
      <w:color w:val="800080" w:themeColor="followedHyperlink"/>
      <w:u w:val="single"/>
    </w:rPr>
  </w:style>
  <w:style w:type="character" w:customStyle="1" w:styleId="Mention1">
    <w:name w:val="Mention1"/>
    <w:basedOn w:val="DefaultParagraphFont"/>
    <w:uiPriority w:val="99"/>
    <w:semiHidden/>
    <w:unhideWhenUsed/>
    <w:rsid w:val="00547ACF"/>
    <w:rPr>
      <w:color w:val="2B579A"/>
      <w:shd w:val="clear" w:color="auto" w:fill="E6E6E6"/>
    </w:rPr>
  </w:style>
  <w:style w:type="character" w:customStyle="1" w:styleId="Mention2">
    <w:name w:val="Mention2"/>
    <w:basedOn w:val="DefaultParagraphFont"/>
    <w:uiPriority w:val="99"/>
    <w:semiHidden/>
    <w:unhideWhenUsed/>
    <w:rsid w:val="00B621AF"/>
    <w:rPr>
      <w:color w:val="2B579A"/>
      <w:shd w:val="clear" w:color="auto" w:fill="E6E6E6"/>
    </w:rPr>
  </w:style>
  <w:style w:type="character" w:styleId="BookTitle">
    <w:name w:val="Book Title"/>
    <w:basedOn w:val="DefaultParagraphFont"/>
    <w:uiPriority w:val="33"/>
    <w:qFormat/>
    <w:rsid w:val="00D97622"/>
    <w:rPr>
      <w:b/>
      <w:bCs/>
      <w:i/>
      <w:iCs/>
      <w:spacing w:val="5"/>
    </w:rPr>
  </w:style>
  <w:style w:type="character" w:customStyle="1" w:styleId="UnresolvedMention1">
    <w:name w:val="Unresolved Mention1"/>
    <w:basedOn w:val="DefaultParagraphFont"/>
    <w:uiPriority w:val="99"/>
    <w:semiHidden/>
    <w:unhideWhenUsed/>
    <w:rsid w:val="005A0C78"/>
    <w:rPr>
      <w:color w:val="808080"/>
      <w:shd w:val="clear" w:color="auto" w:fill="E6E6E6"/>
    </w:rPr>
  </w:style>
  <w:style w:type="paragraph" w:styleId="EndnoteText">
    <w:name w:val="endnote text"/>
    <w:basedOn w:val="Normal"/>
    <w:link w:val="EndnoteTextChar"/>
    <w:uiPriority w:val="99"/>
    <w:semiHidden/>
    <w:unhideWhenUsed/>
    <w:rsid w:val="00E81F3E"/>
  </w:style>
  <w:style w:type="character" w:customStyle="1" w:styleId="EndnoteTextChar">
    <w:name w:val="Endnote Text Char"/>
    <w:basedOn w:val="DefaultParagraphFont"/>
    <w:link w:val="EndnoteText"/>
    <w:uiPriority w:val="99"/>
    <w:semiHidden/>
    <w:rsid w:val="00E81F3E"/>
    <w:rPr>
      <w:rFonts w:ascii="Times New Roman" w:eastAsia="Calibri" w:hAnsi="Times New Roman" w:cs="Times New Roman"/>
      <w:sz w:val="20"/>
      <w:szCs w:val="20"/>
      <w:lang w:val="en-AU"/>
    </w:rPr>
  </w:style>
  <w:style w:type="character" w:styleId="EndnoteReference">
    <w:name w:val="endnote reference"/>
    <w:basedOn w:val="DefaultParagraphFont"/>
    <w:uiPriority w:val="99"/>
    <w:semiHidden/>
    <w:unhideWhenUsed/>
    <w:rsid w:val="00E81F3E"/>
    <w:rPr>
      <w:vertAlign w:val="superscript"/>
    </w:rPr>
  </w:style>
  <w:style w:type="character" w:customStyle="1" w:styleId="italics">
    <w:name w:val="italics"/>
    <w:basedOn w:val="DefaultParagraphFont"/>
    <w:rsid w:val="00580B98"/>
  </w:style>
  <w:style w:type="character" w:customStyle="1" w:styleId="UnresolvedMention2">
    <w:name w:val="Unresolved Mention2"/>
    <w:basedOn w:val="DefaultParagraphFont"/>
    <w:uiPriority w:val="99"/>
    <w:semiHidden/>
    <w:unhideWhenUsed/>
    <w:rsid w:val="000A38DA"/>
    <w:rPr>
      <w:color w:val="605E5C"/>
      <w:shd w:val="clear" w:color="auto" w:fill="E1DFDD"/>
    </w:rPr>
  </w:style>
  <w:style w:type="table" w:styleId="TableGrid">
    <w:name w:val="Table Grid"/>
    <w:basedOn w:val="TableNormal"/>
    <w:uiPriority w:val="59"/>
    <w:rsid w:val="00FE3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1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6491">
      <w:bodyDiv w:val="1"/>
      <w:marLeft w:val="0"/>
      <w:marRight w:val="0"/>
      <w:marTop w:val="0"/>
      <w:marBottom w:val="0"/>
      <w:divBdr>
        <w:top w:val="none" w:sz="0" w:space="0" w:color="auto"/>
        <w:left w:val="none" w:sz="0" w:space="0" w:color="auto"/>
        <w:bottom w:val="none" w:sz="0" w:space="0" w:color="auto"/>
        <w:right w:val="none" w:sz="0" w:space="0" w:color="auto"/>
      </w:divBdr>
    </w:div>
    <w:div w:id="77092894">
      <w:bodyDiv w:val="1"/>
      <w:marLeft w:val="0"/>
      <w:marRight w:val="0"/>
      <w:marTop w:val="0"/>
      <w:marBottom w:val="0"/>
      <w:divBdr>
        <w:top w:val="none" w:sz="0" w:space="0" w:color="auto"/>
        <w:left w:val="none" w:sz="0" w:space="0" w:color="auto"/>
        <w:bottom w:val="none" w:sz="0" w:space="0" w:color="auto"/>
        <w:right w:val="none" w:sz="0" w:space="0" w:color="auto"/>
      </w:divBdr>
    </w:div>
    <w:div w:id="153881098">
      <w:bodyDiv w:val="1"/>
      <w:marLeft w:val="0"/>
      <w:marRight w:val="0"/>
      <w:marTop w:val="0"/>
      <w:marBottom w:val="0"/>
      <w:divBdr>
        <w:top w:val="none" w:sz="0" w:space="0" w:color="auto"/>
        <w:left w:val="none" w:sz="0" w:space="0" w:color="auto"/>
        <w:bottom w:val="none" w:sz="0" w:space="0" w:color="auto"/>
        <w:right w:val="none" w:sz="0" w:space="0" w:color="auto"/>
      </w:divBdr>
    </w:div>
    <w:div w:id="163324401">
      <w:bodyDiv w:val="1"/>
      <w:marLeft w:val="0"/>
      <w:marRight w:val="0"/>
      <w:marTop w:val="0"/>
      <w:marBottom w:val="0"/>
      <w:divBdr>
        <w:top w:val="none" w:sz="0" w:space="0" w:color="auto"/>
        <w:left w:val="none" w:sz="0" w:space="0" w:color="auto"/>
        <w:bottom w:val="none" w:sz="0" w:space="0" w:color="auto"/>
        <w:right w:val="none" w:sz="0" w:space="0" w:color="auto"/>
      </w:divBdr>
    </w:div>
    <w:div w:id="187447022">
      <w:bodyDiv w:val="1"/>
      <w:marLeft w:val="0"/>
      <w:marRight w:val="0"/>
      <w:marTop w:val="0"/>
      <w:marBottom w:val="0"/>
      <w:divBdr>
        <w:top w:val="none" w:sz="0" w:space="0" w:color="auto"/>
        <w:left w:val="none" w:sz="0" w:space="0" w:color="auto"/>
        <w:bottom w:val="none" w:sz="0" w:space="0" w:color="auto"/>
        <w:right w:val="none" w:sz="0" w:space="0" w:color="auto"/>
      </w:divBdr>
    </w:div>
    <w:div w:id="311568523">
      <w:bodyDiv w:val="1"/>
      <w:marLeft w:val="0"/>
      <w:marRight w:val="0"/>
      <w:marTop w:val="0"/>
      <w:marBottom w:val="0"/>
      <w:divBdr>
        <w:top w:val="none" w:sz="0" w:space="0" w:color="auto"/>
        <w:left w:val="none" w:sz="0" w:space="0" w:color="auto"/>
        <w:bottom w:val="none" w:sz="0" w:space="0" w:color="auto"/>
        <w:right w:val="none" w:sz="0" w:space="0" w:color="auto"/>
      </w:divBdr>
      <w:divsChild>
        <w:div w:id="1732731101">
          <w:marLeft w:val="0"/>
          <w:marRight w:val="0"/>
          <w:marTop w:val="0"/>
          <w:marBottom w:val="0"/>
          <w:divBdr>
            <w:top w:val="none" w:sz="0" w:space="0" w:color="auto"/>
            <w:left w:val="none" w:sz="0" w:space="0" w:color="auto"/>
            <w:bottom w:val="none" w:sz="0" w:space="0" w:color="auto"/>
            <w:right w:val="none" w:sz="0" w:space="0" w:color="auto"/>
          </w:divBdr>
          <w:divsChild>
            <w:div w:id="1926914412">
              <w:marLeft w:val="0"/>
              <w:marRight w:val="0"/>
              <w:marTop w:val="0"/>
              <w:marBottom w:val="0"/>
              <w:divBdr>
                <w:top w:val="none" w:sz="0" w:space="0" w:color="auto"/>
                <w:left w:val="none" w:sz="0" w:space="0" w:color="auto"/>
                <w:bottom w:val="none" w:sz="0" w:space="0" w:color="auto"/>
                <w:right w:val="none" w:sz="0" w:space="0" w:color="auto"/>
              </w:divBdr>
              <w:divsChild>
                <w:div w:id="2054378398">
                  <w:marLeft w:val="0"/>
                  <w:marRight w:val="0"/>
                  <w:marTop w:val="0"/>
                  <w:marBottom w:val="0"/>
                  <w:divBdr>
                    <w:top w:val="none" w:sz="0" w:space="0" w:color="auto"/>
                    <w:left w:val="none" w:sz="0" w:space="0" w:color="auto"/>
                    <w:bottom w:val="none" w:sz="0" w:space="0" w:color="auto"/>
                    <w:right w:val="none" w:sz="0" w:space="0" w:color="auto"/>
                  </w:divBdr>
                  <w:divsChild>
                    <w:div w:id="1514342674">
                      <w:marLeft w:val="0"/>
                      <w:marRight w:val="0"/>
                      <w:marTop w:val="0"/>
                      <w:marBottom w:val="0"/>
                      <w:divBdr>
                        <w:top w:val="none" w:sz="0" w:space="0" w:color="auto"/>
                        <w:left w:val="none" w:sz="0" w:space="0" w:color="auto"/>
                        <w:bottom w:val="none" w:sz="0" w:space="0" w:color="auto"/>
                        <w:right w:val="none" w:sz="0" w:space="0" w:color="auto"/>
                      </w:divBdr>
                      <w:divsChild>
                        <w:div w:id="208714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87003">
              <w:marLeft w:val="0"/>
              <w:marRight w:val="0"/>
              <w:marTop w:val="0"/>
              <w:marBottom w:val="0"/>
              <w:divBdr>
                <w:top w:val="none" w:sz="0" w:space="0" w:color="auto"/>
                <w:left w:val="none" w:sz="0" w:space="0" w:color="auto"/>
                <w:bottom w:val="none" w:sz="0" w:space="0" w:color="auto"/>
                <w:right w:val="none" w:sz="0" w:space="0" w:color="auto"/>
              </w:divBdr>
            </w:div>
            <w:div w:id="1219634301">
              <w:marLeft w:val="0"/>
              <w:marRight w:val="0"/>
              <w:marTop w:val="0"/>
              <w:marBottom w:val="0"/>
              <w:divBdr>
                <w:top w:val="none" w:sz="0" w:space="0" w:color="auto"/>
                <w:left w:val="none" w:sz="0" w:space="0" w:color="auto"/>
                <w:bottom w:val="none" w:sz="0" w:space="0" w:color="auto"/>
                <w:right w:val="none" w:sz="0" w:space="0" w:color="auto"/>
              </w:divBdr>
              <w:divsChild>
                <w:div w:id="90516642">
                  <w:marLeft w:val="0"/>
                  <w:marRight w:val="0"/>
                  <w:marTop w:val="0"/>
                  <w:marBottom w:val="0"/>
                  <w:divBdr>
                    <w:top w:val="none" w:sz="0" w:space="0" w:color="auto"/>
                    <w:left w:val="none" w:sz="0" w:space="0" w:color="auto"/>
                    <w:bottom w:val="none" w:sz="0" w:space="0" w:color="auto"/>
                    <w:right w:val="none" w:sz="0" w:space="0" w:color="auto"/>
                  </w:divBdr>
                  <w:divsChild>
                    <w:div w:id="2074035035">
                      <w:marLeft w:val="0"/>
                      <w:marRight w:val="0"/>
                      <w:marTop w:val="0"/>
                      <w:marBottom w:val="0"/>
                      <w:divBdr>
                        <w:top w:val="none" w:sz="0" w:space="0" w:color="auto"/>
                        <w:left w:val="none" w:sz="0" w:space="0" w:color="auto"/>
                        <w:bottom w:val="none" w:sz="0" w:space="0" w:color="auto"/>
                        <w:right w:val="none" w:sz="0" w:space="0" w:color="auto"/>
                      </w:divBdr>
                      <w:divsChild>
                        <w:div w:id="10855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757699">
      <w:bodyDiv w:val="1"/>
      <w:marLeft w:val="0"/>
      <w:marRight w:val="0"/>
      <w:marTop w:val="0"/>
      <w:marBottom w:val="0"/>
      <w:divBdr>
        <w:top w:val="none" w:sz="0" w:space="0" w:color="auto"/>
        <w:left w:val="none" w:sz="0" w:space="0" w:color="auto"/>
        <w:bottom w:val="none" w:sz="0" w:space="0" w:color="auto"/>
        <w:right w:val="none" w:sz="0" w:space="0" w:color="auto"/>
      </w:divBdr>
    </w:div>
    <w:div w:id="385682458">
      <w:bodyDiv w:val="1"/>
      <w:marLeft w:val="0"/>
      <w:marRight w:val="0"/>
      <w:marTop w:val="0"/>
      <w:marBottom w:val="0"/>
      <w:divBdr>
        <w:top w:val="none" w:sz="0" w:space="0" w:color="auto"/>
        <w:left w:val="none" w:sz="0" w:space="0" w:color="auto"/>
        <w:bottom w:val="none" w:sz="0" w:space="0" w:color="auto"/>
        <w:right w:val="none" w:sz="0" w:space="0" w:color="auto"/>
      </w:divBdr>
    </w:div>
    <w:div w:id="436565123">
      <w:bodyDiv w:val="1"/>
      <w:marLeft w:val="0"/>
      <w:marRight w:val="0"/>
      <w:marTop w:val="0"/>
      <w:marBottom w:val="0"/>
      <w:divBdr>
        <w:top w:val="none" w:sz="0" w:space="0" w:color="auto"/>
        <w:left w:val="none" w:sz="0" w:space="0" w:color="auto"/>
        <w:bottom w:val="none" w:sz="0" w:space="0" w:color="auto"/>
        <w:right w:val="none" w:sz="0" w:space="0" w:color="auto"/>
      </w:divBdr>
    </w:div>
    <w:div w:id="452602839">
      <w:bodyDiv w:val="1"/>
      <w:marLeft w:val="0"/>
      <w:marRight w:val="0"/>
      <w:marTop w:val="0"/>
      <w:marBottom w:val="0"/>
      <w:divBdr>
        <w:top w:val="none" w:sz="0" w:space="0" w:color="auto"/>
        <w:left w:val="none" w:sz="0" w:space="0" w:color="auto"/>
        <w:bottom w:val="none" w:sz="0" w:space="0" w:color="auto"/>
        <w:right w:val="none" w:sz="0" w:space="0" w:color="auto"/>
      </w:divBdr>
    </w:div>
    <w:div w:id="480268138">
      <w:bodyDiv w:val="1"/>
      <w:marLeft w:val="0"/>
      <w:marRight w:val="0"/>
      <w:marTop w:val="0"/>
      <w:marBottom w:val="0"/>
      <w:divBdr>
        <w:top w:val="none" w:sz="0" w:space="0" w:color="auto"/>
        <w:left w:val="none" w:sz="0" w:space="0" w:color="auto"/>
        <w:bottom w:val="none" w:sz="0" w:space="0" w:color="auto"/>
        <w:right w:val="none" w:sz="0" w:space="0" w:color="auto"/>
      </w:divBdr>
    </w:div>
    <w:div w:id="505942513">
      <w:bodyDiv w:val="1"/>
      <w:marLeft w:val="0"/>
      <w:marRight w:val="0"/>
      <w:marTop w:val="0"/>
      <w:marBottom w:val="0"/>
      <w:divBdr>
        <w:top w:val="none" w:sz="0" w:space="0" w:color="auto"/>
        <w:left w:val="none" w:sz="0" w:space="0" w:color="auto"/>
        <w:bottom w:val="none" w:sz="0" w:space="0" w:color="auto"/>
        <w:right w:val="none" w:sz="0" w:space="0" w:color="auto"/>
      </w:divBdr>
    </w:div>
    <w:div w:id="559900845">
      <w:bodyDiv w:val="1"/>
      <w:marLeft w:val="0"/>
      <w:marRight w:val="0"/>
      <w:marTop w:val="0"/>
      <w:marBottom w:val="0"/>
      <w:divBdr>
        <w:top w:val="none" w:sz="0" w:space="0" w:color="auto"/>
        <w:left w:val="none" w:sz="0" w:space="0" w:color="auto"/>
        <w:bottom w:val="none" w:sz="0" w:space="0" w:color="auto"/>
        <w:right w:val="none" w:sz="0" w:space="0" w:color="auto"/>
      </w:divBdr>
    </w:div>
    <w:div w:id="561454382">
      <w:bodyDiv w:val="1"/>
      <w:marLeft w:val="0"/>
      <w:marRight w:val="0"/>
      <w:marTop w:val="0"/>
      <w:marBottom w:val="0"/>
      <w:divBdr>
        <w:top w:val="none" w:sz="0" w:space="0" w:color="auto"/>
        <w:left w:val="none" w:sz="0" w:space="0" w:color="auto"/>
        <w:bottom w:val="none" w:sz="0" w:space="0" w:color="auto"/>
        <w:right w:val="none" w:sz="0" w:space="0" w:color="auto"/>
      </w:divBdr>
    </w:div>
    <w:div w:id="642199812">
      <w:bodyDiv w:val="1"/>
      <w:marLeft w:val="0"/>
      <w:marRight w:val="0"/>
      <w:marTop w:val="0"/>
      <w:marBottom w:val="0"/>
      <w:divBdr>
        <w:top w:val="none" w:sz="0" w:space="0" w:color="auto"/>
        <w:left w:val="none" w:sz="0" w:space="0" w:color="auto"/>
        <w:bottom w:val="none" w:sz="0" w:space="0" w:color="auto"/>
        <w:right w:val="none" w:sz="0" w:space="0" w:color="auto"/>
      </w:divBdr>
    </w:div>
    <w:div w:id="659895293">
      <w:bodyDiv w:val="1"/>
      <w:marLeft w:val="0"/>
      <w:marRight w:val="0"/>
      <w:marTop w:val="0"/>
      <w:marBottom w:val="0"/>
      <w:divBdr>
        <w:top w:val="none" w:sz="0" w:space="0" w:color="auto"/>
        <w:left w:val="none" w:sz="0" w:space="0" w:color="auto"/>
        <w:bottom w:val="none" w:sz="0" w:space="0" w:color="auto"/>
        <w:right w:val="none" w:sz="0" w:space="0" w:color="auto"/>
      </w:divBdr>
    </w:div>
    <w:div w:id="772239477">
      <w:bodyDiv w:val="1"/>
      <w:marLeft w:val="0"/>
      <w:marRight w:val="0"/>
      <w:marTop w:val="0"/>
      <w:marBottom w:val="0"/>
      <w:divBdr>
        <w:top w:val="none" w:sz="0" w:space="0" w:color="auto"/>
        <w:left w:val="none" w:sz="0" w:space="0" w:color="auto"/>
        <w:bottom w:val="none" w:sz="0" w:space="0" w:color="auto"/>
        <w:right w:val="none" w:sz="0" w:space="0" w:color="auto"/>
      </w:divBdr>
    </w:div>
    <w:div w:id="828709906">
      <w:bodyDiv w:val="1"/>
      <w:marLeft w:val="0"/>
      <w:marRight w:val="0"/>
      <w:marTop w:val="0"/>
      <w:marBottom w:val="0"/>
      <w:divBdr>
        <w:top w:val="none" w:sz="0" w:space="0" w:color="auto"/>
        <w:left w:val="none" w:sz="0" w:space="0" w:color="auto"/>
        <w:bottom w:val="none" w:sz="0" w:space="0" w:color="auto"/>
        <w:right w:val="none" w:sz="0" w:space="0" w:color="auto"/>
      </w:divBdr>
    </w:div>
    <w:div w:id="849295725">
      <w:bodyDiv w:val="1"/>
      <w:marLeft w:val="0"/>
      <w:marRight w:val="0"/>
      <w:marTop w:val="0"/>
      <w:marBottom w:val="0"/>
      <w:divBdr>
        <w:top w:val="none" w:sz="0" w:space="0" w:color="auto"/>
        <w:left w:val="none" w:sz="0" w:space="0" w:color="auto"/>
        <w:bottom w:val="none" w:sz="0" w:space="0" w:color="auto"/>
        <w:right w:val="none" w:sz="0" w:space="0" w:color="auto"/>
      </w:divBdr>
    </w:div>
    <w:div w:id="1078987221">
      <w:bodyDiv w:val="1"/>
      <w:marLeft w:val="0"/>
      <w:marRight w:val="0"/>
      <w:marTop w:val="0"/>
      <w:marBottom w:val="0"/>
      <w:divBdr>
        <w:top w:val="none" w:sz="0" w:space="0" w:color="auto"/>
        <w:left w:val="none" w:sz="0" w:space="0" w:color="auto"/>
        <w:bottom w:val="none" w:sz="0" w:space="0" w:color="auto"/>
        <w:right w:val="none" w:sz="0" w:space="0" w:color="auto"/>
      </w:divBdr>
    </w:div>
    <w:div w:id="1138106844">
      <w:bodyDiv w:val="1"/>
      <w:marLeft w:val="0"/>
      <w:marRight w:val="0"/>
      <w:marTop w:val="0"/>
      <w:marBottom w:val="0"/>
      <w:divBdr>
        <w:top w:val="none" w:sz="0" w:space="0" w:color="auto"/>
        <w:left w:val="none" w:sz="0" w:space="0" w:color="auto"/>
        <w:bottom w:val="none" w:sz="0" w:space="0" w:color="auto"/>
        <w:right w:val="none" w:sz="0" w:space="0" w:color="auto"/>
      </w:divBdr>
    </w:div>
    <w:div w:id="1225799909">
      <w:bodyDiv w:val="1"/>
      <w:marLeft w:val="0"/>
      <w:marRight w:val="0"/>
      <w:marTop w:val="0"/>
      <w:marBottom w:val="0"/>
      <w:divBdr>
        <w:top w:val="none" w:sz="0" w:space="0" w:color="auto"/>
        <w:left w:val="none" w:sz="0" w:space="0" w:color="auto"/>
        <w:bottom w:val="none" w:sz="0" w:space="0" w:color="auto"/>
        <w:right w:val="none" w:sz="0" w:space="0" w:color="auto"/>
      </w:divBdr>
      <w:divsChild>
        <w:div w:id="1129712428">
          <w:marLeft w:val="1440"/>
          <w:marRight w:val="0"/>
          <w:marTop w:val="240"/>
          <w:marBottom w:val="0"/>
          <w:divBdr>
            <w:top w:val="none" w:sz="0" w:space="0" w:color="auto"/>
            <w:left w:val="none" w:sz="0" w:space="0" w:color="auto"/>
            <w:bottom w:val="none" w:sz="0" w:space="0" w:color="auto"/>
            <w:right w:val="none" w:sz="0" w:space="0" w:color="auto"/>
          </w:divBdr>
        </w:div>
        <w:div w:id="1685665072">
          <w:marLeft w:val="1440"/>
          <w:marRight w:val="0"/>
          <w:marTop w:val="240"/>
          <w:marBottom w:val="0"/>
          <w:divBdr>
            <w:top w:val="none" w:sz="0" w:space="0" w:color="auto"/>
            <w:left w:val="none" w:sz="0" w:space="0" w:color="auto"/>
            <w:bottom w:val="none" w:sz="0" w:space="0" w:color="auto"/>
            <w:right w:val="none" w:sz="0" w:space="0" w:color="auto"/>
          </w:divBdr>
        </w:div>
        <w:div w:id="1937595867">
          <w:marLeft w:val="1440"/>
          <w:marRight w:val="0"/>
          <w:marTop w:val="240"/>
          <w:marBottom w:val="0"/>
          <w:divBdr>
            <w:top w:val="none" w:sz="0" w:space="0" w:color="auto"/>
            <w:left w:val="none" w:sz="0" w:space="0" w:color="auto"/>
            <w:bottom w:val="none" w:sz="0" w:space="0" w:color="auto"/>
            <w:right w:val="none" w:sz="0" w:space="0" w:color="auto"/>
          </w:divBdr>
        </w:div>
      </w:divsChild>
    </w:div>
    <w:div w:id="1368067931">
      <w:bodyDiv w:val="1"/>
      <w:marLeft w:val="0"/>
      <w:marRight w:val="0"/>
      <w:marTop w:val="0"/>
      <w:marBottom w:val="0"/>
      <w:divBdr>
        <w:top w:val="none" w:sz="0" w:space="0" w:color="auto"/>
        <w:left w:val="none" w:sz="0" w:space="0" w:color="auto"/>
        <w:bottom w:val="none" w:sz="0" w:space="0" w:color="auto"/>
        <w:right w:val="none" w:sz="0" w:space="0" w:color="auto"/>
      </w:divBdr>
    </w:div>
    <w:div w:id="1373574577">
      <w:bodyDiv w:val="1"/>
      <w:marLeft w:val="0"/>
      <w:marRight w:val="0"/>
      <w:marTop w:val="0"/>
      <w:marBottom w:val="0"/>
      <w:divBdr>
        <w:top w:val="none" w:sz="0" w:space="0" w:color="auto"/>
        <w:left w:val="none" w:sz="0" w:space="0" w:color="auto"/>
        <w:bottom w:val="none" w:sz="0" w:space="0" w:color="auto"/>
        <w:right w:val="none" w:sz="0" w:space="0" w:color="auto"/>
      </w:divBdr>
    </w:div>
    <w:div w:id="1380592230">
      <w:bodyDiv w:val="1"/>
      <w:marLeft w:val="0"/>
      <w:marRight w:val="0"/>
      <w:marTop w:val="0"/>
      <w:marBottom w:val="0"/>
      <w:divBdr>
        <w:top w:val="none" w:sz="0" w:space="0" w:color="auto"/>
        <w:left w:val="none" w:sz="0" w:space="0" w:color="auto"/>
        <w:bottom w:val="none" w:sz="0" w:space="0" w:color="auto"/>
        <w:right w:val="none" w:sz="0" w:space="0" w:color="auto"/>
      </w:divBdr>
    </w:div>
    <w:div w:id="1521432168">
      <w:bodyDiv w:val="1"/>
      <w:marLeft w:val="0"/>
      <w:marRight w:val="0"/>
      <w:marTop w:val="0"/>
      <w:marBottom w:val="0"/>
      <w:divBdr>
        <w:top w:val="none" w:sz="0" w:space="0" w:color="auto"/>
        <w:left w:val="none" w:sz="0" w:space="0" w:color="auto"/>
        <w:bottom w:val="none" w:sz="0" w:space="0" w:color="auto"/>
        <w:right w:val="none" w:sz="0" w:space="0" w:color="auto"/>
      </w:divBdr>
    </w:div>
    <w:div w:id="1541358515">
      <w:bodyDiv w:val="1"/>
      <w:marLeft w:val="0"/>
      <w:marRight w:val="0"/>
      <w:marTop w:val="0"/>
      <w:marBottom w:val="0"/>
      <w:divBdr>
        <w:top w:val="none" w:sz="0" w:space="0" w:color="auto"/>
        <w:left w:val="none" w:sz="0" w:space="0" w:color="auto"/>
        <w:bottom w:val="none" w:sz="0" w:space="0" w:color="auto"/>
        <w:right w:val="none" w:sz="0" w:space="0" w:color="auto"/>
      </w:divBdr>
    </w:div>
    <w:div w:id="1575358383">
      <w:bodyDiv w:val="1"/>
      <w:marLeft w:val="0"/>
      <w:marRight w:val="0"/>
      <w:marTop w:val="0"/>
      <w:marBottom w:val="0"/>
      <w:divBdr>
        <w:top w:val="none" w:sz="0" w:space="0" w:color="auto"/>
        <w:left w:val="none" w:sz="0" w:space="0" w:color="auto"/>
        <w:bottom w:val="none" w:sz="0" w:space="0" w:color="auto"/>
        <w:right w:val="none" w:sz="0" w:space="0" w:color="auto"/>
      </w:divBdr>
    </w:div>
    <w:div w:id="1668903836">
      <w:bodyDiv w:val="1"/>
      <w:marLeft w:val="0"/>
      <w:marRight w:val="0"/>
      <w:marTop w:val="0"/>
      <w:marBottom w:val="0"/>
      <w:divBdr>
        <w:top w:val="none" w:sz="0" w:space="0" w:color="auto"/>
        <w:left w:val="none" w:sz="0" w:space="0" w:color="auto"/>
        <w:bottom w:val="none" w:sz="0" w:space="0" w:color="auto"/>
        <w:right w:val="none" w:sz="0" w:space="0" w:color="auto"/>
      </w:divBdr>
      <w:divsChild>
        <w:div w:id="762530543">
          <w:marLeft w:val="1800"/>
          <w:marRight w:val="0"/>
          <w:marTop w:val="240"/>
          <w:marBottom w:val="0"/>
          <w:divBdr>
            <w:top w:val="none" w:sz="0" w:space="0" w:color="auto"/>
            <w:left w:val="none" w:sz="0" w:space="0" w:color="auto"/>
            <w:bottom w:val="none" w:sz="0" w:space="0" w:color="auto"/>
            <w:right w:val="none" w:sz="0" w:space="0" w:color="auto"/>
          </w:divBdr>
        </w:div>
        <w:div w:id="505362658">
          <w:marLeft w:val="1800"/>
          <w:marRight w:val="0"/>
          <w:marTop w:val="240"/>
          <w:marBottom w:val="0"/>
          <w:divBdr>
            <w:top w:val="none" w:sz="0" w:space="0" w:color="auto"/>
            <w:left w:val="none" w:sz="0" w:space="0" w:color="auto"/>
            <w:bottom w:val="none" w:sz="0" w:space="0" w:color="auto"/>
            <w:right w:val="none" w:sz="0" w:space="0" w:color="auto"/>
          </w:divBdr>
        </w:div>
        <w:div w:id="830177265">
          <w:marLeft w:val="1080"/>
          <w:marRight w:val="0"/>
          <w:marTop w:val="240"/>
          <w:marBottom w:val="0"/>
          <w:divBdr>
            <w:top w:val="none" w:sz="0" w:space="0" w:color="auto"/>
            <w:left w:val="none" w:sz="0" w:space="0" w:color="auto"/>
            <w:bottom w:val="none" w:sz="0" w:space="0" w:color="auto"/>
            <w:right w:val="none" w:sz="0" w:space="0" w:color="auto"/>
          </w:divBdr>
        </w:div>
        <w:div w:id="1577931630">
          <w:marLeft w:val="1080"/>
          <w:marRight w:val="0"/>
          <w:marTop w:val="240"/>
          <w:marBottom w:val="0"/>
          <w:divBdr>
            <w:top w:val="none" w:sz="0" w:space="0" w:color="auto"/>
            <w:left w:val="none" w:sz="0" w:space="0" w:color="auto"/>
            <w:bottom w:val="none" w:sz="0" w:space="0" w:color="auto"/>
            <w:right w:val="none" w:sz="0" w:space="0" w:color="auto"/>
          </w:divBdr>
        </w:div>
        <w:div w:id="1328359019">
          <w:marLeft w:val="1080"/>
          <w:marRight w:val="0"/>
          <w:marTop w:val="240"/>
          <w:marBottom w:val="0"/>
          <w:divBdr>
            <w:top w:val="none" w:sz="0" w:space="0" w:color="auto"/>
            <w:left w:val="none" w:sz="0" w:space="0" w:color="auto"/>
            <w:bottom w:val="none" w:sz="0" w:space="0" w:color="auto"/>
            <w:right w:val="none" w:sz="0" w:space="0" w:color="auto"/>
          </w:divBdr>
        </w:div>
      </w:divsChild>
    </w:div>
    <w:div w:id="1685815095">
      <w:bodyDiv w:val="1"/>
      <w:marLeft w:val="0"/>
      <w:marRight w:val="0"/>
      <w:marTop w:val="0"/>
      <w:marBottom w:val="0"/>
      <w:divBdr>
        <w:top w:val="none" w:sz="0" w:space="0" w:color="auto"/>
        <w:left w:val="none" w:sz="0" w:space="0" w:color="auto"/>
        <w:bottom w:val="none" w:sz="0" w:space="0" w:color="auto"/>
        <w:right w:val="none" w:sz="0" w:space="0" w:color="auto"/>
      </w:divBdr>
    </w:div>
    <w:div w:id="1712487128">
      <w:bodyDiv w:val="1"/>
      <w:marLeft w:val="0"/>
      <w:marRight w:val="0"/>
      <w:marTop w:val="0"/>
      <w:marBottom w:val="0"/>
      <w:divBdr>
        <w:top w:val="none" w:sz="0" w:space="0" w:color="auto"/>
        <w:left w:val="none" w:sz="0" w:space="0" w:color="auto"/>
        <w:bottom w:val="none" w:sz="0" w:space="0" w:color="auto"/>
        <w:right w:val="none" w:sz="0" w:space="0" w:color="auto"/>
      </w:divBdr>
    </w:div>
    <w:div w:id="1785730315">
      <w:bodyDiv w:val="1"/>
      <w:marLeft w:val="0"/>
      <w:marRight w:val="0"/>
      <w:marTop w:val="0"/>
      <w:marBottom w:val="0"/>
      <w:divBdr>
        <w:top w:val="none" w:sz="0" w:space="0" w:color="auto"/>
        <w:left w:val="none" w:sz="0" w:space="0" w:color="auto"/>
        <w:bottom w:val="none" w:sz="0" w:space="0" w:color="auto"/>
        <w:right w:val="none" w:sz="0" w:space="0" w:color="auto"/>
      </w:divBdr>
    </w:div>
    <w:div w:id="1843668056">
      <w:bodyDiv w:val="1"/>
      <w:marLeft w:val="0"/>
      <w:marRight w:val="0"/>
      <w:marTop w:val="0"/>
      <w:marBottom w:val="0"/>
      <w:divBdr>
        <w:top w:val="none" w:sz="0" w:space="0" w:color="auto"/>
        <w:left w:val="none" w:sz="0" w:space="0" w:color="auto"/>
        <w:bottom w:val="none" w:sz="0" w:space="0" w:color="auto"/>
        <w:right w:val="none" w:sz="0" w:space="0" w:color="auto"/>
      </w:divBdr>
    </w:div>
    <w:div w:id="1933665253">
      <w:bodyDiv w:val="1"/>
      <w:marLeft w:val="0"/>
      <w:marRight w:val="0"/>
      <w:marTop w:val="0"/>
      <w:marBottom w:val="0"/>
      <w:divBdr>
        <w:top w:val="none" w:sz="0" w:space="0" w:color="auto"/>
        <w:left w:val="none" w:sz="0" w:space="0" w:color="auto"/>
        <w:bottom w:val="none" w:sz="0" w:space="0" w:color="auto"/>
        <w:right w:val="none" w:sz="0" w:space="0" w:color="auto"/>
      </w:divBdr>
      <w:divsChild>
        <w:div w:id="977491932">
          <w:marLeft w:val="720"/>
          <w:marRight w:val="0"/>
          <w:marTop w:val="240"/>
          <w:marBottom w:val="0"/>
          <w:divBdr>
            <w:top w:val="none" w:sz="0" w:space="0" w:color="auto"/>
            <w:left w:val="none" w:sz="0" w:space="0" w:color="auto"/>
            <w:bottom w:val="none" w:sz="0" w:space="0" w:color="auto"/>
            <w:right w:val="none" w:sz="0" w:space="0" w:color="auto"/>
          </w:divBdr>
        </w:div>
        <w:div w:id="1217009295">
          <w:marLeft w:val="720"/>
          <w:marRight w:val="0"/>
          <w:marTop w:val="240"/>
          <w:marBottom w:val="0"/>
          <w:divBdr>
            <w:top w:val="none" w:sz="0" w:space="0" w:color="auto"/>
            <w:left w:val="none" w:sz="0" w:space="0" w:color="auto"/>
            <w:bottom w:val="none" w:sz="0" w:space="0" w:color="auto"/>
            <w:right w:val="none" w:sz="0" w:space="0" w:color="auto"/>
          </w:divBdr>
        </w:div>
        <w:div w:id="49422607">
          <w:marLeft w:val="547"/>
          <w:marRight w:val="0"/>
          <w:marTop w:val="240"/>
          <w:marBottom w:val="0"/>
          <w:divBdr>
            <w:top w:val="none" w:sz="0" w:space="0" w:color="auto"/>
            <w:left w:val="none" w:sz="0" w:space="0" w:color="auto"/>
            <w:bottom w:val="none" w:sz="0" w:space="0" w:color="auto"/>
            <w:right w:val="none" w:sz="0" w:space="0" w:color="auto"/>
          </w:divBdr>
        </w:div>
        <w:div w:id="2124028753">
          <w:marLeft w:val="720"/>
          <w:marRight w:val="0"/>
          <w:marTop w:val="240"/>
          <w:marBottom w:val="0"/>
          <w:divBdr>
            <w:top w:val="none" w:sz="0" w:space="0" w:color="auto"/>
            <w:left w:val="none" w:sz="0" w:space="0" w:color="auto"/>
            <w:bottom w:val="none" w:sz="0" w:space="0" w:color="auto"/>
            <w:right w:val="none" w:sz="0" w:space="0" w:color="auto"/>
          </w:divBdr>
        </w:div>
      </w:divsChild>
    </w:div>
    <w:div w:id="1946770081">
      <w:bodyDiv w:val="1"/>
      <w:marLeft w:val="0"/>
      <w:marRight w:val="0"/>
      <w:marTop w:val="0"/>
      <w:marBottom w:val="0"/>
      <w:divBdr>
        <w:top w:val="none" w:sz="0" w:space="0" w:color="auto"/>
        <w:left w:val="none" w:sz="0" w:space="0" w:color="auto"/>
        <w:bottom w:val="none" w:sz="0" w:space="0" w:color="auto"/>
        <w:right w:val="none" w:sz="0" w:space="0" w:color="auto"/>
      </w:divBdr>
    </w:div>
    <w:div w:id="2093306620">
      <w:bodyDiv w:val="1"/>
      <w:marLeft w:val="0"/>
      <w:marRight w:val="0"/>
      <w:marTop w:val="0"/>
      <w:marBottom w:val="0"/>
      <w:divBdr>
        <w:top w:val="none" w:sz="0" w:space="0" w:color="auto"/>
        <w:left w:val="none" w:sz="0" w:space="0" w:color="auto"/>
        <w:bottom w:val="none" w:sz="0" w:space="0" w:color="auto"/>
        <w:right w:val="none" w:sz="0" w:space="0" w:color="auto"/>
      </w:divBdr>
    </w:div>
    <w:div w:id="211400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4/1388/oj/?locale=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k.gov.lv/lv/content/sabiedribas-lidzdalib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m.gov.lv/lv/Ministrija/sabiedribas_lidzdaliba/diskusiju_dokumenti/" TargetMode="External"/><Relationship Id="rId4" Type="http://schemas.openxmlformats.org/officeDocument/2006/relationships/settings" Target="settings.xml"/><Relationship Id="rId9" Type="http://schemas.openxmlformats.org/officeDocument/2006/relationships/hyperlink" Target="http://eur-lex.europa.eu/eli/reg/2014/1388/oj/?locale=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petition/state_aid/what_is_new/sa_covid19_4th_amendment_and_prolongation_temporary_framework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CAC8A-661A-4600-BF2A-F8DC15805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Pages>
  <Words>7629</Words>
  <Characters>4350</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Altum</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Anotācija</dc:subject>
  <dc:creator>Dita.Tetere@em.gov.lv</dc:creator>
  <dc:description>67013298
Signe.Tuklere@em.gov</dc:description>
  <cp:lastModifiedBy>Ilze Lore</cp:lastModifiedBy>
  <cp:revision>14</cp:revision>
  <cp:lastPrinted>2020-05-15T11:33:00Z</cp:lastPrinted>
  <dcterms:created xsi:type="dcterms:W3CDTF">2020-06-16T08:42:00Z</dcterms:created>
  <dcterms:modified xsi:type="dcterms:W3CDTF">2020-11-04T13:12:00Z</dcterms:modified>
</cp:coreProperties>
</file>