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24E31" w14:textId="77777777" w:rsidR="0087538B" w:rsidRPr="00ED7893" w:rsidRDefault="0087538B" w:rsidP="0087538B">
      <w:pPr>
        <w:ind w:right="-99"/>
        <w:jc w:val="center"/>
        <w:rPr>
          <w:b/>
        </w:rPr>
      </w:pPr>
      <w:bookmarkStart w:id="0" w:name="bkm16"/>
      <w:bookmarkStart w:id="1" w:name="b"/>
      <w:bookmarkStart w:id="2" w:name="OLE_LINK2"/>
      <w:bookmarkStart w:id="3" w:name="OLE_LINK1"/>
      <w:bookmarkStart w:id="4" w:name="OLE_LINK3"/>
      <w:bookmarkStart w:id="5" w:name="OLE_LINK4"/>
      <w:bookmarkStart w:id="6" w:name="OLE_LINK5"/>
      <w:bookmarkEnd w:id="0"/>
      <w:bookmarkEnd w:id="1"/>
      <w:r w:rsidRPr="00ED7893">
        <w:rPr>
          <w:b/>
        </w:rPr>
        <w:t xml:space="preserve">Ministru kabineta noteikumu projekta </w:t>
      </w:r>
      <w:r w:rsidR="003A7E1B" w:rsidRPr="00ED7893">
        <w:rPr>
          <w:b/>
        </w:rPr>
        <w:t>“</w:t>
      </w:r>
      <w:r w:rsidR="003D45AC" w:rsidRPr="00ED7893">
        <w:rPr>
          <w:b/>
          <w:bCs/>
          <w:lang w:eastAsia="lv-LV"/>
        </w:rPr>
        <w:t>Grozījumi Ministru kabineta 2011. gada 15. februāra noteikumos Nr. 132 “Rotaļlietu drošuma noteikumi”</w:t>
      </w:r>
      <w:r w:rsidR="003A7E1B" w:rsidRPr="00ED7893">
        <w:rPr>
          <w:b/>
          <w:bCs/>
          <w:lang w:eastAsia="lv-LV"/>
        </w:rPr>
        <w:t>”</w:t>
      </w:r>
      <w:r w:rsidRPr="00ED7893">
        <w:rPr>
          <w:b/>
        </w:rPr>
        <w:t xml:space="preserve"> sākotnējās ietekmes novērtējuma </w:t>
      </w:r>
      <w:smartTag w:uri="schemas-tilde-lv/tildestengine" w:element="veidnes">
        <w:smartTagPr>
          <w:attr w:name="baseform" w:val="ziņojums"/>
          <w:attr w:name="text" w:val="ziņojums&#10;"/>
          <w:attr w:name="id" w:val="-1"/>
        </w:smartTagPr>
        <w:r w:rsidRPr="00ED7893">
          <w:rPr>
            <w:b/>
          </w:rPr>
          <w:t>ziņojums</w:t>
        </w:r>
      </w:smartTag>
      <w:bookmarkEnd w:id="2"/>
    </w:p>
    <w:p w14:paraId="256EAB28" w14:textId="77777777" w:rsidR="0087538B" w:rsidRPr="00ED7893" w:rsidRDefault="0087538B" w:rsidP="0087538B">
      <w:pPr>
        <w:pStyle w:val="naislab"/>
        <w:spacing w:before="0" w:after="0"/>
        <w:ind w:right="-99"/>
        <w:jc w:val="center"/>
        <w:outlineLvl w:val="0"/>
        <w:rPr>
          <w:b/>
        </w:rPr>
      </w:pPr>
      <w:r w:rsidRPr="00ED7893">
        <w:rPr>
          <w:b/>
        </w:rPr>
        <w:t>(anotācija)</w:t>
      </w:r>
      <w:bookmarkEnd w:id="3"/>
      <w:bookmarkEnd w:id="4"/>
      <w:bookmarkEnd w:id="5"/>
      <w:bookmarkEnd w:id="6"/>
    </w:p>
    <w:p w14:paraId="21A8F307" w14:textId="7C8B99E1" w:rsidR="0087538B" w:rsidRPr="00ED7893" w:rsidRDefault="0087538B" w:rsidP="0087538B">
      <w:pPr>
        <w:pStyle w:val="naislab"/>
        <w:spacing w:before="0" w:after="0"/>
        <w:ind w:right="-99"/>
        <w:jc w:val="center"/>
        <w:outlineLvl w:val="0"/>
        <w:rPr>
          <w:b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5953"/>
      </w:tblGrid>
      <w:tr w:rsidR="005A2229" w:rsidRPr="00ED7893" w14:paraId="7CF30C45" w14:textId="77777777" w:rsidTr="0029016D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3368" w14:textId="10B66BC8" w:rsidR="005A2229" w:rsidRPr="00ED7893" w:rsidRDefault="005A2229" w:rsidP="0029016D">
            <w:pPr>
              <w:pStyle w:val="naisnod"/>
              <w:spacing w:before="0" w:after="0"/>
              <w:ind w:left="57" w:right="-99"/>
            </w:pPr>
            <w:r w:rsidRPr="00ED7893">
              <w:t>Tiesību akta projekta anotācijas kopsavilkums</w:t>
            </w:r>
          </w:p>
        </w:tc>
      </w:tr>
      <w:tr w:rsidR="005A2229" w:rsidRPr="00ED7893" w14:paraId="59232B09" w14:textId="77777777" w:rsidTr="00A30E42">
        <w:trPr>
          <w:trHeight w:val="42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1D30" w14:textId="6A71D8A6" w:rsidR="005A2229" w:rsidRPr="00ED7893" w:rsidRDefault="005A2229" w:rsidP="0029016D">
            <w:pPr>
              <w:pStyle w:val="naisf"/>
              <w:spacing w:before="0" w:after="0"/>
              <w:ind w:left="57" w:right="-99" w:firstLine="0"/>
              <w:jc w:val="left"/>
            </w:pPr>
            <w:r w:rsidRPr="00ED7893">
              <w:t>Mērķis, risinājums un projekta spēkā stāšanās laiks</w:t>
            </w:r>
            <w:r w:rsidR="00F7226F" w:rsidRPr="00ED7893">
              <w:t xml:space="preserve"> (500 zīmes bez atstarpēm)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AF2E" w14:textId="0D83FE68" w:rsidR="005A2229" w:rsidRPr="00ED7893" w:rsidRDefault="00F7226F" w:rsidP="0029016D">
            <w:pPr>
              <w:pStyle w:val="naisnod"/>
              <w:spacing w:before="0" w:after="0"/>
              <w:ind w:left="57"/>
              <w:jc w:val="both"/>
              <w:rPr>
                <w:b w:val="0"/>
              </w:rPr>
            </w:pPr>
            <w:r w:rsidRPr="00ED7893">
              <w:rPr>
                <w:b w:val="0"/>
              </w:rPr>
              <w:t xml:space="preserve">Projekta ietekmes novērtējuma ziņojuma (anotācijas) I sadaļas 2. punkts nepārsniedz divas lapaspuses. Līdz ar to tiesību akta projekta anotācijas kopsavilkums uz šo </w:t>
            </w:r>
            <w:r w:rsidR="00974C4D" w:rsidRPr="00ED7893">
              <w:rPr>
                <w:b w:val="0"/>
              </w:rPr>
              <w:t xml:space="preserve">ietekmes novērtējuma ziņojumu (anotāciju) </w:t>
            </w:r>
            <w:r w:rsidR="003D012D" w:rsidRPr="00ED7893">
              <w:rPr>
                <w:b w:val="0"/>
              </w:rPr>
              <w:t>neattieca</w:t>
            </w:r>
            <w:r w:rsidRPr="00ED7893">
              <w:rPr>
                <w:b w:val="0"/>
              </w:rPr>
              <w:t xml:space="preserve">s. </w:t>
            </w:r>
          </w:p>
        </w:tc>
      </w:tr>
    </w:tbl>
    <w:p w14:paraId="129B52DD" w14:textId="27B4E3D2" w:rsidR="005A2229" w:rsidRPr="00ED7893" w:rsidRDefault="005A2229" w:rsidP="0087538B">
      <w:pPr>
        <w:pStyle w:val="naislab"/>
        <w:spacing w:before="0" w:after="0"/>
        <w:ind w:right="-99"/>
        <w:jc w:val="center"/>
        <w:outlineLvl w:val="0"/>
        <w:rPr>
          <w:b/>
        </w:rPr>
      </w:pPr>
    </w:p>
    <w:p w14:paraId="6194B3FF" w14:textId="77777777" w:rsidR="005A2229" w:rsidRPr="00ED7893" w:rsidRDefault="005A2229" w:rsidP="0087538B">
      <w:pPr>
        <w:pStyle w:val="naislab"/>
        <w:spacing w:before="0" w:after="0"/>
        <w:ind w:right="-99"/>
        <w:jc w:val="center"/>
        <w:outlineLvl w:val="0"/>
        <w:rPr>
          <w:b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689"/>
        <w:gridCol w:w="5989"/>
      </w:tblGrid>
      <w:tr w:rsidR="0087538B" w:rsidRPr="00ED7893" w14:paraId="710CEBCD" w14:textId="77777777" w:rsidTr="008C3A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10AF" w14:textId="77777777" w:rsidR="0087538B" w:rsidRPr="00ED7893" w:rsidRDefault="0087538B" w:rsidP="008C3A65">
            <w:pPr>
              <w:pStyle w:val="naisnod"/>
              <w:spacing w:before="0" w:after="0"/>
              <w:ind w:right="-99"/>
            </w:pPr>
            <w:r w:rsidRPr="00ED7893">
              <w:t>I. Tiesību akta projekta izstrādes nepieciešamība</w:t>
            </w:r>
          </w:p>
        </w:tc>
      </w:tr>
      <w:tr w:rsidR="0087538B" w:rsidRPr="00ED7893" w14:paraId="47B44619" w14:textId="77777777" w:rsidTr="00EC1046">
        <w:trPr>
          <w:trHeight w:val="6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1CB3" w14:textId="77777777" w:rsidR="0087538B" w:rsidRPr="00ED7893" w:rsidRDefault="0087538B" w:rsidP="008C3A65">
            <w:pPr>
              <w:pStyle w:val="naiskr"/>
              <w:spacing w:before="0" w:after="0"/>
              <w:ind w:right="-99"/>
              <w:jc w:val="center"/>
            </w:pPr>
            <w:r w:rsidRPr="00ED7893">
              <w:t>1.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102" w14:textId="77777777" w:rsidR="0087538B" w:rsidRPr="00ED7893" w:rsidRDefault="0087538B" w:rsidP="008C3A65">
            <w:pPr>
              <w:pStyle w:val="naiskr"/>
              <w:spacing w:before="0" w:after="0"/>
              <w:ind w:left="10" w:right="-99" w:hanging="10"/>
              <w:jc w:val="both"/>
            </w:pPr>
            <w:r w:rsidRPr="00ED7893">
              <w:t>Pamatojums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531E" w14:textId="77777777" w:rsidR="003A7E1B" w:rsidRPr="00ED7893" w:rsidRDefault="0087538B" w:rsidP="008C3A65">
            <w:pPr>
              <w:pStyle w:val="naisf"/>
              <w:spacing w:before="0" w:after="0"/>
              <w:ind w:left="70" w:right="23" w:firstLine="226"/>
            </w:pPr>
            <w:r w:rsidRPr="00ED7893">
              <w:t xml:space="preserve">Noteikumu projekts izstrādāts, lai </w:t>
            </w:r>
            <w:r w:rsidR="00E7502C" w:rsidRPr="00ED7893">
              <w:rPr>
                <w:bCs/>
              </w:rPr>
              <w:t>Ministru kabineta 2011. gada 15. februāra noteikumos Nr. 132 “Rotaļlietu drošuma noteikumi” (turpmāk – Noteikumi</w:t>
            </w:r>
            <w:r w:rsidR="007204B6" w:rsidRPr="00ED7893">
              <w:rPr>
                <w:bCs/>
              </w:rPr>
              <w:t xml:space="preserve"> Nr. 132</w:t>
            </w:r>
            <w:r w:rsidR="00E7502C" w:rsidRPr="00ED7893">
              <w:rPr>
                <w:bCs/>
              </w:rPr>
              <w:t>)</w:t>
            </w:r>
            <w:r w:rsidR="00E7502C" w:rsidRPr="00ED7893">
              <w:rPr>
                <w:b/>
                <w:bCs/>
              </w:rPr>
              <w:t xml:space="preserve"> </w:t>
            </w:r>
            <w:r w:rsidR="003A7E1B" w:rsidRPr="00ED7893">
              <w:t>pārņemtu normas, kas izriet no:</w:t>
            </w:r>
          </w:p>
          <w:p w14:paraId="7084AB58" w14:textId="78B3120C" w:rsidR="003A7E1B" w:rsidRPr="00ED7893" w:rsidRDefault="003A7E1B" w:rsidP="008C3A65">
            <w:pPr>
              <w:pStyle w:val="naisf"/>
              <w:spacing w:before="0" w:after="0"/>
              <w:ind w:left="70" w:right="23" w:firstLine="226"/>
            </w:pPr>
            <w:r w:rsidRPr="00ED7893">
              <w:t xml:space="preserve">- </w:t>
            </w:r>
            <w:r w:rsidR="006546D8" w:rsidRPr="006546D8">
              <w:t>Komisijas Direktīvas (ES) 2019/1922 (2019. gada 18. novembris), ar ko nolūkā pielāgot zinātnes un tehnikas attīstībai attiecībā uz alumīniju groza Eiropas Parlamenta un Padomes Direktīvas 2009/48/EK par rotaļlietu drošumu II pielikuma III daļas 13. punktu</w:t>
            </w:r>
            <w:r w:rsidRPr="00ED7893">
              <w:t>;</w:t>
            </w:r>
          </w:p>
          <w:p w14:paraId="5D41FDD9" w14:textId="0295ACDC" w:rsidR="00524AC3" w:rsidRPr="00ED7893" w:rsidRDefault="003A7E1B" w:rsidP="006546D8">
            <w:pPr>
              <w:pStyle w:val="naisf"/>
              <w:spacing w:before="0" w:after="0"/>
              <w:ind w:left="70" w:right="23" w:firstLine="226"/>
            </w:pPr>
            <w:r w:rsidRPr="00ED7893">
              <w:t xml:space="preserve">- </w:t>
            </w:r>
            <w:r w:rsidR="006546D8" w:rsidRPr="006546D8">
              <w:t>Komisijas Direktīvas (ES) 2019/1929 (2019. gada 19. novembris), ar ko attiecībā uz formaldehīdu groza Eiropas Parlamenta un Padomes Direktīvas 2009/48/EK II pielikuma C papildinājumu, lai pieņemtu īpašas robežvērtības ķīmiskām vielām, kas izmantotas noteiktās rotaļlietās</w:t>
            </w:r>
            <w:r w:rsidR="0087538B" w:rsidRPr="00ED7893">
              <w:t>.</w:t>
            </w:r>
          </w:p>
        </w:tc>
      </w:tr>
      <w:tr w:rsidR="0087538B" w:rsidRPr="00ED7893" w14:paraId="3F075260" w14:textId="77777777" w:rsidTr="00EC1046">
        <w:trPr>
          <w:trHeight w:val="62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5DF" w14:textId="77777777" w:rsidR="0087538B" w:rsidRPr="00ED7893" w:rsidRDefault="0087538B" w:rsidP="008C3A65">
            <w:pPr>
              <w:pStyle w:val="naiskr"/>
              <w:spacing w:before="0" w:after="0"/>
              <w:ind w:right="-99"/>
              <w:jc w:val="center"/>
            </w:pPr>
            <w:r w:rsidRPr="00ED7893">
              <w:t>2.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F39" w14:textId="77777777" w:rsidR="0087538B" w:rsidRPr="00ED7893" w:rsidRDefault="0087538B" w:rsidP="007A5616">
            <w:pPr>
              <w:pStyle w:val="naiskr"/>
              <w:spacing w:before="0" w:after="0"/>
              <w:ind w:right="129"/>
            </w:pPr>
            <w:r w:rsidRPr="00ED7893">
              <w:t>Pašreizējā situācija un problēmas</w:t>
            </w:r>
            <w:r w:rsidR="007A5616" w:rsidRPr="00ED7893">
              <w:t xml:space="preserve">, </w:t>
            </w:r>
            <w:r w:rsidR="007A5616" w:rsidRPr="00ED7893">
              <w:rPr>
                <w:iCs/>
              </w:rPr>
              <w:t>kuru risināšanai tiesību akta projekts izstrādāts, tiesiskā regulējuma mērķis un būtība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6DB3" w14:textId="3AF749AC" w:rsidR="00B90C1C" w:rsidRPr="00ED7893" w:rsidRDefault="00EE75D0" w:rsidP="00E65AE4">
            <w:pPr>
              <w:pStyle w:val="naisf"/>
              <w:spacing w:before="0" w:after="0"/>
              <w:ind w:left="70" w:right="23" w:firstLine="226"/>
            </w:pPr>
            <w:r w:rsidRPr="00ED7893">
              <w:t>Ņemot vērā to, ka, pamatojoties uz pieejamajiem zinātniskajiem datiem, vairākām rotaļlietās izmantotajām ķīmiskajām vielām ir noteiktas pārāk augstas robežvērtības</w:t>
            </w:r>
            <w:r w:rsidR="003D012D" w:rsidRPr="00ED7893">
              <w:t xml:space="preserve"> vai arī nav noteiktas vispār</w:t>
            </w:r>
            <w:r w:rsidRPr="00ED7893">
              <w:t xml:space="preserve">, </w:t>
            </w:r>
            <w:r w:rsidR="00B90C1C" w:rsidRPr="00ED7893">
              <w:t xml:space="preserve">Eiropas Savienībā ir pieņemti turpmāk minētie tiesību akti, lai </w:t>
            </w:r>
            <w:r w:rsidR="003D012D" w:rsidRPr="00ED7893">
              <w:t>noteiktu robežvērtību rotaļlietās izmantotajam f</w:t>
            </w:r>
            <w:r w:rsidR="006546D8">
              <w:t>ormaldehīd</w:t>
            </w:r>
            <w:r w:rsidR="003D012D" w:rsidRPr="00ED7893">
              <w:t xml:space="preserve">am, kā arī samazinātu robežvērtības tajās izmantotajam </w:t>
            </w:r>
            <w:r w:rsidR="006546D8">
              <w:t>alumīnijam</w:t>
            </w:r>
            <w:r w:rsidR="00B90C1C" w:rsidRPr="00ED7893">
              <w:t xml:space="preserve">, kādas šobrīd noteiktas </w:t>
            </w:r>
            <w:r w:rsidR="00B90C1C" w:rsidRPr="00ED7893">
              <w:rPr>
                <w:bCs/>
              </w:rPr>
              <w:t>Eiropas Parlamenta un Padomes</w:t>
            </w:r>
            <w:r w:rsidR="00B90C1C" w:rsidRPr="00ED7893">
              <w:t xml:space="preserve"> Direktīvā 2009/48/EK  par rotaļlietu drošumu un attiecīgi ietvertas Noteikumos Nr. 132, ar kuriem tā pārņemta, proti:</w:t>
            </w:r>
          </w:p>
          <w:p w14:paraId="13A75B60" w14:textId="6E434594" w:rsidR="0087538B" w:rsidRPr="00ED7893" w:rsidRDefault="00B90C1C" w:rsidP="00E65AE4">
            <w:pPr>
              <w:pStyle w:val="naisf"/>
              <w:spacing w:before="0" w:after="0"/>
              <w:ind w:left="70" w:right="23" w:firstLine="226"/>
            </w:pPr>
            <w:r w:rsidRPr="00ED7893">
              <w:t xml:space="preserve">- </w:t>
            </w:r>
            <w:r w:rsidR="00186808" w:rsidRPr="006546D8">
              <w:t>2019. gada 18. novembr</w:t>
            </w:r>
            <w:r w:rsidR="00186808">
              <w:t>ī</w:t>
            </w:r>
            <w:r w:rsidR="00186808" w:rsidRPr="006546D8">
              <w:t xml:space="preserve"> </w:t>
            </w:r>
            <w:r w:rsidR="00186808">
              <w:t xml:space="preserve">tika pieņemta </w:t>
            </w:r>
            <w:r w:rsidR="00186808" w:rsidRPr="006546D8">
              <w:t>Komisijas Direktīva (ES) 2019/1922, ar ko nolūkā pielāgot zinātnes un tehnikas attīstībai attiecībā uz alumīniju groza Eiropas Parlamenta un Padomes Direktīvas 2009/48/EK par rotaļlietu drošumu II pielikuma III daļas 13. punktu</w:t>
            </w:r>
            <w:r w:rsidR="00186808">
              <w:t xml:space="preserve"> (turpmāk – </w:t>
            </w:r>
            <w:r w:rsidR="00186808" w:rsidRPr="00ED7893">
              <w:rPr>
                <w:noProof/>
              </w:rPr>
              <w:t xml:space="preserve">Direktīva </w:t>
            </w:r>
            <w:r w:rsidR="00186808" w:rsidRPr="00ED7893">
              <w:t>201</w:t>
            </w:r>
            <w:r w:rsidR="00186808">
              <w:t>9</w:t>
            </w:r>
            <w:r w:rsidR="00186808" w:rsidRPr="00ED7893">
              <w:t>/</w:t>
            </w:r>
            <w:r w:rsidR="00186808">
              <w:t>1922</w:t>
            </w:r>
            <w:r w:rsidR="00186808" w:rsidRPr="00ED7893">
              <w:rPr>
                <w:noProof/>
              </w:rPr>
              <w:t>/ES</w:t>
            </w:r>
            <w:r w:rsidR="00186808">
              <w:rPr>
                <w:noProof/>
              </w:rPr>
              <w:t>)</w:t>
            </w:r>
            <w:r w:rsidRPr="00ED7893">
              <w:t>;</w:t>
            </w:r>
            <w:r w:rsidR="0087538B" w:rsidRPr="00ED7893">
              <w:t xml:space="preserve"> </w:t>
            </w:r>
          </w:p>
          <w:p w14:paraId="5A57C48A" w14:textId="1E9D1CFB" w:rsidR="00F42A7E" w:rsidRPr="00186808" w:rsidRDefault="00B90C1C" w:rsidP="00186808">
            <w:pPr>
              <w:pStyle w:val="naisf"/>
              <w:spacing w:before="0" w:after="0"/>
              <w:ind w:left="70" w:right="23" w:firstLine="226"/>
              <w:rPr>
                <w:bCs/>
              </w:rPr>
            </w:pPr>
            <w:r w:rsidRPr="00ED7893">
              <w:rPr>
                <w:bCs/>
              </w:rPr>
              <w:t xml:space="preserve">- </w:t>
            </w:r>
            <w:r w:rsidR="00186808" w:rsidRPr="006546D8">
              <w:t>2019. gada 1</w:t>
            </w:r>
            <w:r w:rsidR="00186808">
              <w:t>9</w:t>
            </w:r>
            <w:r w:rsidR="00186808" w:rsidRPr="006546D8">
              <w:t>. novembr</w:t>
            </w:r>
            <w:r w:rsidR="00186808">
              <w:t>ī</w:t>
            </w:r>
            <w:r w:rsidR="00186808" w:rsidRPr="00ED7893">
              <w:rPr>
                <w:bCs/>
              </w:rPr>
              <w:t xml:space="preserve"> </w:t>
            </w:r>
            <w:r w:rsidR="00E65AE4" w:rsidRPr="00ED7893">
              <w:rPr>
                <w:bCs/>
              </w:rPr>
              <w:t xml:space="preserve">tika pieņemta </w:t>
            </w:r>
            <w:r w:rsidR="00186808" w:rsidRPr="006546D8">
              <w:t xml:space="preserve">Komisijas Direktīva (ES) 2019/1929, ar ko attiecībā uz formaldehīdu groza Eiropas Parlamenta un Padomes Direktīvas 2009/48/EK II pielikuma C papildinājumu, lai pieņemtu īpašas robežvērtības ķīmiskām vielām, kas </w:t>
            </w:r>
            <w:r w:rsidR="00186808" w:rsidRPr="006546D8">
              <w:lastRenderedPageBreak/>
              <w:t>izmantotas noteiktās rotaļlietās</w:t>
            </w:r>
            <w:r w:rsidR="00186808">
              <w:t xml:space="preserve"> (turpmāk – </w:t>
            </w:r>
            <w:r w:rsidR="00186808" w:rsidRPr="00ED7893">
              <w:rPr>
                <w:noProof/>
              </w:rPr>
              <w:t xml:space="preserve">Direktīva </w:t>
            </w:r>
            <w:r w:rsidR="00186808" w:rsidRPr="00ED7893">
              <w:t>201</w:t>
            </w:r>
            <w:r w:rsidR="00186808">
              <w:t>9</w:t>
            </w:r>
            <w:r w:rsidR="00186808" w:rsidRPr="00ED7893">
              <w:t>/</w:t>
            </w:r>
            <w:r w:rsidR="00186808">
              <w:t>1929</w:t>
            </w:r>
            <w:r w:rsidR="00186808" w:rsidRPr="00ED7893">
              <w:rPr>
                <w:noProof/>
              </w:rPr>
              <w:t>/ES</w:t>
            </w:r>
            <w:r w:rsidR="00186808">
              <w:rPr>
                <w:noProof/>
              </w:rPr>
              <w:t>)</w:t>
            </w:r>
            <w:r w:rsidR="00F42A7E" w:rsidRPr="00ED7893">
              <w:t>.</w:t>
            </w:r>
          </w:p>
          <w:p w14:paraId="741BC6E9" w14:textId="41BB9ED1" w:rsidR="004B4BCB" w:rsidRPr="00ED7893" w:rsidRDefault="004B4BCB" w:rsidP="004B4BCB">
            <w:pPr>
              <w:pStyle w:val="naisf"/>
              <w:spacing w:before="0" w:after="0"/>
              <w:ind w:left="70" w:right="23" w:firstLine="226"/>
            </w:pPr>
            <w:r w:rsidRPr="00ED7893">
              <w:rPr>
                <w:noProof/>
              </w:rPr>
              <w:t xml:space="preserve">Lai pārņemtu Direktīvas </w:t>
            </w:r>
            <w:r w:rsidRPr="00ED7893">
              <w:t>201</w:t>
            </w:r>
            <w:r w:rsidR="00186808">
              <w:t>9</w:t>
            </w:r>
            <w:r w:rsidRPr="00ED7893">
              <w:t>/</w:t>
            </w:r>
            <w:r w:rsidR="00186808">
              <w:t>1922</w:t>
            </w:r>
            <w:r w:rsidRPr="00ED7893">
              <w:rPr>
                <w:noProof/>
              </w:rPr>
              <w:t>/ES</w:t>
            </w:r>
            <w:r w:rsidR="00186808">
              <w:rPr>
                <w:noProof/>
              </w:rPr>
              <w:t xml:space="preserve"> </w:t>
            </w:r>
            <w:r w:rsidRPr="00ED7893">
              <w:rPr>
                <w:noProof/>
              </w:rPr>
              <w:t xml:space="preserve">un Direktīvas </w:t>
            </w:r>
            <w:r w:rsidRPr="00ED7893">
              <w:t>201</w:t>
            </w:r>
            <w:r w:rsidR="00186808">
              <w:t>9</w:t>
            </w:r>
            <w:r w:rsidRPr="00ED7893">
              <w:t>/</w:t>
            </w:r>
            <w:r w:rsidR="00186808">
              <w:t>1929</w:t>
            </w:r>
            <w:r w:rsidRPr="00ED7893">
              <w:t>/ES</w:t>
            </w:r>
            <w:r w:rsidRPr="00ED7893">
              <w:rPr>
                <w:noProof/>
              </w:rPr>
              <w:t xml:space="preserve"> prasības, ir nepieciešams izstrādāt grozījumus Noteikumos Nr. 132. </w:t>
            </w:r>
            <w:r w:rsidRPr="00ED7893">
              <w:t xml:space="preserve"> </w:t>
            </w:r>
          </w:p>
          <w:p w14:paraId="68AABE3F" w14:textId="39C180F3" w:rsidR="007A5616" w:rsidRPr="00ED7893" w:rsidRDefault="007A5616" w:rsidP="007A5616">
            <w:pPr>
              <w:pStyle w:val="naisf"/>
              <w:ind w:left="70" w:firstLine="226"/>
            </w:pPr>
            <w:r w:rsidRPr="00ED7893">
              <w:t xml:space="preserve">Izstrādātais Noteikumu projekts paredz </w:t>
            </w:r>
            <w:r w:rsidRPr="00ED7893">
              <w:rPr>
                <w:noProof/>
              </w:rPr>
              <w:t xml:space="preserve">Direktīvā </w:t>
            </w:r>
            <w:r w:rsidR="00186808" w:rsidRPr="00ED7893">
              <w:t>201</w:t>
            </w:r>
            <w:r w:rsidR="00186808">
              <w:t>9</w:t>
            </w:r>
            <w:r w:rsidR="00186808" w:rsidRPr="00ED7893">
              <w:t>/</w:t>
            </w:r>
            <w:r w:rsidR="00186808">
              <w:t>1922</w:t>
            </w:r>
            <w:r w:rsidRPr="00ED7893">
              <w:rPr>
                <w:noProof/>
              </w:rPr>
              <w:t>/ES</w:t>
            </w:r>
            <w:r w:rsidR="00186808">
              <w:rPr>
                <w:noProof/>
              </w:rPr>
              <w:t xml:space="preserve"> </w:t>
            </w:r>
            <w:r w:rsidRPr="00ED7893">
              <w:rPr>
                <w:noProof/>
              </w:rPr>
              <w:t xml:space="preserve">un Direktīvā </w:t>
            </w:r>
            <w:r w:rsidR="00186808" w:rsidRPr="00ED7893">
              <w:t>201</w:t>
            </w:r>
            <w:r w:rsidR="00186808">
              <w:t>9</w:t>
            </w:r>
            <w:r w:rsidR="00186808" w:rsidRPr="00ED7893">
              <w:t>/</w:t>
            </w:r>
            <w:r w:rsidR="00186808">
              <w:t>1929</w:t>
            </w:r>
            <w:r w:rsidRPr="00ED7893">
              <w:t>/ES ietverto normu pilnīgu pārņemšanu.</w:t>
            </w:r>
          </w:p>
          <w:p w14:paraId="79515C69" w14:textId="3CD5EF2D" w:rsidR="007A5616" w:rsidRPr="00ED7893" w:rsidRDefault="007A5616" w:rsidP="007A5616">
            <w:pPr>
              <w:pStyle w:val="naisf"/>
              <w:ind w:left="70" w:firstLine="226"/>
            </w:pPr>
            <w:r w:rsidRPr="00ED7893">
              <w:t xml:space="preserve">Ar Noteikumu projektu tiek noteiktas jaunas rotaļlietām izvirzāmās drošuma prasības, </w:t>
            </w:r>
            <w:r w:rsidR="003D012D" w:rsidRPr="00ED7893">
              <w:t>nosakot un samazinot rotaļlietās pieļaujamo ķīmisko vielu robežvērtības</w:t>
            </w:r>
            <w:r w:rsidRPr="00ED7893">
              <w:t>.</w:t>
            </w:r>
          </w:p>
          <w:p w14:paraId="41532D11" w14:textId="77777777" w:rsidR="007A5616" w:rsidRPr="00ED7893" w:rsidRDefault="007A5616" w:rsidP="007A5616">
            <w:pPr>
              <w:pStyle w:val="naisf"/>
              <w:ind w:left="70" w:firstLine="226"/>
            </w:pPr>
            <w:r w:rsidRPr="00ED7893">
              <w:t xml:space="preserve">Atbilstoši katrā no minētajām direktīvām noteiktajiem pārņemšanas termiņiem, Noteikumu projekts paredz pārejas periodu, kurā </w:t>
            </w:r>
            <w:r w:rsidR="00EC1046" w:rsidRPr="00ED7893">
              <w:t>stājas spēkā prasības attiecībā uz katru no ķīmiskajām vielām rotaļlietās, proti:</w:t>
            </w:r>
          </w:p>
          <w:p w14:paraId="2EF4C802" w14:textId="58B13CB7" w:rsidR="00EC1046" w:rsidRPr="00ED7893" w:rsidRDefault="00FC06AE" w:rsidP="00EC1046">
            <w:pPr>
              <w:pStyle w:val="naisf"/>
              <w:numPr>
                <w:ilvl w:val="0"/>
                <w:numId w:val="9"/>
              </w:numPr>
            </w:pPr>
            <w:r>
              <w:t>alumīnij</w:t>
            </w:r>
            <w:r w:rsidR="00EC1046" w:rsidRPr="00ED7893">
              <w:t>am – ar 20</w:t>
            </w:r>
            <w:r>
              <w:t>2</w:t>
            </w:r>
            <w:r w:rsidR="00EC1046" w:rsidRPr="00ED7893">
              <w:t>1. gada 2</w:t>
            </w:r>
            <w:r>
              <w:t>0</w:t>
            </w:r>
            <w:r w:rsidR="00EC1046" w:rsidRPr="00ED7893">
              <w:t xml:space="preserve">. </w:t>
            </w:r>
            <w:r>
              <w:t>maiju</w:t>
            </w:r>
            <w:r w:rsidR="00EC1046" w:rsidRPr="00ED7893">
              <w:t>;</w:t>
            </w:r>
          </w:p>
          <w:p w14:paraId="4925825F" w14:textId="23FA729A" w:rsidR="004B4BCB" w:rsidRPr="00ED7893" w:rsidRDefault="00EC1046" w:rsidP="00FC06AE">
            <w:pPr>
              <w:pStyle w:val="naisf"/>
              <w:numPr>
                <w:ilvl w:val="0"/>
                <w:numId w:val="9"/>
              </w:numPr>
            </w:pPr>
            <w:r w:rsidRPr="00ED7893">
              <w:t>f</w:t>
            </w:r>
            <w:r w:rsidR="00FC06AE">
              <w:t>ormaldehīd</w:t>
            </w:r>
            <w:r w:rsidRPr="00ED7893">
              <w:t>am – ar 20</w:t>
            </w:r>
            <w:r w:rsidR="00FC06AE">
              <w:t>2</w:t>
            </w:r>
            <w:r w:rsidRPr="00ED7893">
              <w:t xml:space="preserve">1. gada </w:t>
            </w:r>
            <w:r w:rsidR="00FC06AE">
              <w:t>21</w:t>
            </w:r>
            <w:r w:rsidRPr="00ED7893">
              <w:t xml:space="preserve">. </w:t>
            </w:r>
            <w:r w:rsidR="00FC06AE">
              <w:t>maiju</w:t>
            </w:r>
            <w:r w:rsidRPr="00ED7893">
              <w:t>.</w:t>
            </w:r>
          </w:p>
        </w:tc>
      </w:tr>
      <w:tr w:rsidR="0087538B" w:rsidRPr="00ED7893" w14:paraId="61D7D523" w14:textId="77777777" w:rsidTr="00EC1046">
        <w:trPr>
          <w:trHeight w:val="47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FAE1" w14:textId="77777777" w:rsidR="0087538B" w:rsidRPr="00ED7893" w:rsidRDefault="00EC1046" w:rsidP="008C3A65">
            <w:pPr>
              <w:pStyle w:val="naiskr"/>
              <w:spacing w:before="0" w:after="0"/>
              <w:ind w:right="-99"/>
              <w:jc w:val="center"/>
            </w:pPr>
            <w:r w:rsidRPr="00ED7893">
              <w:lastRenderedPageBreak/>
              <w:t>3</w:t>
            </w:r>
            <w:r w:rsidR="0087538B" w:rsidRPr="00ED7893">
              <w:t>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097" w14:textId="77777777" w:rsidR="0087538B" w:rsidRPr="00ED7893" w:rsidRDefault="0087538B" w:rsidP="0087538B">
            <w:pPr>
              <w:pStyle w:val="naiskr"/>
              <w:spacing w:before="0" w:after="0"/>
              <w:ind w:right="129"/>
              <w:jc w:val="both"/>
            </w:pPr>
            <w:r w:rsidRPr="00ED7893">
              <w:t>Projekta izstrādē iesaistītās institūcijas</w:t>
            </w:r>
            <w:r w:rsidR="00EC1046" w:rsidRPr="00ED7893">
              <w:t xml:space="preserve"> </w:t>
            </w:r>
            <w:r w:rsidR="00EC1046" w:rsidRPr="00ED7893">
              <w:rPr>
                <w:iCs/>
              </w:rPr>
              <w:t>un publiskas personas kapitālsabiedrības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2D6" w14:textId="77777777" w:rsidR="0087538B" w:rsidRPr="00ED7893" w:rsidRDefault="00EC1046" w:rsidP="00B90C1C">
            <w:pPr>
              <w:pStyle w:val="naiskr"/>
              <w:spacing w:before="0" w:after="0"/>
              <w:ind w:left="57" w:right="23" w:hanging="50"/>
              <w:jc w:val="both"/>
            </w:pPr>
            <w:r w:rsidRPr="00ED7893">
              <w:t>Nav</w:t>
            </w:r>
            <w:r w:rsidR="0087538B" w:rsidRPr="00ED7893">
              <w:t xml:space="preserve">. </w:t>
            </w:r>
          </w:p>
        </w:tc>
      </w:tr>
      <w:tr w:rsidR="0087538B" w:rsidRPr="00ED7893" w14:paraId="24867992" w14:textId="77777777" w:rsidTr="00EC104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7ECD" w14:textId="77777777" w:rsidR="0087538B" w:rsidRPr="00ED7893" w:rsidRDefault="00EC1046" w:rsidP="008C3A65">
            <w:pPr>
              <w:pStyle w:val="naiskr"/>
              <w:spacing w:before="0" w:after="0"/>
              <w:ind w:right="-99"/>
              <w:jc w:val="center"/>
            </w:pPr>
            <w:r w:rsidRPr="00ED7893">
              <w:t>4</w:t>
            </w:r>
            <w:r w:rsidR="0087538B" w:rsidRPr="00ED7893">
              <w:t>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4535" w14:textId="77777777" w:rsidR="0087538B" w:rsidRPr="00ED7893" w:rsidRDefault="0087538B" w:rsidP="008C3A65">
            <w:pPr>
              <w:pStyle w:val="naiskr"/>
              <w:spacing w:before="0" w:after="0"/>
              <w:ind w:right="-99"/>
              <w:jc w:val="both"/>
            </w:pPr>
            <w:r w:rsidRPr="00ED7893">
              <w:t>Cita informācija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7B6" w14:textId="77777777" w:rsidR="0087538B" w:rsidRPr="00ED7893" w:rsidRDefault="005E7214" w:rsidP="008C3A65">
            <w:pPr>
              <w:pStyle w:val="naiskr"/>
              <w:spacing w:before="0" w:after="0"/>
              <w:ind w:right="-99"/>
              <w:jc w:val="both"/>
            </w:pPr>
            <w:r w:rsidRPr="00ED7893">
              <w:t>Nav.</w:t>
            </w:r>
          </w:p>
        </w:tc>
      </w:tr>
    </w:tbl>
    <w:p w14:paraId="55F29175" w14:textId="77777777" w:rsidR="0087538B" w:rsidRPr="00ED7893" w:rsidRDefault="0087538B" w:rsidP="0087538B">
      <w:pPr>
        <w:pStyle w:val="Paraststmeklis"/>
        <w:ind w:right="-99" w:firstLine="0"/>
      </w:pPr>
      <w:r w:rsidRPr="00ED7893">
        <w:t>   </w:t>
      </w:r>
    </w:p>
    <w:tbl>
      <w:tblPr>
        <w:tblW w:w="92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744"/>
        <w:gridCol w:w="5933"/>
      </w:tblGrid>
      <w:tr w:rsidR="0087538B" w:rsidRPr="00ED7893" w14:paraId="376CD1ED" w14:textId="77777777" w:rsidTr="008C3A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0EA" w14:textId="77777777" w:rsidR="0087538B" w:rsidRPr="00ED7893" w:rsidRDefault="0087538B" w:rsidP="008C3A65">
            <w:pPr>
              <w:pStyle w:val="naisnod"/>
              <w:spacing w:before="0" w:after="0"/>
              <w:ind w:right="-99"/>
            </w:pPr>
            <w:r w:rsidRPr="00ED7893">
              <w:t>II. Tiesību akta projekta ietekme uz sabiedrību</w:t>
            </w:r>
            <w:r w:rsidR="00CE0E7E" w:rsidRPr="00ED7893">
              <w:rPr>
                <w:iCs/>
              </w:rPr>
              <w:t>, tautsaimniecības attīstību un administratīvo slogu</w:t>
            </w:r>
          </w:p>
        </w:tc>
      </w:tr>
      <w:tr w:rsidR="0087538B" w:rsidRPr="00ED7893" w14:paraId="38694682" w14:textId="77777777" w:rsidTr="008C3A65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c>
          <w:tcPr>
            <w:tcW w:w="2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64BE40AB" w14:textId="77777777" w:rsidR="0087538B" w:rsidRPr="00ED7893" w:rsidRDefault="0087538B" w:rsidP="008C3A65">
            <w:pPr>
              <w:pStyle w:val="Paraststmeklis"/>
              <w:ind w:firstLine="0"/>
              <w:jc w:val="center"/>
            </w:pPr>
            <w:r w:rsidRPr="00ED7893">
              <w:t>1.</w:t>
            </w:r>
          </w:p>
        </w:tc>
        <w:tc>
          <w:tcPr>
            <w:tcW w:w="14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C3DC93" w14:textId="77777777" w:rsidR="0087538B" w:rsidRPr="00ED7893" w:rsidRDefault="0087538B" w:rsidP="00CE0E7E">
            <w:pPr>
              <w:pStyle w:val="Paraststmeklis"/>
              <w:ind w:firstLine="0"/>
              <w:jc w:val="left"/>
            </w:pPr>
            <w:r w:rsidRPr="00ED7893">
              <w:t>Sabiedrības mērķgrupa</w:t>
            </w:r>
            <w:r w:rsidR="00CE0E7E" w:rsidRPr="00ED7893">
              <w:t>s,</w:t>
            </w:r>
            <w:r w:rsidR="00CE0E7E" w:rsidRPr="00ED7893">
              <w:rPr>
                <w:iCs/>
                <w:color w:val="414142"/>
              </w:rPr>
              <w:t xml:space="preserve"> </w:t>
            </w:r>
            <w:r w:rsidR="00CE0E7E" w:rsidRPr="00ED7893">
              <w:rPr>
                <w:iCs/>
              </w:rPr>
              <w:t>kuras tiesiskais regulējums ietekmē vai varētu ietekmēt</w:t>
            </w:r>
          </w:p>
        </w:tc>
        <w:tc>
          <w:tcPr>
            <w:tcW w:w="3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1F1E84B" w14:textId="77777777" w:rsidR="0087538B" w:rsidRPr="00ED7893" w:rsidRDefault="0087538B" w:rsidP="008C3A65">
            <w:pPr>
              <w:pStyle w:val="Paraststmeklis"/>
              <w:ind w:firstLine="233"/>
            </w:pPr>
            <w:r w:rsidRPr="00ED7893">
              <w:t>Patērētāji – bērni un viņu pieskatītāji (~ 2 miljoni Latvijas iedzīvotāju</w:t>
            </w:r>
            <w:r w:rsidR="00B90C1C" w:rsidRPr="00ED7893">
              <w:t>.</w:t>
            </w:r>
            <w:r w:rsidRPr="00ED7893">
              <w:t xml:space="preserve"> </w:t>
            </w:r>
            <w:r w:rsidR="00B90C1C" w:rsidRPr="00ED7893">
              <w:t>Direktīvu</w:t>
            </w:r>
            <w:r w:rsidRPr="00ED7893">
              <w:t xml:space="preserve"> ieviešana Latvijā skars arī  ~ 480 miljonus ES patērētāju). </w:t>
            </w:r>
          </w:p>
        </w:tc>
      </w:tr>
      <w:tr w:rsidR="0087538B" w:rsidRPr="00ED7893" w14:paraId="612FA4D9" w14:textId="77777777" w:rsidTr="008C3A65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c>
          <w:tcPr>
            <w:tcW w:w="2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39C2CB16" w14:textId="77777777" w:rsidR="0087538B" w:rsidRPr="00ED7893" w:rsidRDefault="0087538B" w:rsidP="008C3A65">
            <w:pPr>
              <w:pStyle w:val="Paraststmeklis"/>
              <w:ind w:firstLine="0"/>
              <w:jc w:val="center"/>
            </w:pPr>
            <w:r w:rsidRPr="00ED7893">
              <w:t>2.</w:t>
            </w:r>
          </w:p>
        </w:tc>
        <w:tc>
          <w:tcPr>
            <w:tcW w:w="14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F5DE04" w14:textId="77777777" w:rsidR="0087538B" w:rsidRPr="00ED7893" w:rsidRDefault="00CE0E7E" w:rsidP="00CE0E7E">
            <w:pPr>
              <w:pStyle w:val="Paraststmeklis"/>
              <w:ind w:firstLine="0"/>
              <w:jc w:val="left"/>
            </w:pPr>
            <w:r w:rsidRPr="00ED7893">
              <w:rPr>
                <w:iCs/>
              </w:rPr>
              <w:t>Tiesiskā regulējuma ietekme uz tautsaimniecību un administratīvo slogu</w:t>
            </w:r>
          </w:p>
        </w:tc>
        <w:tc>
          <w:tcPr>
            <w:tcW w:w="3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1B9D510" w14:textId="597120CD" w:rsidR="0087538B" w:rsidRPr="00ED7893" w:rsidRDefault="00CE0E7E" w:rsidP="005E60CE">
            <w:pPr>
              <w:pStyle w:val="Paraststmeklis"/>
              <w:spacing w:before="0" w:after="0"/>
              <w:ind w:left="57" w:right="57" w:firstLine="176"/>
            </w:pPr>
            <w:r w:rsidRPr="00ED7893">
              <w:t>Sabiedrības grupām un institūcijām Noteikumu projekta tiesiskais regulējums nemaina tiesības un pienākumus, kā arī veicamās darbības.</w:t>
            </w:r>
          </w:p>
        </w:tc>
      </w:tr>
      <w:tr w:rsidR="0087538B" w:rsidRPr="00ED7893" w14:paraId="2D956043" w14:textId="77777777" w:rsidTr="008C3A65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c>
          <w:tcPr>
            <w:tcW w:w="2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7BD3F118" w14:textId="77777777" w:rsidR="0087538B" w:rsidRPr="00ED7893" w:rsidRDefault="0087538B" w:rsidP="008C3A65">
            <w:pPr>
              <w:pStyle w:val="Paraststmeklis"/>
              <w:ind w:firstLine="0"/>
              <w:jc w:val="center"/>
            </w:pPr>
            <w:r w:rsidRPr="00ED7893">
              <w:t>3.</w:t>
            </w:r>
          </w:p>
        </w:tc>
        <w:tc>
          <w:tcPr>
            <w:tcW w:w="14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D524E0" w14:textId="77777777" w:rsidR="0087538B" w:rsidRPr="00ED7893" w:rsidRDefault="00D4226C" w:rsidP="008C3A65">
            <w:pPr>
              <w:pStyle w:val="Paraststmeklis"/>
              <w:ind w:firstLine="0"/>
            </w:pPr>
            <w:proofErr w:type="spellStart"/>
            <w:r w:rsidRPr="00ED7893">
              <w:rPr>
                <w:iCs/>
                <w:lang w:val="en-US"/>
              </w:rPr>
              <w:t>Administratīvo</w:t>
            </w:r>
            <w:proofErr w:type="spellEnd"/>
            <w:r w:rsidRPr="00ED7893">
              <w:rPr>
                <w:iCs/>
                <w:lang w:val="en-US"/>
              </w:rPr>
              <w:t xml:space="preserve"> </w:t>
            </w:r>
            <w:proofErr w:type="spellStart"/>
            <w:r w:rsidRPr="00ED7893">
              <w:rPr>
                <w:iCs/>
                <w:lang w:val="en-US"/>
              </w:rPr>
              <w:t>izmaksu</w:t>
            </w:r>
            <w:proofErr w:type="spellEnd"/>
            <w:r w:rsidRPr="00ED7893">
              <w:rPr>
                <w:iCs/>
                <w:lang w:val="en-US"/>
              </w:rPr>
              <w:t xml:space="preserve"> </w:t>
            </w:r>
            <w:proofErr w:type="spellStart"/>
            <w:r w:rsidRPr="00ED7893">
              <w:rPr>
                <w:iCs/>
                <w:lang w:val="en-US"/>
              </w:rPr>
              <w:t>monetārs</w:t>
            </w:r>
            <w:proofErr w:type="spellEnd"/>
            <w:r w:rsidRPr="00ED7893">
              <w:rPr>
                <w:iCs/>
                <w:lang w:val="en-US"/>
              </w:rPr>
              <w:t xml:space="preserve"> </w:t>
            </w:r>
            <w:proofErr w:type="spellStart"/>
            <w:r w:rsidRPr="00ED7893">
              <w:rPr>
                <w:iCs/>
                <w:lang w:val="en-US"/>
              </w:rPr>
              <w:t>novērtējums</w:t>
            </w:r>
            <w:proofErr w:type="spellEnd"/>
          </w:p>
        </w:tc>
        <w:tc>
          <w:tcPr>
            <w:tcW w:w="3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7F4624A" w14:textId="77777777" w:rsidR="00B568BB" w:rsidRPr="00ED7893" w:rsidRDefault="0026349F" w:rsidP="004747A9">
            <w:pPr>
              <w:ind w:firstLine="233"/>
              <w:jc w:val="both"/>
            </w:pPr>
            <w:r w:rsidRPr="00ED7893">
              <w:t xml:space="preserve">   </w:t>
            </w:r>
            <w:r w:rsidR="00B568BB" w:rsidRPr="00ED7893">
              <w:t>Noteikumu projekts nerada papildu izmaksas saistībā ar informācijas pieņemšanas, apstrādes vai uzglabāšanas pienākumiem.</w:t>
            </w:r>
          </w:p>
          <w:p w14:paraId="256BA493" w14:textId="77777777" w:rsidR="0087538B" w:rsidRPr="00ED7893" w:rsidRDefault="0087538B" w:rsidP="00B568BB">
            <w:pPr>
              <w:jc w:val="both"/>
            </w:pPr>
          </w:p>
        </w:tc>
      </w:tr>
      <w:tr w:rsidR="0087538B" w:rsidRPr="00ED7893" w14:paraId="111DD9AE" w14:textId="77777777" w:rsidTr="008C3A65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c>
          <w:tcPr>
            <w:tcW w:w="29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569AC168" w14:textId="77777777" w:rsidR="0087538B" w:rsidRPr="00ED7893" w:rsidRDefault="0087538B" w:rsidP="008C3A65">
            <w:pPr>
              <w:pStyle w:val="Paraststmeklis"/>
              <w:ind w:firstLine="0"/>
              <w:jc w:val="center"/>
            </w:pPr>
            <w:r w:rsidRPr="00ED7893">
              <w:t>4.</w:t>
            </w:r>
          </w:p>
        </w:tc>
        <w:tc>
          <w:tcPr>
            <w:tcW w:w="14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FA8F2C" w14:textId="77777777" w:rsidR="0087538B" w:rsidRPr="00ED7893" w:rsidRDefault="00EA416F" w:rsidP="008C3A65">
            <w:pPr>
              <w:pStyle w:val="Paraststmeklis"/>
              <w:ind w:firstLine="0"/>
            </w:pPr>
            <w:proofErr w:type="spellStart"/>
            <w:r w:rsidRPr="00ED7893">
              <w:rPr>
                <w:iCs/>
                <w:lang w:val="en-US"/>
              </w:rPr>
              <w:t>Atbilstības</w:t>
            </w:r>
            <w:proofErr w:type="spellEnd"/>
            <w:r w:rsidRPr="00ED7893">
              <w:rPr>
                <w:iCs/>
                <w:lang w:val="en-US"/>
              </w:rPr>
              <w:t xml:space="preserve"> </w:t>
            </w:r>
            <w:proofErr w:type="spellStart"/>
            <w:r w:rsidRPr="00ED7893">
              <w:rPr>
                <w:iCs/>
                <w:lang w:val="en-US"/>
              </w:rPr>
              <w:t>izmaksu</w:t>
            </w:r>
            <w:proofErr w:type="spellEnd"/>
            <w:r w:rsidRPr="00ED7893">
              <w:rPr>
                <w:iCs/>
                <w:lang w:val="en-US"/>
              </w:rPr>
              <w:t xml:space="preserve"> </w:t>
            </w:r>
            <w:proofErr w:type="spellStart"/>
            <w:r w:rsidRPr="00ED7893">
              <w:rPr>
                <w:iCs/>
                <w:lang w:val="en-US"/>
              </w:rPr>
              <w:t>monetārs</w:t>
            </w:r>
            <w:proofErr w:type="spellEnd"/>
            <w:r w:rsidRPr="00ED7893">
              <w:rPr>
                <w:iCs/>
                <w:lang w:val="en-US"/>
              </w:rPr>
              <w:t xml:space="preserve"> </w:t>
            </w:r>
            <w:proofErr w:type="spellStart"/>
            <w:r w:rsidRPr="00ED7893">
              <w:rPr>
                <w:iCs/>
                <w:lang w:val="en-US"/>
              </w:rPr>
              <w:t>novērtējums</w:t>
            </w:r>
            <w:proofErr w:type="spellEnd"/>
          </w:p>
        </w:tc>
        <w:tc>
          <w:tcPr>
            <w:tcW w:w="3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C533D09" w14:textId="77777777" w:rsidR="0035354A" w:rsidRPr="00ED7893" w:rsidRDefault="00EA416F" w:rsidP="00EA416F">
            <w:pPr>
              <w:pStyle w:val="Paraststmeklis"/>
              <w:ind w:right="57" w:firstLine="375"/>
            </w:pPr>
            <w:r w:rsidRPr="00ED7893">
              <w:t xml:space="preserve">Noteikumu projektam </w:t>
            </w:r>
            <w:r w:rsidR="00B568BB" w:rsidRPr="00ED7893">
              <w:t>nav tiešas finansiālas ietekmes uz patērētājiem, jo šobrīd nav pieejama informācij</w:t>
            </w:r>
            <w:r w:rsidRPr="00ED7893">
              <w:t>a, ka līdz ar jaunu</w:t>
            </w:r>
            <w:r w:rsidR="00B568BB" w:rsidRPr="00ED7893">
              <w:t xml:space="preserve"> rotaļlietu drošum</w:t>
            </w:r>
            <w:r w:rsidRPr="00ED7893">
              <w:t>a</w:t>
            </w:r>
            <w:r w:rsidR="00B568BB" w:rsidRPr="00ED7893">
              <w:t xml:space="preserve"> </w:t>
            </w:r>
            <w:r w:rsidRPr="00ED7893">
              <w:t>prasību</w:t>
            </w:r>
            <w:r w:rsidR="00B568BB" w:rsidRPr="00ED7893">
              <w:t xml:space="preserve"> </w:t>
            </w:r>
            <w:r w:rsidRPr="00ED7893">
              <w:t xml:space="preserve">ieviešanu </w:t>
            </w:r>
            <w:r w:rsidR="00B568BB" w:rsidRPr="00ED7893">
              <w:t xml:space="preserve">tiktu paaugstinātas rotaļlietu cenas. </w:t>
            </w:r>
          </w:p>
          <w:p w14:paraId="505968FF" w14:textId="7F8CF0C8" w:rsidR="00A435D8" w:rsidRPr="00ED7893" w:rsidRDefault="0035354A" w:rsidP="0035354A">
            <w:pPr>
              <w:pStyle w:val="Paraststmeklis"/>
              <w:ind w:right="57" w:firstLine="375"/>
            </w:pPr>
            <w:r w:rsidRPr="00ED7893">
              <w:t xml:space="preserve">Rotaļlietās pieļaujamo ķīmisko vielu robežvērtību </w:t>
            </w:r>
            <w:r w:rsidR="003D012D" w:rsidRPr="00ED7893">
              <w:t xml:space="preserve">noteikšana un to </w:t>
            </w:r>
            <w:r w:rsidRPr="00ED7893">
              <w:t>samazinājums var ietekmēt izmaksas</w:t>
            </w:r>
            <w:r w:rsidR="00B568BB" w:rsidRPr="00ED7893">
              <w:t xml:space="preserve"> rotaļlietu ražotājiem un citiem uzņēmējiem</w:t>
            </w:r>
            <w:r w:rsidRPr="00ED7893">
              <w:t>, tomēr konkrēts izmaksu monetārs novērtējums nav iespējams, jo nav pieejama informācija par to ražotāju un uzņēmēju skaitu, kuru ražotajās vai importētajās rotaļlietās izmantotas attiecīgās ķīmiskās vielas.</w:t>
            </w:r>
          </w:p>
        </w:tc>
      </w:tr>
      <w:tr w:rsidR="0087538B" w:rsidRPr="00ED7893" w14:paraId="42189634" w14:textId="77777777" w:rsidTr="008C3A65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c>
          <w:tcPr>
            <w:tcW w:w="292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14:paraId="41348FEC" w14:textId="77777777" w:rsidR="0087538B" w:rsidRPr="00ED7893" w:rsidRDefault="00F44154" w:rsidP="008C3A65">
            <w:pPr>
              <w:pStyle w:val="Paraststmeklis"/>
              <w:ind w:firstLine="0"/>
              <w:jc w:val="center"/>
            </w:pPr>
            <w:r w:rsidRPr="00ED7893">
              <w:lastRenderedPageBreak/>
              <w:t>5</w:t>
            </w:r>
            <w:r w:rsidR="0087538B" w:rsidRPr="00ED7893">
              <w:t>.</w:t>
            </w:r>
          </w:p>
        </w:tc>
        <w:tc>
          <w:tcPr>
            <w:tcW w:w="148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14:paraId="188234EB" w14:textId="77777777" w:rsidR="0087538B" w:rsidRPr="00ED7893" w:rsidRDefault="0087538B" w:rsidP="008C3A65">
            <w:pPr>
              <w:pStyle w:val="Paraststmeklis"/>
              <w:ind w:firstLine="0"/>
            </w:pPr>
            <w:r w:rsidRPr="00ED7893">
              <w:t>Cita informācija</w:t>
            </w:r>
          </w:p>
        </w:tc>
        <w:tc>
          <w:tcPr>
            <w:tcW w:w="321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634C93A" w14:textId="77777777" w:rsidR="0087538B" w:rsidRPr="00ED7893" w:rsidRDefault="0087538B" w:rsidP="008C3A65">
            <w:pPr>
              <w:pStyle w:val="Paraststmeklis"/>
              <w:spacing w:before="0" w:after="0"/>
              <w:ind w:right="57" w:firstLine="0"/>
            </w:pPr>
            <w:r w:rsidRPr="00ED7893">
              <w:t>Nav</w:t>
            </w:r>
            <w:r w:rsidR="005E7214" w:rsidRPr="00ED7893">
              <w:t>.</w:t>
            </w:r>
          </w:p>
        </w:tc>
      </w:tr>
      <w:tr w:rsidR="0087538B" w:rsidRPr="00ED7893" w14:paraId="6EAF35EA" w14:textId="77777777" w:rsidTr="008C3A65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72474" w14:textId="77777777" w:rsidR="0087538B" w:rsidRPr="00ED7893" w:rsidRDefault="0087538B" w:rsidP="008C3A65">
            <w:pPr>
              <w:pStyle w:val="Paraststmeklis"/>
              <w:ind w:firstLine="0"/>
            </w:pP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E4EA1" w14:textId="77777777" w:rsidR="0087538B" w:rsidRPr="00ED7893" w:rsidRDefault="0087538B" w:rsidP="008C3A65">
            <w:pPr>
              <w:pStyle w:val="Paraststmeklis"/>
              <w:ind w:firstLine="0"/>
            </w:pPr>
          </w:p>
        </w:tc>
        <w:tc>
          <w:tcPr>
            <w:tcW w:w="3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B642E" w14:textId="77777777" w:rsidR="0087538B" w:rsidRPr="00ED7893" w:rsidRDefault="0087538B" w:rsidP="008C3A65">
            <w:pPr>
              <w:pStyle w:val="Paraststmeklis"/>
              <w:spacing w:before="0" w:after="0"/>
              <w:ind w:right="57" w:firstLine="0"/>
            </w:pPr>
          </w:p>
        </w:tc>
      </w:tr>
      <w:tr w:rsidR="00F44154" w:rsidRPr="00ED7893" w14:paraId="680552EB" w14:textId="77777777" w:rsidTr="001056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3FED" w14:textId="77777777" w:rsidR="00F44154" w:rsidRPr="00ED7893" w:rsidRDefault="00F44154" w:rsidP="00F44154">
            <w:pPr>
              <w:jc w:val="center"/>
              <w:rPr>
                <w:b/>
                <w:bCs/>
                <w:iCs/>
                <w:color w:val="auto"/>
                <w:lang w:eastAsia="lv-LV"/>
              </w:rPr>
            </w:pPr>
            <w:r w:rsidRPr="00ED7893">
              <w:rPr>
                <w:b/>
                <w:bCs/>
                <w:iCs/>
                <w:color w:val="auto"/>
                <w:lang w:eastAsia="lv-LV"/>
              </w:rPr>
              <w:t>III. Tiesību akta projekta ietekme uz valsts budžetu un pašvaldību budžetiem</w:t>
            </w:r>
          </w:p>
        </w:tc>
      </w:tr>
      <w:tr w:rsidR="00F44154" w:rsidRPr="00ED7893" w14:paraId="67F8FF12" w14:textId="77777777" w:rsidTr="00BE0E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E9D3" w14:textId="77777777" w:rsidR="00F44154" w:rsidRPr="00ED7893" w:rsidRDefault="00BE0ECE" w:rsidP="00F44154">
            <w:pPr>
              <w:jc w:val="center"/>
              <w:rPr>
                <w:bCs/>
                <w:iCs/>
                <w:color w:val="auto"/>
                <w:lang w:eastAsia="lv-LV"/>
              </w:rPr>
            </w:pPr>
            <w:r w:rsidRPr="00ED7893">
              <w:rPr>
                <w:bCs/>
                <w:iCs/>
                <w:color w:val="auto"/>
                <w:lang w:eastAsia="lv-LV"/>
              </w:rPr>
              <w:t>Noteikumu p</w:t>
            </w:r>
            <w:r w:rsidR="00F44154" w:rsidRPr="00ED7893">
              <w:rPr>
                <w:bCs/>
                <w:iCs/>
                <w:color w:val="auto"/>
                <w:lang w:eastAsia="lv-LV"/>
              </w:rPr>
              <w:t>rojekts šo jomu neskar</w:t>
            </w:r>
          </w:p>
        </w:tc>
      </w:tr>
      <w:tr w:rsidR="00BE0ECE" w:rsidRPr="00ED7893" w14:paraId="7688CB31" w14:textId="77777777" w:rsidTr="00BE0ECE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E30F3" w14:textId="77777777" w:rsidR="00BE0ECE" w:rsidRPr="00ED7893" w:rsidRDefault="00BE0ECE" w:rsidP="00F44154">
            <w:pPr>
              <w:jc w:val="center"/>
              <w:rPr>
                <w:bCs/>
                <w:iCs/>
                <w:color w:val="auto"/>
                <w:lang w:eastAsia="lv-LV"/>
              </w:rPr>
            </w:pPr>
          </w:p>
        </w:tc>
      </w:tr>
      <w:tr w:rsidR="00F44154" w:rsidRPr="00ED7893" w14:paraId="793D84E6" w14:textId="77777777" w:rsidTr="008C3A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0CBC" w14:textId="77777777" w:rsidR="00F44154" w:rsidRPr="00ED7893" w:rsidRDefault="00BE0ECE" w:rsidP="00F44154">
            <w:pPr>
              <w:pStyle w:val="naisnod"/>
              <w:spacing w:before="0" w:after="0"/>
              <w:ind w:right="-99"/>
            </w:pPr>
            <w:r w:rsidRPr="00ED7893">
              <w:rPr>
                <w:iCs/>
              </w:rPr>
              <w:t>IV. Tiesību akta projekta ietekme uz spēkā esošo tiesību normu sistēmu</w:t>
            </w:r>
          </w:p>
        </w:tc>
      </w:tr>
      <w:tr w:rsidR="00F44154" w:rsidRPr="00ED7893" w14:paraId="1F3A3E92" w14:textId="77777777" w:rsidTr="00BE0E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E74" w14:textId="77777777" w:rsidR="00F44154" w:rsidRPr="00ED7893" w:rsidRDefault="00BE0ECE" w:rsidP="00F44154">
            <w:pPr>
              <w:pStyle w:val="naisnod"/>
              <w:spacing w:before="0" w:after="0"/>
              <w:ind w:right="-99"/>
              <w:rPr>
                <w:b w:val="0"/>
              </w:rPr>
            </w:pPr>
            <w:r w:rsidRPr="00ED7893">
              <w:rPr>
                <w:b w:val="0"/>
                <w:iCs/>
                <w:color w:val="auto"/>
              </w:rPr>
              <w:t>Noteikumu projekts šo jomu neskar</w:t>
            </w:r>
          </w:p>
        </w:tc>
      </w:tr>
      <w:tr w:rsidR="00BE0ECE" w:rsidRPr="00ED7893" w14:paraId="60E69794" w14:textId="77777777" w:rsidTr="00BE0ECE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F2622" w14:textId="77777777" w:rsidR="00BE0ECE" w:rsidRPr="00ED7893" w:rsidRDefault="00BE0ECE" w:rsidP="00F44154">
            <w:pPr>
              <w:pStyle w:val="naisnod"/>
              <w:spacing w:before="0" w:after="0"/>
              <w:ind w:right="-99"/>
              <w:rPr>
                <w:b w:val="0"/>
                <w:iCs/>
                <w:color w:val="auto"/>
              </w:rPr>
            </w:pPr>
          </w:p>
        </w:tc>
      </w:tr>
      <w:tr w:rsidR="00F44154" w:rsidRPr="00ED7893" w14:paraId="39A676A9" w14:textId="77777777" w:rsidTr="008C3A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F92" w14:textId="77777777" w:rsidR="00F44154" w:rsidRPr="00ED7893" w:rsidRDefault="00F44154" w:rsidP="00F44154">
            <w:pPr>
              <w:pStyle w:val="naisnod"/>
              <w:spacing w:before="0" w:after="0"/>
              <w:ind w:right="-99"/>
            </w:pPr>
          </w:p>
          <w:p w14:paraId="27606F9C" w14:textId="77777777" w:rsidR="00F44154" w:rsidRPr="00ED7893" w:rsidRDefault="00F44154" w:rsidP="00F44154">
            <w:pPr>
              <w:pStyle w:val="naisnod"/>
              <w:spacing w:before="0" w:after="0"/>
              <w:ind w:right="-99"/>
            </w:pPr>
            <w:r w:rsidRPr="00ED7893">
              <w:t>V. Tiesību akta projekta atbilstība Latvijas Republikas starptautiskajām saistībām</w:t>
            </w:r>
          </w:p>
        </w:tc>
      </w:tr>
      <w:tr w:rsidR="00F44154" w:rsidRPr="00ED7893" w14:paraId="25A50463" w14:textId="77777777" w:rsidTr="00C947B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F3B5" w14:textId="77777777" w:rsidR="00F44154" w:rsidRPr="00ED7893" w:rsidRDefault="00F44154" w:rsidP="00F44154">
            <w:pPr>
              <w:pStyle w:val="naiskr"/>
              <w:tabs>
                <w:tab w:val="left" w:pos="2628"/>
              </w:tabs>
              <w:spacing w:before="0" w:after="0"/>
              <w:ind w:right="-99"/>
              <w:jc w:val="both"/>
              <w:rPr>
                <w:iCs/>
              </w:rPr>
            </w:pPr>
            <w:r w:rsidRPr="00ED7893">
              <w:rPr>
                <w:iCs/>
              </w:rPr>
              <w:t>1.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3714" w14:textId="77777777" w:rsidR="00F44154" w:rsidRPr="00ED7893" w:rsidRDefault="00F44154" w:rsidP="00F44154">
            <w:pPr>
              <w:pStyle w:val="naiskr"/>
              <w:spacing w:before="0" w:after="0"/>
              <w:jc w:val="both"/>
              <w:rPr>
                <w:iCs/>
              </w:rPr>
            </w:pPr>
            <w:r w:rsidRPr="00ED7893">
              <w:t>Saistības pret Eiropas Savienību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950" w14:textId="3FC8E812" w:rsidR="00BE0ECE" w:rsidRPr="00ED7893" w:rsidRDefault="00BE0ECE" w:rsidP="00BE0ECE">
            <w:pPr>
              <w:pStyle w:val="naisf"/>
              <w:spacing w:before="0" w:after="0"/>
              <w:ind w:left="70" w:right="23" w:firstLine="226"/>
            </w:pPr>
            <w:r w:rsidRPr="00ED7893">
              <w:t xml:space="preserve">1) </w:t>
            </w:r>
            <w:r w:rsidR="00D8586F" w:rsidRPr="006546D8">
              <w:t>Komisijas Direktīva (ES) 2019/1922 (2019. gada 18. novembris), ar ko nolūkā pielāgot zinātnes un tehnikas attīstībai attiecībā uz alumīniju groza Eiropas Parlamenta un Padomes Direktīvas 2009/48/EK par rotaļlietu drošumu II pielikuma III daļas 13. punktu</w:t>
            </w:r>
            <w:r w:rsidR="00D8586F" w:rsidRPr="00ED7893">
              <w:t xml:space="preserve"> </w:t>
            </w:r>
            <w:proofErr w:type="gramStart"/>
            <w:r w:rsidR="00FF3E8D" w:rsidRPr="00ED7893">
              <w:t>(</w:t>
            </w:r>
            <w:proofErr w:type="gramEnd"/>
            <w:r w:rsidR="00FF3E8D" w:rsidRPr="00ED7893">
              <w:t>minētās direktīvas transponēšanas termiņš ir 20</w:t>
            </w:r>
            <w:r w:rsidR="00D8586F">
              <w:t>2</w:t>
            </w:r>
            <w:r w:rsidR="00FF3E8D" w:rsidRPr="00ED7893">
              <w:t xml:space="preserve">1. gada </w:t>
            </w:r>
            <w:r w:rsidR="00B5151E">
              <w:t>19</w:t>
            </w:r>
            <w:r w:rsidR="00D8586F">
              <w:t>. maijs</w:t>
            </w:r>
            <w:r w:rsidR="00FF3E8D" w:rsidRPr="00ED7893">
              <w:t>)</w:t>
            </w:r>
            <w:r w:rsidRPr="00ED7893">
              <w:t>;</w:t>
            </w:r>
          </w:p>
          <w:p w14:paraId="3CAD74F8" w14:textId="6C96712F" w:rsidR="00BE0ECE" w:rsidRPr="00ED7893" w:rsidRDefault="00BE0ECE" w:rsidP="00D8586F">
            <w:pPr>
              <w:pStyle w:val="naisf"/>
              <w:spacing w:before="0" w:after="0"/>
              <w:ind w:left="70" w:right="23" w:firstLine="226"/>
            </w:pPr>
            <w:r w:rsidRPr="00ED7893">
              <w:t xml:space="preserve">2) </w:t>
            </w:r>
            <w:r w:rsidR="00D8586F" w:rsidRPr="006546D8">
              <w:t>Komisijas Direktīva (ES) 2019/1929 (2019. gada 19. novembris), ar ko attiecībā uz formaldehīdu groza Eiropas Parlamenta un Padomes Direktīvas 2009/48/EK II pielikuma C papildinājumu, lai pieņemtu īpašas robežvērtības ķīmiskām vielām, kas izmantotas noteiktās rotaļlietās</w:t>
            </w:r>
            <w:r w:rsidR="00D8586F" w:rsidRPr="00ED7893">
              <w:t xml:space="preserve"> </w:t>
            </w:r>
            <w:proofErr w:type="gramStart"/>
            <w:r w:rsidR="00081546" w:rsidRPr="00ED7893">
              <w:t>(</w:t>
            </w:r>
            <w:proofErr w:type="gramEnd"/>
            <w:r w:rsidR="00081546" w:rsidRPr="00ED7893">
              <w:t xml:space="preserve">minētās direktīvas transponēšanas termiņš ir </w:t>
            </w:r>
            <w:r w:rsidR="00D8586F" w:rsidRPr="00ED7893">
              <w:t>20</w:t>
            </w:r>
            <w:r w:rsidR="00D8586F">
              <w:t>2</w:t>
            </w:r>
            <w:r w:rsidR="00D8586F" w:rsidRPr="00ED7893">
              <w:t xml:space="preserve">1. gada </w:t>
            </w:r>
            <w:r w:rsidR="00D8586F">
              <w:t>2</w:t>
            </w:r>
            <w:r w:rsidR="00CD65CC">
              <w:t>0</w:t>
            </w:r>
            <w:r w:rsidR="00D8586F">
              <w:t>. maijs</w:t>
            </w:r>
            <w:r w:rsidR="00081546" w:rsidRPr="00ED7893">
              <w:t>)</w:t>
            </w:r>
            <w:r w:rsidRPr="00ED7893">
              <w:t>.</w:t>
            </w:r>
          </w:p>
          <w:p w14:paraId="656D1AAB" w14:textId="77777777" w:rsidR="00F44154" w:rsidRPr="00ED7893" w:rsidRDefault="00F44154" w:rsidP="00BE0ECE">
            <w:pPr>
              <w:pStyle w:val="naiskr"/>
              <w:tabs>
                <w:tab w:val="left" w:pos="297"/>
              </w:tabs>
              <w:spacing w:before="0" w:after="0"/>
              <w:ind w:right="34"/>
              <w:jc w:val="both"/>
              <w:rPr>
                <w:bCs/>
              </w:rPr>
            </w:pPr>
            <w:r w:rsidRPr="00ED7893">
              <w:rPr>
                <w:bCs/>
              </w:rPr>
              <w:t xml:space="preserve"> </w:t>
            </w:r>
          </w:p>
        </w:tc>
      </w:tr>
      <w:tr w:rsidR="00F44154" w:rsidRPr="00ED7893" w14:paraId="317B2EFA" w14:textId="77777777" w:rsidTr="00C947B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23E1" w14:textId="77777777" w:rsidR="00F44154" w:rsidRPr="00ED7893" w:rsidRDefault="00F44154" w:rsidP="00F44154">
            <w:pPr>
              <w:pStyle w:val="naiskr"/>
              <w:tabs>
                <w:tab w:val="left" w:pos="2628"/>
              </w:tabs>
              <w:spacing w:before="0" w:after="0"/>
              <w:ind w:right="-99"/>
              <w:jc w:val="both"/>
              <w:rPr>
                <w:iCs/>
              </w:rPr>
            </w:pPr>
            <w:r w:rsidRPr="00ED7893">
              <w:rPr>
                <w:iCs/>
              </w:rPr>
              <w:t>2.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4760" w14:textId="77777777" w:rsidR="00F44154" w:rsidRPr="00ED7893" w:rsidRDefault="00F44154" w:rsidP="00F44154">
            <w:pPr>
              <w:pStyle w:val="naiskr"/>
              <w:tabs>
                <w:tab w:val="left" w:pos="2628"/>
              </w:tabs>
              <w:spacing w:before="0" w:after="0"/>
              <w:ind w:right="-99"/>
              <w:jc w:val="both"/>
              <w:rPr>
                <w:iCs/>
              </w:rPr>
            </w:pPr>
            <w:r w:rsidRPr="00ED7893">
              <w:t>Citas starptautiskās saistības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2982" w14:textId="77777777" w:rsidR="00F44154" w:rsidRPr="00ED7893" w:rsidRDefault="00F44154" w:rsidP="00F44154">
            <w:pPr>
              <w:pStyle w:val="naiskr"/>
              <w:tabs>
                <w:tab w:val="left" w:pos="2628"/>
              </w:tabs>
              <w:spacing w:before="0" w:after="0"/>
              <w:ind w:right="-99"/>
              <w:jc w:val="both"/>
              <w:rPr>
                <w:iCs/>
              </w:rPr>
            </w:pPr>
            <w:r w:rsidRPr="00ED7893">
              <w:t>Projekts šo jomu neskar.</w:t>
            </w:r>
          </w:p>
        </w:tc>
      </w:tr>
      <w:tr w:rsidR="00F44154" w:rsidRPr="00ED7893" w14:paraId="27EF0AF8" w14:textId="77777777" w:rsidTr="00C947B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02FD" w14:textId="77777777" w:rsidR="00F44154" w:rsidRPr="00ED7893" w:rsidRDefault="00F44154" w:rsidP="00F44154">
            <w:pPr>
              <w:pStyle w:val="naiskr"/>
              <w:tabs>
                <w:tab w:val="left" w:pos="2628"/>
              </w:tabs>
              <w:spacing w:before="0" w:after="0"/>
              <w:ind w:right="-99"/>
              <w:jc w:val="both"/>
              <w:rPr>
                <w:iCs/>
              </w:rPr>
            </w:pPr>
            <w:r w:rsidRPr="00ED7893">
              <w:rPr>
                <w:iCs/>
              </w:rPr>
              <w:t>3.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7968" w14:textId="77777777" w:rsidR="00F44154" w:rsidRPr="00ED7893" w:rsidRDefault="00F44154" w:rsidP="00F44154">
            <w:pPr>
              <w:pStyle w:val="naiskr"/>
              <w:tabs>
                <w:tab w:val="left" w:pos="2628"/>
              </w:tabs>
              <w:spacing w:before="0" w:after="0"/>
              <w:ind w:right="-99"/>
              <w:jc w:val="both"/>
            </w:pPr>
            <w:r w:rsidRPr="00ED7893">
              <w:t>Cita informācija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7EC" w14:textId="77777777" w:rsidR="00F44154" w:rsidRPr="00ED7893" w:rsidRDefault="00F44154" w:rsidP="00F44154">
            <w:pPr>
              <w:pStyle w:val="naiskr"/>
              <w:tabs>
                <w:tab w:val="left" w:pos="2628"/>
              </w:tabs>
              <w:spacing w:before="0" w:after="0"/>
              <w:ind w:right="-99"/>
              <w:jc w:val="both"/>
              <w:rPr>
                <w:iCs/>
              </w:rPr>
            </w:pPr>
            <w:r w:rsidRPr="00ED7893">
              <w:rPr>
                <w:iCs/>
              </w:rPr>
              <w:t>Nav</w:t>
            </w:r>
          </w:p>
        </w:tc>
      </w:tr>
    </w:tbl>
    <w:p w14:paraId="18848498" w14:textId="77777777" w:rsidR="0087538B" w:rsidRPr="00ED7893" w:rsidRDefault="0087538B" w:rsidP="0087538B">
      <w:pPr>
        <w:pStyle w:val="naisf"/>
        <w:spacing w:before="0" w:after="0"/>
        <w:ind w:right="-99"/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1984"/>
        <w:gridCol w:w="1701"/>
        <w:gridCol w:w="2268"/>
      </w:tblGrid>
      <w:tr w:rsidR="0087538B" w:rsidRPr="00ED7893" w14:paraId="2EBCC70A" w14:textId="77777777" w:rsidTr="008C3A65">
        <w:trPr>
          <w:trHeight w:val="523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6D0C" w14:textId="77777777" w:rsidR="0087538B" w:rsidRPr="00ED7893" w:rsidRDefault="0087538B" w:rsidP="008C3A65">
            <w:pPr>
              <w:pStyle w:val="naisnod"/>
              <w:spacing w:before="0" w:after="0"/>
              <w:ind w:right="-99"/>
            </w:pPr>
            <w:r w:rsidRPr="00ED7893">
              <w:t xml:space="preserve">1.tabula </w:t>
            </w:r>
          </w:p>
          <w:p w14:paraId="4C67372E" w14:textId="77777777" w:rsidR="0087538B" w:rsidRPr="00ED7893" w:rsidRDefault="0087538B" w:rsidP="008C3A65">
            <w:pPr>
              <w:pStyle w:val="naisnod"/>
              <w:spacing w:before="0" w:after="0"/>
              <w:ind w:right="-99"/>
              <w:rPr>
                <w:i/>
              </w:rPr>
            </w:pPr>
            <w:r w:rsidRPr="00ED7893">
              <w:t>Tiesību akta projekta atbilstība ES tiesību aktiem</w:t>
            </w:r>
          </w:p>
        </w:tc>
      </w:tr>
      <w:tr w:rsidR="0087538B" w:rsidRPr="00ED7893" w14:paraId="17B4C9E7" w14:textId="77777777" w:rsidTr="008C3A65">
        <w:trPr>
          <w:trHeight w:val="163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09E" w14:textId="77777777" w:rsidR="0087538B" w:rsidRPr="00ED7893" w:rsidRDefault="0087538B" w:rsidP="008C3A65">
            <w:pPr>
              <w:pStyle w:val="naiskr"/>
              <w:spacing w:before="0" w:after="0"/>
              <w:ind w:right="-99"/>
              <w:rPr>
                <w:i/>
              </w:rPr>
            </w:pPr>
          </w:p>
        </w:tc>
      </w:tr>
      <w:tr w:rsidR="00E22AF6" w:rsidRPr="00ED7893" w14:paraId="1046F43C" w14:textId="77777777" w:rsidTr="008C3A65">
        <w:trPr>
          <w:trHeight w:val="163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67DB" w14:textId="2DA0D173" w:rsidR="00E22AF6" w:rsidRPr="00ED7893" w:rsidRDefault="00221D77" w:rsidP="008C3A65">
            <w:pPr>
              <w:pStyle w:val="naiskr"/>
              <w:spacing w:before="0" w:after="0"/>
              <w:ind w:right="-99"/>
              <w:rPr>
                <w:i/>
              </w:rPr>
            </w:pPr>
            <w:r w:rsidRPr="006546D8">
              <w:t>Komisijas Direktīva (ES) 2019/1922 (2019. gada 18. novembris), ar ko nolūkā pielāgot zinātnes un tehnikas attīstībai attiecībā uz alumīniju groza Eiropas Parlamenta un Padomes Direktīvas 2009/48/EK par rotaļlietu drošumu II pielikuma III daļas 13. punktu</w:t>
            </w:r>
          </w:p>
        </w:tc>
      </w:tr>
      <w:tr w:rsidR="0087538B" w:rsidRPr="00ED7893" w14:paraId="4CCB6C19" w14:textId="77777777" w:rsidTr="004F546E">
        <w:trPr>
          <w:trHeight w:val="165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53B4" w14:textId="77777777" w:rsidR="0087538B" w:rsidRPr="00ED7893" w:rsidRDefault="0087538B" w:rsidP="008C3A65">
            <w:pPr>
              <w:pStyle w:val="naiskr"/>
              <w:spacing w:before="0" w:after="0"/>
              <w:ind w:right="-99"/>
              <w:jc w:val="center"/>
            </w:pPr>
            <w:r w:rsidRPr="00ED7893"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D2D1" w14:textId="77777777" w:rsidR="0087538B" w:rsidRPr="00ED7893" w:rsidRDefault="0087538B" w:rsidP="008C3A65">
            <w:pPr>
              <w:pStyle w:val="naiskr"/>
              <w:spacing w:before="0" w:after="0"/>
              <w:ind w:right="-99"/>
              <w:jc w:val="center"/>
            </w:pPr>
            <w:r w:rsidRPr="00ED7893"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7F22" w14:textId="77777777" w:rsidR="0087538B" w:rsidRPr="00ED7893" w:rsidRDefault="0087538B" w:rsidP="008C3A65">
            <w:pPr>
              <w:pStyle w:val="naiskr"/>
              <w:spacing w:before="0" w:after="0"/>
              <w:ind w:right="-99"/>
              <w:jc w:val="center"/>
            </w:pPr>
            <w:r w:rsidRPr="00ED7893"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01B6" w14:textId="77777777" w:rsidR="0087538B" w:rsidRPr="00ED7893" w:rsidRDefault="0087538B" w:rsidP="008C3A65">
            <w:pPr>
              <w:pStyle w:val="naiskr"/>
              <w:spacing w:before="0" w:after="0"/>
              <w:ind w:right="-99"/>
              <w:jc w:val="center"/>
            </w:pPr>
            <w:r w:rsidRPr="00ED7893">
              <w:t>D</w:t>
            </w:r>
          </w:p>
        </w:tc>
      </w:tr>
      <w:tr w:rsidR="0087538B" w:rsidRPr="00ED7893" w14:paraId="672AA1BE" w14:textId="77777777" w:rsidTr="004F546E">
        <w:trPr>
          <w:trHeight w:val="55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1C6" w14:textId="77777777" w:rsidR="0087538B" w:rsidRPr="00ED7893" w:rsidRDefault="00E22AF6" w:rsidP="008C3A65">
            <w:pPr>
              <w:pStyle w:val="naiskr"/>
              <w:spacing w:before="0" w:after="0"/>
            </w:pPr>
            <w:r w:rsidRPr="00ED7893">
              <w:t>1. pants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8D6" w14:textId="1AB7C375" w:rsidR="0087538B" w:rsidRPr="00ED7893" w:rsidRDefault="00761ED3" w:rsidP="003143BC">
            <w:pPr>
              <w:pStyle w:val="naiskr"/>
              <w:spacing w:before="0" w:after="0"/>
            </w:pPr>
            <w:r w:rsidRPr="00ED7893">
              <w:t>1.</w:t>
            </w:r>
            <w:r w:rsidR="00B5151E">
              <w:t>2</w:t>
            </w:r>
            <w:r w:rsidR="00E22AF6" w:rsidRPr="00ED7893">
              <w:t>. </w:t>
            </w:r>
            <w:r w:rsidRPr="00ED7893">
              <w:t>apakš</w:t>
            </w:r>
            <w:r w:rsidR="0087538B" w:rsidRPr="00ED7893">
              <w:t>punkts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6C3" w14:textId="77777777" w:rsidR="0087538B" w:rsidRPr="00ED7893" w:rsidRDefault="0087538B" w:rsidP="00D25C49">
            <w:pPr>
              <w:pStyle w:val="naiskr"/>
              <w:spacing w:before="0" w:after="0"/>
            </w:pPr>
            <w:r w:rsidRPr="00ED7893">
              <w:t>Ieviests pilnībā.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9BC4" w14:textId="77777777" w:rsidR="0087538B" w:rsidRPr="00ED7893" w:rsidRDefault="0087538B" w:rsidP="008C3A65">
            <w:pPr>
              <w:pStyle w:val="naiskr"/>
              <w:spacing w:before="0" w:after="0"/>
            </w:pPr>
            <w:r w:rsidRPr="00ED7893">
              <w:t>Stingrākas prasības nav paredzētas.</w:t>
            </w:r>
          </w:p>
        </w:tc>
      </w:tr>
      <w:tr w:rsidR="0087538B" w:rsidRPr="00ED7893" w14:paraId="6C634ED6" w14:textId="77777777" w:rsidTr="004F546E">
        <w:trPr>
          <w:trHeight w:val="55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375" w14:textId="77777777" w:rsidR="0087538B" w:rsidRPr="00ED7893" w:rsidRDefault="00E22AF6" w:rsidP="008C3A65">
            <w:pPr>
              <w:pStyle w:val="naiskr"/>
              <w:spacing w:before="0" w:after="0"/>
            </w:pPr>
            <w:r w:rsidRPr="00ED7893">
              <w:t>2. panta 1</w:t>
            </w:r>
            <w:r w:rsidR="0087538B" w:rsidRPr="00ED7893">
              <w:t>.</w:t>
            </w:r>
            <w:r w:rsidRPr="00ED7893">
              <w:t> </w:t>
            </w:r>
            <w:r w:rsidR="0087538B" w:rsidRPr="00ED7893">
              <w:t>punkts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CC0" w14:textId="3DF425E5" w:rsidR="0087538B" w:rsidRPr="00ED7893" w:rsidRDefault="006732D3" w:rsidP="003143BC">
            <w:pPr>
              <w:pStyle w:val="naiskr"/>
              <w:spacing w:before="0" w:after="0"/>
            </w:pPr>
            <w:r w:rsidRPr="00ED7893">
              <w:t>1.</w:t>
            </w:r>
            <w:r w:rsidR="00247C05" w:rsidRPr="00ED7893">
              <w:t>2</w:t>
            </w:r>
            <w:r w:rsidRPr="00ED7893">
              <w:t xml:space="preserve">. apakšpunkts un </w:t>
            </w:r>
            <w:r w:rsidR="00B5151E">
              <w:t>2</w:t>
            </w:r>
            <w:r w:rsidR="00E22AF6" w:rsidRPr="00ED7893">
              <w:t>. punkts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526" w14:textId="77777777" w:rsidR="0087538B" w:rsidRPr="00ED7893" w:rsidRDefault="0087538B" w:rsidP="00D25C49">
            <w:pPr>
              <w:pStyle w:val="naiskr"/>
              <w:spacing w:before="0" w:after="0"/>
            </w:pPr>
            <w:r w:rsidRPr="00ED7893">
              <w:t>Ieviests pilnībā.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FCA6" w14:textId="77777777" w:rsidR="0087538B" w:rsidRPr="00ED7893" w:rsidRDefault="0087538B" w:rsidP="008C3A65">
            <w:pPr>
              <w:pStyle w:val="naiskr"/>
              <w:spacing w:before="0" w:after="0"/>
            </w:pPr>
            <w:r w:rsidRPr="00ED7893">
              <w:t>Stingrākas prasības nav paredzētas.</w:t>
            </w:r>
          </w:p>
        </w:tc>
      </w:tr>
      <w:tr w:rsidR="00E22AF6" w:rsidRPr="00ED7893" w14:paraId="42D07845" w14:textId="77777777" w:rsidTr="00F90BF8">
        <w:trPr>
          <w:trHeight w:val="552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47BA" w14:textId="77777777" w:rsidR="00E22AF6" w:rsidRPr="00ED7893" w:rsidRDefault="00E22AF6" w:rsidP="008C3A65">
            <w:pPr>
              <w:pStyle w:val="naiskr"/>
              <w:spacing w:before="0" w:after="0"/>
            </w:pPr>
          </w:p>
        </w:tc>
      </w:tr>
      <w:tr w:rsidR="00E22AF6" w:rsidRPr="00ED7893" w14:paraId="4C160607" w14:textId="77777777" w:rsidTr="00F90BF8">
        <w:trPr>
          <w:trHeight w:val="552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D6C4" w14:textId="4DE34C76" w:rsidR="00E22AF6" w:rsidRPr="00ED7893" w:rsidRDefault="00221D77" w:rsidP="008C3A65">
            <w:pPr>
              <w:pStyle w:val="naiskr"/>
              <w:spacing w:before="0" w:after="0"/>
            </w:pPr>
            <w:r w:rsidRPr="006546D8">
              <w:t>Komisijas Direktīva (ES) 2019/1929 (2019. gada 19. novembris), ar ko attiecībā uz formaldehīdu groza Eiropas Parlamenta un Padomes Direktīvas 2009/48/EK II pielikuma C papildinājumu, lai pieņemtu īpašas robežvērtības ķīmiskām vielām, kas izmantotas noteiktās rotaļlietās</w:t>
            </w:r>
          </w:p>
        </w:tc>
      </w:tr>
      <w:tr w:rsidR="00E22AF6" w:rsidRPr="00ED7893" w14:paraId="337C037A" w14:textId="77777777" w:rsidTr="006A7FB3">
        <w:trPr>
          <w:trHeight w:val="55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18CF" w14:textId="77777777" w:rsidR="00E22AF6" w:rsidRPr="00ED7893" w:rsidRDefault="00E22AF6" w:rsidP="00E22AF6">
            <w:pPr>
              <w:pStyle w:val="naiskr"/>
              <w:spacing w:before="0" w:after="0"/>
              <w:ind w:right="-99"/>
              <w:jc w:val="center"/>
            </w:pPr>
            <w:r w:rsidRPr="00ED7893"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5DA4" w14:textId="77777777" w:rsidR="00E22AF6" w:rsidRPr="00ED7893" w:rsidRDefault="00E22AF6" w:rsidP="00E22AF6">
            <w:pPr>
              <w:pStyle w:val="naiskr"/>
              <w:spacing w:before="0" w:after="0"/>
              <w:ind w:right="-99"/>
              <w:jc w:val="center"/>
            </w:pPr>
            <w:r w:rsidRPr="00ED7893"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4F5F" w14:textId="77777777" w:rsidR="00E22AF6" w:rsidRPr="00ED7893" w:rsidRDefault="00E22AF6" w:rsidP="00E22AF6">
            <w:pPr>
              <w:pStyle w:val="naiskr"/>
              <w:spacing w:before="0" w:after="0"/>
              <w:ind w:right="-99"/>
              <w:jc w:val="center"/>
            </w:pPr>
            <w:r w:rsidRPr="00ED7893"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AD7B" w14:textId="77777777" w:rsidR="00E22AF6" w:rsidRPr="00ED7893" w:rsidRDefault="00E22AF6" w:rsidP="00E22AF6">
            <w:pPr>
              <w:pStyle w:val="naiskr"/>
              <w:spacing w:before="0" w:after="0"/>
              <w:ind w:right="-99"/>
              <w:jc w:val="center"/>
            </w:pPr>
            <w:r w:rsidRPr="00ED7893">
              <w:t>D</w:t>
            </w:r>
          </w:p>
        </w:tc>
      </w:tr>
      <w:tr w:rsidR="00081546" w:rsidRPr="00ED7893" w14:paraId="16CA9894" w14:textId="77777777" w:rsidTr="004F546E">
        <w:trPr>
          <w:trHeight w:val="55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3736" w14:textId="77777777" w:rsidR="00081546" w:rsidRPr="00ED7893" w:rsidRDefault="00081546" w:rsidP="00081546">
            <w:pPr>
              <w:pStyle w:val="naiskr"/>
              <w:spacing w:before="0" w:after="0"/>
            </w:pPr>
            <w:r w:rsidRPr="00ED7893">
              <w:lastRenderedPageBreak/>
              <w:t>1. pants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EEE" w14:textId="4AC6279E" w:rsidR="00081546" w:rsidRPr="00ED7893" w:rsidRDefault="006732D3" w:rsidP="00081546">
            <w:pPr>
              <w:pStyle w:val="naiskr"/>
              <w:spacing w:before="0" w:after="0"/>
            </w:pPr>
            <w:r w:rsidRPr="00ED7893">
              <w:t>1.</w:t>
            </w:r>
            <w:r w:rsidR="00247C05" w:rsidRPr="00ED7893">
              <w:t>3</w:t>
            </w:r>
            <w:r w:rsidR="00081546" w:rsidRPr="00ED7893">
              <w:t>. </w:t>
            </w:r>
            <w:r w:rsidRPr="00ED7893">
              <w:t>apakš</w:t>
            </w:r>
            <w:r w:rsidR="00081546" w:rsidRPr="00ED7893">
              <w:t>punkts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F1E9" w14:textId="77777777" w:rsidR="00081546" w:rsidRPr="00ED7893" w:rsidRDefault="00081546" w:rsidP="00081546">
            <w:pPr>
              <w:pStyle w:val="naiskr"/>
              <w:spacing w:before="0" w:after="0"/>
            </w:pPr>
            <w:r w:rsidRPr="00ED7893">
              <w:t>Ieviests pilnībā.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3C21" w14:textId="77777777" w:rsidR="00081546" w:rsidRPr="00ED7893" w:rsidRDefault="00081546" w:rsidP="00081546">
            <w:pPr>
              <w:pStyle w:val="naiskr"/>
              <w:spacing w:before="0" w:after="0"/>
            </w:pPr>
            <w:r w:rsidRPr="00ED7893">
              <w:t>Stingrākas prasības nav paredzētas.</w:t>
            </w:r>
          </w:p>
        </w:tc>
      </w:tr>
      <w:tr w:rsidR="00081546" w:rsidRPr="00ED7893" w14:paraId="06C73B3B" w14:textId="77777777" w:rsidTr="004F546E">
        <w:trPr>
          <w:trHeight w:val="55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064" w14:textId="77777777" w:rsidR="00081546" w:rsidRPr="00ED7893" w:rsidRDefault="00081546" w:rsidP="00081546">
            <w:pPr>
              <w:pStyle w:val="naiskr"/>
              <w:spacing w:before="0" w:after="0"/>
            </w:pPr>
            <w:r w:rsidRPr="00ED7893">
              <w:t>2. panta 1. punkts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693D" w14:textId="65BF15EE" w:rsidR="00081546" w:rsidRPr="00ED7893" w:rsidRDefault="006732D3" w:rsidP="00081546">
            <w:pPr>
              <w:pStyle w:val="naiskr"/>
              <w:spacing w:before="0" w:after="0"/>
            </w:pPr>
            <w:r w:rsidRPr="00ED7893">
              <w:t>1.</w:t>
            </w:r>
            <w:r w:rsidR="00BE031A">
              <w:t>3</w:t>
            </w:r>
            <w:r w:rsidR="00081546" w:rsidRPr="00ED7893">
              <w:t>.</w:t>
            </w:r>
            <w:r w:rsidRPr="00ED7893">
              <w:t xml:space="preserve"> apakšpunkts un </w:t>
            </w:r>
            <w:r w:rsidR="00BE031A">
              <w:t>3</w:t>
            </w:r>
            <w:r w:rsidR="00081546" w:rsidRPr="00ED7893">
              <w:t>. punkts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F4D8" w14:textId="77777777" w:rsidR="00081546" w:rsidRPr="00ED7893" w:rsidRDefault="00081546" w:rsidP="00081546">
            <w:pPr>
              <w:pStyle w:val="naiskr"/>
              <w:spacing w:before="0" w:after="0"/>
            </w:pPr>
            <w:r w:rsidRPr="00ED7893">
              <w:t>Ieviests pilnībā.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856" w14:textId="77777777" w:rsidR="00081546" w:rsidRPr="00ED7893" w:rsidRDefault="00081546" w:rsidP="00081546">
            <w:pPr>
              <w:pStyle w:val="naiskr"/>
              <w:spacing w:before="0" w:after="0"/>
            </w:pPr>
            <w:r w:rsidRPr="00ED7893">
              <w:t>Stingrākas prasības nav paredzētas.</w:t>
            </w:r>
          </w:p>
        </w:tc>
      </w:tr>
      <w:tr w:rsidR="00081546" w:rsidRPr="00ED7893" w14:paraId="10A6A666" w14:textId="77777777" w:rsidTr="00200F4F">
        <w:trPr>
          <w:trHeight w:val="552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DB3" w14:textId="77777777" w:rsidR="00081546" w:rsidRPr="00ED7893" w:rsidRDefault="00081546" w:rsidP="008C3A65">
            <w:pPr>
              <w:pStyle w:val="naiskr"/>
              <w:spacing w:before="0" w:after="0"/>
            </w:pPr>
          </w:p>
        </w:tc>
      </w:tr>
      <w:tr w:rsidR="0087538B" w:rsidRPr="00ED7893" w14:paraId="58D9ECEE" w14:textId="77777777" w:rsidTr="003143BC">
        <w:trPr>
          <w:trHeight w:val="28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5A7E" w14:textId="77777777" w:rsidR="0087538B" w:rsidRPr="00ED7893" w:rsidRDefault="0087538B" w:rsidP="008C3A65">
            <w:pPr>
              <w:pStyle w:val="naiskr"/>
              <w:spacing w:before="0" w:after="0"/>
              <w:ind w:right="-99"/>
            </w:pPr>
            <w:r w:rsidRPr="00ED7893">
              <w:t>Kā ir izmantota ES tiesību aktā paredzētā rīcības brīvība dalībvalstij pārņemt vai ieviest noteiktas ES tiesību akta normas.</w:t>
            </w:r>
          </w:p>
          <w:p w14:paraId="6C3B8073" w14:textId="77777777" w:rsidR="0087538B" w:rsidRPr="00ED7893" w:rsidRDefault="0087538B" w:rsidP="008C3A65">
            <w:pPr>
              <w:pStyle w:val="naiskr"/>
              <w:spacing w:before="0" w:after="0"/>
              <w:ind w:right="-99"/>
            </w:pPr>
            <w:r w:rsidRPr="00ED7893">
              <w:t>Kādēļ?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B34A" w14:textId="4E9AB3D6" w:rsidR="0087538B" w:rsidRPr="00ED7893" w:rsidRDefault="0087538B" w:rsidP="008C3A65">
            <w:pPr>
              <w:pStyle w:val="naiskr"/>
              <w:spacing w:before="0" w:after="0"/>
              <w:ind w:right="-99"/>
            </w:pPr>
            <w:r w:rsidRPr="00ED7893">
              <w:rPr>
                <w:iCs/>
              </w:rPr>
              <w:t>Noteikumu pr</w:t>
            </w:r>
            <w:r w:rsidR="00FF227F" w:rsidRPr="00ED7893">
              <w:rPr>
                <w:iCs/>
              </w:rPr>
              <w:t>ojektā iekļautās ES tiesību aktu</w:t>
            </w:r>
            <w:r w:rsidRPr="00ED7893">
              <w:rPr>
                <w:iCs/>
              </w:rPr>
              <w:t xml:space="preserve"> normas neparedz rīcības brīvību dalībvalstīm.</w:t>
            </w:r>
          </w:p>
        </w:tc>
      </w:tr>
      <w:tr w:rsidR="0087538B" w:rsidRPr="00ED7893" w14:paraId="5A857D04" w14:textId="77777777" w:rsidTr="003143BC">
        <w:trPr>
          <w:trHeight w:val="91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5881" w14:textId="77777777" w:rsidR="0087538B" w:rsidRPr="00ED7893" w:rsidRDefault="0087538B" w:rsidP="00A15AAB">
            <w:pPr>
              <w:pStyle w:val="naiskr"/>
              <w:spacing w:before="0" w:after="0"/>
              <w:ind w:right="32"/>
              <w:rPr>
                <w:i/>
              </w:rPr>
            </w:pPr>
            <w:r w:rsidRPr="00ED7893">
              <w:t>Saistības sniegt paziņojumu ES institūcijām un ES dalībvalstīm atbilstoši normatīvajiem aktiem, kas regulē informācijas sniegšanu par tehnisko noteikumu, valsts atbalsta piešķiršanas un finanšu noteikumu (attiecībā uz monetāro politiku) projektiem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11DF" w14:textId="77777777" w:rsidR="0087538B" w:rsidRPr="00ED7893" w:rsidRDefault="00081546" w:rsidP="008C3A65">
            <w:pPr>
              <w:pStyle w:val="naiskr"/>
              <w:spacing w:before="0" w:after="0"/>
              <w:ind w:right="-99"/>
            </w:pPr>
            <w:r w:rsidRPr="00ED7893">
              <w:t>Noteikumu p</w:t>
            </w:r>
            <w:r w:rsidR="009A0AF4" w:rsidRPr="00ED7893">
              <w:t>rojekts šo jomu neskar.</w:t>
            </w:r>
          </w:p>
        </w:tc>
      </w:tr>
      <w:tr w:rsidR="0087538B" w:rsidRPr="00ED7893" w14:paraId="55D37312" w14:textId="77777777" w:rsidTr="003143BC">
        <w:trPr>
          <w:trHeight w:val="38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D699" w14:textId="77777777" w:rsidR="0087538B" w:rsidRPr="00ED7893" w:rsidRDefault="0087538B" w:rsidP="008C3A65">
            <w:pPr>
              <w:pStyle w:val="naiskr"/>
              <w:spacing w:before="0" w:after="0"/>
              <w:ind w:right="-99"/>
            </w:pPr>
            <w:r w:rsidRPr="00ED7893">
              <w:t>Cita informācija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84BF" w14:textId="77777777" w:rsidR="0087538B" w:rsidRPr="00ED7893" w:rsidRDefault="0087538B" w:rsidP="008C3A65">
            <w:pPr>
              <w:pStyle w:val="naiskr"/>
              <w:spacing w:before="0" w:after="0"/>
              <w:ind w:right="-99"/>
              <w:jc w:val="both"/>
              <w:rPr>
                <w:i/>
              </w:rPr>
            </w:pPr>
            <w:r w:rsidRPr="00ED7893">
              <w:t>Nav</w:t>
            </w:r>
            <w:r w:rsidR="005E7214" w:rsidRPr="00ED7893">
              <w:t>.</w:t>
            </w:r>
          </w:p>
        </w:tc>
      </w:tr>
    </w:tbl>
    <w:p w14:paraId="2BF251A8" w14:textId="77777777" w:rsidR="0087538B" w:rsidRPr="00ED7893" w:rsidRDefault="0087538B" w:rsidP="0087538B">
      <w:pPr>
        <w:pStyle w:val="naisf"/>
        <w:spacing w:before="0" w:after="0"/>
        <w:ind w:right="-99"/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695"/>
        <w:gridCol w:w="5988"/>
      </w:tblGrid>
      <w:tr w:rsidR="00A15AAB" w:rsidRPr="00ED7893" w14:paraId="7C246FD4" w14:textId="77777777" w:rsidTr="00783A29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364E3" w14:textId="77777777" w:rsidR="00A15AAB" w:rsidRPr="00ED7893" w:rsidRDefault="00A15AAB" w:rsidP="008C3A65">
            <w:pPr>
              <w:spacing w:before="63" w:after="63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4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21D8C" w14:textId="77777777" w:rsidR="00A15AAB" w:rsidRPr="00ED7893" w:rsidRDefault="00A15AAB" w:rsidP="008C3A65">
            <w:pPr>
              <w:spacing w:before="63" w:after="63"/>
              <w:jc w:val="center"/>
              <w:rPr>
                <w:lang w:eastAsia="lv-LV"/>
              </w:rPr>
            </w:pPr>
            <w:r w:rsidRPr="00ED7893">
              <w:rPr>
                <w:b/>
                <w:bCs/>
                <w:lang w:eastAsia="lv-LV"/>
              </w:rPr>
              <w:t xml:space="preserve"> VI. </w:t>
            </w:r>
            <w:r w:rsidR="006D1150" w:rsidRPr="00ED7893">
              <w:rPr>
                <w:b/>
                <w:bCs/>
                <w:iCs/>
                <w:lang w:eastAsia="lv-LV"/>
              </w:rPr>
              <w:t>Sabiedrības līdzdalība un komunikācijas aktivitātes</w:t>
            </w:r>
          </w:p>
        </w:tc>
      </w:tr>
      <w:tr w:rsidR="006D1150" w:rsidRPr="00ED7893" w14:paraId="2936243A" w14:textId="77777777" w:rsidTr="00783A29">
        <w:trPr>
          <w:trHeight w:val="553"/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30E7B" w14:textId="77777777" w:rsidR="006D1150" w:rsidRPr="00ED7893" w:rsidRDefault="006D1150" w:rsidP="006D1150">
            <w:pPr>
              <w:spacing w:before="63" w:after="63"/>
              <w:rPr>
                <w:lang w:eastAsia="lv-LV"/>
              </w:rPr>
            </w:pPr>
            <w:r w:rsidRPr="00ED7893">
              <w:rPr>
                <w:lang w:eastAsia="lv-LV"/>
              </w:rPr>
              <w:t>1.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F3EE7" w14:textId="77777777" w:rsidR="006D1150" w:rsidRPr="00ED7893" w:rsidRDefault="006D1150" w:rsidP="006D1150">
            <w:pPr>
              <w:rPr>
                <w:iCs/>
                <w:color w:val="auto"/>
                <w:lang w:eastAsia="lv-LV"/>
              </w:rPr>
            </w:pPr>
            <w:r w:rsidRPr="00ED7893">
              <w:rPr>
                <w:iCs/>
                <w:color w:val="auto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54A43" w14:textId="67905B58" w:rsidR="002E0DC1" w:rsidRPr="002E0DC1" w:rsidRDefault="002E0DC1" w:rsidP="002E0DC1">
            <w:pPr>
              <w:pStyle w:val="naiskr"/>
              <w:ind w:left="57"/>
              <w:rPr>
                <w:bCs/>
                <w:iCs/>
              </w:rPr>
            </w:pPr>
            <w:r w:rsidRPr="00883926">
              <w:rPr>
                <w:bCs/>
              </w:rPr>
              <w:t>S</w:t>
            </w:r>
            <w:r w:rsidRPr="00883926">
              <w:rPr>
                <w:bCs/>
                <w:iCs/>
              </w:rPr>
              <w:t xml:space="preserve">abiedrības informēšana un līdzdalība </w:t>
            </w:r>
            <w:r>
              <w:rPr>
                <w:bCs/>
                <w:iCs/>
              </w:rPr>
              <w:t>N</w:t>
            </w:r>
            <w:r w:rsidRPr="00883926">
              <w:rPr>
                <w:bCs/>
                <w:iCs/>
              </w:rPr>
              <w:t>oteikumu projekta izstrādē tiks nodrošināta</w:t>
            </w:r>
            <w:r>
              <w:rPr>
                <w:bCs/>
                <w:iCs/>
              </w:rPr>
              <w:t xml:space="preserve">, </w:t>
            </w:r>
            <w:r w:rsidRPr="00883926">
              <w:rPr>
                <w:bCs/>
              </w:rPr>
              <w:t>publicējot to Ekonomikas ministrijas mājaslapā</w:t>
            </w:r>
            <w:r>
              <w:rPr>
                <w:bCs/>
              </w:rPr>
              <w:t>.</w:t>
            </w:r>
          </w:p>
          <w:p w14:paraId="570D02ED" w14:textId="7B01E4D1" w:rsidR="006D1150" w:rsidRPr="002E0DC1" w:rsidRDefault="006D1150" w:rsidP="00F7226F">
            <w:pPr>
              <w:pStyle w:val="Apakvirsraksts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D1150" w:rsidRPr="00ED7893" w14:paraId="3E296227" w14:textId="77777777" w:rsidTr="00783A29">
        <w:trPr>
          <w:trHeight w:val="339"/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88EA7" w14:textId="77777777" w:rsidR="006D1150" w:rsidRPr="00ED7893" w:rsidRDefault="006D1150" w:rsidP="006D1150">
            <w:pPr>
              <w:spacing w:before="63" w:after="63"/>
              <w:rPr>
                <w:lang w:eastAsia="lv-LV"/>
              </w:rPr>
            </w:pPr>
            <w:r w:rsidRPr="00ED7893">
              <w:rPr>
                <w:lang w:eastAsia="lv-LV"/>
              </w:rPr>
              <w:t>2.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55E61" w14:textId="77777777" w:rsidR="006D1150" w:rsidRPr="00ED7893" w:rsidRDefault="006D1150" w:rsidP="006D1150">
            <w:pPr>
              <w:rPr>
                <w:iCs/>
                <w:color w:val="auto"/>
                <w:lang w:eastAsia="lv-LV"/>
              </w:rPr>
            </w:pPr>
            <w:r w:rsidRPr="00ED7893">
              <w:rPr>
                <w:iCs/>
                <w:color w:val="auto"/>
                <w:lang w:eastAsia="lv-LV"/>
              </w:rPr>
              <w:t>Sabiedrības līdzdalība projekta izstrādē</w:t>
            </w:r>
          </w:p>
        </w:tc>
        <w:tc>
          <w:tcPr>
            <w:tcW w:w="3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6EFAF" w14:textId="062CBB04" w:rsidR="002E0DC1" w:rsidRDefault="002E0DC1" w:rsidP="002E0DC1">
            <w:pPr>
              <w:pStyle w:val="naiskr"/>
              <w:spacing w:before="0" w:after="0"/>
              <w:ind w:right="57"/>
              <w:jc w:val="both"/>
            </w:pPr>
            <w:r>
              <w:t xml:space="preserve">Noteikumu projekts no 2020. gada </w:t>
            </w:r>
            <w:r w:rsidR="002947FA">
              <w:t>5</w:t>
            </w:r>
            <w:r w:rsidRPr="008A3121">
              <w:t>.</w:t>
            </w:r>
            <w:r>
              <w:t> </w:t>
            </w:r>
            <w:r w:rsidR="002947FA">
              <w:t>novemb</w:t>
            </w:r>
            <w:r>
              <w:t>ra</w:t>
            </w:r>
            <w:r w:rsidRPr="009B45E5">
              <w:t xml:space="preserve"> </w:t>
            </w:r>
            <w:r>
              <w:t xml:space="preserve">ir pieejams </w:t>
            </w:r>
            <w:r w:rsidRPr="002978CF">
              <w:t>Ekonomikas ministrijas mājaslap</w:t>
            </w:r>
            <w:r>
              <w:t>as sadaļā “Sabiedrības līdzdalība</w:t>
            </w:r>
          </w:p>
          <w:p w14:paraId="7EA2948A" w14:textId="50C41616" w:rsidR="006D1150" w:rsidRPr="00ED7893" w:rsidRDefault="00233F25" w:rsidP="002E0DC1">
            <w:pPr>
              <w:spacing w:before="63" w:after="63"/>
              <w:jc w:val="both"/>
              <w:rPr>
                <w:lang w:eastAsia="lv-LV"/>
              </w:rPr>
            </w:pPr>
            <w:r>
              <w:rPr>
                <w:color w:val="201F1E"/>
                <w:shd w:val="clear" w:color="auto" w:fill="FFFFFF"/>
              </w:rPr>
              <w:t> </w:t>
            </w:r>
            <w:hyperlink r:id="rId8" w:tgtFrame="_blank" w:history="1">
              <w:r>
                <w:rPr>
                  <w:rStyle w:val="Hipersaite"/>
                  <w:color w:val="0563C1"/>
                  <w:bdr w:val="none" w:sz="0" w:space="0" w:color="auto" w:frame="1"/>
                  <w:shd w:val="clear" w:color="auto" w:fill="FFFFFF"/>
                </w:rPr>
                <w:t>https://ww</w:t>
              </w:r>
              <w:r>
                <w:rPr>
                  <w:rStyle w:val="Hipersaite"/>
                  <w:color w:val="0563C1"/>
                  <w:bdr w:val="none" w:sz="0" w:space="0" w:color="auto" w:frame="1"/>
                  <w:shd w:val="clear" w:color="auto" w:fill="FFFFFF"/>
                </w:rPr>
                <w:t>w</w:t>
              </w:r>
              <w:r>
                <w:rPr>
                  <w:rStyle w:val="Hipersaite"/>
                  <w:color w:val="0563C1"/>
                  <w:bdr w:val="none" w:sz="0" w:space="0" w:color="auto" w:frame="1"/>
                  <w:shd w:val="clear" w:color="auto" w:fill="FFFFFF"/>
                </w:rPr>
                <w:t>.em.gov.lv/lv/Ministrija/sabiedribas_lidzdaliba/diskusiju_dokumenti/</w:t>
              </w:r>
            </w:hyperlink>
            <w:r w:rsidR="002E0DC1">
              <w:t xml:space="preserve">, un ieinteresētajām personām </w:t>
            </w:r>
            <w:r w:rsidR="002947FA">
              <w:t>ir</w:t>
            </w:r>
            <w:r w:rsidR="002E0DC1">
              <w:t xml:space="preserve"> iespēj</w:t>
            </w:r>
            <w:r w:rsidR="002947FA">
              <w:t>a</w:t>
            </w:r>
            <w:r w:rsidR="002E0DC1">
              <w:t xml:space="preserve"> izteikt viedokli un sniegt priekšlikumus, </w:t>
            </w:r>
            <w:proofErr w:type="gramStart"/>
            <w:r w:rsidR="002E0DC1">
              <w:t>iesniedzot tos rakstveidā</w:t>
            </w:r>
            <w:proofErr w:type="gramEnd"/>
            <w:r w:rsidR="002E0DC1">
              <w:t xml:space="preserve"> Ekonomikas ministrijai līdz 20</w:t>
            </w:r>
            <w:r w:rsidR="002947FA">
              <w:t>20</w:t>
            </w:r>
            <w:r w:rsidR="002E0DC1">
              <w:t>. gada 2</w:t>
            </w:r>
            <w:r w:rsidR="002947FA">
              <w:t>0</w:t>
            </w:r>
            <w:r w:rsidR="002E0DC1">
              <w:t>. </w:t>
            </w:r>
            <w:r w:rsidR="002947FA">
              <w:t>novemb</w:t>
            </w:r>
            <w:r w:rsidR="002E0DC1">
              <w:t>rim</w:t>
            </w:r>
            <w:r w:rsidR="005E7214" w:rsidRPr="00ED7893">
              <w:rPr>
                <w:lang w:eastAsia="lv-LV"/>
              </w:rPr>
              <w:t>.</w:t>
            </w:r>
          </w:p>
        </w:tc>
      </w:tr>
      <w:tr w:rsidR="006D1150" w:rsidRPr="00ED7893" w14:paraId="7E81D968" w14:textId="77777777" w:rsidTr="00783A29">
        <w:trPr>
          <w:trHeight w:val="375"/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73AEC" w14:textId="77777777" w:rsidR="006D1150" w:rsidRPr="00ED7893" w:rsidRDefault="006D1150" w:rsidP="006D1150">
            <w:pPr>
              <w:spacing w:before="63" w:after="63"/>
              <w:rPr>
                <w:lang w:eastAsia="lv-LV"/>
              </w:rPr>
            </w:pPr>
            <w:r w:rsidRPr="00ED7893">
              <w:rPr>
                <w:lang w:eastAsia="lv-LV"/>
              </w:rPr>
              <w:t>3.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C57E3" w14:textId="77777777" w:rsidR="006D1150" w:rsidRPr="00ED7893" w:rsidRDefault="006D1150" w:rsidP="006D1150">
            <w:pPr>
              <w:rPr>
                <w:iCs/>
                <w:color w:val="auto"/>
                <w:lang w:eastAsia="lv-LV"/>
              </w:rPr>
            </w:pPr>
            <w:r w:rsidRPr="00ED7893">
              <w:rPr>
                <w:iCs/>
                <w:color w:val="auto"/>
                <w:lang w:eastAsia="lv-LV"/>
              </w:rPr>
              <w:t>Sabiedrības līdzdalības rezultāti</w:t>
            </w:r>
          </w:p>
        </w:tc>
        <w:tc>
          <w:tcPr>
            <w:tcW w:w="3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4655F" w14:textId="77777777" w:rsidR="006D1150" w:rsidRPr="00ED7893" w:rsidRDefault="00C8342E" w:rsidP="00F7226F">
            <w:pPr>
              <w:spacing w:before="63" w:after="63"/>
              <w:jc w:val="both"/>
              <w:rPr>
                <w:lang w:eastAsia="lv-LV"/>
              </w:rPr>
            </w:pPr>
            <w:r w:rsidRPr="00ED7893">
              <w:rPr>
                <w:lang w:eastAsia="lv-LV"/>
              </w:rPr>
              <w:t>Nav.</w:t>
            </w:r>
          </w:p>
        </w:tc>
      </w:tr>
      <w:tr w:rsidR="006D1150" w:rsidRPr="00ED7893" w14:paraId="536E6EFE" w14:textId="77777777" w:rsidTr="00783A29">
        <w:trPr>
          <w:trHeight w:val="397"/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E5A33" w14:textId="77777777" w:rsidR="006D1150" w:rsidRPr="00ED7893" w:rsidRDefault="006D1150" w:rsidP="006D1150">
            <w:pPr>
              <w:spacing w:before="63" w:after="63"/>
              <w:rPr>
                <w:lang w:eastAsia="lv-LV"/>
              </w:rPr>
            </w:pPr>
            <w:r w:rsidRPr="00ED7893">
              <w:rPr>
                <w:lang w:eastAsia="lv-LV"/>
              </w:rPr>
              <w:t>4.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73443" w14:textId="77777777" w:rsidR="006D1150" w:rsidRPr="00ED7893" w:rsidRDefault="006D1150" w:rsidP="006D1150">
            <w:pPr>
              <w:rPr>
                <w:iCs/>
                <w:color w:val="auto"/>
                <w:lang w:eastAsia="lv-LV"/>
              </w:rPr>
            </w:pPr>
            <w:r w:rsidRPr="00ED7893">
              <w:rPr>
                <w:iCs/>
                <w:color w:val="auto"/>
                <w:lang w:eastAsia="lv-LV"/>
              </w:rPr>
              <w:t>Cita informācija</w:t>
            </w:r>
          </w:p>
        </w:tc>
        <w:tc>
          <w:tcPr>
            <w:tcW w:w="3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CD118" w14:textId="0D72FF99" w:rsidR="006D1150" w:rsidRPr="00ED7893" w:rsidRDefault="006D1150" w:rsidP="006D1150">
            <w:pPr>
              <w:spacing w:before="63" w:after="63"/>
              <w:rPr>
                <w:lang w:eastAsia="lv-LV"/>
              </w:rPr>
            </w:pPr>
            <w:r w:rsidRPr="00ED7893">
              <w:t>Nav.</w:t>
            </w:r>
          </w:p>
        </w:tc>
      </w:tr>
    </w:tbl>
    <w:p w14:paraId="4EA4E7FB" w14:textId="77777777" w:rsidR="0087538B" w:rsidRPr="00ED7893" w:rsidRDefault="0087538B" w:rsidP="0087538B">
      <w:pPr>
        <w:pStyle w:val="naisf"/>
        <w:spacing w:before="0" w:after="0"/>
        <w:ind w:right="-99"/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694"/>
        <w:gridCol w:w="5953"/>
      </w:tblGrid>
      <w:tr w:rsidR="0087538B" w:rsidRPr="00ED7893" w14:paraId="50425B2A" w14:textId="77777777" w:rsidTr="00D5546F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5CA1" w14:textId="77777777" w:rsidR="0087538B" w:rsidRPr="00ED7893" w:rsidRDefault="0087538B" w:rsidP="008C3A65">
            <w:pPr>
              <w:pStyle w:val="naisnod"/>
              <w:spacing w:before="0" w:after="0"/>
              <w:ind w:left="57" w:right="-99"/>
            </w:pPr>
            <w:r w:rsidRPr="00ED7893">
              <w:t>VII. Tiesību akta projekta izpildes nodrošināšana un tās ietekme uz institūcijām</w:t>
            </w:r>
          </w:p>
        </w:tc>
      </w:tr>
      <w:tr w:rsidR="0087538B" w:rsidRPr="00ED7893" w14:paraId="56984B4B" w14:textId="77777777" w:rsidTr="00C17868">
        <w:trPr>
          <w:trHeight w:val="4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2976" w14:textId="77777777" w:rsidR="0087538B" w:rsidRPr="00ED7893" w:rsidRDefault="0087538B" w:rsidP="008C3A65">
            <w:pPr>
              <w:pStyle w:val="naisnod"/>
              <w:spacing w:before="0" w:after="0"/>
              <w:ind w:left="57" w:right="-99"/>
              <w:jc w:val="left"/>
              <w:rPr>
                <w:b w:val="0"/>
              </w:rPr>
            </w:pPr>
            <w:r w:rsidRPr="00ED7893">
              <w:rPr>
                <w:b w:val="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471F" w14:textId="77777777" w:rsidR="0087538B" w:rsidRPr="00ED7893" w:rsidRDefault="0087538B" w:rsidP="008C3A65">
            <w:pPr>
              <w:pStyle w:val="naisf"/>
              <w:spacing w:before="0" w:after="0"/>
              <w:ind w:left="57" w:right="-99" w:firstLine="0"/>
              <w:jc w:val="left"/>
            </w:pPr>
            <w:r w:rsidRPr="00ED7893">
              <w:t xml:space="preserve">Projekta izpildē iesaistītās institūcijas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3DE" w14:textId="77777777" w:rsidR="0087538B" w:rsidRDefault="0087538B" w:rsidP="008C3A65">
            <w:pPr>
              <w:pStyle w:val="naisnod"/>
              <w:spacing w:before="0" w:after="0"/>
              <w:ind w:left="57"/>
              <w:jc w:val="both"/>
              <w:rPr>
                <w:b w:val="0"/>
              </w:rPr>
            </w:pPr>
            <w:r w:rsidRPr="00ED7893">
              <w:rPr>
                <w:b w:val="0"/>
              </w:rPr>
              <w:t>Projekta izpildi nodrošina Ministru kabinets, Ekonomikas ministrija, Patērēt</w:t>
            </w:r>
            <w:r w:rsidR="00461BF7" w:rsidRPr="00ED7893">
              <w:rPr>
                <w:b w:val="0"/>
              </w:rPr>
              <w:t>āju tiesību aizsardzības centrs, Valsts ieņēmumu dienesta Muitas pārvalde.</w:t>
            </w:r>
          </w:p>
          <w:p w14:paraId="233C2D08" w14:textId="69A9159C" w:rsidR="00ED7893" w:rsidRPr="00ED7893" w:rsidRDefault="00ED7893" w:rsidP="008C3A65">
            <w:pPr>
              <w:pStyle w:val="naisnod"/>
              <w:spacing w:before="0" w:after="0"/>
              <w:ind w:left="57"/>
              <w:jc w:val="both"/>
              <w:rPr>
                <w:b w:val="0"/>
              </w:rPr>
            </w:pPr>
          </w:p>
        </w:tc>
      </w:tr>
      <w:tr w:rsidR="0087538B" w:rsidRPr="00ED7893" w14:paraId="7F463F73" w14:textId="77777777" w:rsidTr="00C17868">
        <w:trPr>
          <w:trHeight w:val="4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FB6" w14:textId="77777777" w:rsidR="0087538B" w:rsidRPr="00ED7893" w:rsidRDefault="0087538B" w:rsidP="008C3A65">
            <w:pPr>
              <w:pStyle w:val="naisnod"/>
              <w:spacing w:before="0" w:after="0"/>
              <w:ind w:left="57" w:right="-99"/>
              <w:jc w:val="left"/>
              <w:rPr>
                <w:b w:val="0"/>
              </w:rPr>
            </w:pPr>
            <w:r w:rsidRPr="00ED7893">
              <w:rPr>
                <w:b w:val="0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5911" w14:textId="77777777" w:rsidR="0087538B" w:rsidRDefault="00EE2780" w:rsidP="008C3A65">
            <w:pPr>
              <w:pStyle w:val="naisf"/>
              <w:spacing w:before="0" w:after="0"/>
              <w:ind w:left="57" w:right="53" w:firstLine="0"/>
              <w:jc w:val="left"/>
              <w:rPr>
                <w:iCs/>
              </w:rPr>
            </w:pPr>
            <w:r w:rsidRPr="00ED7893">
              <w:rPr>
                <w:iCs/>
              </w:rPr>
              <w:t>Projekta izpildes ietekme uz pārvaldes funkcijām un institucionālo struktūru.</w:t>
            </w:r>
            <w:r w:rsidRPr="00ED7893">
              <w:rPr>
                <w:iCs/>
              </w:rPr>
              <w:br/>
              <w:t>Jaunu institūciju izveide, esošu institūciju likvidācija vai reorganizācija, to ietekme uz institūcijas cilvēkresursiem</w:t>
            </w:r>
          </w:p>
          <w:p w14:paraId="6C036F6F" w14:textId="60F1A74F" w:rsidR="00ED7893" w:rsidRPr="00ED7893" w:rsidRDefault="00ED7893" w:rsidP="008C3A65">
            <w:pPr>
              <w:pStyle w:val="naisf"/>
              <w:spacing w:before="0" w:after="0"/>
              <w:ind w:left="57" w:right="53" w:firstLine="0"/>
              <w:jc w:val="left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8C1" w14:textId="77777777" w:rsidR="0087538B" w:rsidRPr="00ED7893" w:rsidRDefault="00D5546F" w:rsidP="00360AD3">
            <w:pPr>
              <w:pStyle w:val="naisnod"/>
              <w:spacing w:before="0" w:after="0"/>
              <w:ind w:left="57"/>
              <w:jc w:val="both"/>
              <w:rPr>
                <w:b w:val="0"/>
              </w:rPr>
            </w:pPr>
            <w:r w:rsidRPr="00ED7893">
              <w:rPr>
                <w:b w:val="0"/>
              </w:rPr>
              <w:t xml:space="preserve">Noteikumu </w:t>
            </w:r>
            <w:r w:rsidR="00EE2780" w:rsidRPr="00ED7893">
              <w:rPr>
                <w:b w:val="0"/>
              </w:rPr>
              <w:t>projekts neparedz veidot jaunas valsts institūcijas, to likvidāciju vai reorganizāciju. Noteikumu projekts neparedz jaunas institūciju funkcijas vai uzdevumus.</w:t>
            </w:r>
          </w:p>
        </w:tc>
      </w:tr>
      <w:tr w:rsidR="0087538B" w:rsidRPr="00ED7893" w14:paraId="4537B610" w14:textId="77777777" w:rsidTr="00C17868">
        <w:trPr>
          <w:trHeight w:val="2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8BA" w14:textId="23F7DCED" w:rsidR="0087538B" w:rsidRPr="00ED7893" w:rsidRDefault="00ED7893" w:rsidP="008C3A65">
            <w:pPr>
              <w:pStyle w:val="naiskr"/>
              <w:spacing w:before="0" w:after="0"/>
              <w:ind w:left="57" w:right="-99"/>
            </w:pPr>
            <w:r>
              <w:br w:type="page"/>
            </w:r>
            <w:r w:rsidR="00EE2780" w:rsidRPr="00ED7893">
              <w:t>3</w:t>
            </w:r>
            <w:r w:rsidR="0087538B" w:rsidRPr="00ED7893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9B6A" w14:textId="77777777" w:rsidR="0087538B" w:rsidRPr="00ED7893" w:rsidRDefault="0087538B" w:rsidP="008C3A65">
            <w:pPr>
              <w:pStyle w:val="naiskr"/>
              <w:spacing w:before="0" w:after="0"/>
              <w:ind w:left="57" w:right="-99"/>
            </w:pPr>
            <w:r w:rsidRPr="00ED7893">
              <w:t>Cita informācija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529" w14:textId="77777777" w:rsidR="0087538B" w:rsidRPr="00ED7893" w:rsidRDefault="0087538B" w:rsidP="008C3A65">
            <w:pPr>
              <w:pStyle w:val="naiskr"/>
              <w:spacing w:before="0" w:after="0"/>
              <w:ind w:left="57" w:right="-99"/>
            </w:pPr>
            <w:r w:rsidRPr="00ED7893">
              <w:t>Nav</w:t>
            </w:r>
            <w:r w:rsidR="005E7214" w:rsidRPr="00ED7893">
              <w:t>.</w:t>
            </w:r>
          </w:p>
        </w:tc>
      </w:tr>
    </w:tbl>
    <w:p w14:paraId="05505A82" w14:textId="77777777" w:rsidR="0087538B" w:rsidRPr="00ED7893" w:rsidRDefault="0087538B" w:rsidP="0087538B">
      <w:pPr>
        <w:tabs>
          <w:tab w:val="left" w:pos="6840"/>
        </w:tabs>
        <w:ind w:right="-99" w:firstLine="720"/>
        <w:rPr>
          <w:lang w:eastAsia="lv-LV"/>
        </w:rPr>
      </w:pPr>
    </w:p>
    <w:p w14:paraId="76ACE6C5" w14:textId="77777777" w:rsidR="0087538B" w:rsidRPr="00ED7893" w:rsidRDefault="0087538B" w:rsidP="0087538B">
      <w:pPr>
        <w:pStyle w:val="naisf"/>
        <w:tabs>
          <w:tab w:val="left" w:pos="5760"/>
        </w:tabs>
        <w:spacing w:before="0" w:after="0"/>
        <w:ind w:firstLine="0"/>
      </w:pPr>
    </w:p>
    <w:p w14:paraId="621E0096" w14:textId="77777777" w:rsidR="0087538B" w:rsidRPr="00ED7893" w:rsidRDefault="0087538B" w:rsidP="0087538B">
      <w:pPr>
        <w:rPr>
          <w:b/>
          <w:bCs/>
        </w:rPr>
      </w:pPr>
    </w:p>
    <w:p w14:paraId="669E7F69" w14:textId="47620F63" w:rsidR="0087538B" w:rsidRPr="00ED7893" w:rsidRDefault="00DC64CF" w:rsidP="00A1302F">
      <w:pPr>
        <w:pStyle w:val="Virsraksts1"/>
        <w:ind w:right="-666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247C05" w:rsidRPr="00ED7893">
        <w:rPr>
          <w:sz w:val="24"/>
          <w:szCs w:val="24"/>
        </w:rPr>
        <w:t xml:space="preserve">konomikas </w:t>
      </w:r>
      <w:r w:rsidR="0087538B" w:rsidRPr="00ED7893">
        <w:rPr>
          <w:sz w:val="24"/>
          <w:szCs w:val="24"/>
        </w:rPr>
        <w:t>ministrs</w:t>
      </w:r>
      <w:r w:rsidR="0087538B" w:rsidRPr="00ED7893">
        <w:rPr>
          <w:sz w:val="24"/>
          <w:szCs w:val="24"/>
        </w:rPr>
        <w:tab/>
      </w:r>
      <w:r w:rsidR="0087538B" w:rsidRPr="00ED7893">
        <w:rPr>
          <w:sz w:val="24"/>
          <w:szCs w:val="24"/>
        </w:rPr>
        <w:tab/>
      </w:r>
      <w:proofErr w:type="gramStart"/>
      <w:r w:rsidR="0087538B" w:rsidRPr="00ED7893">
        <w:rPr>
          <w:sz w:val="24"/>
          <w:szCs w:val="24"/>
        </w:rPr>
        <w:t xml:space="preserve">       </w:t>
      </w:r>
      <w:r w:rsidR="00726277" w:rsidRPr="00ED7893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302F" w:rsidRPr="00ED7893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="0087538B" w:rsidRPr="00ED7893">
        <w:rPr>
          <w:sz w:val="24"/>
          <w:szCs w:val="24"/>
        </w:rPr>
        <w:t>.</w:t>
      </w:r>
      <w:r w:rsidR="00247C05" w:rsidRPr="00ED7893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Vitenbergs</w:t>
      </w:r>
      <w:proofErr w:type="spellEnd"/>
    </w:p>
    <w:p w14:paraId="698ABC6E" w14:textId="77777777" w:rsidR="0087538B" w:rsidRPr="00ED7893" w:rsidRDefault="0087538B" w:rsidP="00A1302F">
      <w:pPr>
        <w:ind w:right="-666"/>
      </w:pPr>
    </w:p>
    <w:p w14:paraId="0A6BA746" w14:textId="77777777" w:rsidR="0087538B" w:rsidRPr="00ED7893" w:rsidRDefault="0087538B" w:rsidP="00A1302F">
      <w:pPr>
        <w:tabs>
          <w:tab w:val="left" w:pos="6237"/>
        </w:tabs>
        <w:ind w:right="-666"/>
        <w:rPr>
          <w:bCs/>
        </w:rPr>
      </w:pPr>
    </w:p>
    <w:p w14:paraId="5EFCDDB4" w14:textId="77777777" w:rsidR="0087538B" w:rsidRPr="00ED7893" w:rsidRDefault="0087538B" w:rsidP="00A1302F">
      <w:pPr>
        <w:tabs>
          <w:tab w:val="left" w:pos="6237"/>
        </w:tabs>
        <w:ind w:right="-666"/>
        <w:rPr>
          <w:bCs/>
        </w:rPr>
      </w:pPr>
    </w:p>
    <w:p w14:paraId="25D221DA" w14:textId="214834CE" w:rsidR="0087538B" w:rsidRPr="00ED7893" w:rsidRDefault="0087538B" w:rsidP="00A1302F">
      <w:pPr>
        <w:ind w:right="-666"/>
        <w:rPr>
          <w:bCs/>
        </w:rPr>
      </w:pPr>
      <w:r w:rsidRPr="00ED7893">
        <w:rPr>
          <w:bCs/>
        </w:rPr>
        <w:t xml:space="preserve">Vīza: Valsts sekretārs </w:t>
      </w:r>
      <w:r w:rsidRPr="00ED7893">
        <w:rPr>
          <w:bCs/>
        </w:rPr>
        <w:tab/>
      </w:r>
      <w:r w:rsidRPr="00ED7893">
        <w:rPr>
          <w:bCs/>
        </w:rPr>
        <w:tab/>
      </w:r>
      <w:r w:rsidRPr="00ED7893">
        <w:rPr>
          <w:bCs/>
        </w:rPr>
        <w:tab/>
      </w:r>
      <w:r w:rsidRPr="00ED7893">
        <w:rPr>
          <w:bCs/>
        </w:rPr>
        <w:tab/>
      </w:r>
      <w:r w:rsidRPr="00ED7893">
        <w:rPr>
          <w:bCs/>
        </w:rPr>
        <w:tab/>
      </w:r>
      <w:r w:rsidRPr="00ED7893">
        <w:rPr>
          <w:bCs/>
        </w:rPr>
        <w:tab/>
      </w:r>
      <w:r w:rsidRPr="00ED7893">
        <w:rPr>
          <w:bCs/>
        </w:rPr>
        <w:tab/>
      </w:r>
      <w:proofErr w:type="gramStart"/>
      <w:r w:rsidRPr="00ED7893">
        <w:rPr>
          <w:bCs/>
        </w:rPr>
        <w:t xml:space="preserve">  </w:t>
      </w:r>
      <w:r w:rsidR="00A1302F" w:rsidRPr="00ED7893">
        <w:rPr>
          <w:bCs/>
        </w:rPr>
        <w:t xml:space="preserve">  </w:t>
      </w:r>
      <w:r w:rsidRPr="00ED7893">
        <w:rPr>
          <w:bCs/>
        </w:rPr>
        <w:t xml:space="preserve"> </w:t>
      </w:r>
      <w:proofErr w:type="gramEnd"/>
      <w:r w:rsidR="00DC64CF">
        <w:rPr>
          <w:bCs/>
        </w:rPr>
        <w:t>E</w:t>
      </w:r>
      <w:r w:rsidR="00EA05D8" w:rsidRPr="00ED7893">
        <w:rPr>
          <w:bCs/>
        </w:rPr>
        <w:t xml:space="preserve">. </w:t>
      </w:r>
      <w:proofErr w:type="spellStart"/>
      <w:r w:rsidR="00DC64CF">
        <w:rPr>
          <w:bCs/>
        </w:rPr>
        <w:t>Valan</w:t>
      </w:r>
      <w:r w:rsidR="00EA05D8" w:rsidRPr="00ED7893">
        <w:rPr>
          <w:bCs/>
        </w:rPr>
        <w:t>tis</w:t>
      </w:r>
      <w:proofErr w:type="spellEnd"/>
      <w:r w:rsidRPr="00ED7893">
        <w:rPr>
          <w:bCs/>
        </w:rPr>
        <w:tab/>
        <w:t xml:space="preserve">                </w:t>
      </w:r>
    </w:p>
    <w:p w14:paraId="09696B69" w14:textId="77777777" w:rsidR="0087538B" w:rsidRPr="00ED7893" w:rsidRDefault="0087538B" w:rsidP="0087538B">
      <w:pPr>
        <w:pStyle w:val="naisf"/>
        <w:spacing w:before="0" w:after="0"/>
        <w:ind w:firstLine="720"/>
      </w:pPr>
    </w:p>
    <w:p w14:paraId="2C4A4C00" w14:textId="77777777" w:rsidR="0087538B" w:rsidRPr="00ED7893" w:rsidRDefault="0087538B" w:rsidP="0087538B">
      <w:pPr>
        <w:pStyle w:val="naisf"/>
        <w:spacing w:before="0" w:after="0"/>
        <w:ind w:firstLine="720"/>
      </w:pPr>
    </w:p>
    <w:p w14:paraId="39525FF6" w14:textId="77777777" w:rsidR="0087538B" w:rsidRPr="00ED7893" w:rsidRDefault="0087538B" w:rsidP="0087538B">
      <w:pPr>
        <w:pStyle w:val="naisf"/>
        <w:spacing w:before="0" w:after="0"/>
        <w:ind w:firstLine="720"/>
      </w:pPr>
    </w:p>
    <w:p w14:paraId="2838308B" w14:textId="77777777" w:rsidR="0087538B" w:rsidRPr="00ED7893" w:rsidRDefault="0087538B" w:rsidP="0087538B">
      <w:pPr>
        <w:pStyle w:val="naisf"/>
        <w:spacing w:before="0" w:after="0"/>
        <w:ind w:firstLine="720"/>
      </w:pPr>
    </w:p>
    <w:p w14:paraId="17BAA05F" w14:textId="77777777" w:rsidR="0087538B" w:rsidRPr="00ED7893" w:rsidRDefault="0087538B" w:rsidP="0087538B">
      <w:pPr>
        <w:suppressAutoHyphens/>
        <w:ind w:right="-99" w:firstLine="720"/>
      </w:pPr>
    </w:p>
    <w:p w14:paraId="6DA70D23" w14:textId="77777777" w:rsidR="001D0B47" w:rsidRPr="00ED7893" w:rsidRDefault="001D0B47">
      <w:bookmarkStart w:id="7" w:name="c"/>
      <w:bookmarkEnd w:id="7"/>
    </w:p>
    <w:sectPr w:rsidR="001D0B47" w:rsidRPr="00ED7893" w:rsidSect="00ED7893">
      <w:headerReference w:type="default" r:id="rId9"/>
      <w:footerReference w:type="default" r:id="rId10"/>
      <w:footerReference w:type="first" r:id="rId11"/>
      <w:pgSz w:w="11906" w:h="16838"/>
      <w:pgMar w:top="1440" w:right="849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3E851" w14:textId="77777777" w:rsidR="000E359C" w:rsidRDefault="000E359C" w:rsidP="00E82724">
      <w:r>
        <w:separator/>
      </w:r>
    </w:p>
  </w:endnote>
  <w:endnote w:type="continuationSeparator" w:id="0">
    <w:p w14:paraId="30FBC273" w14:textId="77777777" w:rsidR="000E359C" w:rsidRDefault="000E359C" w:rsidP="00E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F60A9" w14:textId="4270509A" w:rsidR="00040381" w:rsidRPr="00937E36" w:rsidRDefault="00247C05" w:rsidP="008C3A65">
    <w:pPr>
      <w:pStyle w:val="Kjene"/>
      <w:jc w:val="both"/>
      <w:rPr>
        <w:sz w:val="20"/>
        <w:szCs w:val="20"/>
      </w:rPr>
    </w:pPr>
    <w:r>
      <w:rPr>
        <w:sz w:val="20"/>
        <w:szCs w:val="20"/>
      </w:rPr>
      <w:t>EMAnot_</w:t>
    </w:r>
    <w:r w:rsidR="00260DED">
      <w:rPr>
        <w:sz w:val="20"/>
        <w:szCs w:val="20"/>
      </w:rPr>
      <w:t>3010</w:t>
    </w:r>
    <w:r>
      <w:rPr>
        <w:sz w:val="20"/>
        <w:szCs w:val="20"/>
      </w:rPr>
      <w:t>2</w:t>
    </w:r>
    <w:r w:rsidR="00040381">
      <w:rPr>
        <w:sz w:val="20"/>
        <w:szCs w:val="20"/>
      </w:rPr>
      <w:t>0_rotallietas</w:t>
    </w:r>
  </w:p>
  <w:p w14:paraId="379C12C7" w14:textId="77777777" w:rsidR="00040381" w:rsidRDefault="0004038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ED8E5" w14:textId="31460676" w:rsidR="00040381" w:rsidRPr="00285573" w:rsidRDefault="003924CB" w:rsidP="00285573">
    <w:pPr>
      <w:pStyle w:val="Kjene"/>
      <w:jc w:val="both"/>
      <w:rPr>
        <w:sz w:val="20"/>
        <w:szCs w:val="20"/>
      </w:rPr>
    </w:pPr>
    <w:r>
      <w:rPr>
        <w:sz w:val="20"/>
        <w:szCs w:val="20"/>
      </w:rPr>
      <w:t>EMAnot_</w:t>
    </w:r>
    <w:r w:rsidR="00260DED">
      <w:rPr>
        <w:sz w:val="20"/>
        <w:szCs w:val="20"/>
      </w:rPr>
      <w:t>3010</w:t>
    </w:r>
    <w:r>
      <w:rPr>
        <w:sz w:val="20"/>
        <w:szCs w:val="20"/>
      </w:rPr>
      <w:t>20</w:t>
    </w:r>
    <w:r w:rsidR="00285573">
      <w:rPr>
        <w:sz w:val="20"/>
        <w:szCs w:val="20"/>
      </w:rPr>
      <w:t>_rotallietas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6BC5B" w14:textId="77777777" w:rsidR="000E359C" w:rsidRDefault="000E359C" w:rsidP="00E82724">
      <w:r>
        <w:separator/>
      </w:r>
    </w:p>
  </w:footnote>
  <w:footnote w:type="continuationSeparator" w:id="0">
    <w:p w14:paraId="2EE1E6E2" w14:textId="77777777" w:rsidR="000E359C" w:rsidRDefault="000E359C" w:rsidP="00E8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BD0B9" w14:textId="00D7BBD6" w:rsidR="00040381" w:rsidRDefault="00040381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454F">
      <w:rPr>
        <w:noProof/>
      </w:rPr>
      <w:t>6</w:t>
    </w:r>
    <w:r>
      <w:fldChar w:fldCharType="end"/>
    </w:r>
  </w:p>
  <w:p w14:paraId="39A2F0C5" w14:textId="77777777" w:rsidR="00040381" w:rsidRDefault="0004038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79FA"/>
    <w:multiLevelType w:val="multilevel"/>
    <w:tmpl w:val="9B08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D1BB6"/>
    <w:multiLevelType w:val="multilevel"/>
    <w:tmpl w:val="8FB83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01F4B"/>
    <w:multiLevelType w:val="hybridMultilevel"/>
    <w:tmpl w:val="3B0E06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74685"/>
    <w:multiLevelType w:val="multilevel"/>
    <w:tmpl w:val="5C3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1256C"/>
    <w:multiLevelType w:val="multilevel"/>
    <w:tmpl w:val="A274C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F4508"/>
    <w:multiLevelType w:val="hybridMultilevel"/>
    <w:tmpl w:val="FFA86E04"/>
    <w:lvl w:ilvl="0" w:tplc="3CB43274">
      <w:start w:val="1"/>
      <w:numFmt w:val="decimal"/>
      <w:lvlText w:val="%1)"/>
      <w:lvlJc w:val="left"/>
      <w:pPr>
        <w:tabs>
          <w:tab w:val="num" w:pos="1241"/>
        </w:tabs>
        <w:ind w:left="1241" w:hanging="82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6" w15:restartNumberingAfterBreak="0">
    <w:nsid w:val="2A0652F8"/>
    <w:multiLevelType w:val="multilevel"/>
    <w:tmpl w:val="6812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223319"/>
    <w:multiLevelType w:val="multilevel"/>
    <w:tmpl w:val="33EA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322A41"/>
    <w:multiLevelType w:val="hybridMultilevel"/>
    <w:tmpl w:val="9E54AA4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25975"/>
    <w:multiLevelType w:val="hybridMultilevel"/>
    <w:tmpl w:val="7256BAC6"/>
    <w:lvl w:ilvl="0" w:tplc="4C666E50">
      <w:start w:val="1"/>
      <w:numFmt w:val="decimal"/>
      <w:lvlText w:val="%1)"/>
      <w:lvlJc w:val="left"/>
      <w:pPr>
        <w:ind w:left="6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76" w:hanging="360"/>
      </w:pPr>
    </w:lvl>
    <w:lvl w:ilvl="2" w:tplc="0426001B" w:tentative="1">
      <w:start w:val="1"/>
      <w:numFmt w:val="lowerRoman"/>
      <w:lvlText w:val="%3."/>
      <w:lvlJc w:val="right"/>
      <w:pPr>
        <w:ind w:left="2096" w:hanging="180"/>
      </w:pPr>
    </w:lvl>
    <w:lvl w:ilvl="3" w:tplc="0426000F" w:tentative="1">
      <w:start w:val="1"/>
      <w:numFmt w:val="decimal"/>
      <w:lvlText w:val="%4."/>
      <w:lvlJc w:val="left"/>
      <w:pPr>
        <w:ind w:left="2816" w:hanging="360"/>
      </w:pPr>
    </w:lvl>
    <w:lvl w:ilvl="4" w:tplc="04260019" w:tentative="1">
      <w:start w:val="1"/>
      <w:numFmt w:val="lowerLetter"/>
      <w:lvlText w:val="%5."/>
      <w:lvlJc w:val="left"/>
      <w:pPr>
        <w:ind w:left="3536" w:hanging="360"/>
      </w:pPr>
    </w:lvl>
    <w:lvl w:ilvl="5" w:tplc="0426001B" w:tentative="1">
      <w:start w:val="1"/>
      <w:numFmt w:val="lowerRoman"/>
      <w:lvlText w:val="%6."/>
      <w:lvlJc w:val="right"/>
      <w:pPr>
        <w:ind w:left="4256" w:hanging="180"/>
      </w:pPr>
    </w:lvl>
    <w:lvl w:ilvl="6" w:tplc="0426000F" w:tentative="1">
      <w:start w:val="1"/>
      <w:numFmt w:val="decimal"/>
      <w:lvlText w:val="%7."/>
      <w:lvlJc w:val="left"/>
      <w:pPr>
        <w:ind w:left="4976" w:hanging="360"/>
      </w:pPr>
    </w:lvl>
    <w:lvl w:ilvl="7" w:tplc="04260019" w:tentative="1">
      <w:start w:val="1"/>
      <w:numFmt w:val="lowerLetter"/>
      <w:lvlText w:val="%8."/>
      <w:lvlJc w:val="left"/>
      <w:pPr>
        <w:ind w:left="5696" w:hanging="360"/>
      </w:pPr>
    </w:lvl>
    <w:lvl w:ilvl="8" w:tplc="0426001B" w:tentative="1">
      <w:start w:val="1"/>
      <w:numFmt w:val="lowerRoman"/>
      <w:lvlText w:val="%9."/>
      <w:lvlJc w:val="right"/>
      <w:pPr>
        <w:ind w:left="6416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8B"/>
    <w:rsid w:val="00011988"/>
    <w:rsid w:val="00040381"/>
    <w:rsid w:val="0004518C"/>
    <w:rsid w:val="00071061"/>
    <w:rsid w:val="0007551D"/>
    <w:rsid w:val="00081546"/>
    <w:rsid w:val="000A266E"/>
    <w:rsid w:val="000A29C4"/>
    <w:rsid w:val="000B7022"/>
    <w:rsid w:val="000C6FE5"/>
    <w:rsid w:val="000D65AB"/>
    <w:rsid w:val="000D77CB"/>
    <w:rsid w:val="000D7C88"/>
    <w:rsid w:val="000E359C"/>
    <w:rsid w:val="00121B9E"/>
    <w:rsid w:val="00127441"/>
    <w:rsid w:val="0015508A"/>
    <w:rsid w:val="0015737F"/>
    <w:rsid w:val="0017138D"/>
    <w:rsid w:val="00186808"/>
    <w:rsid w:val="001A1EB4"/>
    <w:rsid w:val="001B3137"/>
    <w:rsid w:val="001C5F2E"/>
    <w:rsid w:val="001C655F"/>
    <w:rsid w:val="001D0B47"/>
    <w:rsid w:val="001D11EE"/>
    <w:rsid w:val="001D24C7"/>
    <w:rsid w:val="001E13CD"/>
    <w:rsid w:val="001F4D9F"/>
    <w:rsid w:val="00216176"/>
    <w:rsid w:val="00221D77"/>
    <w:rsid w:val="00223A82"/>
    <w:rsid w:val="00233F25"/>
    <w:rsid w:val="00247C05"/>
    <w:rsid w:val="00260DED"/>
    <w:rsid w:val="0026349F"/>
    <w:rsid w:val="0027700C"/>
    <w:rsid w:val="00285573"/>
    <w:rsid w:val="002947FA"/>
    <w:rsid w:val="002A2D81"/>
    <w:rsid w:val="002B7B34"/>
    <w:rsid w:val="002E0DC1"/>
    <w:rsid w:val="002E5D1A"/>
    <w:rsid w:val="002F495C"/>
    <w:rsid w:val="003143BC"/>
    <w:rsid w:val="003277E7"/>
    <w:rsid w:val="00352F8C"/>
    <w:rsid w:val="0035354A"/>
    <w:rsid w:val="00360AD3"/>
    <w:rsid w:val="00364498"/>
    <w:rsid w:val="0038761B"/>
    <w:rsid w:val="003924CB"/>
    <w:rsid w:val="003A7E1B"/>
    <w:rsid w:val="003D012D"/>
    <w:rsid w:val="003D3FDC"/>
    <w:rsid w:val="003D45AC"/>
    <w:rsid w:val="00405050"/>
    <w:rsid w:val="004528E7"/>
    <w:rsid w:val="00461BF7"/>
    <w:rsid w:val="004747A9"/>
    <w:rsid w:val="004753FF"/>
    <w:rsid w:val="00494935"/>
    <w:rsid w:val="004A6C9A"/>
    <w:rsid w:val="004B4BCB"/>
    <w:rsid w:val="004C34CA"/>
    <w:rsid w:val="004C6087"/>
    <w:rsid w:val="004E53DC"/>
    <w:rsid w:val="004F546E"/>
    <w:rsid w:val="00506083"/>
    <w:rsid w:val="00524AC3"/>
    <w:rsid w:val="0053188A"/>
    <w:rsid w:val="00544506"/>
    <w:rsid w:val="00566391"/>
    <w:rsid w:val="0056719D"/>
    <w:rsid w:val="00572118"/>
    <w:rsid w:val="00580A4E"/>
    <w:rsid w:val="005A2229"/>
    <w:rsid w:val="005A6474"/>
    <w:rsid w:val="005D778A"/>
    <w:rsid w:val="005E210F"/>
    <w:rsid w:val="005E60CE"/>
    <w:rsid w:val="005E6E87"/>
    <w:rsid w:val="005E7214"/>
    <w:rsid w:val="005F7DA8"/>
    <w:rsid w:val="00630F86"/>
    <w:rsid w:val="00631872"/>
    <w:rsid w:val="0063795F"/>
    <w:rsid w:val="006546D8"/>
    <w:rsid w:val="006666F9"/>
    <w:rsid w:val="006732D3"/>
    <w:rsid w:val="006A1575"/>
    <w:rsid w:val="006A746E"/>
    <w:rsid w:val="006D1150"/>
    <w:rsid w:val="006D4919"/>
    <w:rsid w:val="006E5FF2"/>
    <w:rsid w:val="006F44FC"/>
    <w:rsid w:val="00706ACD"/>
    <w:rsid w:val="0071323B"/>
    <w:rsid w:val="007204B6"/>
    <w:rsid w:val="00726277"/>
    <w:rsid w:val="00761ED3"/>
    <w:rsid w:val="00770817"/>
    <w:rsid w:val="00783A29"/>
    <w:rsid w:val="00785A79"/>
    <w:rsid w:val="00791407"/>
    <w:rsid w:val="00791C27"/>
    <w:rsid w:val="007945F9"/>
    <w:rsid w:val="007A5616"/>
    <w:rsid w:val="007B3474"/>
    <w:rsid w:val="007B71DC"/>
    <w:rsid w:val="00827D2F"/>
    <w:rsid w:val="00864847"/>
    <w:rsid w:val="00864897"/>
    <w:rsid w:val="00864F16"/>
    <w:rsid w:val="0087538B"/>
    <w:rsid w:val="00877F04"/>
    <w:rsid w:val="00894D31"/>
    <w:rsid w:val="008B037F"/>
    <w:rsid w:val="008B58B5"/>
    <w:rsid w:val="008C3A65"/>
    <w:rsid w:val="008C545F"/>
    <w:rsid w:val="008E200A"/>
    <w:rsid w:val="00907ED4"/>
    <w:rsid w:val="00915AF6"/>
    <w:rsid w:val="009276C4"/>
    <w:rsid w:val="009515FC"/>
    <w:rsid w:val="00961B77"/>
    <w:rsid w:val="00974C4D"/>
    <w:rsid w:val="009871EF"/>
    <w:rsid w:val="00991250"/>
    <w:rsid w:val="009A0AF4"/>
    <w:rsid w:val="009A51F5"/>
    <w:rsid w:val="009B43B9"/>
    <w:rsid w:val="009F79F4"/>
    <w:rsid w:val="00A1302F"/>
    <w:rsid w:val="00A15AAB"/>
    <w:rsid w:val="00A32148"/>
    <w:rsid w:val="00A435D8"/>
    <w:rsid w:val="00A506A0"/>
    <w:rsid w:val="00A56BCD"/>
    <w:rsid w:val="00A743A6"/>
    <w:rsid w:val="00AB4273"/>
    <w:rsid w:val="00AE7327"/>
    <w:rsid w:val="00AF248D"/>
    <w:rsid w:val="00B5151E"/>
    <w:rsid w:val="00B52FCA"/>
    <w:rsid w:val="00B54068"/>
    <w:rsid w:val="00B568BB"/>
    <w:rsid w:val="00B76DF7"/>
    <w:rsid w:val="00B77FD2"/>
    <w:rsid w:val="00B8427E"/>
    <w:rsid w:val="00B90C1C"/>
    <w:rsid w:val="00B92A09"/>
    <w:rsid w:val="00BA2D1C"/>
    <w:rsid w:val="00BB04AF"/>
    <w:rsid w:val="00BC4C6A"/>
    <w:rsid w:val="00BD454F"/>
    <w:rsid w:val="00BE031A"/>
    <w:rsid w:val="00BE0ECE"/>
    <w:rsid w:val="00C0194E"/>
    <w:rsid w:val="00C17868"/>
    <w:rsid w:val="00C21FB1"/>
    <w:rsid w:val="00C5189C"/>
    <w:rsid w:val="00C8342E"/>
    <w:rsid w:val="00C93609"/>
    <w:rsid w:val="00C947B6"/>
    <w:rsid w:val="00CA1F95"/>
    <w:rsid w:val="00CB1AA1"/>
    <w:rsid w:val="00CB2E9A"/>
    <w:rsid w:val="00CC33E0"/>
    <w:rsid w:val="00CD349A"/>
    <w:rsid w:val="00CD65CC"/>
    <w:rsid w:val="00CE0E7E"/>
    <w:rsid w:val="00D03A21"/>
    <w:rsid w:val="00D170C1"/>
    <w:rsid w:val="00D24A0E"/>
    <w:rsid w:val="00D25C49"/>
    <w:rsid w:val="00D4226C"/>
    <w:rsid w:val="00D4781D"/>
    <w:rsid w:val="00D5546F"/>
    <w:rsid w:val="00D62551"/>
    <w:rsid w:val="00D82AB4"/>
    <w:rsid w:val="00D8586F"/>
    <w:rsid w:val="00D93752"/>
    <w:rsid w:val="00DA0E2F"/>
    <w:rsid w:val="00DC64CF"/>
    <w:rsid w:val="00DE75E6"/>
    <w:rsid w:val="00E22AF6"/>
    <w:rsid w:val="00E32F60"/>
    <w:rsid w:val="00E331D8"/>
    <w:rsid w:val="00E4428C"/>
    <w:rsid w:val="00E4779E"/>
    <w:rsid w:val="00E51154"/>
    <w:rsid w:val="00E65AE4"/>
    <w:rsid w:val="00E7502C"/>
    <w:rsid w:val="00E82724"/>
    <w:rsid w:val="00E944AE"/>
    <w:rsid w:val="00EA05D8"/>
    <w:rsid w:val="00EA24B3"/>
    <w:rsid w:val="00EA2A70"/>
    <w:rsid w:val="00EA416F"/>
    <w:rsid w:val="00EB0154"/>
    <w:rsid w:val="00EC1046"/>
    <w:rsid w:val="00EC2553"/>
    <w:rsid w:val="00ED7893"/>
    <w:rsid w:val="00EE2780"/>
    <w:rsid w:val="00EE75D0"/>
    <w:rsid w:val="00F15C22"/>
    <w:rsid w:val="00F23F2D"/>
    <w:rsid w:val="00F37BDD"/>
    <w:rsid w:val="00F423EE"/>
    <w:rsid w:val="00F42A7E"/>
    <w:rsid w:val="00F44154"/>
    <w:rsid w:val="00F45743"/>
    <w:rsid w:val="00F5651F"/>
    <w:rsid w:val="00F7226F"/>
    <w:rsid w:val="00F94793"/>
    <w:rsid w:val="00FA1D08"/>
    <w:rsid w:val="00FB290E"/>
    <w:rsid w:val="00FC06AE"/>
    <w:rsid w:val="00FC4D35"/>
    <w:rsid w:val="00FE4E12"/>
    <w:rsid w:val="00FF227F"/>
    <w:rsid w:val="00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4E2748F"/>
  <w15:chartTrackingRefBased/>
  <w15:docId w15:val="{99AE8304-4DB2-4C82-9B14-514AB795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538B"/>
    <w:rPr>
      <w:rFonts w:eastAsia="Times New Roman"/>
      <w:color w:val="000000"/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87538B"/>
    <w:pPr>
      <w:keepNext/>
      <w:jc w:val="right"/>
      <w:outlineLvl w:val="0"/>
    </w:pPr>
    <w:rPr>
      <w:color w:val="auto"/>
      <w:sz w:val="28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87538B"/>
    <w:rPr>
      <w:rFonts w:eastAsia="Times New Roman" w:cs="Times New Roman"/>
      <w:sz w:val="28"/>
      <w:szCs w:val="20"/>
      <w:lang w:eastAsia="lv-LV"/>
    </w:rPr>
  </w:style>
  <w:style w:type="paragraph" w:styleId="Veidlapasz-auga">
    <w:name w:val="HTML Top of Form"/>
    <w:basedOn w:val="Parasts"/>
    <w:next w:val="Parasts"/>
    <w:link w:val="Veidlapasz-augaRakstz"/>
    <w:hidden/>
    <w:uiPriority w:val="99"/>
    <w:semiHidden/>
    <w:unhideWhenUsed/>
    <w:rsid w:val="008753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v-LV"/>
    </w:rPr>
  </w:style>
  <w:style w:type="character" w:customStyle="1" w:styleId="Veidlapasz-augaRakstz">
    <w:name w:val="Veidlapas z-augša Rakstz."/>
    <w:link w:val="Veidlapasz-auga"/>
    <w:uiPriority w:val="99"/>
    <w:semiHidden/>
    <w:rsid w:val="0087538B"/>
    <w:rPr>
      <w:rFonts w:ascii="Arial" w:eastAsia="Times New Roman" w:hAnsi="Arial" w:cs="Arial"/>
      <w:vanish/>
      <w:color w:val="000000"/>
      <w:sz w:val="16"/>
      <w:szCs w:val="16"/>
      <w:lang w:eastAsia="lv-LV"/>
    </w:rPr>
  </w:style>
  <w:style w:type="paragraph" w:styleId="Paraststmeklis">
    <w:name w:val="Normal (Web)"/>
    <w:basedOn w:val="Parasts"/>
    <w:uiPriority w:val="99"/>
    <w:unhideWhenUsed/>
    <w:rsid w:val="0087538B"/>
    <w:pPr>
      <w:spacing w:before="69" w:after="69"/>
      <w:ind w:firstLine="346"/>
      <w:jc w:val="both"/>
    </w:pPr>
    <w:rPr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7538B"/>
    <w:rPr>
      <w:sz w:val="20"/>
      <w:szCs w:val="20"/>
      <w:lang w:eastAsia="lv-LV"/>
    </w:rPr>
  </w:style>
  <w:style w:type="character" w:customStyle="1" w:styleId="VrestekstsRakstz">
    <w:name w:val="Vēres teksts Rakstz."/>
    <w:link w:val="Vresteksts"/>
    <w:uiPriority w:val="99"/>
    <w:semiHidden/>
    <w:rsid w:val="0087538B"/>
    <w:rPr>
      <w:rFonts w:eastAsia="Times New Roman" w:cs="Times New Roman"/>
      <w:color w:val="000000"/>
      <w:sz w:val="20"/>
      <w:szCs w:val="20"/>
      <w:lang w:eastAsia="lv-LV"/>
    </w:rPr>
  </w:style>
  <w:style w:type="paragraph" w:styleId="Komentrateksts">
    <w:name w:val="annotation text"/>
    <w:basedOn w:val="Parasts"/>
    <w:link w:val="KomentratekstsRakstz"/>
    <w:uiPriority w:val="99"/>
    <w:unhideWhenUsed/>
    <w:rsid w:val="0087538B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uiPriority w:val="99"/>
    <w:semiHidden/>
    <w:rsid w:val="0087538B"/>
    <w:rPr>
      <w:rFonts w:eastAsia="Times New Roman" w:cs="Times New Roman"/>
      <w:color w:val="000000"/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locked/>
    <w:rsid w:val="0087538B"/>
    <w:rPr>
      <w:rFonts w:ascii="Calibri" w:eastAsia="Calibri" w:hAnsi="Calibri" w:cs="Times New Roman"/>
      <w:color w:val="000000"/>
      <w:sz w:val="20"/>
      <w:szCs w:val="20"/>
    </w:rPr>
  </w:style>
  <w:style w:type="paragraph" w:styleId="Nosaukums">
    <w:name w:val="Title"/>
    <w:basedOn w:val="Parasts"/>
    <w:link w:val="NosaukumsRakstz"/>
    <w:uiPriority w:val="10"/>
    <w:qFormat/>
    <w:rsid w:val="0087538B"/>
    <w:pPr>
      <w:jc w:val="center"/>
    </w:pPr>
    <w:rPr>
      <w:sz w:val="28"/>
      <w:szCs w:val="28"/>
      <w:lang w:eastAsia="lv-LV"/>
    </w:rPr>
  </w:style>
  <w:style w:type="character" w:customStyle="1" w:styleId="NosaukumsRakstz">
    <w:name w:val="Nosaukums Rakstz."/>
    <w:link w:val="Nosaukums"/>
    <w:uiPriority w:val="10"/>
    <w:rsid w:val="0087538B"/>
    <w:rPr>
      <w:rFonts w:eastAsia="Times New Roman" w:cs="Times New Roman"/>
      <w:color w:val="000000"/>
      <w:sz w:val="28"/>
      <w:szCs w:val="28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87538B"/>
    <w:pPr>
      <w:jc w:val="center"/>
    </w:pPr>
    <w:rPr>
      <w:b/>
      <w:szCs w:val="20"/>
      <w:lang w:eastAsia="lv-LV"/>
    </w:rPr>
  </w:style>
  <w:style w:type="character" w:customStyle="1" w:styleId="BodyTextChar">
    <w:name w:val="Body Text Char"/>
    <w:uiPriority w:val="99"/>
    <w:semiHidden/>
    <w:rsid w:val="0087538B"/>
    <w:rPr>
      <w:rFonts w:eastAsia="Times New Roman" w:cs="Times New Roman"/>
      <w:color w:val="000000"/>
      <w:szCs w:val="24"/>
    </w:rPr>
  </w:style>
  <w:style w:type="character" w:customStyle="1" w:styleId="PamattekstsRakstz">
    <w:name w:val="Pamatteksts Rakstz."/>
    <w:link w:val="Pamatteksts"/>
    <w:uiPriority w:val="99"/>
    <w:semiHidden/>
    <w:locked/>
    <w:rsid w:val="0087538B"/>
    <w:rPr>
      <w:rFonts w:eastAsia="Times New Roman" w:cs="Times New Roman"/>
      <w:b/>
      <w:color w:val="000000"/>
      <w:szCs w:val="20"/>
      <w:lang w:eastAsia="lv-LV"/>
    </w:rPr>
  </w:style>
  <w:style w:type="paragraph" w:customStyle="1" w:styleId="naisf">
    <w:name w:val="naisf"/>
    <w:basedOn w:val="Parasts"/>
    <w:rsid w:val="0087538B"/>
    <w:pPr>
      <w:spacing w:before="69" w:after="69"/>
      <w:ind w:firstLine="346"/>
      <w:jc w:val="both"/>
    </w:pPr>
    <w:rPr>
      <w:lang w:eastAsia="lv-LV"/>
    </w:rPr>
  </w:style>
  <w:style w:type="paragraph" w:customStyle="1" w:styleId="naisnod">
    <w:name w:val="naisnod"/>
    <w:basedOn w:val="Parasts"/>
    <w:rsid w:val="0087538B"/>
    <w:pPr>
      <w:spacing w:before="150" w:after="150"/>
      <w:jc w:val="center"/>
    </w:pPr>
    <w:rPr>
      <w:b/>
      <w:bCs/>
      <w:lang w:eastAsia="lv-LV"/>
    </w:rPr>
  </w:style>
  <w:style w:type="paragraph" w:customStyle="1" w:styleId="naislab">
    <w:name w:val="naislab"/>
    <w:basedOn w:val="Parasts"/>
    <w:rsid w:val="0087538B"/>
    <w:pPr>
      <w:spacing w:before="75" w:after="75"/>
      <w:jc w:val="right"/>
    </w:pPr>
    <w:rPr>
      <w:lang w:eastAsia="lv-LV"/>
    </w:rPr>
  </w:style>
  <w:style w:type="paragraph" w:customStyle="1" w:styleId="naiskr">
    <w:name w:val="naiskr"/>
    <w:basedOn w:val="Parasts"/>
    <w:rsid w:val="0087538B"/>
    <w:pPr>
      <w:spacing w:before="75" w:after="75"/>
    </w:pPr>
    <w:rPr>
      <w:lang w:eastAsia="lv-LV"/>
    </w:rPr>
  </w:style>
  <w:style w:type="paragraph" w:styleId="Sarakstarindkopa">
    <w:name w:val="List Paragraph"/>
    <w:basedOn w:val="Parasts"/>
    <w:uiPriority w:val="34"/>
    <w:qFormat/>
    <w:rsid w:val="0087538B"/>
    <w:pPr>
      <w:ind w:left="720"/>
    </w:pPr>
    <w:rPr>
      <w:rFonts w:ascii="Calibri" w:eastAsia="Calibri" w:hAnsi="Calibri"/>
      <w:sz w:val="22"/>
      <w:szCs w:val="22"/>
      <w:lang w:eastAsia="lv-LV"/>
    </w:rPr>
  </w:style>
  <w:style w:type="character" w:customStyle="1" w:styleId="apple-style-span">
    <w:name w:val="apple-style-span"/>
    <w:basedOn w:val="Noklusjumarindkopasfonts"/>
    <w:rsid w:val="0087538B"/>
  </w:style>
  <w:style w:type="character" w:customStyle="1" w:styleId="spelle">
    <w:name w:val="spelle"/>
    <w:basedOn w:val="Noklusjumarindkopasfonts"/>
    <w:rsid w:val="0087538B"/>
  </w:style>
  <w:style w:type="paragraph" w:styleId="Galvene">
    <w:name w:val="header"/>
    <w:basedOn w:val="Parasts"/>
    <w:link w:val="GalveneRakstz"/>
    <w:uiPriority w:val="99"/>
    <w:unhideWhenUsed/>
    <w:rsid w:val="0087538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38B"/>
    <w:rPr>
      <w:rFonts w:eastAsia="Times New Roman" w:cs="Times New Roman"/>
      <w:color w:val="000000"/>
      <w:szCs w:val="24"/>
    </w:rPr>
  </w:style>
  <w:style w:type="paragraph" w:styleId="Kjene">
    <w:name w:val="footer"/>
    <w:basedOn w:val="Parasts"/>
    <w:link w:val="KjeneRakstz"/>
    <w:unhideWhenUsed/>
    <w:rsid w:val="0087538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38B"/>
    <w:rPr>
      <w:rFonts w:eastAsia="Times New Roman" w:cs="Times New Roman"/>
      <w:color w:val="000000"/>
      <w:szCs w:val="24"/>
    </w:rPr>
  </w:style>
  <w:style w:type="character" w:styleId="Hipersaite">
    <w:name w:val="Hyperlink"/>
    <w:uiPriority w:val="99"/>
    <w:rsid w:val="0087538B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7538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7538B"/>
    <w:rPr>
      <w:rFonts w:ascii="Tahoma" w:eastAsia="Times New Roman" w:hAnsi="Tahoma" w:cs="Tahoma"/>
      <w:color w:val="000000"/>
      <w:sz w:val="16"/>
      <w:szCs w:val="16"/>
    </w:rPr>
  </w:style>
  <w:style w:type="paragraph" w:styleId="Apakvirsraksts">
    <w:name w:val="Subtitle"/>
    <w:basedOn w:val="Parasts"/>
    <w:link w:val="ApakvirsrakstsRakstz"/>
    <w:qFormat/>
    <w:rsid w:val="0087538B"/>
    <w:pPr>
      <w:widowControl w:val="0"/>
      <w:spacing w:before="60" w:after="60" w:line="360" w:lineRule="auto"/>
      <w:ind w:firstLine="720"/>
      <w:jc w:val="center"/>
      <w:outlineLvl w:val="1"/>
    </w:pPr>
    <w:rPr>
      <w:rFonts w:ascii="Arial" w:hAnsi="Arial" w:cs="Arial"/>
      <w:color w:val="auto"/>
      <w:lang w:val="en-AU"/>
    </w:rPr>
  </w:style>
  <w:style w:type="character" w:customStyle="1" w:styleId="ApakvirsrakstsRakstz">
    <w:name w:val="Apakšvirsraksts Rakstz."/>
    <w:link w:val="Apakvirsraksts"/>
    <w:rsid w:val="0087538B"/>
    <w:rPr>
      <w:rFonts w:ascii="Arial" w:eastAsia="Times New Roman" w:hAnsi="Arial" w:cs="Arial"/>
      <w:szCs w:val="24"/>
      <w:lang w:val="en-AU"/>
    </w:rPr>
  </w:style>
  <w:style w:type="character" w:styleId="Piemint">
    <w:name w:val="Mention"/>
    <w:basedOn w:val="Noklusjumarindkopasfonts"/>
    <w:uiPriority w:val="99"/>
    <w:semiHidden/>
    <w:unhideWhenUsed/>
    <w:rsid w:val="00FF3E8D"/>
    <w:rPr>
      <w:color w:val="2B579A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0D7C88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D7C88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D7C88"/>
    <w:rPr>
      <w:rFonts w:ascii="Calibri" w:eastAsia="Times New Roman" w:hAnsi="Calibri" w:cs="Times New Roman"/>
      <w:b/>
      <w:bCs/>
      <w:color w:val="000000"/>
      <w:sz w:val="20"/>
      <w:szCs w:val="20"/>
      <w:lang w:eastAsia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233F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.gov.lv/lv/Ministrija/sabiedribas_lidzdaliba/diskusiju_dokument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3988-8F55-4F3B-9B3C-7E1447C6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5791</Words>
  <Characters>3302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projekta "Rotaļlietu drošuma noteikumi" sākotnējās ietekmes novērtējuma ziņojums(anotācija)</vt:lpstr>
      <vt:lpstr>Ministru kabineta noteikumu projekta "Rotaļlietu drošuma noteikumi" sākotnējās ietekmes novērtējuma ziņojums(anotācija)</vt:lpstr>
    </vt:vector>
  </TitlesOfParts>
  <Company>Ekonomikas ministrija</Company>
  <LinksUpToDate>false</LinksUpToDate>
  <CharactersWithSpaces>9075</CharactersWithSpaces>
  <SharedDoc>false</SharedDoc>
  <HLinks>
    <vt:vector size="6" baseType="variant">
      <vt:variant>
        <vt:i4>1179701</vt:i4>
      </vt:variant>
      <vt:variant>
        <vt:i4>3</vt:i4>
      </vt:variant>
      <vt:variant>
        <vt:i4>0</vt:i4>
      </vt:variant>
      <vt:variant>
        <vt:i4>5</vt:i4>
      </vt:variant>
      <vt:variant>
        <vt:lpwstr>mailto:Ieva.Zunde@em.gov.lv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"Rotaļlietu drošuma noteikumi" sākotnējās ietekmes novērtējuma ziņojums(anotācija)</dc:title>
  <dc:subject>Anotācija</dc:subject>
  <dc:creator>Juris Bulāns</dc:creator>
  <cp:keywords/>
  <dc:description>Juris.Bulans@em.gov.lv; t.67013156</dc:description>
  <cp:lastModifiedBy>Juris Bulāns</cp:lastModifiedBy>
  <cp:revision>9</cp:revision>
  <cp:lastPrinted>2018-06-12T13:57:00Z</cp:lastPrinted>
  <dcterms:created xsi:type="dcterms:W3CDTF">2020-10-30T11:00:00Z</dcterms:created>
  <dcterms:modified xsi:type="dcterms:W3CDTF">2020-11-05T12:01:00Z</dcterms:modified>
</cp:coreProperties>
</file>