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DE00" w14:textId="19C1CCA7" w:rsidR="00310924" w:rsidRPr="00583CBA" w:rsidRDefault="00032471" w:rsidP="003C585E">
      <w:pPr>
        <w:shd w:val="clear" w:color="auto" w:fill="FFFFFF"/>
        <w:contextualSpacing/>
        <w:jc w:val="center"/>
        <w:rPr>
          <w:b/>
          <w:sz w:val="26"/>
          <w:lang w:val="lv-LV"/>
        </w:rPr>
      </w:pPr>
      <w:bookmarkStart w:id="0" w:name="OLE_LINK3"/>
      <w:bookmarkStart w:id="1" w:name="OLE_LINK1"/>
      <w:bookmarkStart w:id="2" w:name="OLE_LINK2"/>
      <w:r w:rsidRPr="00583CBA">
        <w:rPr>
          <w:b/>
          <w:sz w:val="26"/>
          <w:szCs w:val="26"/>
          <w:lang w:val="lv-LV"/>
        </w:rPr>
        <w:t>Ministru kabineta noteikumu proj</w:t>
      </w:r>
      <w:r w:rsidRPr="00BA208A">
        <w:rPr>
          <w:b/>
          <w:sz w:val="26"/>
          <w:lang w:val="lv-LV"/>
        </w:rPr>
        <w:t>ekt</w:t>
      </w:r>
      <w:r w:rsidRPr="00D82825">
        <w:rPr>
          <w:b/>
          <w:sz w:val="26"/>
          <w:szCs w:val="26"/>
          <w:lang w:val="lv-LV"/>
        </w:rPr>
        <w:t xml:space="preserve">a </w:t>
      </w:r>
      <w:r w:rsidR="00D82825" w:rsidRPr="00D82825">
        <w:rPr>
          <w:b/>
          <w:sz w:val="26"/>
          <w:szCs w:val="26"/>
          <w:lang w:val="lv-LV"/>
        </w:rPr>
        <w:t xml:space="preserve">“Grozījumi Ministru kabineta 2017.gada 5.decembra noteikumos Nr.537 „Noteikumi par </w:t>
      </w:r>
      <w:proofErr w:type="spellStart"/>
      <w:r w:rsidR="00D82825" w:rsidRPr="00D82825">
        <w:rPr>
          <w:b/>
          <w:sz w:val="26"/>
          <w:szCs w:val="26"/>
          <w:lang w:val="lv-LV"/>
        </w:rPr>
        <w:t>portfeļgarantijām</w:t>
      </w:r>
      <w:proofErr w:type="spellEnd"/>
      <w:r w:rsidR="00D82825" w:rsidRPr="00D82825">
        <w:rPr>
          <w:b/>
          <w:sz w:val="26"/>
          <w:szCs w:val="26"/>
          <w:lang w:val="lv-LV"/>
        </w:rPr>
        <w:t xml:space="preserve"> sīko (mikro), mazo un vidējo komersantu kreditēšanas veicināšanai””</w:t>
      </w:r>
      <w:r w:rsidR="00D82825">
        <w:rPr>
          <w:rFonts w:eastAsia="Times New Roman"/>
          <w:b/>
          <w:sz w:val="28"/>
          <w:szCs w:val="28"/>
          <w:lang w:eastAsia="lv-LV"/>
        </w:rPr>
        <w:t xml:space="preserve"> </w:t>
      </w:r>
      <w:r w:rsidRPr="00583CBA">
        <w:rPr>
          <w:b/>
          <w:sz w:val="26"/>
          <w:szCs w:val="26"/>
          <w:lang w:val="lv-LV"/>
        </w:rPr>
        <w:t>sākotnējās ietekmes novērtējuma ziņojums (anotācija)</w:t>
      </w:r>
    </w:p>
    <w:p w14:paraId="286653D2" w14:textId="77777777" w:rsidR="00032471" w:rsidRPr="00583CBA" w:rsidRDefault="00032471" w:rsidP="006064F8">
      <w:pPr>
        <w:contextualSpacing/>
        <w:rPr>
          <w:b/>
          <w:sz w:val="26"/>
          <w:szCs w:val="26"/>
          <w:lang w:val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46"/>
        <w:gridCol w:w="6109"/>
      </w:tblGrid>
      <w:tr w:rsidR="00310924" w:rsidRPr="00583CBA" w14:paraId="06A3987D" w14:textId="77777777" w:rsidTr="00BB0042">
        <w:trPr>
          <w:tblCellSpacing w:w="15" w:type="dxa"/>
        </w:trPr>
        <w:tc>
          <w:tcPr>
            <w:tcW w:w="4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bookmarkEnd w:id="1"/>
          <w:bookmarkEnd w:id="2"/>
          <w:p w14:paraId="0723E20C" w14:textId="77777777" w:rsidR="00310924" w:rsidRPr="00583CBA" w:rsidRDefault="00310924" w:rsidP="006064F8">
            <w:pPr>
              <w:contextualSpacing/>
              <w:rPr>
                <w:rFonts w:eastAsia="Times New Roman"/>
                <w:b/>
                <w:bCs/>
                <w:iCs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b/>
                <w:bCs/>
                <w:iCs/>
                <w:sz w:val="26"/>
                <w:szCs w:val="26"/>
                <w:lang w:val="lv-LV" w:eastAsia="lv-LV"/>
              </w:rPr>
              <w:t>Tiesību akta projekta anotācijas kopsavilkums</w:t>
            </w:r>
          </w:p>
        </w:tc>
      </w:tr>
      <w:tr w:rsidR="00310924" w:rsidRPr="00B7453B" w14:paraId="5F92C921" w14:textId="77777777" w:rsidTr="00BB0042">
        <w:trPr>
          <w:tblCellSpacing w:w="15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DBABE" w14:textId="77777777" w:rsidR="00310924" w:rsidRPr="00583CBA" w:rsidRDefault="00310924" w:rsidP="006064F8">
            <w:pPr>
              <w:contextualSpacing/>
              <w:rPr>
                <w:rFonts w:eastAsia="Times New Roman"/>
                <w:iCs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Mērķis, risinājums un projekta spēkā stāšanās laiks (500 zīmes bez atstarpēm)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E6956" w14:textId="1E38029D" w:rsidR="008713B8" w:rsidRDefault="008713B8" w:rsidP="008713B8">
            <w:pPr>
              <w:jc w:val="both"/>
              <w:rPr>
                <w:rFonts w:eastAsia="Times New Roman"/>
                <w:iCs/>
                <w:sz w:val="26"/>
                <w:szCs w:val="26"/>
                <w:lang w:val="lv-LV" w:eastAsia="lv-LV"/>
              </w:rPr>
            </w:pPr>
            <w:r w:rsidRPr="00717417">
              <w:rPr>
                <w:bCs/>
                <w:sz w:val="26"/>
                <w:szCs w:val="26"/>
                <w:lang w:val="lv-LV"/>
              </w:rPr>
              <w:t xml:space="preserve">Ministru kabineta </w:t>
            </w:r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noteikumu projekta </w:t>
            </w:r>
            <w:r>
              <w:rPr>
                <w:rFonts w:eastAsia="Times New Roman"/>
                <w:iCs/>
                <w:sz w:val="26"/>
                <w:szCs w:val="26"/>
                <w:lang w:val="lv-LV" w:eastAsia="lv-LV"/>
              </w:rPr>
              <w:t>“</w:t>
            </w:r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Grozījumi Ministru kabineta 2017.gada 5.decembra noteikumos Nr.537 „Noteikumi par </w:t>
            </w:r>
            <w:proofErr w:type="spellStart"/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portfeļgarantijām</w:t>
            </w:r>
            <w:proofErr w:type="spellEnd"/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sīko (mikro), mazo un vidējo komersantu kreditēšanas veicināšanai”</w:t>
            </w:r>
            <w:r>
              <w:rPr>
                <w:rFonts w:eastAsia="Times New Roman"/>
                <w:iCs/>
                <w:sz w:val="26"/>
                <w:szCs w:val="26"/>
                <w:lang w:val="lv-LV" w:eastAsia="lv-LV"/>
              </w:rPr>
              <w:t>”</w:t>
            </w:r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(turpmāk – Noteikumu</w:t>
            </w:r>
            <w:r w:rsidRPr="00141249">
              <w:rPr>
                <w:bCs/>
                <w:sz w:val="26"/>
                <w:szCs w:val="26"/>
                <w:lang w:val="lv-LV"/>
              </w:rPr>
              <w:t xml:space="preserve"> projekts)</w:t>
            </w:r>
            <w:r w:rsidRPr="00DD696D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Times New Roman"/>
                <w:iCs/>
                <w:sz w:val="26"/>
                <w:szCs w:val="26"/>
                <w:lang w:val="lv-LV" w:eastAsia="lv-LV"/>
              </w:rPr>
              <w:t>paredz programmas nosacījumu precizēšanu, lai paplašinātu atbalsta saņēmēju loku un nodrošinātu finansējuma pieejamību Covid-19 krīzes skartajiem saimniecības darbības veicējiem.</w:t>
            </w:r>
          </w:p>
          <w:p w14:paraId="0891E1DE" w14:textId="37EDFCC6" w:rsidR="00DD696D" w:rsidRPr="00583CBA" w:rsidRDefault="008713B8" w:rsidP="00251FA5">
            <w:pPr>
              <w:contextualSpacing/>
              <w:jc w:val="both"/>
              <w:rPr>
                <w:rFonts w:eastAsia="Times New Roman"/>
                <w:iCs/>
                <w:sz w:val="26"/>
                <w:szCs w:val="26"/>
                <w:lang w:val="lv-LV"/>
              </w:rPr>
            </w:pPr>
            <w:r>
              <w:rPr>
                <w:rFonts w:eastAsia="Times New Roman"/>
                <w:iCs/>
                <w:sz w:val="26"/>
                <w:szCs w:val="26"/>
                <w:lang w:val="lv-LV" w:eastAsia="lv-LV"/>
              </w:rPr>
              <w:t>Noteikumu projekts stājas spēkā nākamajā dienā pēc tā izsludināšanas oficiālajā izdevumā “Latvijas vēstnesis”.</w:t>
            </w:r>
          </w:p>
        </w:tc>
      </w:tr>
    </w:tbl>
    <w:p w14:paraId="6A8022D4" w14:textId="0FD7EE14" w:rsidR="00310924" w:rsidRPr="00583CBA" w:rsidRDefault="00310924" w:rsidP="00434856">
      <w:pPr>
        <w:tabs>
          <w:tab w:val="right" w:pos="9072"/>
        </w:tabs>
        <w:contextualSpacing/>
        <w:rPr>
          <w:sz w:val="26"/>
          <w:szCs w:val="26"/>
          <w:lang w:val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558"/>
        <w:gridCol w:w="6160"/>
      </w:tblGrid>
      <w:tr w:rsidR="00844176" w:rsidRPr="00583CBA" w14:paraId="02364BB3" w14:textId="77777777" w:rsidTr="00434856">
        <w:trPr>
          <w:trHeight w:val="307"/>
        </w:trPr>
        <w:tc>
          <w:tcPr>
            <w:tcW w:w="91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E54FE2" w14:textId="77777777" w:rsidR="00844176" w:rsidRPr="00583CBA" w:rsidRDefault="00844176" w:rsidP="00434856">
            <w:pPr>
              <w:tabs>
                <w:tab w:val="left" w:pos="5888"/>
              </w:tabs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b/>
                <w:sz w:val="26"/>
                <w:lang w:val="lv-LV"/>
              </w:rPr>
              <w:t>I. Tiesību akta projekta izstrādes nepieciešamība</w:t>
            </w:r>
          </w:p>
        </w:tc>
      </w:tr>
      <w:tr w:rsidR="00844176" w:rsidRPr="00B7453B" w14:paraId="7F385C9A" w14:textId="77777777" w:rsidTr="00434856">
        <w:trPr>
          <w:trHeight w:val="40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02C726" w14:textId="77777777" w:rsidR="00844176" w:rsidRPr="00D74824" w:rsidRDefault="00844176" w:rsidP="00D74824">
            <w:pPr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 w:rsidRPr="00D74824">
              <w:rPr>
                <w:rFonts w:eastAsiaTheme="minorHAnsi"/>
                <w:sz w:val="26"/>
                <w:szCs w:val="26"/>
                <w:lang w:val="lv-LV"/>
              </w:rPr>
              <w:t>1.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EF4B2" w14:textId="77777777" w:rsidR="00844176" w:rsidRPr="00D74824" w:rsidRDefault="00844176" w:rsidP="00D74824">
            <w:pPr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 w:rsidRPr="00D74824">
              <w:rPr>
                <w:rFonts w:eastAsiaTheme="minorHAnsi"/>
                <w:sz w:val="26"/>
                <w:szCs w:val="26"/>
                <w:lang w:val="lv-LV"/>
              </w:rPr>
              <w:t>Pamatojums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F1BBF" w14:textId="14AA6107" w:rsidR="00B72365" w:rsidRPr="00D74824" w:rsidRDefault="008713B8" w:rsidP="007C614A">
            <w:pPr>
              <w:spacing w:after="160" w:line="256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>
              <w:rPr>
                <w:rFonts w:eastAsiaTheme="minorHAnsi"/>
                <w:sz w:val="26"/>
                <w:szCs w:val="26"/>
                <w:lang w:val="lv-LV"/>
              </w:rPr>
              <w:t>Noteikumu p</w:t>
            </w:r>
            <w:r w:rsidR="007C614A">
              <w:rPr>
                <w:rFonts w:eastAsiaTheme="minorHAnsi"/>
                <w:sz w:val="26"/>
                <w:szCs w:val="26"/>
                <w:lang w:val="lv-LV"/>
              </w:rPr>
              <w:t xml:space="preserve">rojekts sagatavots pēc Ekonomikas ministrijas iniciatīvas pamatojoties uz Attīstības finanšu institūcijas likuma 12.panta ceturto daļu, lai precizētu normatīvā akta normas, kā arī  saskaņā ar </w:t>
            </w:r>
            <w:r w:rsidR="007C614A" w:rsidRPr="007C614A">
              <w:rPr>
                <w:rFonts w:eastAsiaTheme="minorHAnsi"/>
                <w:sz w:val="26"/>
                <w:szCs w:val="26"/>
                <w:lang w:val="lv-LV"/>
              </w:rPr>
              <w:t>Komisijas</w:t>
            </w:r>
            <w:r w:rsidR="007C614A">
              <w:rPr>
                <w:rFonts w:eastAsiaTheme="minorHAnsi"/>
                <w:sz w:val="26"/>
                <w:szCs w:val="26"/>
                <w:lang w:val="lv-LV"/>
              </w:rPr>
              <w:t xml:space="preserve"> regulu Nr.1407/2013</w:t>
            </w:r>
            <w:r w:rsidR="007C614A">
              <w:rPr>
                <w:rStyle w:val="FootnoteReference"/>
                <w:rFonts w:eastAsiaTheme="minorHAnsi"/>
                <w:sz w:val="26"/>
                <w:szCs w:val="26"/>
                <w:lang w:val="lv-LV"/>
              </w:rPr>
              <w:footnoteReference w:id="2"/>
            </w:r>
            <w:r w:rsidR="007C614A">
              <w:rPr>
                <w:rFonts w:eastAsiaTheme="minorHAnsi"/>
                <w:sz w:val="26"/>
                <w:szCs w:val="26"/>
                <w:lang w:val="lv-LV"/>
              </w:rPr>
              <w:t>.</w:t>
            </w:r>
          </w:p>
        </w:tc>
      </w:tr>
      <w:tr w:rsidR="00844176" w:rsidRPr="00281F98" w14:paraId="62EDED08" w14:textId="77777777" w:rsidTr="00434856">
        <w:trPr>
          <w:trHeight w:val="46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4587A4" w14:textId="77777777" w:rsidR="00844176" w:rsidRPr="00583CBA" w:rsidRDefault="00844176" w:rsidP="00434856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2.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D4671" w14:textId="044133EA" w:rsidR="00844176" w:rsidRPr="00583CBA" w:rsidRDefault="00844176" w:rsidP="00434856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A9A54B" w14:textId="1312213F" w:rsidR="008713B8" w:rsidRPr="00EA213E" w:rsidRDefault="008713B8" w:rsidP="008713B8">
            <w:pPr>
              <w:jc w:val="both"/>
              <w:rPr>
                <w:iCs/>
                <w:sz w:val="26"/>
                <w:szCs w:val="26"/>
                <w:lang w:val="lv-LV" w:eastAsia="lv-LV"/>
              </w:rPr>
            </w:pPr>
            <w:r w:rsidRPr="00EA213E">
              <w:rPr>
                <w:iCs/>
                <w:sz w:val="26"/>
                <w:szCs w:val="26"/>
                <w:lang w:val="lv-LV" w:eastAsia="lv-LV"/>
              </w:rPr>
              <w:t xml:space="preserve">Ar </w:t>
            </w:r>
            <w:r>
              <w:rPr>
                <w:iCs/>
                <w:sz w:val="26"/>
                <w:szCs w:val="26"/>
                <w:lang w:val="lv-LV" w:eastAsia="lv-LV"/>
              </w:rPr>
              <w:t>Noteikumu</w:t>
            </w:r>
            <w:r w:rsidRPr="00EA213E">
              <w:rPr>
                <w:iCs/>
                <w:sz w:val="26"/>
                <w:szCs w:val="26"/>
                <w:lang w:val="lv-LV" w:eastAsia="lv-LV"/>
              </w:rPr>
              <w:t xml:space="preserve"> projektu tiek veikti tālāk minētie grozījumi </w:t>
            </w:r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Ministru kabineta 2017.gada 5.decembra noteikumos Nr.537 „Noteikumi par </w:t>
            </w:r>
            <w:proofErr w:type="spellStart"/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portfeļgarantijām</w:t>
            </w:r>
            <w:proofErr w:type="spellEnd"/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sīko (mikro), mazo un vidējo komersantu kreditēšanas veicināšanai”</w:t>
            </w:r>
            <w:r>
              <w:rPr>
                <w:rFonts w:eastAsia="Times New Roman"/>
                <w:iCs/>
                <w:sz w:val="26"/>
                <w:szCs w:val="26"/>
                <w:lang w:val="lv-LV" w:eastAsia="lv-LV"/>
              </w:rPr>
              <w:t>”</w:t>
            </w:r>
            <w:r w:rsidRPr="008713B8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</w:t>
            </w:r>
            <w:r w:rsidRPr="00EA213E">
              <w:rPr>
                <w:iCs/>
                <w:sz w:val="26"/>
                <w:szCs w:val="26"/>
                <w:lang w:val="lv-LV" w:eastAsia="lv-LV"/>
              </w:rPr>
              <w:t xml:space="preserve"> (turpmāk – MK noteikumi Nr.5</w:t>
            </w:r>
            <w:r>
              <w:rPr>
                <w:iCs/>
                <w:sz w:val="26"/>
                <w:szCs w:val="26"/>
                <w:lang w:val="lv-LV" w:eastAsia="lv-LV"/>
              </w:rPr>
              <w:t>37</w:t>
            </w:r>
            <w:r w:rsidRPr="00EA213E">
              <w:rPr>
                <w:iCs/>
                <w:sz w:val="26"/>
                <w:szCs w:val="26"/>
                <w:lang w:val="lv-LV" w:eastAsia="lv-LV"/>
              </w:rPr>
              <w:t>).</w:t>
            </w:r>
          </w:p>
          <w:p w14:paraId="52002A28" w14:textId="77777777" w:rsidR="00945065" w:rsidRDefault="00945065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959E8" w14:textId="083A4612" w:rsidR="00945065" w:rsidRPr="00945065" w:rsidRDefault="004858C7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Atbalsta piešķiršanas</w:t>
            </w:r>
            <w:r w:rsidR="00945065" w:rsidRPr="0094506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normu precizē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š</w:t>
            </w:r>
            <w:r w:rsidR="00945065" w:rsidRPr="0094506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ana</w:t>
            </w:r>
          </w:p>
          <w:p w14:paraId="7BC41D13" w14:textId="634DF974" w:rsidR="00CD3066" w:rsidRDefault="00CD3066" w:rsidP="00C16DED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Portfeļgarantiju</w:t>
            </w:r>
            <w:proofErr w:type="spellEnd"/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programma pirmo reizi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Latvijā tika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uzsākta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2018.gadā un tika veidot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DED">
              <w:rPr>
                <w:rFonts w:ascii="Times New Roman" w:hAnsi="Times New Roman" w:cs="Times New Roman"/>
                <w:sz w:val="26"/>
                <w:szCs w:val="26"/>
              </w:rPr>
              <w:t>par pamat</w:t>
            </w:r>
            <w:r w:rsidR="004858C7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C16DED">
              <w:rPr>
                <w:rFonts w:ascii="Times New Roman" w:hAnsi="Times New Roman" w:cs="Times New Roman"/>
                <w:sz w:val="26"/>
                <w:szCs w:val="26"/>
              </w:rPr>
              <w:t xml:space="preserve"> ņemot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standarta (</w:t>
            </w:r>
            <w:r w:rsidRPr="00CD3066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proofErr w:type="spellStart"/>
            <w:r w:rsidRPr="00CD3066">
              <w:rPr>
                <w:rFonts w:ascii="Times New Roman" w:hAnsi="Times New Roman" w:cs="Times New Roman"/>
                <w:i/>
                <w:sz w:val="26"/>
                <w:szCs w:val="26"/>
              </w:rPr>
              <w:t>off-the-shelf</w:t>
            </w:r>
            <w:proofErr w:type="spellEnd"/>
            <w:r w:rsidRPr="00CD3066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finanšu instrumenta nosacījumus, kuri norādīti Regulas Nr.964/2014 III pielikumā</w:t>
            </w:r>
            <w:r w:rsidRPr="00CD3066">
              <w:rPr>
                <w:rStyle w:val="FootnoteReference"/>
                <w:rFonts w:cs="Times New Roman"/>
                <w:sz w:val="26"/>
                <w:szCs w:val="26"/>
              </w:rPr>
              <w:footnoteReference w:id="3"/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35BAA79" w14:textId="40B9C72C" w:rsidR="00CD3066" w:rsidRDefault="00CD3066" w:rsidP="00CD3066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ai pierādītu valsts atbalsta neesamību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komerc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bankai,</w:t>
            </w:r>
            <w:r w:rsidR="004858C7">
              <w:rPr>
                <w:rFonts w:ascii="Times New Roman" w:hAnsi="Times New Roman" w:cs="Times New Roman"/>
                <w:sz w:val="26"/>
                <w:szCs w:val="26"/>
              </w:rPr>
              <w:t xml:space="preserve"> programma izstrādāta saskaņ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>ā ar Regulu Nr.964/2014, savukārt citi nosacījumi ir sas</w:t>
            </w:r>
            <w:r w:rsidR="00291C35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>aņā</w:t>
            </w:r>
            <w:r w:rsidR="004858C7">
              <w:rPr>
                <w:rFonts w:ascii="Times New Roman" w:hAnsi="Times New Roman" w:cs="Times New Roman"/>
                <w:sz w:val="26"/>
                <w:szCs w:val="26"/>
              </w:rPr>
              <w:t xml:space="preserve"> ar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Komisijas regul</w:t>
            </w:r>
            <w:r w:rsidR="004858C7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Nr.1407/2013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kas nosaka </w:t>
            </w:r>
            <w:proofErr w:type="spellStart"/>
            <w:r w:rsidRPr="00CD30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de</w:t>
            </w:r>
            <w:proofErr w:type="spellEnd"/>
            <w:r w:rsidRPr="00CD30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D306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minimis</w:t>
            </w:r>
            <w:proofErr w:type="spellEnd"/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atbalsta nosacījumus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D89BFC0" w14:textId="0C89F562" w:rsidR="00575FE5" w:rsidRDefault="00CD3066" w:rsidP="00CD3066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Ņ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emot vērā, ka programmas īstenošanai netiek izmantoti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Eiropas reģionālā attīstības fonda (turpmāk – 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ERAF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FE5">
              <w:rPr>
                <w:rFonts w:ascii="Times New Roman" w:hAnsi="Times New Roman" w:cs="Times New Roman"/>
                <w:sz w:val="26"/>
                <w:szCs w:val="26"/>
              </w:rPr>
              <w:t>finansējums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DED">
              <w:rPr>
                <w:rFonts w:ascii="Times New Roman" w:hAnsi="Times New Roman" w:cs="Times New Roman"/>
                <w:sz w:val="26"/>
                <w:szCs w:val="26"/>
              </w:rPr>
              <w:t>Noteikumu p</w:t>
            </w:r>
            <w:r w:rsidRPr="000E3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rojekts paredz svītrot nosacījumus par nepieciešamību komersanta biznesa plānā vai tam pielīdzināmā dokumentā pamatot aizdevuma saistību ar komersanta darbības uzsākšanu, komersanta attīstību vai darbības paplašināšanu aizdevumiem apgrozāmo līdzekļu finansēšanai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, tai skaitā aizdevumiem kredītlīnijas vai </w:t>
            </w:r>
            <w:proofErr w:type="spellStart"/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kredītlimita</w:t>
            </w:r>
            <w:proofErr w:type="spellEnd"/>
            <w:r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veidā. </w:t>
            </w:r>
          </w:p>
          <w:p w14:paraId="27BF397E" w14:textId="39FBD177" w:rsidR="00CD3066" w:rsidRDefault="00C16DED" w:rsidP="00CD3066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Aktuālajā</w:t>
            </w:r>
            <w:r w:rsidR="00CD3066"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3066">
              <w:rPr>
                <w:rFonts w:ascii="Times New Roman" w:hAnsi="Times New Roman" w:cs="Times New Roman"/>
                <w:sz w:val="26"/>
                <w:szCs w:val="26"/>
              </w:rPr>
              <w:t>MK noteikum</w:t>
            </w:r>
            <w:r w:rsidR="00485C40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CD3066">
              <w:rPr>
                <w:rFonts w:ascii="Times New Roman" w:hAnsi="Times New Roman" w:cs="Times New Roman"/>
                <w:sz w:val="26"/>
                <w:szCs w:val="26"/>
              </w:rPr>
              <w:t xml:space="preserve"> Nr.537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versijā </w:t>
            </w:r>
            <w:r w:rsidR="00CD3066"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šī norma ir svītrota līdz 2020.gada beigām, </w:t>
            </w:r>
            <w:r w:rsidR="00CD3066">
              <w:rPr>
                <w:rFonts w:ascii="Times New Roman" w:hAnsi="Times New Roman" w:cs="Times New Roman"/>
                <w:sz w:val="26"/>
                <w:szCs w:val="26"/>
              </w:rPr>
              <w:t xml:space="preserve">taču, </w:t>
            </w:r>
            <w:r w:rsidR="00CD3066"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ņemot </w:t>
            </w:r>
            <w:r w:rsidR="00CD3066">
              <w:rPr>
                <w:rFonts w:ascii="Times New Roman" w:hAnsi="Times New Roman" w:cs="Times New Roman"/>
                <w:sz w:val="26"/>
                <w:szCs w:val="26"/>
              </w:rPr>
              <w:t xml:space="preserve">vērā </w:t>
            </w:r>
            <w:r w:rsidR="00CD3066" w:rsidRPr="00CD3066">
              <w:rPr>
                <w:rFonts w:ascii="Times New Roman" w:hAnsi="Times New Roman" w:cs="Times New Roman"/>
                <w:sz w:val="26"/>
                <w:szCs w:val="26"/>
              </w:rPr>
              <w:t>augstākminēto pamatojumu, E</w:t>
            </w:r>
            <w:r w:rsidR="00CD3066">
              <w:rPr>
                <w:rFonts w:ascii="Times New Roman" w:hAnsi="Times New Roman" w:cs="Times New Roman"/>
                <w:sz w:val="26"/>
                <w:szCs w:val="26"/>
              </w:rPr>
              <w:t>konomikas ministrija</w:t>
            </w:r>
            <w:r w:rsidR="00CD3066" w:rsidRPr="00CD3066">
              <w:rPr>
                <w:rFonts w:ascii="Times New Roman" w:hAnsi="Times New Roman" w:cs="Times New Roman"/>
                <w:sz w:val="26"/>
                <w:szCs w:val="26"/>
              </w:rPr>
              <w:t xml:space="preserve"> rosina atteikties no šīs ierobežojošās normas</w:t>
            </w:r>
            <w:r w:rsidR="00575FE5">
              <w:rPr>
                <w:rFonts w:ascii="Times New Roman" w:hAnsi="Times New Roman" w:cs="Times New Roman"/>
                <w:sz w:val="26"/>
                <w:szCs w:val="26"/>
              </w:rPr>
              <w:t xml:space="preserve"> pastāvīgi.</w:t>
            </w:r>
          </w:p>
          <w:p w14:paraId="259061AF" w14:textId="57A67949" w:rsidR="000E3267" w:rsidRDefault="000E3267" w:rsidP="00CD3066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Šie grozījumi atļaus piesaistīt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portfeļgarantiju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plašāka</w:t>
            </w:r>
            <w:r w:rsidR="00C16DE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saimnieciskās darbības veicēju lokam un finanšu pakalpojumu klāstam, tādējādi veicinot uzņēmējdarbības kreditēšanu</w:t>
            </w:r>
            <w:r w:rsidR="00C16DED">
              <w:rPr>
                <w:rFonts w:ascii="Times New Roman" w:hAnsi="Times New Roman" w:cs="Times New Roman"/>
                <w:sz w:val="26"/>
                <w:szCs w:val="26"/>
              </w:rPr>
              <w:t xml:space="preserve"> Latvijā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71B198" w14:textId="53F5C8DF" w:rsidR="00782332" w:rsidRDefault="00E76D01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Ņemot vērā šo ierosinājumu</w:t>
            </w:r>
            <w:r w:rsidR="00F25F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aktualitāti zaudē arī </w:t>
            </w:r>
            <w:r w:rsidR="00F25F7D">
              <w:rPr>
                <w:rFonts w:ascii="Times New Roman" w:hAnsi="Times New Roman" w:cs="Times New Roman"/>
                <w:sz w:val="26"/>
                <w:szCs w:val="26"/>
              </w:rPr>
              <w:t>MK noteikumu Nr.537 9.2.</w:t>
            </w:r>
            <w:r w:rsidR="00F25F7D" w:rsidRPr="00F25F7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F25F7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F25F7D">
              <w:rPr>
                <w:rFonts w:ascii="Times New Roman" w:hAnsi="Times New Roman" w:cs="Times New Roman"/>
                <w:sz w:val="26"/>
                <w:szCs w:val="26"/>
              </w:rPr>
              <w:t>punkts.</w:t>
            </w:r>
          </w:p>
          <w:p w14:paraId="1727FC24" w14:textId="321AC631" w:rsidR="00F543D6" w:rsidRDefault="00F543D6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3D6">
              <w:rPr>
                <w:rFonts w:ascii="Times New Roman" w:hAnsi="Times New Roman" w:cs="Times New Roman"/>
                <w:sz w:val="26"/>
                <w:szCs w:val="26"/>
              </w:rPr>
              <w:t>Papildus E</w:t>
            </w:r>
            <w:r w:rsidR="00291C35">
              <w:rPr>
                <w:rFonts w:ascii="Times New Roman" w:hAnsi="Times New Roman" w:cs="Times New Roman"/>
                <w:sz w:val="26"/>
                <w:szCs w:val="26"/>
              </w:rPr>
              <w:t>konomikas ministrija</w:t>
            </w:r>
            <w:r w:rsidRPr="00F543D6">
              <w:rPr>
                <w:rFonts w:ascii="Times New Roman" w:hAnsi="Times New Roman" w:cs="Times New Roman"/>
                <w:sz w:val="26"/>
                <w:szCs w:val="26"/>
              </w:rPr>
              <w:t xml:space="preserve"> skaidro, </w:t>
            </w:r>
            <w:r w:rsidR="00291C35">
              <w:rPr>
                <w:rFonts w:ascii="Times New Roman" w:hAnsi="Times New Roman" w:cs="Times New Roman"/>
                <w:sz w:val="26"/>
                <w:szCs w:val="26"/>
              </w:rPr>
              <w:t xml:space="preserve">ka MK noteikumos Nr.537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ietvaros</w:t>
            </w:r>
            <w:r w:rsidRPr="00F543D6">
              <w:rPr>
                <w:rFonts w:ascii="Times New Roman" w:hAnsi="Times New Roman" w:cs="Times New Roman"/>
                <w:sz w:val="26"/>
                <w:szCs w:val="26"/>
              </w:rPr>
              <w:t xml:space="preserve"> nav saistoša norma par garantijas sniegšanu apgrozāmo līdzekļu aizdevumam tikai saistībā ar investīciju veikšanu.</w:t>
            </w:r>
          </w:p>
          <w:p w14:paraId="32D429F2" w14:textId="08F41F8E" w:rsidR="00AD0A3A" w:rsidRDefault="00AD0A3A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Attiecīgi Noteikumu projekts paredz svītrot 9.</w:t>
            </w:r>
            <w:r w:rsidRPr="00AD0A3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punktu, ņemot vērā, ka veicot minētos grozījumus tas neatšķiras no 9.punkta.</w:t>
            </w:r>
          </w:p>
          <w:p w14:paraId="0677B090" w14:textId="0CD2C876" w:rsidR="00880720" w:rsidRPr="00880720" w:rsidRDefault="00880720" w:rsidP="00065216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6"/>
                <w:szCs w:val="26"/>
              </w:rPr>
              <w:t>MK</w:t>
            </w:r>
            <w:r w:rsidR="00234025">
              <w:rPr>
                <w:rFonts w:ascii="Times New Roman" w:hAnsi="Times New Roman" w:cs="Times New Roman"/>
                <w:sz w:val="26"/>
                <w:szCs w:val="26"/>
              </w:rPr>
              <w:t xml:space="preserve"> noteikumi Nr.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537 10.1. punkts nosaka, ka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portfeļgarantiju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var saņemt komersants, kas </w:t>
            </w:r>
            <w:r w:rsidRPr="00880720">
              <w:rPr>
                <w:rFonts w:ascii="Times New Roman" w:hAnsi="Times New Roman" w:cs="Times New Roman"/>
                <w:sz w:val="26"/>
                <w:szCs w:val="26"/>
              </w:rPr>
              <w:t xml:space="preserve">atbilst Komisijas 2014. gada 17. jūnija Regulas (ES) Nr. 651/2014, ar ko noteiktas atbalsta kategorijas atzīst par saderīgām ar iekšējo tirgu, piemērojot Līguma 107. un 108. pantu (turpmāk – Komisijas regula Nr. 651/2014), 1. pielikumā noteiktajām </w:t>
            </w:r>
            <w:proofErr w:type="spellStart"/>
            <w:r w:rsidRPr="00880720">
              <w:rPr>
                <w:rFonts w:ascii="Times New Roman" w:hAnsi="Times New Roman" w:cs="Times New Roman"/>
                <w:sz w:val="26"/>
                <w:szCs w:val="26"/>
              </w:rPr>
              <w:t>mikrouzņēmumu</w:t>
            </w:r>
            <w:proofErr w:type="spellEnd"/>
            <w:r w:rsidRPr="00880720">
              <w:rPr>
                <w:rFonts w:ascii="Times New Roman" w:hAnsi="Times New Roman" w:cs="Times New Roman"/>
                <w:sz w:val="26"/>
                <w:szCs w:val="26"/>
              </w:rPr>
              <w:t>, mazo un vidējo uzņēmumu definīcijā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m. </w:t>
            </w:r>
            <w:r w:rsidR="00234025">
              <w:rPr>
                <w:rFonts w:ascii="Times New Roman" w:hAnsi="Times New Roman" w:cs="Times New Roman"/>
                <w:sz w:val="26"/>
                <w:szCs w:val="26"/>
              </w:rPr>
              <w:t>Komisijas r</w:t>
            </w:r>
            <w:r w:rsidRPr="00880720">
              <w:rPr>
                <w:rFonts w:ascii="Times New Roman" w:hAnsi="Times New Roman" w:cs="Times New Roman"/>
                <w:sz w:val="26"/>
                <w:szCs w:val="26"/>
              </w:rPr>
              <w:t xml:space="preserve">egulas Nr.651/2014 1.pielikuma 1.pants nosaka uzņēmuma definīciju: “Par uzņēmumu uzskata jebkuru saimnieciskās darbības subjektu neatkarīgi no tā juridiskās formas. Tas jo īpaši ietver </w:t>
            </w:r>
            <w:proofErr w:type="spellStart"/>
            <w:r w:rsidRPr="00880720">
              <w:rPr>
                <w:rFonts w:ascii="Times New Roman" w:hAnsi="Times New Roman" w:cs="Times New Roman"/>
                <w:sz w:val="26"/>
                <w:szCs w:val="26"/>
              </w:rPr>
              <w:t>pašnodarbinātas</w:t>
            </w:r>
            <w:proofErr w:type="spellEnd"/>
            <w:r w:rsidRPr="00880720">
              <w:rPr>
                <w:rFonts w:ascii="Times New Roman" w:hAnsi="Times New Roman" w:cs="Times New Roman"/>
                <w:sz w:val="26"/>
                <w:szCs w:val="26"/>
              </w:rPr>
              <w:t xml:space="preserve"> personas un ģimenes uzņēmumus, kas nodarbojas ar amatniecību vai veic citu darbību, kā arī personālsabiedrības un apvienības, kas regulāri ir iesaistītas saimnieciskajā darbībā.”  </w:t>
            </w:r>
          </w:p>
          <w:p w14:paraId="61D20222" w14:textId="72420091" w:rsidR="00880720" w:rsidRDefault="00880720" w:rsidP="00880720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720">
              <w:rPr>
                <w:rFonts w:ascii="Times New Roman" w:hAnsi="Times New Roman" w:cs="Times New Roman"/>
                <w:sz w:val="26"/>
                <w:szCs w:val="26"/>
              </w:rPr>
              <w:t xml:space="preserve">Attiecīgi saskaņā ar </w:t>
            </w:r>
            <w:r w:rsidR="00234025">
              <w:rPr>
                <w:rFonts w:ascii="Times New Roman" w:hAnsi="Times New Roman" w:cs="Times New Roman"/>
                <w:sz w:val="26"/>
                <w:szCs w:val="26"/>
              </w:rPr>
              <w:t>Komisijas r</w:t>
            </w:r>
            <w:r w:rsidRPr="00880720">
              <w:rPr>
                <w:rFonts w:ascii="Times New Roman" w:hAnsi="Times New Roman" w:cs="Times New Roman"/>
                <w:sz w:val="26"/>
                <w:szCs w:val="26"/>
              </w:rPr>
              <w:t xml:space="preserve">egulā Nr.651/2014 minēto - saimnieciskās darbības subjekta juridiskā forma nav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noteikta un tā var būt ne tikai komersants.</w:t>
            </w:r>
          </w:p>
          <w:p w14:paraId="15A8E54D" w14:textId="23BBF48C" w:rsidR="00880720" w:rsidRPr="00880720" w:rsidRDefault="00880720" w:rsidP="00880720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D437A" w14:textId="0D9362FD" w:rsidR="00880720" w:rsidRPr="00880720" w:rsidRDefault="00880720" w:rsidP="00880720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7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Tā kā saimniecisko darbību var veikt ne tikai komersanti, bet arī biedrības un nodibinājumi, kā arī zemnieku saimniecības savu mērķu sasniegšanai, kas var būt atbalstāmi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saskaņā ar Regulu Nr.964/2014 un Nr.1407/2013, </w:t>
            </w:r>
            <w:r w:rsidR="00DE61A9">
              <w:rPr>
                <w:rFonts w:ascii="Times New Roman" w:hAnsi="Times New Roman" w:cs="Times New Roman"/>
                <w:sz w:val="26"/>
                <w:szCs w:val="26"/>
              </w:rPr>
              <w:t xml:space="preserve">lai nesašaurinātu atbalsta saņēmēju loku,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noteik</w:t>
            </w:r>
            <w:r w:rsidR="00DE61A9">
              <w:rPr>
                <w:rFonts w:ascii="Times New Roman" w:hAnsi="Times New Roman" w:cs="Times New Roman"/>
                <w:sz w:val="26"/>
                <w:szCs w:val="26"/>
              </w:rPr>
              <w:t>umu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projekts paredz </w:t>
            </w:r>
            <w:r w:rsidRPr="00880720">
              <w:rPr>
                <w:rFonts w:ascii="Times New Roman" w:hAnsi="Times New Roman" w:cs="Times New Roman"/>
                <w:sz w:val="26"/>
                <w:szCs w:val="26"/>
              </w:rPr>
              <w:t>precizēt atbalsta saņēmēju mērķa grupu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Tādējādi tās būs saskaņā ar </w:t>
            </w:r>
            <w:r w:rsidR="00B7453B">
              <w:rPr>
                <w:rFonts w:ascii="Times New Roman" w:hAnsi="Times New Roman" w:cs="Times New Roman"/>
                <w:sz w:val="26"/>
                <w:szCs w:val="26"/>
              </w:rPr>
              <w:t xml:space="preserve">citām Attīstības finanšu institūcijas </w:t>
            </w:r>
            <w:proofErr w:type="spellStart"/>
            <w:r w:rsidR="00B7453B">
              <w:rPr>
                <w:rFonts w:ascii="Times New Roman" w:hAnsi="Times New Roman" w:cs="Times New Roman"/>
                <w:sz w:val="26"/>
                <w:szCs w:val="26"/>
              </w:rPr>
              <w:t>Altum</w:t>
            </w:r>
            <w:proofErr w:type="spellEnd"/>
            <w:r w:rsidR="00B7453B">
              <w:rPr>
                <w:rFonts w:ascii="Times New Roman" w:hAnsi="Times New Roman" w:cs="Times New Roman"/>
                <w:sz w:val="26"/>
                <w:szCs w:val="26"/>
              </w:rPr>
              <w:t xml:space="preserve"> (turpmāk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ALTUM</w:t>
            </w:r>
            <w:r w:rsidR="00B745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finanšu instrumentu programmām, kā piem</w:t>
            </w:r>
            <w:r w:rsidR="00B7453B">
              <w:rPr>
                <w:rFonts w:ascii="Times New Roman" w:hAnsi="Times New Roman" w:cs="Times New Roman"/>
                <w:sz w:val="26"/>
                <w:szCs w:val="26"/>
              </w:rPr>
              <w:t xml:space="preserve">ēram,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individuālās garantijas.</w:t>
            </w:r>
          </w:p>
          <w:p w14:paraId="6FDE2EDA" w14:textId="39B84227" w:rsidR="00575FE5" w:rsidRDefault="00575FE5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99DEA8" w14:textId="66601DAF" w:rsidR="00945065" w:rsidRPr="00945065" w:rsidRDefault="00945065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4506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Covid-19 programmas pagarinājums</w:t>
            </w:r>
          </w:p>
          <w:p w14:paraId="33759E51" w14:textId="267ABA83" w:rsidR="005A4865" w:rsidRPr="0057338A" w:rsidRDefault="005A4865" w:rsidP="0078233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338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>ortfeļgarantiju</w:t>
            </w:r>
            <w:proofErr w:type="spellEnd"/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programma Covid-19 seku mazināšanai (MK Noteikumu Nr.537 5.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1 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punkts) tika ieviesta saskaņā ar </w:t>
            </w:r>
            <w:proofErr w:type="spellStart"/>
            <w:r w:rsidR="00F25F7D" w:rsidRPr="005733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de</w:t>
            </w:r>
            <w:proofErr w:type="spellEnd"/>
            <w:r w:rsidR="00F25F7D" w:rsidRPr="005733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F25F7D" w:rsidRPr="005733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minimis</w:t>
            </w:r>
            <w:proofErr w:type="spellEnd"/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atbalsta nosacījumiem,</w:t>
            </w:r>
            <w:r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pārņemot atsevišķus 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>Eiropas Komisijas 2020.gada 19.marta Komisijas paziņojumu “Pagaidu regulējums valsts atbalsta pasākumiem, ar ko atbalsta ekonomiku pašreizējā Covid-19 uzliesmojuma situācijā” (2020/C 91 I/01) (turpmāk – Pagaidu regulējums)</w:t>
            </w:r>
            <w:r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nosacījumus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F39B498" w14:textId="35D9CFAB" w:rsidR="00392FEE" w:rsidRDefault="00392FEE" w:rsidP="0094506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Attiecīgi programmas termiņš sākotnēji tika noteikts saskaņā ar Pagaidu regulējumu.</w:t>
            </w:r>
          </w:p>
          <w:p w14:paraId="2E0570CA" w14:textId="564BEE24" w:rsidR="004858C7" w:rsidRDefault="00392FEE" w:rsidP="0094506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Saskaņā ar </w:t>
            </w:r>
            <w:r w:rsidRPr="00392FEE">
              <w:rPr>
                <w:rFonts w:ascii="Times New Roman" w:hAnsi="Times New Roman" w:cs="Times New Roman"/>
                <w:sz w:val="26"/>
                <w:szCs w:val="26"/>
              </w:rPr>
              <w:t>ceturtajiem grozījumiem Pagaidu regulējumā, kurus Eiropas Komisija apstiprināja 2020.gada 13.oktobrī</w:t>
            </w:r>
            <w:r w:rsidRPr="00392FEE">
              <w:rPr>
                <w:rStyle w:val="FootnoteReference"/>
                <w:rFonts w:cs="Times New Roman"/>
                <w:sz w:val="26"/>
                <w:szCs w:val="26"/>
              </w:rPr>
              <w:footnoteReference w:id="4"/>
            </w:r>
            <w:r w:rsidRPr="00392F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>Pagaidu regulējuma 25.c punkts nosaka, ka atbalst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a sniegšanu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var pagarināt par 6 mēnešiem</w:t>
            </w:r>
            <w:r w:rsidR="00485C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338A">
              <w:rPr>
                <w:rFonts w:ascii="Times New Roman" w:hAnsi="Times New Roman" w:cs="Times New Roman"/>
                <w:sz w:val="26"/>
                <w:szCs w:val="26"/>
              </w:rPr>
              <w:t xml:space="preserve"> t.i.</w:t>
            </w:r>
            <w:r w:rsidR="00485C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338A">
              <w:rPr>
                <w:rFonts w:ascii="Times New Roman" w:hAnsi="Times New Roman" w:cs="Times New Roman"/>
                <w:sz w:val="26"/>
                <w:szCs w:val="26"/>
              </w:rPr>
              <w:t xml:space="preserve"> līdz 2021.gada 30.jūnijam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zvērtējot ekonomisko situāciju valstī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nākotnes attīstības prognožu nenoteiktību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to, ka programma tiek ieviesta zem Komisijas regulas </w:t>
            </w:r>
            <w:r w:rsidRPr="00CD3066">
              <w:rPr>
                <w:rFonts w:ascii="Times New Roman" w:hAnsi="Times New Roman" w:cs="Times New Roman"/>
                <w:sz w:val="26"/>
                <w:szCs w:val="26"/>
              </w:rPr>
              <w:t>Nr.1407/2013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konomikas ministrija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ie</w:t>
            </w:r>
            <w:r w:rsidR="00F25F7D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rosina </w:t>
            </w:r>
            <w:proofErr w:type="spellStart"/>
            <w:r w:rsidR="0057338A" w:rsidRPr="0057338A">
              <w:rPr>
                <w:rFonts w:ascii="Times New Roman" w:hAnsi="Times New Roman" w:cs="Times New Roman"/>
                <w:sz w:val="26"/>
                <w:szCs w:val="26"/>
              </w:rPr>
              <w:t>portfeļgarantiju</w:t>
            </w:r>
            <w:proofErr w:type="spellEnd"/>
            <w:r w:rsidR="0057338A" w:rsidRPr="0057338A">
              <w:rPr>
                <w:rFonts w:ascii="Times New Roman" w:hAnsi="Times New Roman" w:cs="Times New Roman"/>
                <w:sz w:val="26"/>
                <w:szCs w:val="26"/>
              </w:rPr>
              <w:t xml:space="preserve"> programmas īstenošanu Covid-19 seku mazināšanai (</w:t>
            </w:r>
            <w:r w:rsidR="005A4865" w:rsidRPr="0057338A">
              <w:rPr>
                <w:rFonts w:ascii="Times New Roman" w:hAnsi="Times New Roman" w:cs="Times New Roman"/>
                <w:sz w:val="26"/>
                <w:szCs w:val="26"/>
              </w:rPr>
              <w:t>MK noteikumu Nr.</w:t>
            </w:r>
            <w:r w:rsidR="0057338A" w:rsidRPr="0057338A">
              <w:rPr>
                <w:rFonts w:ascii="Times New Roman" w:hAnsi="Times New Roman" w:cs="Times New Roman"/>
                <w:sz w:val="26"/>
                <w:szCs w:val="26"/>
              </w:rPr>
              <w:t>537 5.</w:t>
            </w:r>
            <w:r w:rsidR="0057338A" w:rsidRPr="0057338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1 </w:t>
            </w:r>
            <w:r w:rsidR="0057338A" w:rsidRPr="0057338A">
              <w:rPr>
                <w:rFonts w:ascii="Times New Roman" w:hAnsi="Times New Roman" w:cs="Times New Roman"/>
                <w:sz w:val="26"/>
                <w:szCs w:val="26"/>
              </w:rPr>
              <w:t>punkts) pagarināt līdz 2021.gada 31.decembrim</w:t>
            </w:r>
            <w:r w:rsidR="005733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C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Šāds termiņš </w:t>
            </w:r>
            <w:r w:rsidR="004F29F8">
              <w:rPr>
                <w:rFonts w:ascii="Times New Roman" w:hAnsi="Times New Roman" w:cs="Times New Roman"/>
                <w:sz w:val="26"/>
                <w:szCs w:val="26"/>
              </w:rPr>
              <w:t>ir saskaņā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 ar </w:t>
            </w:r>
            <w:r w:rsidR="004F29F8">
              <w:rPr>
                <w:rFonts w:ascii="Times New Roman" w:hAnsi="Times New Roman" w:cs="Times New Roman"/>
                <w:sz w:val="26"/>
                <w:szCs w:val="26"/>
              </w:rPr>
              <w:t xml:space="preserve">Komisijas regulas </w:t>
            </w:r>
            <w:r w:rsidR="004F29F8" w:rsidRPr="00CD3066">
              <w:rPr>
                <w:rFonts w:ascii="Times New Roman" w:hAnsi="Times New Roman" w:cs="Times New Roman"/>
                <w:sz w:val="26"/>
                <w:szCs w:val="26"/>
              </w:rPr>
              <w:t>Nr.1407/2013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 no</w:t>
            </w:r>
            <w:r w:rsidR="00F2290E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>acījumiem</w:t>
            </w:r>
            <w:r w:rsidR="00F229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5B6363C" w14:textId="77777777" w:rsidR="004858C7" w:rsidRDefault="004858C7" w:rsidP="0094506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D4FCEBB" w14:textId="21C21084" w:rsidR="004858C7" w:rsidRPr="004858C7" w:rsidRDefault="004858C7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858C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Prēmijas likmes noteikšana</w:t>
            </w:r>
          </w:p>
          <w:p w14:paraId="318A49F5" w14:textId="272063A7" w:rsidR="00575FE5" w:rsidRDefault="00715955" w:rsidP="006574D3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MK noteikumu Nr.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>537 12.punkts nosaka, ka  garantijas prēmijas likme nepārsniedz 0,5% gadā no garantijas segtās finanšu pakalpojumu summas. Kredītiestāžu atlases procesā, kā arī pirms tam skaņojot atlases noteikumus ar Finanšu nozares asociāciju, kā arī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ņemot vērā labās prakses piemēru no Lietuvas  garantiju institūcijas INVEGA, </w:t>
            </w:r>
            <w:r w:rsidR="00786BFC">
              <w:rPr>
                <w:rFonts w:ascii="Times New Roman" w:hAnsi="Times New Roman" w:cs="Times New Roman"/>
                <w:sz w:val="26"/>
                <w:szCs w:val="26"/>
              </w:rPr>
              <w:t xml:space="preserve">Altum ir secinājusi, ka klasiskās </w:t>
            </w:r>
            <w:proofErr w:type="spellStart"/>
            <w:r w:rsidR="00786BFC">
              <w:rPr>
                <w:rFonts w:ascii="Times New Roman" w:hAnsi="Times New Roman" w:cs="Times New Roman"/>
                <w:sz w:val="26"/>
                <w:szCs w:val="26"/>
              </w:rPr>
              <w:t>portfeļgarantijas</w:t>
            </w:r>
            <w:proofErr w:type="spellEnd"/>
            <w:r w:rsidR="00786BFC">
              <w:rPr>
                <w:rFonts w:ascii="Times New Roman" w:hAnsi="Times New Roman" w:cs="Times New Roman"/>
                <w:sz w:val="26"/>
                <w:szCs w:val="26"/>
              </w:rPr>
              <w:t xml:space="preserve"> gadījumā piemērotāks risinājums būtu </w:t>
            </w:r>
            <w:r w:rsidR="00786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vienreizēja prēmija, jo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574D3">
              <w:rPr>
                <w:rFonts w:ascii="Times New Roman" w:hAnsi="Times New Roman" w:cs="Times New Roman"/>
                <w:sz w:val="26"/>
                <w:szCs w:val="26"/>
              </w:rPr>
              <w:t xml:space="preserve">kad </w:t>
            </w:r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ir sasniegta ierobežotā garantijas likme, t.i. </w:t>
            </w:r>
            <w:proofErr w:type="spellStart"/>
            <w:r w:rsidR="00F543D6" w:rsidRPr="006574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cap</w:t>
            </w:r>
            <w:proofErr w:type="spellEnd"/>
            <w:r w:rsidR="00F543D6">
              <w:rPr>
                <w:rFonts w:ascii="Times New Roman" w:hAnsi="Times New Roman" w:cs="Times New Roman"/>
                <w:sz w:val="26"/>
                <w:szCs w:val="26"/>
              </w:rPr>
              <w:t xml:space="preserve"> apmērs, kredītiestādei vairs nav motivācijas turpināt maksāt ikgadējo prēmiju.</w:t>
            </w:r>
            <w:r w:rsidR="00786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7790EA" w14:textId="424C776A" w:rsidR="003B7EE6" w:rsidRDefault="00715955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>Papildus ar bankām tika pārrunāts, ka</w:t>
            </w:r>
            <w:r w:rsidR="00786B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 xml:space="preserve">sniedzot 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apgrozāmo līdzekļu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 xml:space="preserve">aizdevumus 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>ir iespējas slēgt finanšu pakalpojumu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 xml:space="preserve"> līgumu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 uz garāku termiņu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>nekā vien</w:t>
            </w:r>
            <w:r w:rsidR="00F53D49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>gads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4806FE1" w14:textId="77777777" w:rsidR="003B7EE6" w:rsidRDefault="00715955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Ņemot vērā augstākminēto,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>Ekonomikas ministrija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 rosina grozīt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>MK noteikumu Nr.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537 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 xml:space="preserve">normas </w:t>
            </w:r>
            <w:r w:rsidRPr="00715955">
              <w:rPr>
                <w:rFonts w:ascii="Times New Roman" w:hAnsi="Times New Roman" w:cs="Times New Roman"/>
                <w:sz w:val="26"/>
                <w:szCs w:val="26"/>
              </w:rPr>
              <w:t>atbilstoši praksei, kādā ir noslēgti sadarbības līgumi ar 5 bankām</w:t>
            </w:r>
            <w:r w:rsidR="003B7EE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DAA14BA" w14:textId="182AD5DA" w:rsidR="003B7EE6" w:rsidRDefault="003B7EE6" w:rsidP="003B7EE6">
            <w:pPr>
              <w:pStyle w:val="Default"/>
              <w:numPr>
                <w:ilvl w:val="0"/>
                <w:numId w:val="17"/>
              </w:num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vienreizēja </w:t>
            </w:r>
            <w:r w:rsidR="00715955" w:rsidRPr="00715955">
              <w:rPr>
                <w:rFonts w:ascii="Times New Roman" w:hAnsi="Times New Roman" w:cs="Times New Roman"/>
                <w:sz w:val="26"/>
                <w:szCs w:val="26"/>
              </w:rPr>
              <w:t>garantijas prēmija 0.8% apmērā, ja finanšu pakalpojums ir līdz 2 gadiem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F04E06" w14:textId="16DB6462" w:rsidR="006574D3" w:rsidRPr="00392FEE" w:rsidRDefault="003B7EE6" w:rsidP="006574D3">
            <w:pPr>
              <w:pStyle w:val="Default"/>
              <w:numPr>
                <w:ilvl w:val="0"/>
                <w:numId w:val="17"/>
              </w:num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vienreizēja garantijas prēmija</w:t>
            </w:r>
            <w:r w:rsidR="00715955" w:rsidRPr="00715955">
              <w:rPr>
                <w:rFonts w:ascii="Times New Roman" w:hAnsi="Times New Roman" w:cs="Times New Roman"/>
                <w:sz w:val="26"/>
                <w:szCs w:val="26"/>
              </w:rPr>
              <w:t xml:space="preserve"> 1.42% apmērā, ja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finanšu pakalpojums ir </w:t>
            </w:r>
            <w:r w:rsidR="00715955" w:rsidRPr="00715955">
              <w:rPr>
                <w:rFonts w:ascii="Times New Roman" w:hAnsi="Times New Roman" w:cs="Times New Roman"/>
                <w:sz w:val="26"/>
                <w:szCs w:val="26"/>
              </w:rPr>
              <w:t>virs 2 gadiem.</w:t>
            </w:r>
            <w:r w:rsidR="00715955" w:rsidRPr="00715955">
              <w:rPr>
                <w:rStyle w:val="FootnoteReference"/>
                <w:rFonts w:cs="Times New Roman"/>
                <w:sz w:val="26"/>
                <w:szCs w:val="26"/>
              </w:rPr>
              <w:footnoteReference w:id="5"/>
            </w:r>
          </w:p>
        </w:tc>
      </w:tr>
      <w:tr w:rsidR="00844176" w:rsidRPr="00583CBA" w14:paraId="41041CF1" w14:textId="77777777" w:rsidTr="00434856">
        <w:trPr>
          <w:trHeight w:val="46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AB363A" w14:textId="77777777" w:rsidR="00844176" w:rsidRPr="00583CB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lastRenderedPageBreak/>
              <w:t>3.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4C459C" w14:textId="2F738161" w:rsidR="00844176" w:rsidRPr="00583CBA" w:rsidRDefault="00557B17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Projekta izstrādē iesaistītās institūcijas un publiskas personas kapitālsabiedrības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1732C9" w14:textId="1C9BB769" w:rsidR="00844176" w:rsidRPr="00583CBA" w:rsidRDefault="00CE0AC5" w:rsidP="003D3252">
            <w:pPr>
              <w:ind w:left="-31"/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szCs w:val="26"/>
                <w:lang w:val="lv-LV"/>
              </w:rPr>
              <w:t>E</w:t>
            </w:r>
            <w:r w:rsidR="00547ACF" w:rsidRPr="00583CBA">
              <w:rPr>
                <w:sz w:val="26"/>
                <w:szCs w:val="26"/>
                <w:lang w:val="lv-LV"/>
              </w:rPr>
              <w:t>konomikas ministrija</w:t>
            </w:r>
            <w:r w:rsidRPr="00583CBA">
              <w:rPr>
                <w:sz w:val="26"/>
                <w:szCs w:val="26"/>
                <w:lang w:val="lv-LV"/>
              </w:rPr>
              <w:t xml:space="preserve">, </w:t>
            </w:r>
            <w:r w:rsidR="00547ACF" w:rsidRPr="00583CBA">
              <w:rPr>
                <w:sz w:val="26"/>
                <w:szCs w:val="26"/>
                <w:lang w:val="lv-LV"/>
              </w:rPr>
              <w:t>Altum</w:t>
            </w:r>
          </w:p>
        </w:tc>
      </w:tr>
      <w:tr w:rsidR="00844176" w:rsidRPr="00583CBA" w14:paraId="3C98D228" w14:textId="77777777" w:rsidTr="00434856"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D70DCF" w14:textId="77777777" w:rsidR="00844176" w:rsidRPr="00583CB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4.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39AA3F" w14:textId="77777777" w:rsidR="00844176" w:rsidRPr="00583CB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Cita informācija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509E1" w14:textId="5EFCDE3B" w:rsidR="00844176" w:rsidRPr="00583CBA" w:rsidRDefault="00AA026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Nav</w:t>
            </w:r>
          </w:p>
        </w:tc>
      </w:tr>
    </w:tbl>
    <w:p w14:paraId="00447F19" w14:textId="3BFE4D51" w:rsidR="009A00EB" w:rsidRPr="00583CBA" w:rsidRDefault="009A00EB" w:rsidP="009A00EB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2702"/>
        <w:gridCol w:w="6157"/>
      </w:tblGrid>
      <w:tr w:rsidR="00844176" w:rsidRPr="00B7453B" w14:paraId="5271E387" w14:textId="77777777" w:rsidTr="003D3252">
        <w:trPr>
          <w:trHeight w:val="555"/>
        </w:trPr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2511" w14:textId="2050B5AE" w:rsidR="00844176" w:rsidRPr="00583CBA" w:rsidRDefault="009A00EB" w:rsidP="003D3252">
            <w:pPr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t>II. Tiesību akta projekta ietekme uz sabiedrību, tautsaimniecības attīstību un administratīvo slogu</w:t>
            </w:r>
          </w:p>
        </w:tc>
      </w:tr>
      <w:tr w:rsidR="00A76C0A" w:rsidRPr="00B7453B" w14:paraId="7F8630C6" w14:textId="77777777" w:rsidTr="00D51DD0">
        <w:trPr>
          <w:trHeight w:val="465"/>
        </w:trPr>
        <w:tc>
          <w:tcPr>
            <w:tcW w:w="27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CFEBF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2702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05C526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Sabiedrības mērķgrupas, kuras tiesiskais regulējums ietekmē vai varētu ietekmēt</w:t>
            </w:r>
          </w:p>
        </w:tc>
        <w:tc>
          <w:tcPr>
            <w:tcW w:w="6157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68FB87" w14:textId="68936F28" w:rsidR="0014739B" w:rsidRPr="00583CBA" w:rsidRDefault="00CB1F66" w:rsidP="005F3196">
            <w:pPr>
              <w:ind w:right="201"/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Latvijā reģistrēti saimnieciskās darbības veicēji</w:t>
            </w:r>
            <w:r w:rsidR="00CB30D1">
              <w:rPr>
                <w:sz w:val="26"/>
                <w:szCs w:val="26"/>
                <w:lang w:val="lv-LV"/>
              </w:rPr>
              <w:t>.</w:t>
            </w:r>
          </w:p>
        </w:tc>
      </w:tr>
      <w:tr w:rsidR="00A76C0A" w:rsidRPr="0014739B" w14:paraId="718E705D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A07C0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D83946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Tiesiskā regulējuma ietekme uz tautsaimniecību un administratīvo slogu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918B01" w14:textId="49E170AE" w:rsidR="009A00EB" w:rsidRPr="00583CBA" w:rsidRDefault="0014739B" w:rsidP="005F3196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83CB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A76C0A" w:rsidRPr="00583CBA" w14:paraId="6AF18C8D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79992C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F5EA5A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Administratīvo izmaksu monetārs novērtējums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2C4F79" w14:textId="7FD21686" w:rsidR="009A00EB" w:rsidRPr="00583CBA" w:rsidRDefault="009A00EB" w:rsidP="005F3196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83CB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A76C0A" w:rsidRPr="00583CBA" w14:paraId="259E0982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9F4E2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4.</w:t>
            </w:r>
          </w:p>
        </w:tc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5F16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Atbilstības izmaksu monetārs novērtējums</w:t>
            </w:r>
          </w:p>
        </w:tc>
        <w:tc>
          <w:tcPr>
            <w:tcW w:w="6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B8CA" w14:textId="39B71D86" w:rsidR="009A00EB" w:rsidRPr="00583CBA" w:rsidRDefault="009A00EB" w:rsidP="005F3196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83CB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A76C0A" w:rsidRPr="00583CBA" w14:paraId="14FCA979" w14:textId="77777777" w:rsidTr="00D51DD0">
        <w:trPr>
          <w:trHeight w:val="345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DF77E6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5.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078AD2" w14:textId="77777777" w:rsidR="009A00EB" w:rsidRPr="00583CB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57313" w14:textId="77777777" w:rsidR="009A00EB" w:rsidRPr="00583CBA" w:rsidRDefault="009A00EB" w:rsidP="005F3196">
            <w:pPr>
              <w:ind w:right="20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583CBA">
              <w:rPr>
                <w:sz w:val="26"/>
                <w:szCs w:val="26"/>
                <w:lang w:val="lv-LV"/>
              </w:rPr>
              <w:t>Nav</w:t>
            </w:r>
          </w:p>
        </w:tc>
      </w:tr>
    </w:tbl>
    <w:p w14:paraId="57D2014F" w14:textId="77777777" w:rsidR="00E0333C" w:rsidRPr="00583CBA" w:rsidRDefault="00E0333C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0333C" w:rsidRPr="00B7453B" w14:paraId="5C3AC8E5" w14:textId="77777777" w:rsidTr="002E7B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16C1" w14:textId="77777777" w:rsidR="00E0333C" w:rsidRPr="00583CBA" w:rsidRDefault="00E0333C" w:rsidP="00370711">
            <w:pPr>
              <w:contextualSpacing/>
              <w:rPr>
                <w:rFonts w:eastAsia="Times New Roman"/>
                <w:b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t>III. Tiesību akta projekta ietekme uz valsts budžetu un pašvaldību budžetiem</w:t>
            </w:r>
          </w:p>
        </w:tc>
      </w:tr>
      <w:tr w:rsidR="00E0333C" w:rsidRPr="00251FA5" w14:paraId="07D6D83D" w14:textId="77777777" w:rsidTr="002E7B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F0C7" w14:textId="43ACAAB1" w:rsidR="00E0333C" w:rsidRPr="00F2290E" w:rsidRDefault="003A4F11" w:rsidP="00EB1F01">
            <w:pPr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F2290E">
              <w:rPr>
                <w:sz w:val="26"/>
                <w:szCs w:val="26"/>
                <w:lang w:val="lv-LV"/>
              </w:rPr>
              <w:t>Projekts šo jomu neskar</w:t>
            </w:r>
          </w:p>
        </w:tc>
      </w:tr>
    </w:tbl>
    <w:p w14:paraId="57F14BC5" w14:textId="512F1E09" w:rsidR="00844176" w:rsidRPr="00583CBA" w:rsidRDefault="00844176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518"/>
        <w:gridCol w:w="6235"/>
      </w:tblGrid>
      <w:tr w:rsidR="00844176" w:rsidRPr="00B7453B" w14:paraId="6C33CD82" w14:textId="77777777" w:rsidTr="00320B22">
        <w:trPr>
          <w:trHeight w:val="45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F4B0E9" w14:textId="77777777" w:rsidR="00844176" w:rsidRPr="00583CBA" w:rsidRDefault="00844176" w:rsidP="00320B22">
            <w:pPr>
              <w:ind w:firstLine="300"/>
              <w:contextualSpacing/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lastRenderedPageBreak/>
              <w:t>IV. Tiesību akta projekta ietekme uz spēkā esošo tiesību normu sistēmu</w:t>
            </w:r>
          </w:p>
        </w:tc>
      </w:tr>
      <w:tr w:rsidR="00844176" w:rsidRPr="00D82825" w14:paraId="57818953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5FDF87" w14:textId="77777777" w:rsidR="00844176" w:rsidRPr="00583CB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EF5B6" w14:textId="43CB5D85" w:rsidR="00844176" w:rsidRPr="00583CBA" w:rsidRDefault="001C70CC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Saistītie</w:t>
            </w:r>
            <w:r w:rsidR="00844176" w:rsidRPr="00583CBA">
              <w:rPr>
                <w:rFonts w:eastAsia="Times New Roman"/>
                <w:sz w:val="26"/>
                <w:szCs w:val="26"/>
                <w:lang w:val="lv-LV" w:eastAsia="lv-LV"/>
              </w:rPr>
              <w:t xml:space="preserve"> tiesību aktu projekti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F545BF" w14:textId="75D030C2" w:rsidR="00844176" w:rsidRPr="00F2290E" w:rsidRDefault="00B34CC7" w:rsidP="000F2EA7">
            <w:pPr>
              <w:jc w:val="both"/>
              <w:rPr>
                <w:bCs/>
                <w:iCs/>
                <w:sz w:val="26"/>
                <w:szCs w:val="26"/>
                <w:lang w:val="lv-LV"/>
              </w:rPr>
            </w:pPr>
            <w:r w:rsidRPr="00F2290E">
              <w:rPr>
                <w:sz w:val="26"/>
                <w:szCs w:val="26"/>
                <w:lang w:val="lv-LV"/>
              </w:rPr>
              <w:t>Projekts šo jomu neskar</w:t>
            </w:r>
          </w:p>
        </w:tc>
      </w:tr>
      <w:tr w:rsidR="00844176" w:rsidRPr="00583CBA" w14:paraId="3469659F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7E264C" w14:textId="77777777" w:rsidR="00844176" w:rsidRPr="00583CB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8FEFBA" w14:textId="77777777" w:rsidR="00844176" w:rsidRPr="00583CB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Atbildīgā institūcija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C7C4D" w14:textId="167695D5" w:rsidR="00844176" w:rsidRPr="00583CBA" w:rsidRDefault="00B34CC7" w:rsidP="00320B22">
            <w:pPr>
              <w:pStyle w:val="BodyText"/>
              <w:ind w:right="142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583CB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844176" w:rsidRPr="00583CBA" w14:paraId="32F2DD54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C61D3" w14:textId="77777777" w:rsidR="00844176" w:rsidRPr="00583CB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1A60F" w14:textId="77777777" w:rsidR="00844176" w:rsidRPr="00583CB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849A5" w14:textId="235A3E58" w:rsidR="003E5276" w:rsidRPr="00583CBA" w:rsidRDefault="000F2EA7" w:rsidP="003E5276">
            <w:pPr>
              <w:pStyle w:val="ListParagraph"/>
              <w:ind w:left="0"/>
              <w:contextualSpacing w:val="0"/>
              <w:jc w:val="both"/>
              <w:rPr>
                <w:bCs/>
                <w:iCs/>
                <w:sz w:val="26"/>
                <w:szCs w:val="26"/>
                <w:lang w:val="lv-LV"/>
              </w:rPr>
            </w:pPr>
            <w:r w:rsidRPr="00583CBA">
              <w:rPr>
                <w:bCs/>
                <w:iCs/>
                <w:sz w:val="26"/>
                <w:szCs w:val="26"/>
                <w:lang w:val="lv-LV"/>
              </w:rPr>
              <w:t>Nav</w:t>
            </w:r>
          </w:p>
          <w:p w14:paraId="637C4F16" w14:textId="690F03B4" w:rsidR="00844176" w:rsidRPr="00583CBA" w:rsidRDefault="00844176" w:rsidP="003E5276">
            <w:pPr>
              <w:ind w:left="577"/>
              <w:contextualSpacing/>
              <w:jc w:val="both"/>
              <w:rPr>
                <w:bCs/>
                <w:iCs/>
                <w:sz w:val="26"/>
                <w:szCs w:val="26"/>
                <w:lang w:val="lv-LV"/>
              </w:rPr>
            </w:pPr>
          </w:p>
        </w:tc>
      </w:tr>
    </w:tbl>
    <w:p w14:paraId="2A21AD4B" w14:textId="77777777" w:rsidR="00844176" w:rsidRPr="00583CBA" w:rsidRDefault="00844176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552"/>
        <w:gridCol w:w="6235"/>
      </w:tblGrid>
      <w:tr w:rsidR="00844176" w:rsidRPr="00583CBA" w14:paraId="07C3ABEE" w14:textId="77777777" w:rsidTr="00871E2F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1DE8D" w14:textId="77777777" w:rsidR="00844176" w:rsidRPr="00583CBA" w:rsidRDefault="00844176" w:rsidP="00370711">
            <w:pPr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b/>
                <w:sz w:val="26"/>
                <w:lang w:val="lv-LV"/>
              </w:rPr>
              <w:t>V. Tiesību akta projekta atbilstība Latvijas Republikas starptautiskajām saistībām</w:t>
            </w:r>
          </w:p>
        </w:tc>
      </w:tr>
      <w:tr w:rsidR="006F4B13" w:rsidRPr="00786BFC" w14:paraId="17F7F902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A781BB" w14:textId="77777777" w:rsidR="006F4B13" w:rsidRPr="00583CB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28CC95" w14:textId="77777777" w:rsidR="006F4B13" w:rsidRPr="00583CB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Saistības pret Eiropas Savienību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3D4E77" w14:textId="3F821823" w:rsidR="008D09FC" w:rsidRPr="00150256" w:rsidRDefault="00D052D0" w:rsidP="00150256">
            <w:pPr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Projekts šo jomu neskar</w:t>
            </w:r>
          </w:p>
        </w:tc>
      </w:tr>
      <w:tr w:rsidR="006F4B13" w:rsidRPr="00583CBA" w14:paraId="2BF33DFD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188A09" w14:textId="77777777" w:rsidR="006F4B13" w:rsidRPr="00583CB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74399D" w14:textId="77777777" w:rsidR="006F4B13" w:rsidRPr="00583CB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Citas starptautiskās saistības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D2F44F" w14:textId="7CE4D951" w:rsidR="006F4B13" w:rsidRPr="00583CB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Projekts šo jomu neskar</w:t>
            </w:r>
          </w:p>
        </w:tc>
      </w:tr>
      <w:tr w:rsidR="006F4B13" w:rsidRPr="00281F98" w14:paraId="64229F4B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DCABC" w14:textId="77777777" w:rsidR="006F4B13" w:rsidRPr="00583CB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774E23" w14:textId="77777777" w:rsidR="006F4B13" w:rsidRPr="00583CB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FD6544" w14:textId="34862F6A" w:rsidR="006F4B13" w:rsidRPr="00281F98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Nav</w:t>
            </w:r>
          </w:p>
        </w:tc>
      </w:tr>
    </w:tbl>
    <w:p w14:paraId="1F45E5ED" w14:textId="3E0D1E21" w:rsidR="00844176" w:rsidRPr="00583CBA" w:rsidRDefault="00844176" w:rsidP="00370711">
      <w:pPr>
        <w:contextualSpacing/>
        <w:rPr>
          <w:sz w:val="26"/>
          <w:lang w:val="lv-LV"/>
        </w:rPr>
      </w:pPr>
    </w:p>
    <w:tbl>
      <w:tblPr>
        <w:tblW w:w="9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2665"/>
        <w:gridCol w:w="6234"/>
      </w:tblGrid>
      <w:tr w:rsidR="006F4B13" w:rsidRPr="00B7453B" w14:paraId="7EEC0F00" w14:textId="77777777" w:rsidTr="006C5DED">
        <w:trPr>
          <w:trHeight w:val="421"/>
        </w:trPr>
        <w:tc>
          <w:tcPr>
            <w:tcW w:w="9211" w:type="dxa"/>
            <w:gridSpan w:val="3"/>
            <w:tcBorders>
              <w:top w:val="single" w:sz="2" w:space="0" w:color="auto"/>
            </w:tcBorders>
            <w:vAlign w:val="center"/>
          </w:tcPr>
          <w:p w14:paraId="7BCCE7F8" w14:textId="77777777" w:rsidR="006F4B13" w:rsidRPr="00583CBA" w:rsidRDefault="006F4B13" w:rsidP="00370711">
            <w:pPr>
              <w:ind w:left="57" w:right="57"/>
              <w:contextualSpacing/>
              <w:jc w:val="center"/>
              <w:rPr>
                <w:rFonts w:eastAsia="Times New Roman"/>
                <w:sz w:val="25"/>
                <w:szCs w:val="25"/>
                <w:lang w:val="lv-LV"/>
              </w:rPr>
            </w:pPr>
            <w:r w:rsidRPr="00583CBA">
              <w:rPr>
                <w:rFonts w:eastAsia="Times New Roman"/>
                <w:b/>
                <w:sz w:val="25"/>
                <w:szCs w:val="25"/>
                <w:lang w:val="lv-LV"/>
              </w:rPr>
              <w:t>VI. Sabiedrības līdzdalība un komunikācijas aktivitātes</w:t>
            </w:r>
          </w:p>
        </w:tc>
      </w:tr>
      <w:tr w:rsidR="006F4B13" w:rsidRPr="00B7453B" w14:paraId="6FEF54FD" w14:textId="77777777" w:rsidTr="00E50D80">
        <w:trPr>
          <w:trHeight w:val="553"/>
        </w:trPr>
        <w:tc>
          <w:tcPr>
            <w:tcW w:w="312" w:type="dxa"/>
          </w:tcPr>
          <w:p w14:paraId="41086138" w14:textId="77777777" w:rsidR="006F4B13" w:rsidRPr="00583CB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583CBA">
              <w:rPr>
                <w:sz w:val="25"/>
                <w:lang w:val="lv-LV"/>
              </w:rPr>
              <w:t>1.</w:t>
            </w:r>
          </w:p>
        </w:tc>
        <w:tc>
          <w:tcPr>
            <w:tcW w:w="2665" w:type="dxa"/>
          </w:tcPr>
          <w:p w14:paraId="798682AC" w14:textId="77777777" w:rsidR="006F4B13" w:rsidRPr="00583CBA" w:rsidRDefault="006F4B13" w:rsidP="00370711">
            <w:pPr>
              <w:tabs>
                <w:tab w:val="left" w:pos="170"/>
              </w:tabs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583CBA">
              <w:rPr>
                <w:rFonts w:eastAsia="PMingLiU"/>
                <w:sz w:val="26"/>
                <w:szCs w:val="26"/>
                <w:lang w:val="lv-LV" w:eastAsia="ja-JP"/>
              </w:rPr>
              <w:t>Plānotās sabiedrības līdzdalības un komunikācijas aktivitātes saistībā ar projektu</w:t>
            </w:r>
          </w:p>
        </w:tc>
        <w:tc>
          <w:tcPr>
            <w:tcW w:w="6234" w:type="dxa"/>
          </w:tcPr>
          <w:p w14:paraId="0F6887F1" w14:textId="77777777" w:rsidR="005832C9" w:rsidRPr="00281F98" w:rsidRDefault="005832C9" w:rsidP="005832C9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81F98">
              <w:rPr>
                <w:bCs/>
                <w:sz w:val="26"/>
                <w:szCs w:val="26"/>
                <w:lang w:val="lv-LV"/>
              </w:rPr>
              <w:t>Sabiedrības līdzdalība Noteikumu projekta izstrādē tiek īstenota atbilstoši Ministru kabineta 2009. gada 25. augusta noteikumiem Nr. 970 “Sabiedrības līdzdalības kārtība attīstības plānošanas procesā” 7.4.</w:t>
            </w:r>
            <w:r w:rsidRPr="00281F98">
              <w:rPr>
                <w:sz w:val="26"/>
                <w:szCs w:val="26"/>
                <w:vertAlign w:val="superscript"/>
                <w:lang w:val="lv-LV"/>
              </w:rPr>
              <w:t xml:space="preserve"> 1</w:t>
            </w:r>
            <w:r w:rsidRPr="00281F98">
              <w:rPr>
                <w:bCs/>
                <w:sz w:val="26"/>
                <w:szCs w:val="26"/>
                <w:lang w:val="lv-LV"/>
              </w:rPr>
              <w:t xml:space="preserve"> apakšpunktā, proti, sabiedrības pārstāvjiem tiek dota iespēja rakstiski sniegt viedokli par Noteikumu projektu tā izstrādes stadijā.</w:t>
            </w:r>
          </w:p>
          <w:p w14:paraId="384FFED0" w14:textId="06B22824" w:rsidR="00D27E4D" w:rsidRPr="00583CBA" w:rsidRDefault="00D27E4D" w:rsidP="00D27E4D">
            <w:pPr>
              <w:shd w:val="clear" w:color="auto" w:fill="FFFFFF"/>
              <w:ind w:right="113"/>
              <w:contextualSpacing/>
              <w:jc w:val="both"/>
              <w:rPr>
                <w:rFonts w:eastAsia="PMingLiU"/>
                <w:sz w:val="26"/>
                <w:szCs w:val="26"/>
                <w:highlight w:val="yellow"/>
                <w:lang w:val="lv-LV" w:eastAsia="ja-JP"/>
              </w:rPr>
            </w:pPr>
          </w:p>
        </w:tc>
      </w:tr>
      <w:tr w:rsidR="006F4B13" w:rsidRPr="00B7453B" w14:paraId="3F5FD1CD" w14:textId="77777777" w:rsidTr="00E50D80">
        <w:trPr>
          <w:trHeight w:val="339"/>
        </w:trPr>
        <w:tc>
          <w:tcPr>
            <w:tcW w:w="312" w:type="dxa"/>
          </w:tcPr>
          <w:p w14:paraId="4B9C6F89" w14:textId="77777777" w:rsidR="006F4B13" w:rsidRPr="00583CB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583CBA">
              <w:rPr>
                <w:sz w:val="25"/>
                <w:lang w:val="lv-LV"/>
              </w:rPr>
              <w:t>2.</w:t>
            </w:r>
          </w:p>
        </w:tc>
        <w:tc>
          <w:tcPr>
            <w:tcW w:w="2665" w:type="dxa"/>
          </w:tcPr>
          <w:p w14:paraId="4B6FBDE6" w14:textId="77777777" w:rsidR="006F4B13" w:rsidRPr="00583CBA" w:rsidRDefault="006F4B13" w:rsidP="0037071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583CBA">
              <w:rPr>
                <w:rFonts w:eastAsia="PMingLiU"/>
                <w:sz w:val="26"/>
                <w:szCs w:val="26"/>
                <w:lang w:val="lv-LV" w:eastAsia="ja-JP"/>
              </w:rPr>
              <w:t>Sabiedrības līdzdalība projekta izstrādē</w:t>
            </w:r>
          </w:p>
        </w:tc>
        <w:tc>
          <w:tcPr>
            <w:tcW w:w="6234" w:type="dxa"/>
          </w:tcPr>
          <w:p w14:paraId="18D5064F" w14:textId="7403FA2D" w:rsidR="006F4B13" w:rsidRPr="00686578" w:rsidRDefault="00686578" w:rsidP="00686578">
            <w:pPr>
              <w:ind w:right="113"/>
              <w:contextualSpacing/>
              <w:jc w:val="both"/>
              <w:rPr>
                <w:rFonts w:eastAsia="PMingLiU"/>
                <w:sz w:val="26"/>
                <w:szCs w:val="26"/>
                <w:lang w:val="lv-LV" w:eastAsia="ja-JP"/>
              </w:rPr>
            </w:pPr>
            <w:r>
              <w:rPr>
                <w:rFonts w:eastAsia="PMingLiU"/>
                <w:sz w:val="26"/>
                <w:szCs w:val="26"/>
                <w:lang w:val="lv-LV" w:eastAsia="ja-JP"/>
              </w:rPr>
              <w:t xml:space="preserve">Sabiedrības līdzdalība tiek nodrošināta, ievietojot projektu Ekonomikas ministrijas </w:t>
            </w:r>
            <w:r>
              <w:rPr>
                <w:rFonts w:eastAsia="Times New Roman"/>
                <w:iCs/>
                <w:sz w:val="26"/>
                <w:szCs w:val="26"/>
                <w:lang w:val="lv-LV"/>
              </w:rPr>
              <w:t xml:space="preserve">un Ministru kabineta </w:t>
            </w:r>
            <w:r>
              <w:rPr>
                <w:rFonts w:eastAsia="PMingLiU"/>
                <w:sz w:val="26"/>
                <w:szCs w:val="26"/>
                <w:lang w:val="lv-LV" w:eastAsia="ja-JP"/>
              </w:rPr>
              <w:t>mājas lapā sabiedriskajai apspriešanai</w:t>
            </w:r>
            <w:r w:rsidR="00281F98">
              <w:rPr>
                <w:rFonts w:eastAsia="PMingLiU"/>
                <w:sz w:val="26"/>
                <w:szCs w:val="26"/>
                <w:lang w:val="lv-LV" w:eastAsia="ja-JP"/>
              </w:rPr>
              <w:t xml:space="preserve"> - </w:t>
            </w:r>
            <w:hyperlink r:id="rId8" w:history="1">
              <w:r w:rsidR="00281F98" w:rsidRPr="00B7453B">
                <w:rPr>
                  <w:rStyle w:val="Hyperlink"/>
                  <w:rFonts w:eastAsia="PMingLiU"/>
                  <w:sz w:val="26"/>
                  <w:szCs w:val="26"/>
                  <w:lang w:val="lv-LV" w:eastAsia="ja-JP"/>
                </w:rPr>
                <w:t>https://www.em.gov.lv/lv/Ministrija/sabiedribas_lidzdaliba/diskusiju_dokumenti/</w:t>
              </w:r>
            </w:hyperlink>
          </w:p>
        </w:tc>
      </w:tr>
      <w:tr w:rsidR="006F4B13" w:rsidRPr="00B8759E" w14:paraId="0F937EA3" w14:textId="77777777" w:rsidTr="00E50D80">
        <w:trPr>
          <w:trHeight w:val="476"/>
        </w:trPr>
        <w:tc>
          <w:tcPr>
            <w:tcW w:w="312" w:type="dxa"/>
          </w:tcPr>
          <w:p w14:paraId="5A007BCA" w14:textId="77777777" w:rsidR="006F4B13" w:rsidRPr="00583CB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583CBA">
              <w:rPr>
                <w:sz w:val="25"/>
                <w:lang w:val="lv-LV"/>
              </w:rPr>
              <w:t>3.</w:t>
            </w:r>
          </w:p>
        </w:tc>
        <w:tc>
          <w:tcPr>
            <w:tcW w:w="2665" w:type="dxa"/>
          </w:tcPr>
          <w:p w14:paraId="5F99D7D0" w14:textId="77777777" w:rsidR="006F4B13" w:rsidRPr="00583CBA" w:rsidRDefault="006F4B13" w:rsidP="0037071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583CBA">
              <w:rPr>
                <w:rFonts w:eastAsia="PMingLiU"/>
                <w:sz w:val="26"/>
                <w:szCs w:val="26"/>
                <w:lang w:val="lv-LV" w:eastAsia="ja-JP"/>
              </w:rPr>
              <w:t>Sabiedrības līdzdalības rezultāti</w:t>
            </w:r>
          </w:p>
        </w:tc>
        <w:tc>
          <w:tcPr>
            <w:tcW w:w="6234" w:type="dxa"/>
          </w:tcPr>
          <w:p w14:paraId="2BF921D4" w14:textId="16B301DB" w:rsidR="006F4B13" w:rsidRPr="00583CBA" w:rsidRDefault="005832C9" w:rsidP="00370711">
            <w:pPr>
              <w:shd w:val="clear" w:color="auto" w:fill="FFFFFF"/>
              <w:ind w:left="57" w:right="113"/>
              <w:contextualSpacing/>
              <w:jc w:val="both"/>
              <w:rPr>
                <w:rFonts w:eastAsia="PMingLiU"/>
                <w:sz w:val="26"/>
                <w:szCs w:val="26"/>
                <w:shd w:val="clear" w:color="auto" w:fill="FFFFFF"/>
                <w:lang w:val="lv-LV" w:eastAsia="ja-JP"/>
              </w:rPr>
            </w:pPr>
            <w:r w:rsidRPr="00392FEE">
              <w:rPr>
                <w:rFonts w:eastAsia="PMingLiU"/>
                <w:i/>
                <w:iCs/>
                <w:sz w:val="26"/>
                <w:szCs w:val="26"/>
                <w:shd w:val="clear" w:color="auto" w:fill="FFFFFF"/>
                <w:lang w:val="lv-LV" w:eastAsia="ja-JP"/>
              </w:rPr>
              <w:t>Tiks papildināts atbilstoši aktivitātei.</w:t>
            </w:r>
          </w:p>
        </w:tc>
      </w:tr>
      <w:tr w:rsidR="006F4B13" w:rsidRPr="00583CBA" w14:paraId="13638F96" w14:textId="77777777" w:rsidTr="00E50D80">
        <w:trPr>
          <w:trHeight w:val="205"/>
        </w:trPr>
        <w:tc>
          <w:tcPr>
            <w:tcW w:w="312" w:type="dxa"/>
          </w:tcPr>
          <w:p w14:paraId="286DE4AB" w14:textId="77777777" w:rsidR="006F4B13" w:rsidRPr="00583CBA" w:rsidRDefault="006F4B13" w:rsidP="0028225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583CBA">
              <w:rPr>
                <w:sz w:val="25"/>
                <w:lang w:val="lv-LV"/>
              </w:rPr>
              <w:t>4.</w:t>
            </w:r>
          </w:p>
        </w:tc>
        <w:tc>
          <w:tcPr>
            <w:tcW w:w="2665" w:type="dxa"/>
          </w:tcPr>
          <w:p w14:paraId="1AEA4978" w14:textId="77777777" w:rsidR="006F4B13" w:rsidRPr="00583CBA" w:rsidRDefault="006F4B13" w:rsidP="0028225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583CBA">
              <w:rPr>
                <w:rFonts w:eastAsia="PMingLiU"/>
                <w:sz w:val="26"/>
                <w:szCs w:val="26"/>
                <w:lang w:val="lv-LV" w:eastAsia="ja-JP"/>
              </w:rPr>
              <w:t>Cita informācija</w:t>
            </w:r>
          </w:p>
        </w:tc>
        <w:tc>
          <w:tcPr>
            <w:tcW w:w="6234" w:type="dxa"/>
          </w:tcPr>
          <w:p w14:paraId="29112FCD" w14:textId="5927F71D" w:rsidR="006F4B13" w:rsidRPr="00583CBA" w:rsidRDefault="006F4B13" w:rsidP="00282251">
            <w:pPr>
              <w:ind w:left="57" w:right="113"/>
              <w:contextualSpacing/>
              <w:jc w:val="both"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583CBA">
              <w:rPr>
                <w:rFonts w:eastAsia="PMingLiU"/>
                <w:sz w:val="26"/>
                <w:szCs w:val="26"/>
                <w:lang w:val="lv-LV" w:eastAsia="ja-JP"/>
              </w:rPr>
              <w:t>Nav</w:t>
            </w:r>
          </w:p>
        </w:tc>
      </w:tr>
    </w:tbl>
    <w:p w14:paraId="07B85D36" w14:textId="1E6EF1D8" w:rsidR="00844176" w:rsidRPr="00583CBA" w:rsidRDefault="00844176" w:rsidP="0028225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6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"/>
        <w:gridCol w:w="2701"/>
        <w:gridCol w:w="6237"/>
      </w:tblGrid>
      <w:tr w:rsidR="00844176" w:rsidRPr="00B7453B" w14:paraId="72278BCA" w14:textId="77777777" w:rsidTr="00320B22">
        <w:trPr>
          <w:trHeight w:val="375"/>
        </w:trPr>
        <w:tc>
          <w:tcPr>
            <w:tcW w:w="9206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C12EA7" w14:textId="53912CA3" w:rsidR="00844176" w:rsidRPr="00583CBA" w:rsidRDefault="00844176" w:rsidP="005A1518">
            <w:pPr>
              <w:spacing w:before="100" w:beforeAutospacing="1" w:after="100" w:afterAutospacing="1"/>
              <w:ind w:firstLine="300"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b/>
                <w:sz w:val="26"/>
                <w:lang w:val="lv-LV"/>
              </w:rPr>
              <w:t>VII. Tiesību akta projekta izpildes nodrošināšana un tās ietekme uz institūcijām</w:t>
            </w:r>
          </w:p>
        </w:tc>
      </w:tr>
      <w:tr w:rsidR="00844176" w:rsidRPr="00583CBA" w14:paraId="3BE578E7" w14:textId="77777777" w:rsidTr="00320B22">
        <w:trPr>
          <w:trHeight w:val="42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ABD64" w14:textId="77777777" w:rsidR="00844176" w:rsidRPr="00583CB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1.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08CA7" w14:textId="77777777" w:rsidR="00844176" w:rsidRPr="00583CBA" w:rsidRDefault="00844176" w:rsidP="00282251">
            <w:pPr>
              <w:ind w:right="112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583CBA">
              <w:rPr>
                <w:sz w:val="26"/>
                <w:szCs w:val="26"/>
                <w:lang w:val="lv-LV"/>
              </w:rPr>
              <w:t>Projekta izpildē iesaistītās institūcijas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10CF17" w14:textId="3A1249B9" w:rsidR="00844176" w:rsidRPr="00583CBA" w:rsidRDefault="00844176" w:rsidP="00282251">
            <w:pPr>
              <w:ind w:left="82" w:right="16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583CBA">
              <w:rPr>
                <w:sz w:val="26"/>
                <w:szCs w:val="26"/>
                <w:lang w:val="lv-LV"/>
              </w:rPr>
              <w:t>E</w:t>
            </w:r>
            <w:r w:rsidR="00733C32" w:rsidRPr="00583CBA">
              <w:rPr>
                <w:sz w:val="26"/>
                <w:szCs w:val="26"/>
                <w:lang w:val="lv-LV"/>
              </w:rPr>
              <w:t>konomikas ministrija</w:t>
            </w:r>
            <w:r w:rsidR="0074545C" w:rsidRPr="00583CBA">
              <w:rPr>
                <w:sz w:val="26"/>
                <w:szCs w:val="26"/>
                <w:lang w:val="lv-LV"/>
              </w:rPr>
              <w:t xml:space="preserve">, </w:t>
            </w:r>
            <w:r w:rsidR="00733C32" w:rsidRPr="00583CBA">
              <w:rPr>
                <w:sz w:val="26"/>
                <w:szCs w:val="26"/>
                <w:lang w:val="lv-LV"/>
              </w:rPr>
              <w:t>Altum</w:t>
            </w:r>
          </w:p>
        </w:tc>
      </w:tr>
      <w:tr w:rsidR="00844176" w:rsidRPr="00B7453B" w14:paraId="2CF2C3EA" w14:textId="77777777" w:rsidTr="00320B22">
        <w:trPr>
          <w:trHeight w:val="45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BFDB2" w14:textId="77777777" w:rsidR="00844176" w:rsidRPr="00583CB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2.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09650" w14:textId="77777777" w:rsidR="00844176" w:rsidRPr="00583CBA" w:rsidRDefault="00844176" w:rsidP="00282251">
            <w:pPr>
              <w:ind w:right="112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583CBA">
              <w:rPr>
                <w:sz w:val="26"/>
                <w:szCs w:val="26"/>
                <w:lang w:val="lv-LV"/>
              </w:rPr>
              <w:t xml:space="preserve">Projekta izpildes ietekme uz pārvaldes funkcijām un institucionālo struktūru. Jaunu institūciju izveide, esošu institūciju likvidācija vai reorganizācija, to </w:t>
            </w:r>
            <w:r w:rsidRPr="00583CBA">
              <w:rPr>
                <w:sz w:val="26"/>
                <w:szCs w:val="26"/>
                <w:lang w:val="lv-LV"/>
              </w:rPr>
              <w:lastRenderedPageBreak/>
              <w:t>ietekme uz institūcijas cilvēkresursiem.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5A7977" w14:textId="026EA324" w:rsidR="00844176" w:rsidRPr="00583CBA" w:rsidRDefault="00D217E6" w:rsidP="00282251">
            <w:pPr>
              <w:ind w:left="82" w:right="161"/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lastRenderedPageBreak/>
              <w:t>Noteikumu p</w:t>
            </w:r>
            <w:r w:rsidR="00844176" w:rsidRPr="00583CBA">
              <w:rPr>
                <w:sz w:val="26"/>
                <w:szCs w:val="26"/>
                <w:lang w:val="lv-LV"/>
              </w:rPr>
              <w:t>roj</w:t>
            </w:r>
            <w:r w:rsidR="00733C32" w:rsidRPr="00583CBA">
              <w:rPr>
                <w:sz w:val="26"/>
                <w:szCs w:val="26"/>
                <w:lang w:val="lv-LV"/>
              </w:rPr>
              <w:t>ekta izpilde tiks nodrošināta Ekonomikas ministrijas</w:t>
            </w:r>
            <w:r w:rsidR="00844176" w:rsidRPr="00583CBA">
              <w:rPr>
                <w:sz w:val="26"/>
                <w:szCs w:val="26"/>
                <w:lang w:val="lv-LV"/>
              </w:rPr>
              <w:t xml:space="preserve"> un </w:t>
            </w:r>
            <w:r w:rsidR="00733C32" w:rsidRPr="00583CBA">
              <w:rPr>
                <w:sz w:val="26"/>
                <w:szCs w:val="26"/>
                <w:lang w:val="lv-LV"/>
              </w:rPr>
              <w:t xml:space="preserve">Altum </w:t>
            </w:r>
            <w:r w:rsidR="00844176" w:rsidRPr="00583CBA">
              <w:rPr>
                <w:sz w:val="26"/>
                <w:szCs w:val="26"/>
                <w:lang w:val="lv-LV"/>
              </w:rPr>
              <w:t xml:space="preserve">esošo funkciju </w:t>
            </w:r>
            <w:r w:rsidR="002B7681" w:rsidRPr="00583CBA">
              <w:rPr>
                <w:sz w:val="26"/>
                <w:szCs w:val="26"/>
                <w:lang w:val="lv-LV"/>
              </w:rPr>
              <w:t xml:space="preserve">un cilvēkresursu </w:t>
            </w:r>
            <w:r w:rsidR="00844176" w:rsidRPr="00583CBA">
              <w:rPr>
                <w:sz w:val="26"/>
                <w:szCs w:val="26"/>
                <w:lang w:val="lv-LV"/>
              </w:rPr>
              <w:t>ietvaros</w:t>
            </w:r>
            <w:r w:rsidR="00804BA0">
              <w:rPr>
                <w:sz w:val="26"/>
                <w:szCs w:val="26"/>
                <w:lang w:val="lv-LV"/>
              </w:rPr>
              <w:t>.</w:t>
            </w:r>
          </w:p>
        </w:tc>
      </w:tr>
      <w:tr w:rsidR="00844176" w:rsidRPr="00583CBA" w14:paraId="2EBACAF6" w14:textId="77777777" w:rsidTr="00320B22">
        <w:trPr>
          <w:trHeight w:val="39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52C13F" w14:textId="77777777" w:rsidR="00844176" w:rsidRPr="00583CB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sz w:val="26"/>
                <w:lang w:val="lv-LV"/>
              </w:rPr>
              <w:t>3.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C748B" w14:textId="77777777" w:rsidR="00844176" w:rsidRPr="00583CBA" w:rsidRDefault="00844176" w:rsidP="0028225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FA647" w14:textId="77777777" w:rsidR="00844176" w:rsidRPr="00583CBA" w:rsidRDefault="00844176" w:rsidP="0028225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583CBA">
              <w:rPr>
                <w:rFonts w:eastAsia="Times New Roman"/>
                <w:sz w:val="26"/>
                <w:szCs w:val="26"/>
                <w:lang w:val="lv-LV" w:eastAsia="lv-LV"/>
              </w:rPr>
              <w:t>Nav</w:t>
            </w:r>
          </w:p>
        </w:tc>
      </w:tr>
    </w:tbl>
    <w:p w14:paraId="03EE94B5" w14:textId="1CE65C68" w:rsidR="00862580" w:rsidRPr="00583CBA" w:rsidRDefault="00862580" w:rsidP="00282251">
      <w:pPr>
        <w:contextualSpacing/>
        <w:jc w:val="both"/>
        <w:rPr>
          <w:sz w:val="26"/>
          <w:lang w:val="lv-LV"/>
        </w:rPr>
      </w:pPr>
    </w:p>
    <w:p w14:paraId="37747DD5" w14:textId="77777777" w:rsidR="004354EC" w:rsidRPr="009563DE" w:rsidRDefault="004354EC" w:rsidP="004354EC">
      <w:pPr>
        <w:jc w:val="both"/>
        <w:rPr>
          <w:b/>
          <w:bCs/>
          <w:sz w:val="26"/>
          <w:szCs w:val="26"/>
          <w:lang w:val="lv-LV"/>
        </w:rPr>
      </w:pPr>
      <w:r w:rsidRPr="009563DE">
        <w:rPr>
          <w:b/>
          <w:bCs/>
          <w:sz w:val="26"/>
          <w:szCs w:val="26"/>
          <w:lang w:val="lv-LV"/>
        </w:rPr>
        <w:t xml:space="preserve">Ekonomikas ministrs </w:t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  <w:t xml:space="preserve">      J. </w:t>
      </w:r>
      <w:proofErr w:type="spellStart"/>
      <w:r w:rsidRPr="009563DE">
        <w:rPr>
          <w:b/>
          <w:bCs/>
          <w:sz w:val="26"/>
          <w:szCs w:val="26"/>
          <w:lang w:val="lv-LV"/>
        </w:rPr>
        <w:t>Vitenbergs</w:t>
      </w:r>
      <w:proofErr w:type="spellEnd"/>
    </w:p>
    <w:p w14:paraId="0B0C3138" w14:textId="77777777" w:rsidR="004354EC" w:rsidRPr="009563DE" w:rsidRDefault="004354EC" w:rsidP="004354EC">
      <w:pPr>
        <w:jc w:val="both"/>
        <w:rPr>
          <w:b/>
          <w:bCs/>
          <w:sz w:val="26"/>
          <w:szCs w:val="26"/>
          <w:lang w:val="lv-LV"/>
        </w:rPr>
      </w:pP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</w:r>
    </w:p>
    <w:p w14:paraId="4F4CBA78" w14:textId="77777777" w:rsidR="004354EC" w:rsidRPr="009563DE" w:rsidRDefault="004354EC" w:rsidP="004354EC">
      <w:pPr>
        <w:tabs>
          <w:tab w:val="left" w:pos="6237"/>
        </w:tabs>
        <w:contextualSpacing/>
        <w:rPr>
          <w:b/>
          <w:bCs/>
          <w:sz w:val="26"/>
          <w:szCs w:val="26"/>
          <w:lang w:val="lv-LV"/>
        </w:rPr>
      </w:pPr>
      <w:r w:rsidRPr="009563DE">
        <w:rPr>
          <w:b/>
          <w:bCs/>
          <w:sz w:val="26"/>
          <w:szCs w:val="26"/>
          <w:lang w:val="lv-LV"/>
        </w:rPr>
        <w:t>Vīza:</w:t>
      </w:r>
    </w:p>
    <w:p w14:paraId="4D9A6AE1" w14:textId="77777777" w:rsidR="004354EC" w:rsidRPr="001A210A" w:rsidRDefault="004354EC" w:rsidP="004354EC">
      <w:pPr>
        <w:tabs>
          <w:tab w:val="left" w:pos="6237"/>
        </w:tabs>
        <w:contextualSpacing/>
        <w:rPr>
          <w:lang w:val="lv-LV"/>
        </w:rPr>
      </w:pPr>
      <w:r w:rsidRPr="009563DE">
        <w:rPr>
          <w:b/>
          <w:bCs/>
          <w:sz w:val="26"/>
          <w:szCs w:val="26"/>
          <w:lang w:val="lv-LV"/>
        </w:rPr>
        <w:t>Valsts sekretā</w:t>
      </w:r>
      <w:r>
        <w:rPr>
          <w:b/>
          <w:bCs/>
          <w:sz w:val="26"/>
          <w:szCs w:val="26"/>
          <w:lang w:val="lv-LV"/>
        </w:rPr>
        <w:t>rs</w:t>
      </w:r>
      <w:r w:rsidRPr="009563DE">
        <w:rPr>
          <w:b/>
          <w:bCs/>
          <w:sz w:val="26"/>
          <w:szCs w:val="26"/>
          <w:lang w:val="lv-LV"/>
        </w:rPr>
        <w:tab/>
      </w:r>
      <w:r w:rsidRPr="009563DE">
        <w:rPr>
          <w:b/>
          <w:bCs/>
          <w:sz w:val="26"/>
          <w:szCs w:val="26"/>
          <w:lang w:val="lv-LV"/>
        </w:rPr>
        <w:tab/>
        <w:t xml:space="preserve">                    </w:t>
      </w:r>
      <w:r>
        <w:rPr>
          <w:b/>
          <w:bCs/>
          <w:sz w:val="26"/>
          <w:szCs w:val="26"/>
          <w:lang w:val="lv-LV"/>
        </w:rPr>
        <w:t xml:space="preserve">E. Valantis </w:t>
      </w:r>
    </w:p>
    <w:p w14:paraId="686EDB4F" w14:textId="0FC0C259" w:rsidR="00862580" w:rsidRPr="00583CBA" w:rsidRDefault="00862580" w:rsidP="00282251">
      <w:pPr>
        <w:tabs>
          <w:tab w:val="left" w:pos="6237"/>
        </w:tabs>
        <w:contextualSpacing/>
        <w:rPr>
          <w:lang w:val="lv-LV"/>
        </w:rPr>
      </w:pPr>
    </w:p>
    <w:p w14:paraId="662E936E" w14:textId="77777777" w:rsidR="00D217E6" w:rsidRDefault="00D217E6" w:rsidP="00282251">
      <w:pPr>
        <w:tabs>
          <w:tab w:val="left" w:pos="6840"/>
        </w:tabs>
        <w:contextualSpacing/>
        <w:jc w:val="both"/>
        <w:rPr>
          <w:lang w:val="lv-LV"/>
        </w:rPr>
      </w:pPr>
    </w:p>
    <w:p w14:paraId="1E7AABA1" w14:textId="77777777" w:rsidR="00D217E6" w:rsidRDefault="00D217E6" w:rsidP="00282251">
      <w:pPr>
        <w:tabs>
          <w:tab w:val="left" w:pos="6840"/>
        </w:tabs>
        <w:contextualSpacing/>
        <w:jc w:val="both"/>
        <w:rPr>
          <w:lang w:val="lv-LV"/>
        </w:rPr>
      </w:pPr>
    </w:p>
    <w:p w14:paraId="7FE050EB" w14:textId="23DADDC6" w:rsidR="00862580" w:rsidRPr="00583CBA" w:rsidRDefault="00862580" w:rsidP="00282251">
      <w:pPr>
        <w:tabs>
          <w:tab w:val="left" w:pos="6840"/>
        </w:tabs>
        <w:contextualSpacing/>
        <w:jc w:val="both"/>
        <w:rPr>
          <w:lang w:val="lv-LV"/>
        </w:rPr>
      </w:pPr>
      <w:r w:rsidRPr="00583CBA">
        <w:rPr>
          <w:lang w:val="lv-LV"/>
        </w:rPr>
        <w:t>Tetere, 67013044</w:t>
      </w:r>
    </w:p>
    <w:p w14:paraId="5B8D44CD" w14:textId="335AC42F" w:rsidR="00862580" w:rsidRPr="00583CBA" w:rsidRDefault="00065216" w:rsidP="00282251">
      <w:pPr>
        <w:pStyle w:val="Header"/>
        <w:tabs>
          <w:tab w:val="clear" w:pos="4153"/>
          <w:tab w:val="clear" w:pos="8306"/>
        </w:tabs>
        <w:contextualSpacing/>
        <w:rPr>
          <w:lang w:val="lv-LV"/>
        </w:rPr>
      </w:pPr>
      <w:hyperlink r:id="rId9" w:history="1">
        <w:r w:rsidR="00862580" w:rsidRPr="00583CBA">
          <w:rPr>
            <w:rStyle w:val="Hyperlink"/>
            <w:color w:val="auto"/>
            <w:lang w:val="lv-LV"/>
          </w:rPr>
          <w:t>Dita.Tetere@em.gov.lv</w:t>
        </w:r>
      </w:hyperlink>
    </w:p>
    <w:sectPr w:rsidR="00862580" w:rsidRPr="00583CBA" w:rsidSect="006064F8">
      <w:headerReference w:type="default" r:id="rId10"/>
      <w:endnotePr>
        <w:numFmt w:val="decimal"/>
      </w:endnotePr>
      <w:type w:val="continuous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0CBA" w14:textId="77777777" w:rsidR="00066E71" w:rsidRDefault="00066E71" w:rsidP="006B2FEF">
      <w:r>
        <w:separator/>
      </w:r>
    </w:p>
  </w:endnote>
  <w:endnote w:type="continuationSeparator" w:id="0">
    <w:p w14:paraId="216445B1" w14:textId="77777777" w:rsidR="00066E71" w:rsidRDefault="00066E71" w:rsidP="006B2FEF">
      <w:r>
        <w:continuationSeparator/>
      </w:r>
    </w:p>
  </w:endnote>
  <w:endnote w:type="continuationNotice" w:id="1">
    <w:p w14:paraId="094E4F22" w14:textId="77777777" w:rsidR="00066E71" w:rsidRDefault="00066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E030" w14:textId="77777777" w:rsidR="00066E71" w:rsidRDefault="00066E71" w:rsidP="006B2FEF">
      <w:r>
        <w:separator/>
      </w:r>
    </w:p>
  </w:footnote>
  <w:footnote w:type="continuationSeparator" w:id="0">
    <w:p w14:paraId="5F7A589A" w14:textId="77777777" w:rsidR="00066E71" w:rsidRDefault="00066E71" w:rsidP="006B2FEF">
      <w:r>
        <w:continuationSeparator/>
      </w:r>
    </w:p>
  </w:footnote>
  <w:footnote w:type="continuationNotice" w:id="1">
    <w:p w14:paraId="40DFC580" w14:textId="77777777" w:rsidR="00066E71" w:rsidRDefault="00066E71"/>
  </w:footnote>
  <w:footnote w:id="2">
    <w:p w14:paraId="0D9C2DEA" w14:textId="4B07D184" w:rsidR="007C614A" w:rsidRDefault="007C61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614A">
        <w:rPr>
          <w:color w:val="414142"/>
          <w:shd w:val="clear" w:color="auto" w:fill="FFFFFF"/>
        </w:rPr>
        <w:t>Komisijas 2013. gada 18. decembra Regulu (ES) Nr.  </w:t>
      </w:r>
      <w:hyperlink r:id="rId1" w:tgtFrame="_blank" w:history="1">
        <w:r w:rsidRPr="007C614A">
          <w:rPr>
            <w:rStyle w:val="Hyperlink"/>
            <w:rFonts w:eastAsia="Calibri"/>
            <w:color w:val="16497B"/>
            <w:shd w:val="clear" w:color="auto" w:fill="FFFFFF"/>
          </w:rPr>
          <w:t>1407/2013</w:t>
        </w:r>
      </w:hyperlink>
      <w:r w:rsidRPr="007C614A">
        <w:rPr>
          <w:color w:val="414142"/>
          <w:shd w:val="clear" w:color="auto" w:fill="FFFFFF"/>
        </w:rPr>
        <w:t> par Līguma par Eiropas Savienības darbību </w:t>
      </w:r>
      <w:hyperlink r:id="rId2" w:anchor="p107" w:history="1">
        <w:r w:rsidRPr="007C614A">
          <w:rPr>
            <w:rStyle w:val="Hyperlink"/>
            <w:rFonts w:eastAsia="Calibri"/>
            <w:color w:val="16497B"/>
            <w:shd w:val="clear" w:color="auto" w:fill="FFFFFF"/>
          </w:rPr>
          <w:t>107. </w:t>
        </w:r>
      </w:hyperlink>
      <w:r w:rsidRPr="007C614A">
        <w:rPr>
          <w:color w:val="414142"/>
          <w:shd w:val="clear" w:color="auto" w:fill="FFFFFF"/>
        </w:rPr>
        <w:t>un </w:t>
      </w:r>
      <w:hyperlink r:id="rId3" w:anchor="p108" w:history="1">
        <w:r w:rsidRPr="007C614A">
          <w:rPr>
            <w:rStyle w:val="Hyperlink"/>
            <w:rFonts w:eastAsia="Calibri"/>
            <w:color w:val="16497B"/>
            <w:shd w:val="clear" w:color="auto" w:fill="FFFFFF"/>
          </w:rPr>
          <w:t>108. panta</w:t>
        </w:r>
      </w:hyperlink>
      <w:r w:rsidRPr="007C614A">
        <w:rPr>
          <w:color w:val="414142"/>
          <w:shd w:val="clear" w:color="auto" w:fill="FFFFFF"/>
        </w:rPr>
        <w:t> piemērošanu </w:t>
      </w:r>
      <w:proofErr w:type="spellStart"/>
      <w:r w:rsidRPr="007C614A">
        <w:rPr>
          <w:i/>
          <w:iCs/>
          <w:color w:val="414142"/>
          <w:shd w:val="clear" w:color="auto" w:fill="FFFFFF"/>
        </w:rPr>
        <w:t>de</w:t>
      </w:r>
      <w:proofErr w:type="spellEnd"/>
      <w:r w:rsidRPr="007C614A">
        <w:rPr>
          <w:i/>
          <w:iCs/>
          <w:color w:val="414142"/>
          <w:shd w:val="clear" w:color="auto" w:fill="FFFFFF"/>
        </w:rPr>
        <w:t xml:space="preserve"> </w:t>
      </w:r>
      <w:proofErr w:type="spellStart"/>
      <w:r w:rsidRPr="007C614A">
        <w:rPr>
          <w:i/>
          <w:iCs/>
          <w:color w:val="414142"/>
          <w:shd w:val="clear" w:color="auto" w:fill="FFFFFF"/>
        </w:rPr>
        <w:t>minimis</w:t>
      </w:r>
      <w:proofErr w:type="spellEnd"/>
      <w:r w:rsidRPr="007C614A">
        <w:rPr>
          <w:color w:val="414142"/>
          <w:shd w:val="clear" w:color="auto" w:fill="FFFFFF"/>
        </w:rPr>
        <w:t> atbalstam (turpmāk – Komisijas regula Nr.  </w:t>
      </w:r>
      <w:hyperlink r:id="rId4" w:tgtFrame="_blank" w:history="1">
        <w:r w:rsidRPr="007C614A">
          <w:rPr>
            <w:rStyle w:val="Hyperlink"/>
            <w:rFonts w:eastAsia="Calibri"/>
            <w:color w:val="16497B"/>
            <w:shd w:val="clear" w:color="auto" w:fill="FFFFFF"/>
          </w:rPr>
          <w:t>1407/2013</w:t>
        </w:r>
      </w:hyperlink>
      <w:r w:rsidRPr="007C614A">
        <w:rPr>
          <w:color w:val="414142"/>
          <w:shd w:val="clear" w:color="auto" w:fill="FFFFFF"/>
        </w:rPr>
        <w:t>)</w:t>
      </w:r>
    </w:p>
  </w:footnote>
  <w:footnote w:id="3">
    <w:p w14:paraId="6E0D61A0" w14:textId="77777777" w:rsidR="00CD3066" w:rsidRPr="00F34326" w:rsidRDefault="00CD3066" w:rsidP="00CD3066">
      <w:pPr>
        <w:pStyle w:val="FootnoteText"/>
        <w:rPr>
          <w:sz w:val="18"/>
        </w:rPr>
      </w:pPr>
      <w:r w:rsidRPr="00F34326">
        <w:rPr>
          <w:rStyle w:val="FootnoteReference"/>
          <w:sz w:val="18"/>
        </w:rPr>
        <w:footnoteRef/>
      </w:r>
      <w:r w:rsidRPr="00F34326">
        <w:rPr>
          <w:sz w:val="18"/>
        </w:rPr>
        <w:t xml:space="preserve"> Komisijas 2014.gada 11.septembra īstenošanas regula (ES) Nr.964/2014, kurā izklāstīti noteikumi par Eiropas Parlamenta un padomes regulas (ES) Nr.1303/2013 piemērošanu attiecībā uz standarta noteikumiem un nosacījumiem par finanšu instrumentiem (turpmāk – Regula Nr.964/2014) </w:t>
      </w:r>
    </w:p>
  </w:footnote>
  <w:footnote w:id="4">
    <w:p w14:paraId="273162C0" w14:textId="77777777" w:rsidR="00392FEE" w:rsidRDefault="00392FEE" w:rsidP="00392FEE">
      <w:pPr>
        <w:pStyle w:val="FootnoteText"/>
      </w:pPr>
      <w:r>
        <w:rPr>
          <w:rStyle w:val="FootnoteReference"/>
          <w:rFonts w:eastAsia="Calibri"/>
        </w:rPr>
        <w:footnoteRef/>
      </w:r>
      <w:hyperlink r:id="rId5" w:history="1">
        <w:r w:rsidRPr="0017306F">
          <w:rPr>
            <w:rStyle w:val="Hyperlink"/>
          </w:rPr>
          <w:t>https://ec.europa.eu/competition/state_aid/what_is_new/sa_covid19_4th_amendment_and_prolongation_temporary_framework_en.pdf</w:t>
        </w:r>
      </w:hyperlink>
      <w:r>
        <w:t xml:space="preserve"> </w:t>
      </w:r>
    </w:p>
  </w:footnote>
  <w:footnote w:id="5">
    <w:p w14:paraId="00B9B946" w14:textId="77777777" w:rsidR="00715955" w:rsidRDefault="00715955" w:rsidP="00715955">
      <w:pPr>
        <w:pStyle w:val="FootnoteText"/>
      </w:pPr>
      <w:r>
        <w:rPr>
          <w:rStyle w:val="FootnoteReference"/>
        </w:rPr>
        <w:footnoteRef/>
      </w:r>
      <w:r>
        <w:t xml:space="preserve"> Atlases noteikumi:</w:t>
      </w:r>
    </w:p>
    <w:p w14:paraId="700566E0" w14:textId="77777777" w:rsidR="00715955" w:rsidRDefault="00715955" w:rsidP="00715955">
      <w:pPr>
        <w:pStyle w:val="FootnoteText"/>
      </w:pPr>
      <w:r>
        <w:t>3.3.</w:t>
      </w:r>
      <w:r>
        <w:tab/>
        <w:t>Garantijas prēmija – vienreizēja maksa par garantiju:</w:t>
      </w:r>
    </w:p>
    <w:p w14:paraId="1A48A547" w14:textId="77777777" w:rsidR="00715955" w:rsidRDefault="00715955" w:rsidP="00715955">
      <w:pPr>
        <w:pStyle w:val="FootnoteText"/>
      </w:pPr>
      <w:r>
        <w:t>3.3.1.</w:t>
      </w:r>
      <w:r>
        <w:tab/>
        <w:t>finanšu pakalpojumiem līdz 2 gadiem – 0,80 %;</w:t>
      </w:r>
    </w:p>
    <w:p w14:paraId="6FF94438" w14:textId="77777777" w:rsidR="00715955" w:rsidRDefault="00715955" w:rsidP="00715955">
      <w:pPr>
        <w:pStyle w:val="FootnoteText"/>
      </w:pPr>
      <w:r>
        <w:t>3.3.2.</w:t>
      </w:r>
      <w:r>
        <w:tab/>
        <w:t>finanšu pakalpojumiem  virs 2 gadiem – 1,42 %;</w:t>
      </w:r>
    </w:p>
    <w:p w14:paraId="48BB17B9" w14:textId="77777777" w:rsidR="00715955" w:rsidRDefault="00715955" w:rsidP="00715955">
      <w:pPr>
        <w:pStyle w:val="FootnoteText"/>
      </w:pPr>
      <w:r>
        <w:t>3.3.3.</w:t>
      </w:r>
      <w:r>
        <w:tab/>
        <w:t>pagarinot finanšu pakalpojuma darbības termiņu ar Sabiedrības garantiju, ievērojot MK noteikumu Nr. 537 nosacījumus, atkārtoti tiek maksāta vienreizējā garantijas prēmija, ievērojot atlases noteikumu 3.3.1. un 3.3.2.punktu.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627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97F8B3" w14:textId="605F079C" w:rsidR="0007156D" w:rsidRPr="005A1518" w:rsidRDefault="0007156D" w:rsidP="005A1518">
        <w:pPr>
          <w:pStyle w:val="Header"/>
          <w:jc w:val="center"/>
          <w:rPr>
            <w:sz w:val="24"/>
          </w:rPr>
        </w:pPr>
        <w:r w:rsidRPr="00B014C2">
          <w:rPr>
            <w:sz w:val="24"/>
            <w:szCs w:val="24"/>
          </w:rPr>
          <w:fldChar w:fldCharType="begin"/>
        </w:r>
        <w:r w:rsidRPr="00B014C2">
          <w:rPr>
            <w:sz w:val="24"/>
            <w:szCs w:val="24"/>
          </w:rPr>
          <w:instrText xml:space="preserve"> PAGE   \* MERGEFORMAT </w:instrText>
        </w:r>
        <w:r w:rsidRPr="00B014C2">
          <w:rPr>
            <w:sz w:val="24"/>
            <w:szCs w:val="24"/>
          </w:rPr>
          <w:fldChar w:fldCharType="separate"/>
        </w:r>
        <w:r w:rsidR="00557927">
          <w:rPr>
            <w:noProof/>
            <w:sz w:val="24"/>
            <w:szCs w:val="24"/>
          </w:rPr>
          <w:t>9</w:t>
        </w:r>
        <w:r w:rsidRPr="00B014C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91D"/>
    <w:multiLevelType w:val="multilevel"/>
    <w:tmpl w:val="3B56E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4108"/>
    <w:multiLevelType w:val="hybridMultilevel"/>
    <w:tmpl w:val="0BAACA02"/>
    <w:lvl w:ilvl="0" w:tplc="E4B49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4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2F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6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1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E9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C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EA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4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5247A"/>
    <w:multiLevelType w:val="hybridMultilevel"/>
    <w:tmpl w:val="9E303A1E"/>
    <w:lvl w:ilvl="0" w:tplc="CE9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316DF"/>
    <w:multiLevelType w:val="hybridMultilevel"/>
    <w:tmpl w:val="4DB486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FE9"/>
    <w:multiLevelType w:val="hybridMultilevel"/>
    <w:tmpl w:val="F4669DEE"/>
    <w:lvl w:ilvl="0" w:tplc="960E1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07F7"/>
    <w:multiLevelType w:val="hybridMultilevel"/>
    <w:tmpl w:val="AA90F2CA"/>
    <w:lvl w:ilvl="0" w:tplc="A254E06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12D9"/>
    <w:multiLevelType w:val="hybridMultilevel"/>
    <w:tmpl w:val="345AECB2"/>
    <w:lvl w:ilvl="0" w:tplc="960E1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5236"/>
    <w:multiLevelType w:val="hybridMultilevel"/>
    <w:tmpl w:val="4E0A5B6E"/>
    <w:lvl w:ilvl="0" w:tplc="28443DA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8065C"/>
    <w:multiLevelType w:val="hybridMultilevel"/>
    <w:tmpl w:val="D4D803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7AB"/>
    <w:multiLevelType w:val="hybridMultilevel"/>
    <w:tmpl w:val="A75604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7DD8"/>
    <w:multiLevelType w:val="hybridMultilevel"/>
    <w:tmpl w:val="5D96A968"/>
    <w:lvl w:ilvl="0" w:tplc="741CB2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85F28"/>
    <w:multiLevelType w:val="hybridMultilevel"/>
    <w:tmpl w:val="210069D8"/>
    <w:lvl w:ilvl="0" w:tplc="A7948D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118"/>
    <w:multiLevelType w:val="multilevel"/>
    <w:tmpl w:val="74FE8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7450EA"/>
    <w:multiLevelType w:val="hybridMultilevel"/>
    <w:tmpl w:val="B66C0196"/>
    <w:lvl w:ilvl="0" w:tplc="F614F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4AE8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AE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8A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27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4A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22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04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E1100"/>
    <w:multiLevelType w:val="hybridMultilevel"/>
    <w:tmpl w:val="10144120"/>
    <w:lvl w:ilvl="0" w:tplc="D0A627C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7041"/>
    <w:multiLevelType w:val="hybridMultilevel"/>
    <w:tmpl w:val="A1E685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B70A7"/>
    <w:multiLevelType w:val="hybridMultilevel"/>
    <w:tmpl w:val="A75604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33C3"/>
    <w:multiLevelType w:val="hybridMultilevel"/>
    <w:tmpl w:val="F4B2D3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1B06"/>
    <w:multiLevelType w:val="hybridMultilevel"/>
    <w:tmpl w:val="BA2C9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16"/>
  </w:num>
  <w:num w:numId="17">
    <w:abstractNumId w:val="11"/>
  </w:num>
  <w:num w:numId="18">
    <w:abstractNumId w:val="4"/>
  </w:num>
  <w:num w:numId="1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3"/>
    <w:rsid w:val="000008A9"/>
    <w:rsid w:val="000058AA"/>
    <w:rsid w:val="0000653D"/>
    <w:rsid w:val="00007491"/>
    <w:rsid w:val="0001048C"/>
    <w:rsid w:val="00013B61"/>
    <w:rsid w:val="00014B9F"/>
    <w:rsid w:val="00016159"/>
    <w:rsid w:val="0002003C"/>
    <w:rsid w:val="000231D2"/>
    <w:rsid w:val="000240CA"/>
    <w:rsid w:val="00024ACB"/>
    <w:rsid w:val="00024D9D"/>
    <w:rsid w:val="0002596F"/>
    <w:rsid w:val="00026F18"/>
    <w:rsid w:val="0003012D"/>
    <w:rsid w:val="00030B7E"/>
    <w:rsid w:val="0003245D"/>
    <w:rsid w:val="00032471"/>
    <w:rsid w:val="0003265E"/>
    <w:rsid w:val="0003309D"/>
    <w:rsid w:val="00033F5A"/>
    <w:rsid w:val="00035C7B"/>
    <w:rsid w:val="000430AC"/>
    <w:rsid w:val="0004380E"/>
    <w:rsid w:val="00044683"/>
    <w:rsid w:val="00044743"/>
    <w:rsid w:val="00047095"/>
    <w:rsid w:val="00047962"/>
    <w:rsid w:val="000527A4"/>
    <w:rsid w:val="000638B5"/>
    <w:rsid w:val="00065216"/>
    <w:rsid w:val="00066E71"/>
    <w:rsid w:val="000678CD"/>
    <w:rsid w:val="00070F56"/>
    <w:rsid w:val="00071082"/>
    <w:rsid w:val="0007156D"/>
    <w:rsid w:val="00071BC9"/>
    <w:rsid w:val="00072B02"/>
    <w:rsid w:val="0007330D"/>
    <w:rsid w:val="0007405A"/>
    <w:rsid w:val="00074090"/>
    <w:rsid w:val="000773A5"/>
    <w:rsid w:val="00077D13"/>
    <w:rsid w:val="0008002B"/>
    <w:rsid w:val="00080352"/>
    <w:rsid w:val="000818FB"/>
    <w:rsid w:val="00081EC5"/>
    <w:rsid w:val="0008515E"/>
    <w:rsid w:val="00085640"/>
    <w:rsid w:val="00091668"/>
    <w:rsid w:val="00091F4F"/>
    <w:rsid w:val="0009324B"/>
    <w:rsid w:val="00094B1E"/>
    <w:rsid w:val="00094DE4"/>
    <w:rsid w:val="00095280"/>
    <w:rsid w:val="00096060"/>
    <w:rsid w:val="000964C6"/>
    <w:rsid w:val="000A0059"/>
    <w:rsid w:val="000A14E3"/>
    <w:rsid w:val="000A37C3"/>
    <w:rsid w:val="000A38DA"/>
    <w:rsid w:val="000A44CE"/>
    <w:rsid w:val="000B0748"/>
    <w:rsid w:val="000B1926"/>
    <w:rsid w:val="000B1B64"/>
    <w:rsid w:val="000B2C54"/>
    <w:rsid w:val="000B3449"/>
    <w:rsid w:val="000B3FAB"/>
    <w:rsid w:val="000B492B"/>
    <w:rsid w:val="000B71B4"/>
    <w:rsid w:val="000C090A"/>
    <w:rsid w:val="000C33C1"/>
    <w:rsid w:val="000C4418"/>
    <w:rsid w:val="000C50F5"/>
    <w:rsid w:val="000C71B9"/>
    <w:rsid w:val="000D0CAC"/>
    <w:rsid w:val="000D2474"/>
    <w:rsid w:val="000D3D56"/>
    <w:rsid w:val="000D43D9"/>
    <w:rsid w:val="000D460D"/>
    <w:rsid w:val="000D74B9"/>
    <w:rsid w:val="000E257B"/>
    <w:rsid w:val="000E3267"/>
    <w:rsid w:val="000E53C3"/>
    <w:rsid w:val="000E56F8"/>
    <w:rsid w:val="000E5DD2"/>
    <w:rsid w:val="000E63F3"/>
    <w:rsid w:val="000F0A62"/>
    <w:rsid w:val="000F0E0E"/>
    <w:rsid w:val="000F25D2"/>
    <w:rsid w:val="000F2EA7"/>
    <w:rsid w:val="000F4230"/>
    <w:rsid w:val="000F785A"/>
    <w:rsid w:val="001001F5"/>
    <w:rsid w:val="00102922"/>
    <w:rsid w:val="00102B0D"/>
    <w:rsid w:val="00102B1D"/>
    <w:rsid w:val="00105D17"/>
    <w:rsid w:val="00110128"/>
    <w:rsid w:val="0011606F"/>
    <w:rsid w:val="0012353E"/>
    <w:rsid w:val="001257ED"/>
    <w:rsid w:val="0012624C"/>
    <w:rsid w:val="00130058"/>
    <w:rsid w:val="0013024B"/>
    <w:rsid w:val="00131AB3"/>
    <w:rsid w:val="00131C9F"/>
    <w:rsid w:val="00136CCC"/>
    <w:rsid w:val="00137388"/>
    <w:rsid w:val="00137F96"/>
    <w:rsid w:val="00142C3C"/>
    <w:rsid w:val="00143BB6"/>
    <w:rsid w:val="00145366"/>
    <w:rsid w:val="00146697"/>
    <w:rsid w:val="00146D17"/>
    <w:rsid w:val="0014739B"/>
    <w:rsid w:val="00150256"/>
    <w:rsid w:val="00151BBD"/>
    <w:rsid w:val="00152387"/>
    <w:rsid w:val="0015295F"/>
    <w:rsid w:val="00156C28"/>
    <w:rsid w:val="0016143E"/>
    <w:rsid w:val="00161BA7"/>
    <w:rsid w:val="001633A3"/>
    <w:rsid w:val="001650AC"/>
    <w:rsid w:val="001655DD"/>
    <w:rsid w:val="00165747"/>
    <w:rsid w:val="00165F5E"/>
    <w:rsid w:val="0016668A"/>
    <w:rsid w:val="00166A8B"/>
    <w:rsid w:val="0016744E"/>
    <w:rsid w:val="00167597"/>
    <w:rsid w:val="00172082"/>
    <w:rsid w:val="00176AB2"/>
    <w:rsid w:val="00177250"/>
    <w:rsid w:val="00177882"/>
    <w:rsid w:val="00177C69"/>
    <w:rsid w:val="00180E2B"/>
    <w:rsid w:val="00183B65"/>
    <w:rsid w:val="00183C0A"/>
    <w:rsid w:val="001850AC"/>
    <w:rsid w:val="00186A4D"/>
    <w:rsid w:val="00187140"/>
    <w:rsid w:val="00187CC8"/>
    <w:rsid w:val="00190B3D"/>
    <w:rsid w:val="00191B63"/>
    <w:rsid w:val="001935C8"/>
    <w:rsid w:val="001946C8"/>
    <w:rsid w:val="00195D43"/>
    <w:rsid w:val="001A00DC"/>
    <w:rsid w:val="001A120C"/>
    <w:rsid w:val="001A1322"/>
    <w:rsid w:val="001A1368"/>
    <w:rsid w:val="001A1439"/>
    <w:rsid w:val="001A2748"/>
    <w:rsid w:val="001A38EA"/>
    <w:rsid w:val="001A3ED2"/>
    <w:rsid w:val="001A7C3A"/>
    <w:rsid w:val="001A7E1D"/>
    <w:rsid w:val="001B1AD3"/>
    <w:rsid w:val="001B70CA"/>
    <w:rsid w:val="001B7454"/>
    <w:rsid w:val="001C0801"/>
    <w:rsid w:val="001C143C"/>
    <w:rsid w:val="001C1B72"/>
    <w:rsid w:val="001C2832"/>
    <w:rsid w:val="001C362D"/>
    <w:rsid w:val="001C5ED6"/>
    <w:rsid w:val="001C6208"/>
    <w:rsid w:val="001C68A2"/>
    <w:rsid w:val="001C70CC"/>
    <w:rsid w:val="001D0561"/>
    <w:rsid w:val="001D0800"/>
    <w:rsid w:val="001D2C06"/>
    <w:rsid w:val="001D3167"/>
    <w:rsid w:val="001D57E4"/>
    <w:rsid w:val="001D6EFA"/>
    <w:rsid w:val="001D7397"/>
    <w:rsid w:val="001D7DC1"/>
    <w:rsid w:val="001E023A"/>
    <w:rsid w:val="001E11E3"/>
    <w:rsid w:val="001E1B0F"/>
    <w:rsid w:val="001E323F"/>
    <w:rsid w:val="001E3588"/>
    <w:rsid w:val="001E4C2F"/>
    <w:rsid w:val="001E5FBC"/>
    <w:rsid w:val="001E76BE"/>
    <w:rsid w:val="001F2BA2"/>
    <w:rsid w:val="001F6DBE"/>
    <w:rsid w:val="001F7086"/>
    <w:rsid w:val="001F7AAD"/>
    <w:rsid w:val="00200E07"/>
    <w:rsid w:val="00200E7D"/>
    <w:rsid w:val="00201D17"/>
    <w:rsid w:val="0020468C"/>
    <w:rsid w:val="002107BF"/>
    <w:rsid w:val="00210E64"/>
    <w:rsid w:val="00211315"/>
    <w:rsid w:val="00215A5A"/>
    <w:rsid w:val="00215C6A"/>
    <w:rsid w:val="0021738A"/>
    <w:rsid w:val="002177B0"/>
    <w:rsid w:val="00217F5B"/>
    <w:rsid w:val="00223778"/>
    <w:rsid w:val="00224E84"/>
    <w:rsid w:val="002267E7"/>
    <w:rsid w:val="00227BC3"/>
    <w:rsid w:val="00227F25"/>
    <w:rsid w:val="00232596"/>
    <w:rsid w:val="00234025"/>
    <w:rsid w:val="00234470"/>
    <w:rsid w:val="0023582E"/>
    <w:rsid w:val="00237878"/>
    <w:rsid w:val="002438ED"/>
    <w:rsid w:val="00244A9E"/>
    <w:rsid w:val="00246849"/>
    <w:rsid w:val="00250127"/>
    <w:rsid w:val="0025023B"/>
    <w:rsid w:val="00251FA5"/>
    <w:rsid w:val="00252EEF"/>
    <w:rsid w:val="00253B6C"/>
    <w:rsid w:val="00254651"/>
    <w:rsid w:val="00254901"/>
    <w:rsid w:val="0025543B"/>
    <w:rsid w:val="00255BAC"/>
    <w:rsid w:val="0025654B"/>
    <w:rsid w:val="002565F1"/>
    <w:rsid w:val="00257981"/>
    <w:rsid w:val="002601C7"/>
    <w:rsid w:val="00261B97"/>
    <w:rsid w:val="002651EA"/>
    <w:rsid w:val="0027369F"/>
    <w:rsid w:val="00273700"/>
    <w:rsid w:val="00273B21"/>
    <w:rsid w:val="00277D9D"/>
    <w:rsid w:val="00281C0B"/>
    <w:rsid w:val="00281F89"/>
    <w:rsid w:val="00281F98"/>
    <w:rsid w:val="00282251"/>
    <w:rsid w:val="0028288E"/>
    <w:rsid w:val="00290EE2"/>
    <w:rsid w:val="00291C35"/>
    <w:rsid w:val="00292062"/>
    <w:rsid w:val="002932D2"/>
    <w:rsid w:val="00294DDB"/>
    <w:rsid w:val="00294DF3"/>
    <w:rsid w:val="002957B7"/>
    <w:rsid w:val="002A0435"/>
    <w:rsid w:val="002A0BC1"/>
    <w:rsid w:val="002A166A"/>
    <w:rsid w:val="002A1AA4"/>
    <w:rsid w:val="002A3287"/>
    <w:rsid w:val="002A3EC2"/>
    <w:rsid w:val="002A59B7"/>
    <w:rsid w:val="002A6400"/>
    <w:rsid w:val="002B071C"/>
    <w:rsid w:val="002B24D2"/>
    <w:rsid w:val="002B3EAE"/>
    <w:rsid w:val="002B4900"/>
    <w:rsid w:val="002B6364"/>
    <w:rsid w:val="002B7681"/>
    <w:rsid w:val="002B7F82"/>
    <w:rsid w:val="002C15A0"/>
    <w:rsid w:val="002C22CF"/>
    <w:rsid w:val="002C3E23"/>
    <w:rsid w:val="002C3E51"/>
    <w:rsid w:val="002C504B"/>
    <w:rsid w:val="002C65E0"/>
    <w:rsid w:val="002C743D"/>
    <w:rsid w:val="002D339C"/>
    <w:rsid w:val="002D43A2"/>
    <w:rsid w:val="002D6A10"/>
    <w:rsid w:val="002D6BDB"/>
    <w:rsid w:val="002D744A"/>
    <w:rsid w:val="002D7D0E"/>
    <w:rsid w:val="002E024D"/>
    <w:rsid w:val="002E1075"/>
    <w:rsid w:val="002E5019"/>
    <w:rsid w:val="002E5643"/>
    <w:rsid w:val="002E678E"/>
    <w:rsid w:val="002E708A"/>
    <w:rsid w:val="002E7635"/>
    <w:rsid w:val="002F06CE"/>
    <w:rsid w:val="002F1DDB"/>
    <w:rsid w:val="002F5587"/>
    <w:rsid w:val="002F5FB0"/>
    <w:rsid w:val="002F741D"/>
    <w:rsid w:val="00300B84"/>
    <w:rsid w:val="00301A6D"/>
    <w:rsid w:val="0030247A"/>
    <w:rsid w:val="00303955"/>
    <w:rsid w:val="00303F18"/>
    <w:rsid w:val="00304810"/>
    <w:rsid w:val="003055C3"/>
    <w:rsid w:val="003061FB"/>
    <w:rsid w:val="00306270"/>
    <w:rsid w:val="0031008A"/>
    <w:rsid w:val="00310924"/>
    <w:rsid w:val="0031259B"/>
    <w:rsid w:val="00314287"/>
    <w:rsid w:val="00314298"/>
    <w:rsid w:val="0031471E"/>
    <w:rsid w:val="003176D3"/>
    <w:rsid w:val="00320B22"/>
    <w:rsid w:val="003228DE"/>
    <w:rsid w:val="00323C8A"/>
    <w:rsid w:val="003251AC"/>
    <w:rsid w:val="00326096"/>
    <w:rsid w:val="00326AE5"/>
    <w:rsid w:val="00330421"/>
    <w:rsid w:val="0033237E"/>
    <w:rsid w:val="003334FB"/>
    <w:rsid w:val="003344E7"/>
    <w:rsid w:val="0033779C"/>
    <w:rsid w:val="00337AC6"/>
    <w:rsid w:val="00343A18"/>
    <w:rsid w:val="0034476B"/>
    <w:rsid w:val="00346913"/>
    <w:rsid w:val="003469B5"/>
    <w:rsid w:val="00346CE0"/>
    <w:rsid w:val="003513E6"/>
    <w:rsid w:val="00354ABE"/>
    <w:rsid w:val="00356492"/>
    <w:rsid w:val="00357C6C"/>
    <w:rsid w:val="00360657"/>
    <w:rsid w:val="00366AFE"/>
    <w:rsid w:val="00367B98"/>
    <w:rsid w:val="00370711"/>
    <w:rsid w:val="00371757"/>
    <w:rsid w:val="00373F39"/>
    <w:rsid w:val="00374F73"/>
    <w:rsid w:val="0037530A"/>
    <w:rsid w:val="00375D4C"/>
    <w:rsid w:val="00375F30"/>
    <w:rsid w:val="00376F09"/>
    <w:rsid w:val="00380AC5"/>
    <w:rsid w:val="00380D03"/>
    <w:rsid w:val="00381382"/>
    <w:rsid w:val="003814A5"/>
    <w:rsid w:val="00381B26"/>
    <w:rsid w:val="00382FEC"/>
    <w:rsid w:val="00385772"/>
    <w:rsid w:val="00387734"/>
    <w:rsid w:val="003911D7"/>
    <w:rsid w:val="0039139B"/>
    <w:rsid w:val="003913FB"/>
    <w:rsid w:val="00391F87"/>
    <w:rsid w:val="0039281D"/>
    <w:rsid w:val="00392998"/>
    <w:rsid w:val="00392FEE"/>
    <w:rsid w:val="0039319E"/>
    <w:rsid w:val="00393E8A"/>
    <w:rsid w:val="003949F0"/>
    <w:rsid w:val="00395460"/>
    <w:rsid w:val="00396152"/>
    <w:rsid w:val="003962D9"/>
    <w:rsid w:val="00397D0E"/>
    <w:rsid w:val="003A1D77"/>
    <w:rsid w:val="003A24AD"/>
    <w:rsid w:val="003A2C91"/>
    <w:rsid w:val="003A3B51"/>
    <w:rsid w:val="003A40AD"/>
    <w:rsid w:val="003A4F11"/>
    <w:rsid w:val="003A66B2"/>
    <w:rsid w:val="003A6A32"/>
    <w:rsid w:val="003A6B7C"/>
    <w:rsid w:val="003A7D7E"/>
    <w:rsid w:val="003B1693"/>
    <w:rsid w:val="003B32EC"/>
    <w:rsid w:val="003B3488"/>
    <w:rsid w:val="003B5E55"/>
    <w:rsid w:val="003B5F6A"/>
    <w:rsid w:val="003B623A"/>
    <w:rsid w:val="003B63BE"/>
    <w:rsid w:val="003B7B62"/>
    <w:rsid w:val="003B7EE6"/>
    <w:rsid w:val="003C072B"/>
    <w:rsid w:val="003C3D3D"/>
    <w:rsid w:val="003C5836"/>
    <w:rsid w:val="003C585E"/>
    <w:rsid w:val="003C7796"/>
    <w:rsid w:val="003D0189"/>
    <w:rsid w:val="003D0448"/>
    <w:rsid w:val="003D0D82"/>
    <w:rsid w:val="003D0FB7"/>
    <w:rsid w:val="003D1A86"/>
    <w:rsid w:val="003D3252"/>
    <w:rsid w:val="003D3CA2"/>
    <w:rsid w:val="003D3E7E"/>
    <w:rsid w:val="003D7F0B"/>
    <w:rsid w:val="003E06DF"/>
    <w:rsid w:val="003E145E"/>
    <w:rsid w:val="003E171B"/>
    <w:rsid w:val="003E3100"/>
    <w:rsid w:val="003E4132"/>
    <w:rsid w:val="003E5276"/>
    <w:rsid w:val="003E5596"/>
    <w:rsid w:val="003E58C7"/>
    <w:rsid w:val="003E5A6D"/>
    <w:rsid w:val="003E5B81"/>
    <w:rsid w:val="003E5D7B"/>
    <w:rsid w:val="003E637A"/>
    <w:rsid w:val="003E78C2"/>
    <w:rsid w:val="003F0341"/>
    <w:rsid w:val="003F288B"/>
    <w:rsid w:val="003F2B20"/>
    <w:rsid w:val="003F2C34"/>
    <w:rsid w:val="003F2DF0"/>
    <w:rsid w:val="003F30FC"/>
    <w:rsid w:val="003F45CD"/>
    <w:rsid w:val="003F4CC7"/>
    <w:rsid w:val="003F7C94"/>
    <w:rsid w:val="00401397"/>
    <w:rsid w:val="004038BC"/>
    <w:rsid w:val="00406AE2"/>
    <w:rsid w:val="0041036A"/>
    <w:rsid w:val="00412337"/>
    <w:rsid w:val="0041316A"/>
    <w:rsid w:val="004158F6"/>
    <w:rsid w:val="00415A66"/>
    <w:rsid w:val="00416A31"/>
    <w:rsid w:val="00417136"/>
    <w:rsid w:val="00417240"/>
    <w:rsid w:val="0041770B"/>
    <w:rsid w:val="004205F6"/>
    <w:rsid w:val="00420760"/>
    <w:rsid w:val="00420CFF"/>
    <w:rsid w:val="004224C2"/>
    <w:rsid w:val="00423B46"/>
    <w:rsid w:val="00424376"/>
    <w:rsid w:val="00425AA9"/>
    <w:rsid w:val="00426250"/>
    <w:rsid w:val="00426A69"/>
    <w:rsid w:val="00426B77"/>
    <w:rsid w:val="00430F61"/>
    <w:rsid w:val="00431019"/>
    <w:rsid w:val="00433EC2"/>
    <w:rsid w:val="00434856"/>
    <w:rsid w:val="00434CD9"/>
    <w:rsid w:val="004352F7"/>
    <w:rsid w:val="004354EC"/>
    <w:rsid w:val="0043554A"/>
    <w:rsid w:val="0043619D"/>
    <w:rsid w:val="004362D3"/>
    <w:rsid w:val="00442A8B"/>
    <w:rsid w:val="00442D1E"/>
    <w:rsid w:val="00443016"/>
    <w:rsid w:val="00444344"/>
    <w:rsid w:val="00445945"/>
    <w:rsid w:val="00450691"/>
    <w:rsid w:val="00450D9C"/>
    <w:rsid w:val="00452140"/>
    <w:rsid w:val="00453BB3"/>
    <w:rsid w:val="004545A3"/>
    <w:rsid w:val="00454695"/>
    <w:rsid w:val="00457427"/>
    <w:rsid w:val="00457C1C"/>
    <w:rsid w:val="004615AE"/>
    <w:rsid w:val="004617B1"/>
    <w:rsid w:val="004619FE"/>
    <w:rsid w:val="00462400"/>
    <w:rsid w:val="00462679"/>
    <w:rsid w:val="00463574"/>
    <w:rsid w:val="00464762"/>
    <w:rsid w:val="00466669"/>
    <w:rsid w:val="004666F3"/>
    <w:rsid w:val="00467343"/>
    <w:rsid w:val="0047031A"/>
    <w:rsid w:val="00471A6D"/>
    <w:rsid w:val="0047322E"/>
    <w:rsid w:val="004741BD"/>
    <w:rsid w:val="004757CE"/>
    <w:rsid w:val="00475FA3"/>
    <w:rsid w:val="00476F80"/>
    <w:rsid w:val="00480F68"/>
    <w:rsid w:val="00481C20"/>
    <w:rsid w:val="00483B86"/>
    <w:rsid w:val="00485293"/>
    <w:rsid w:val="004858C7"/>
    <w:rsid w:val="00485C40"/>
    <w:rsid w:val="00485E47"/>
    <w:rsid w:val="00490499"/>
    <w:rsid w:val="00497AB8"/>
    <w:rsid w:val="004A2EE3"/>
    <w:rsid w:val="004A4356"/>
    <w:rsid w:val="004A5EEF"/>
    <w:rsid w:val="004B0B1D"/>
    <w:rsid w:val="004B261A"/>
    <w:rsid w:val="004B3C41"/>
    <w:rsid w:val="004B6792"/>
    <w:rsid w:val="004C0738"/>
    <w:rsid w:val="004C0D20"/>
    <w:rsid w:val="004C0FE6"/>
    <w:rsid w:val="004C20F1"/>
    <w:rsid w:val="004C212C"/>
    <w:rsid w:val="004C253C"/>
    <w:rsid w:val="004C2FC4"/>
    <w:rsid w:val="004C30C9"/>
    <w:rsid w:val="004D0B68"/>
    <w:rsid w:val="004D0F95"/>
    <w:rsid w:val="004D232B"/>
    <w:rsid w:val="004D3010"/>
    <w:rsid w:val="004D3ABB"/>
    <w:rsid w:val="004D4A6B"/>
    <w:rsid w:val="004E1476"/>
    <w:rsid w:val="004E4946"/>
    <w:rsid w:val="004E5D38"/>
    <w:rsid w:val="004E603B"/>
    <w:rsid w:val="004E626B"/>
    <w:rsid w:val="004E6C7D"/>
    <w:rsid w:val="004F13BD"/>
    <w:rsid w:val="004F29F8"/>
    <w:rsid w:val="004F478F"/>
    <w:rsid w:val="00501246"/>
    <w:rsid w:val="0050230D"/>
    <w:rsid w:val="0050364D"/>
    <w:rsid w:val="00503D17"/>
    <w:rsid w:val="00504D6E"/>
    <w:rsid w:val="005116FB"/>
    <w:rsid w:val="0051378F"/>
    <w:rsid w:val="00514B75"/>
    <w:rsid w:val="00515D44"/>
    <w:rsid w:val="005223A2"/>
    <w:rsid w:val="00531AFF"/>
    <w:rsid w:val="00532875"/>
    <w:rsid w:val="00533F84"/>
    <w:rsid w:val="00534305"/>
    <w:rsid w:val="0053691B"/>
    <w:rsid w:val="00537DC8"/>
    <w:rsid w:val="00537FF8"/>
    <w:rsid w:val="00542913"/>
    <w:rsid w:val="0054467E"/>
    <w:rsid w:val="005464E6"/>
    <w:rsid w:val="00546938"/>
    <w:rsid w:val="00547ACF"/>
    <w:rsid w:val="005519BC"/>
    <w:rsid w:val="005525C7"/>
    <w:rsid w:val="00552639"/>
    <w:rsid w:val="00555557"/>
    <w:rsid w:val="00557927"/>
    <w:rsid w:val="00557AA8"/>
    <w:rsid w:val="00557B17"/>
    <w:rsid w:val="00561126"/>
    <w:rsid w:val="00561142"/>
    <w:rsid w:val="00561296"/>
    <w:rsid w:val="00566916"/>
    <w:rsid w:val="00566B9F"/>
    <w:rsid w:val="00566F71"/>
    <w:rsid w:val="00567EBC"/>
    <w:rsid w:val="00567FC5"/>
    <w:rsid w:val="00571CCF"/>
    <w:rsid w:val="00572180"/>
    <w:rsid w:val="00572337"/>
    <w:rsid w:val="0057338A"/>
    <w:rsid w:val="00573FFE"/>
    <w:rsid w:val="00575FC3"/>
    <w:rsid w:val="00575FE5"/>
    <w:rsid w:val="0057625C"/>
    <w:rsid w:val="00576743"/>
    <w:rsid w:val="005771D5"/>
    <w:rsid w:val="0058066B"/>
    <w:rsid w:val="0058099B"/>
    <w:rsid w:val="00580B98"/>
    <w:rsid w:val="00581784"/>
    <w:rsid w:val="005832C9"/>
    <w:rsid w:val="005836A3"/>
    <w:rsid w:val="00583CBA"/>
    <w:rsid w:val="00584453"/>
    <w:rsid w:val="00591838"/>
    <w:rsid w:val="00592809"/>
    <w:rsid w:val="00593343"/>
    <w:rsid w:val="00594A83"/>
    <w:rsid w:val="005A0C78"/>
    <w:rsid w:val="005A1518"/>
    <w:rsid w:val="005A4807"/>
    <w:rsid w:val="005A4865"/>
    <w:rsid w:val="005A5A80"/>
    <w:rsid w:val="005A7042"/>
    <w:rsid w:val="005B0FC7"/>
    <w:rsid w:val="005B297A"/>
    <w:rsid w:val="005B29EF"/>
    <w:rsid w:val="005B2DA5"/>
    <w:rsid w:val="005B476F"/>
    <w:rsid w:val="005B5F05"/>
    <w:rsid w:val="005B6095"/>
    <w:rsid w:val="005B65B8"/>
    <w:rsid w:val="005B6A0D"/>
    <w:rsid w:val="005B6D1C"/>
    <w:rsid w:val="005B6FD2"/>
    <w:rsid w:val="005C04E5"/>
    <w:rsid w:val="005C1507"/>
    <w:rsid w:val="005C1764"/>
    <w:rsid w:val="005C3B2C"/>
    <w:rsid w:val="005C3BE8"/>
    <w:rsid w:val="005C3D03"/>
    <w:rsid w:val="005C51FA"/>
    <w:rsid w:val="005C5413"/>
    <w:rsid w:val="005C59B9"/>
    <w:rsid w:val="005C63C7"/>
    <w:rsid w:val="005C6628"/>
    <w:rsid w:val="005C6B2C"/>
    <w:rsid w:val="005C73E4"/>
    <w:rsid w:val="005C7B1F"/>
    <w:rsid w:val="005D06E8"/>
    <w:rsid w:val="005D1195"/>
    <w:rsid w:val="005D11E7"/>
    <w:rsid w:val="005D2167"/>
    <w:rsid w:val="005D688E"/>
    <w:rsid w:val="005D6B98"/>
    <w:rsid w:val="005D6F53"/>
    <w:rsid w:val="005D794E"/>
    <w:rsid w:val="005E2FF9"/>
    <w:rsid w:val="005E30B2"/>
    <w:rsid w:val="005E3715"/>
    <w:rsid w:val="005E39B3"/>
    <w:rsid w:val="005E4164"/>
    <w:rsid w:val="005F1F64"/>
    <w:rsid w:val="005F24C4"/>
    <w:rsid w:val="005F3196"/>
    <w:rsid w:val="005F32D1"/>
    <w:rsid w:val="005F3FC6"/>
    <w:rsid w:val="005F75C4"/>
    <w:rsid w:val="006002BF"/>
    <w:rsid w:val="00600301"/>
    <w:rsid w:val="006008D1"/>
    <w:rsid w:val="00603CC2"/>
    <w:rsid w:val="006064F8"/>
    <w:rsid w:val="006101CF"/>
    <w:rsid w:val="00611ADA"/>
    <w:rsid w:val="00611E18"/>
    <w:rsid w:val="00611FC0"/>
    <w:rsid w:val="00613A4A"/>
    <w:rsid w:val="00614157"/>
    <w:rsid w:val="00614A2A"/>
    <w:rsid w:val="00614ECD"/>
    <w:rsid w:val="00622341"/>
    <w:rsid w:val="006231D7"/>
    <w:rsid w:val="00624A71"/>
    <w:rsid w:val="00626031"/>
    <w:rsid w:val="00630C6C"/>
    <w:rsid w:val="00630ED2"/>
    <w:rsid w:val="00631935"/>
    <w:rsid w:val="00636B91"/>
    <w:rsid w:val="00636DC6"/>
    <w:rsid w:val="006373FF"/>
    <w:rsid w:val="00637833"/>
    <w:rsid w:val="00641AC4"/>
    <w:rsid w:val="00646A6F"/>
    <w:rsid w:val="00653397"/>
    <w:rsid w:val="006535C3"/>
    <w:rsid w:val="006553CD"/>
    <w:rsid w:val="006559F5"/>
    <w:rsid w:val="006574D3"/>
    <w:rsid w:val="0065752A"/>
    <w:rsid w:val="00661782"/>
    <w:rsid w:val="00662C11"/>
    <w:rsid w:val="0066570F"/>
    <w:rsid w:val="00672822"/>
    <w:rsid w:val="006729D2"/>
    <w:rsid w:val="00673B07"/>
    <w:rsid w:val="00673BC6"/>
    <w:rsid w:val="00675BE6"/>
    <w:rsid w:val="00676E72"/>
    <w:rsid w:val="006775B3"/>
    <w:rsid w:val="00684808"/>
    <w:rsid w:val="0068483E"/>
    <w:rsid w:val="00686578"/>
    <w:rsid w:val="00687967"/>
    <w:rsid w:val="00690F72"/>
    <w:rsid w:val="00695FE4"/>
    <w:rsid w:val="006A0A28"/>
    <w:rsid w:val="006A0F95"/>
    <w:rsid w:val="006A516C"/>
    <w:rsid w:val="006A6B80"/>
    <w:rsid w:val="006B1301"/>
    <w:rsid w:val="006B2D92"/>
    <w:rsid w:val="006B2FEF"/>
    <w:rsid w:val="006B4A7A"/>
    <w:rsid w:val="006B4B31"/>
    <w:rsid w:val="006B6581"/>
    <w:rsid w:val="006B6D6C"/>
    <w:rsid w:val="006B77B3"/>
    <w:rsid w:val="006C20C5"/>
    <w:rsid w:val="006C4918"/>
    <w:rsid w:val="006C5DED"/>
    <w:rsid w:val="006C5ECD"/>
    <w:rsid w:val="006D1520"/>
    <w:rsid w:val="006D2482"/>
    <w:rsid w:val="006D2E02"/>
    <w:rsid w:val="006D2F0C"/>
    <w:rsid w:val="006D3604"/>
    <w:rsid w:val="006D416D"/>
    <w:rsid w:val="006D536E"/>
    <w:rsid w:val="006D5EB4"/>
    <w:rsid w:val="006D6EE2"/>
    <w:rsid w:val="006E2082"/>
    <w:rsid w:val="006E3BE5"/>
    <w:rsid w:val="006E5D5B"/>
    <w:rsid w:val="006E67BA"/>
    <w:rsid w:val="006F2362"/>
    <w:rsid w:val="006F47EB"/>
    <w:rsid w:val="006F4B13"/>
    <w:rsid w:val="006F4DE9"/>
    <w:rsid w:val="006F61B5"/>
    <w:rsid w:val="006F71C2"/>
    <w:rsid w:val="007008B0"/>
    <w:rsid w:val="00700AC3"/>
    <w:rsid w:val="00700AD6"/>
    <w:rsid w:val="00700E68"/>
    <w:rsid w:val="00701065"/>
    <w:rsid w:val="0070175E"/>
    <w:rsid w:val="00702366"/>
    <w:rsid w:val="00703DC5"/>
    <w:rsid w:val="007040F2"/>
    <w:rsid w:val="007049DF"/>
    <w:rsid w:val="00705DFA"/>
    <w:rsid w:val="007061B6"/>
    <w:rsid w:val="007120EE"/>
    <w:rsid w:val="0071279F"/>
    <w:rsid w:val="007153C5"/>
    <w:rsid w:val="00715955"/>
    <w:rsid w:val="007161D3"/>
    <w:rsid w:val="00717792"/>
    <w:rsid w:val="0072038E"/>
    <w:rsid w:val="00720C35"/>
    <w:rsid w:val="00720E7B"/>
    <w:rsid w:val="0072232C"/>
    <w:rsid w:val="007262F0"/>
    <w:rsid w:val="00727BE9"/>
    <w:rsid w:val="007314F1"/>
    <w:rsid w:val="00731BE9"/>
    <w:rsid w:val="00731E2B"/>
    <w:rsid w:val="00733C32"/>
    <w:rsid w:val="00734DAD"/>
    <w:rsid w:val="007366D2"/>
    <w:rsid w:val="007420D7"/>
    <w:rsid w:val="0074545C"/>
    <w:rsid w:val="0074742D"/>
    <w:rsid w:val="00752DBC"/>
    <w:rsid w:val="00753FF4"/>
    <w:rsid w:val="0075411D"/>
    <w:rsid w:val="00755CB1"/>
    <w:rsid w:val="00756116"/>
    <w:rsid w:val="00756F8A"/>
    <w:rsid w:val="00757367"/>
    <w:rsid w:val="007601AF"/>
    <w:rsid w:val="00760295"/>
    <w:rsid w:val="00760998"/>
    <w:rsid w:val="00760B97"/>
    <w:rsid w:val="00762675"/>
    <w:rsid w:val="00762FC8"/>
    <w:rsid w:val="00765825"/>
    <w:rsid w:val="007700D3"/>
    <w:rsid w:val="00770970"/>
    <w:rsid w:val="0077131C"/>
    <w:rsid w:val="0077138B"/>
    <w:rsid w:val="0077534E"/>
    <w:rsid w:val="00777133"/>
    <w:rsid w:val="0077733C"/>
    <w:rsid w:val="0078045E"/>
    <w:rsid w:val="00780B70"/>
    <w:rsid w:val="00782332"/>
    <w:rsid w:val="00782502"/>
    <w:rsid w:val="00782847"/>
    <w:rsid w:val="00783777"/>
    <w:rsid w:val="00783D20"/>
    <w:rsid w:val="00785232"/>
    <w:rsid w:val="0078549A"/>
    <w:rsid w:val="007862D0"/>
    <w:rsid w:val="00786BFC"/>
    <w:rsid w:val="0079247D"/>
    <w:rsid w:val="00794F2D"/>
    <w:rsid w:val="007954D3"/>
    <w:rsid w:val="00796159"/>
    <w:rsid w:val="00797AAD"/>
    <w:rsid w:val="007A2F02"/>
    <w:rsid w:val="007A5127"/>
    <w:rsid w:val="007A5C51"/>
    <w:rsid w:val="007B25FF"/>
    <w:rsid w:val="007B2A03"/>
    <w:rsid w:val="007B41D7"/>
    <w:rsid w:val="007B70B5"/>
    <w:rsid w:val="007C0DB7"/>
    <w:rsid w:val="007C1A7D"/>
    <w:rsid w:val="007C1F6C"/>
    <w:rsid w:val="007C4094"/>
    <w:rsid w:val="007C45C5"/>
    <w:rsid w:val="007C608D"/>
    <w:rsid w:val="007C614A"/>
    <w:rsid w:val="007D29EC"/>
    <w:rsid w:val="007D50AE"/>
    <w:rsid w:val="007D516C"/>
    <w:rsid w:val="007E1EA6"/>
    <w:rsid w:val="007E2AE1"/>
    <w:rsid w:val="007E2FDE"/>
    <w:rsid w:val="007E4C1F"/>
    <w:rsid w:val="007E50CC"/>
    <w:rsid w:val="007E6851"/>
    <w:rsid w:val="007E6943"/>
    <w:rsid w:val="007F0204"/>
    <w:rsid w:val="007F3879"/>
    <w:rsid w:val="007F4575"/>
    <w:rsid w:val="007F5C3C"/>
    <w:rsid w:val="007F5C58"/>
    <w:rsid w:val="007F6449"/>
    <w:rsid w:val="007F6674"/>
    <w:rsid w:val="00804BA0"/>
    <w:rsid w:val="0080630B"/>
    <w:rsid w:val="00806AB5"/>
    <w:rsid w:val="00807142"/>
    <w:rsid w:val="008074E3"/>
    <w:rsid w:val="00807802"/>
    <w:rsid w:val="0080799C"/>
    <w:rsid w:val="00810C18"/>
    <w:rsid w:val="00814421"/>
    <w:rsid w:val="00814596"/>
    <w:rsid w:val="00814AFC"/>
    <w:rsid w:val="00814B22"/>
    <w:rsid w:val="00822862"/>
    <w:rsid w:val="0082350A"/>
    <w:rsid w:val="00823765"/>
    <w:rsid w:val="0082597B"/>
    <w:rsid w:val="00830C89"/>
    <w:rsid w:val="00831A5D"/>
    <w:rsid w:val="00831DB4"/>
    <w:rsid w:val="008365EC"/>
    <w:rsid w:val="00837390"/>
    <w:rsid w:val="00840A8F"/>
    <w:rsid w:val="00844176"/>
    <w:rsid w:val="00844A32"/>
    <w:rsid w:val="00846A9D"/>
    <w:rsid w:val="008503CA"/>
    <w:rsid w:val="00852BA6"/>
    <w:rsid w:val="0085308E"/>
    <w:rsid w:val="0085318D"/>
    <w:rsid w:val="008565FB"/>
    <w:rsid w:val="008577FA"/>
    <w:rsid w:val="00862580"/>
    <w:rsid w:val="00862834"/>
    <w:rsid w:val="00870E97"/>
    <w:rsid w:val="008713B8"/>
    <w:rsid w:val="00871516"/>
    <w:rsid w:val="008717E5"/>
    <w:rsid w:val="00871E2F"/>
    <w:rsid w:val="0087272B"/>
    <w:rsid w:val="00876284"/>
    <w:rsid w:val="008764DD"/>
    <w:rsid w:val="00877499"/>
    <w:rsid w:val="00880720"/>
    <w:rsid w:val="008814E9"/>
    <w:rsid w:val="00881D71"/>
    <w:rsid w:val="00883C37"/>
    <w:rsid w:val="008841EB"/>
    <w:rsid w:val="0088688D"/>
    <w:rsid w:val="008910B2"/>
    <w:rsid w:val="00891622"/>
    <w:rsid w:val="00891C00"/>
    <w:rsid w:val="008921BE"/>
    <w:rsid w:val="00895E41"/>
    <w:rsid w:val="0089734D"/>
    <w:rsid w:val="008A0A32"/>
    <w:rsid w:val="008A1056"/>
    <w:rsid w:val="008A50CB"/>
    <w:rsid w:val="008A7CC5"/>
    <w:rsid w:val="008B0720"/>
    <w:rsid w:val="008B1C5A"/>
    <w:rsid w:val="008B1CC3"/>
    <w:rsid w:val="008B206C"/>
    <w:rsid w:val="008B34AA"/>
    <w:rsid w:val="008B4335"/>
    <w:rsid w:val="008B5413"/>
    <w:rsid w:val="008B56DF"/>
    <w:rsid w:val="008B5B2C"/>
    <w:rsid w:val="008B5EFB"/>
    <w:rsid w:val="008B69DC"/>
    <w:rsid w:val="008C089C"/>
    <w:rsid w:val="008C4728"/>
    <w:rsid w:val="008C7959"/>
    <w:rsid w:val="008D09FC"/>
    <w:rsid w:val="008D3653"/>
    <w:rsid w:val="008D4F09"/>
    <w:rsid w:val="008D539E"/>
    <w:rsid w:val="008D65D5"/>
    <w:rsid w:val="008D75EB"/>
    <w:rsid w:val="008D7F23"/>
    <w:rsid w:val="008E12FB"/>
    <w:rsid w:val="008E1F57"/>
    <w:rsid w:val="008E5D85"/>
    <w:rsid w:val="008E751B"/>
    <w:rsid w:val="008F5CF9"/>
    <w:rsid w:val="00900C33"/>
    <w:rsid w:val="0090193D"/>
    <w:rsid w:val="009034C7"/>
    <w:rsid w:val="00906ABE"/>
    <w:rsid w:val="00906D17"/>
    <w:rsid w:val="00907D1C"/>
    <w:rsid w:val="00907DD7"/>
    <w:rsid w:val="00910BBC"/>
    <w:rsid w:val="0091182D"/>
    <w:rsid w:val="00911DA2"/>
    <w:rsid w:val="00915081"/>
    <w:rsid w:val="009165D6"/>
    <w:rsid w:val="00917D6F"/>
    <w:rsid w:val="00921504"/>
    <w:rsid w:val="00921E12"/>
    <w:rsid w:val="00922352"/>
    <w:rsid w:val="0092710C"/>
    <w:rsid w:val="0093112B"/>
    <w:rsid w:val="0093298F"/>
    <w:rsid w:val="009354F2"/>
    <w:rsid w:val="009370A3"/>
    <w:rsid w:val="00937BB0"/>
    <w:rsid w:val="0094022B"/>
    <w:rsid w:val="00941E05"/>
    <w:rsid w:val="00942D63"/>
    <w:rsid w:val="0094437B"/>
    <w:rsid w:val="00945065"/>
    <w:rsid w:val="009455DB"/>
    <w:rsid w:val="00945DB2"/>
    <w:rsid w:val="009511D6"/>
    <w:rsid w:val="00951ED7"/>
    <w:rsid w:val="00954428"/>
    <w:rsid w:val="00954541"/>
    <w:rsid w:val="00954C0F"/>
    <w:rsid w:val="00956218"/>
    <w:rsid w:val="00956C4B"/>
    <w:rsid w:val="00957E64"/>
    <w:rsid w:val="00961605"/>
    <w:rsid w:val="009620C5"/>
    <w:rsid w:val="00963C88"/>
    <w:rsid w:val="00965995"/>
    <w:rsid w:val="0096636E"/>
    <w:rsid w:val="00966814"/>
    <w:rsid w:val="00970D58"/>
    <w:rsid w:val="00973167"/>
    <w:rsid w:val="00974141"/>
    <w:rsid w:val="00980174"/>
    <w:rsid w:val="00981A42"/>
    <w:rsid w:val="00985A6C"/>
    <w:rsid w:val="009921E3"/>
    <w:rsid w:val="0099282E"/>
    <w:rsid w:val="00993596"/>
    <w:rsid w:val="00995A52"/>
    <w:rsid w:val="0099759D"/>
    <w:rsid w:val="009A00EB"/>
    <w:rsid w:val="009A6766"/>
    <w:rsid w:val="009A692C"/>
    <w:rsid w:val="009A75A0"/>
    <w:rsid w:val="009A7E10"/>
    <w:rsid w:val="009B1CEB"/>
    <w:rsid w:val="009B2576"/>
    <w:rsid w:val="009B3508"/>
    <w:rsid w:val="009B3AE3"/>
    <w:rsid w:val="009B430C"/>
    <w:rsid w:val="009B43EB"/>
    <w:rsid w:val="009B584C"/>
    <w:rsid w:val="009B6613"/>
    <w:rsid w:val="009B6674"/>
    <w:rsid w:val="009B7000"/>
    <w:rsid w:val="009B75D4"/>
    <w:rsid w:val="009C0178"/>
    <w:rsid w:val="009C030C"/>
    <w:rsid w:val="009C061A"/>
    <w:rsid w:val="009C108E"/>
    <w:rsid w:val="009C1FE8"/>
    <w:rsid w:val="009C228A"/>
    <w:rsid w:val="009C282F"/>
    <w:rsid w:val="009C2E2D"/>
    <w:rsid w:val="009C3257"/>
    <w:rsid w:val="009C5640"/>
    <w:rsid w:val="009C7F6E"/>
    <w:rsid w:val="009D0A96"/>
    <w:rsid w:val="009D1051"/>
    <w:rsid w:val="009D2037"/>
    <w:rsid w:val="009D3F87"/>
    <w:rsid w:val="009D43B2"/>
    <w:rsid w:val="009E03F3"/>
    <w:rsid w:val="009E5C84"/>
    <w:rsid w:val="009F0FC9"/>
    <w:rsid w:val="009F1A7E"/>
    <w:rsid w:val="00A035A7"/>
    <w:rsid w:val="00A03E32"/>
    <w:rsid w:val="00A075B0"/>
    <w:rsid w:val="00A11259"/>
    <w:rsid w:val="00A12B76"/>
    <w:rsid w:val="00A13FC8"/>
    <w:rsid w:val="00A14369"/>
    <w:rsid w:val="00A154D5"/>
    <w:rsid w:val="00A2067E"/>
    <w:rsid w:val="00A20B99"/>
    <w:rsid w:val="00A21F19"/>
    <w:rsid w:val="00A229AC"/>
    <w:rsid w:val="00A23E8B"/>
    <w:rsid w:val="00A25225"/>
    <w:rsid w:val="00A26607"/>
    <w:rsid w:val="00A26676"/>
    <w:rsid w:val="00A267B2"/>
    <w:rsid w:val="00A27A02"/>
    <w:rsid w:val="00A30DAB"/>
    <w:rsid w:val="00A3172A"/>
    <w:rsid w:val="00A32A3F"/>
    <w:rsid w:val="00A337C5"/>
    <w:rsid w:val="00A33B10"/>
    <w:rsid w:val="00A340FB"/>
    <w:rsid w:val="00A34C17"/>
    <w:rsid w:val="00A34EAB"/>
    <w:rsid w:val="00A3537A"/>
    <w:rsid w:val="00A37CD5"/>
    <w:rsid w:val="00A41FB2"/>
    <w:rsid w:val="00A43105"/>
    <w:rsid w:val="00A43A02"/>
    <w:rsid w:val="00A468F1"/>
    <w:rsid w:val="00A471D7"/>
    <w:rsid w:val="00A475CE"/>
    <w:rsid w:val="00A541ED"/>
    <w:rsid w:val="00A5551D"/>
    <w:rsid w:val="00A562DC"/>
    <w:rsid w:val="00A56657"/>
    <w:rsid w:val="00A56E9B"/>
    <w:rsid w:val="00A56F27"/>
    <w:rsid w:val="00A57518"/>
    <w:rsid w:val="00A60C80"/>
    <w:rsid w:val="00A66F1F"/>
    <w:rsid w:val="00A71824"/>
    <w:rsid w:val="00A718EE"/>
    <w:rsid w:val="00A72936"/>
    <w:rsid w:val="00A73448"/>
    <w:rsid w:val="00A76C0A"/>
    <w:rsid w:val="00A82313"/>
    <w:rsid w:val="00A86F1C"/>
    <w:rsid w:val="00A87032"/>
    <w:rsid w:val="00A9174A"/>
    <w:rsid w:val="00A92A07"/>
    <w:rsid w:val="00A93054"/>
    <w:rsid w:val="00A94B68"/>
    <w:rsid w:val="00A969CC"/>
    <w:rsid w:val="00A96C8D"/>
    <w:rsid w:val="00A9708B"/>
    <w:rsid w:val="00AA0266"/>
    <w:rsid w:val="00AA0B5A"/>
    <w:rsid w:val="00AA34A6"/>
    <w:rsid w:val="00AA3A72"/>
    <w:rsid w:val="00AA45BA"/>
    <w:rsid w:val="00AA6E88"/>
    <w:rsid w:val="00AB30B4"/>
    <w:rsid w:val="00AB3EB4"/>
    <w:rsid w:val="00AB4677"/>
    <w:rsid w:val="00AB6AE8"/>
    <w:rsid w:val="00AC16D2"/>
    <w:rsid w:val="00AC24BD"/>
    <w:rsid w:val="00AC5779"/>
    <w:rsid w:val="00AD0A3A"/>
    <w:rsid w:val="00AD3D79"/>
    <w:rsid w:val="00AD48AA"/>
    <w:rsid w:val="00AD5B91"/>
    <w:rsid w:val="00AD5C75"/>
    <w:rsid w:val="00AD6AEF"/>
    <w:rsid w:val="00AE0055"/>
    <w:rsid w:val="00AE091D"/>
    <w:rsid w:val="00AE3B88"/>
    <w:rsid w:val="00AE4C8F"/>
    <w:rsid w:val="00AE5675"/>
    <w:rsid w:val="00AE57EC"/>
    <w:rsid w:val="00AE64F9"/>
    <w:rsid w:val="00AF163D"/>
    <w:rsid w:val="00AF1C04"/>
    <w:rsid w:val="00AF2547"/>
    <w:rsid w:val="00AF254A"/>
    <w:rsid w:val="00AF36C9"/>
    <w:rsid w:val="00AF5DF5"/>
    <w:rsid w:val="00AF755E"/>
    <w:rsid w:val="00B02EDD"/>
    <w:rsid w:val="00B039A0"/>
    <w:rsid w:val="00B04603"/>
    <w:rsid w:val="00B0569D"/>
    <w:rsid w:val="00B1092B"/>
    <w:rsid w:val="00B10B94"/>
    <w:rsid w:val="00B111A5"/>
    <w:rsid w:val="00B117F2"/>
    <w:rsid w:val="00B13379"/>
    <w:rsid w:val="00B13C6F"/>
    <w:rsid w:val="00B14D75"/>
    <w:rsid w:val="00B15DBA"/>
    <w:rsid w:val="00B16A95"/>
    <w:rsid w:val="00B228C3"/>
    <w:rsid w:val="00B2297A"/>
    <w:rsid w:val="00B230F6"/>
    <w:rsid w:val="00B26202"/>
    <w:rsid w:val="00B300C7"/>
    <w:rsid w:val="00B30CFE"/>
    <w:rsid w:val="00B32793"/>
    <w:rsid w:val="00B33D89"/>
    <w:rsid w:val="00B34CC7"/>
    <w:rsid w:val="00B34F7D"/>
    <w:rsid w:val="00B355D9"/>
    <w:rsid w:val="00B404B6"/>
    <w:rsid w:val="00B414FF"/>
    <w:rsid w:val="00B4164D"/>
    <w:rsid w:val="00B450C4"/>
    <w:rsid w:val="00B457C4"/>
    <w:rsid w:val="00B462F7"/>
    <w:rsid w:val="00B4697F"/>
    <w:rsid w:val="00B46A16"/>
    <w:rsid w:val="00B47747"/>
    <w:rsid w:val="00B47E34"/>
    <w:rsid w:val="00B50D88"/>
    <w:rsid w:val="00B51099"/>
    <w:rsid w:val="00B51427"/>
    <w:rsid w:val="00B5564B"/>
    <w:rsid w:val="00B55A30"/>
    <w:rsid w:val="00B56A48"/>
    <w:rsid w:val="00B56B47"/>
    <w:rsid w:val="00B618A9"/>
    <w:rsid w:val="00B621AF"/>
    <w:rsid w:val="00B652FE"/>
    <w:rsid w:val="00B65A0A"/>
    <w:rsid w:val="00B65CF6"/>
    <w:rsid w:val="00B700CC"/>
    <w:rsid w:val="00B72365"/>
    <w:rsid w:val="00B7453B"/>
    <w:rsid w:val="00B74890"/>
    <w:rsid w:val="00B74B38"/>
    <w:rsid w:val="00B75313"/>
    <w:rsid w:val="00B762A0"/>
    <w:rsid w:val="00B77E56"/>
    <w:rsid w:val="00B80371"/>
    <w:rsid w:val="00B8269F"/>
    <w:rsid w:val="00B837AE"/>
    <w:rsid w:val="00B83EED"/>
    <w:rsid w:val="00B85597"/>
    <w:rsid w:val="00B85A89"/>
    <w:rsid w:val="00B868AD"/>
    <w:rsid w:val="00B86DD0"/>
    <w:rsid w:val="00B8759E"/>
    <w:rsid w:val="00B91B04"/>
    <w:rsid w:val="00B9742D"/>
    <w:rsid w:val="00BA131A"/>
    <w:rsid w:val="00BA208A"/>
    <w:rsid w:val="00BA2274"/>
    <w:rsid w:val="00BA31BC"/>
    <w:rsid w:val="00BB0042"/>
    <w:rsid w:val="00BB0BAA"/>
    <w:rsid w:val="00BB1EA2"/>
    <w:rsid w:val="00BB480B"/>
    <w:rsid w:val="00BB4E62"/>
    <w:rsid w:val="00BB55EA"/>
    <w:rsid w:val="00BB6326"/>
    <w:rsid w:val="00BB7389"/>
    <w:rsid w:val="00BB7D03"/>
    <w:rsid w:val="00BC31E7"/>
    <w:rsid w:val="00BC608E"/>
    <w:rsid w:val="00BC69DC"/>
    <w:rsid w:val="00BC7045"/>
    <w:rsid w:val="00BD07F2"/>
    <w:rsid w:val="00BD20AE"/>
    <w:rsid w:val="00BD39EE"/>
    <w:rsid w:val="00BD746F"/>
    <w:rsid w:val="00BD7AE1"/>
    <w:rsid w:val="00BE0E6C"/>
    <w:rsid w:val="00BE15E4"/>
    <w:rsid w:val="00BE6127"/>
    <w:rsid w:val="00BE786E"/>
    <w:rsid w:val="00BF13E6"/>
    <w:rsid w:val="00BF15B9"/>
    <w:rsid w:val="00BF2AA4"/>
    <w:rsid w:val="00BF3FC2"/>
    <w:rsid w:val="00BF5793"/>
    <w:rsid w:val="00BF742F"/>
    <w:rsid w:val="00BF7A72"/>
    <w:rsid w:val="00BF7BD9"/>
    <w:rsid w:val="00BF7D60"/>
    <w:rsid w:val="00C017FE"/>
    <w:rsid w:val="00C03273"/>
    <w:rsid w:val="00C0447C"/>
    <w:rsid w:val="00C04CAF"/>
    <w:rsid w:val="00C050AF"/>
    <w:rsid w:val="00C054A9"/>
    <w:rsid w:val="00C05EF2"/>
    <w:rsid w:val="00C0600E"/>
    <w:rsid w:val="00C07585"/>
    <w:rsid w:val="00C11685"/>
    <w:rsid w:val="00C1189F"/>
    <w:rsid w:val="00C12263"/>
    <w:rsid w:val="00C12CF8"/>
    <w:rsid w:val="00C136CD"/>
    <w:rsid w:val="00C13D67"/>
    <w:rsid w:val="00C14903"/>
    <w:rsid w:val="00C151DF"/>
    <w:rsid w:val="00C1563D"/>
    <w:rsid w:val="00C15EB7"/>
    <w:rsid w:val="00C1626D"/>
    <w:rsid w:val="00C16DED"/>
    <w:rsid w:val="00C17A3E"/>
    <w:rsid w:val="00C212B4"/>
    <w:rsid w:val="00C21746"/>
    <w:rsid w:val="00C220E6"/>
    <w:rsid w:val="00C23427"/>
    <w:rsid w:val="00C23F73"/>
    <w:rsid w:val="00C25016"/>
    <w:rsid w:val="00C2517F"/>
    <w:rsid w:val="00C26333"/>
    <w:rsid w:val="00C264E6"/>
    <w:rsid w:val="00C26E37"/>
    <w:rsid w:val="00C271E6"/>
    <w:rsid w:val="00C32C97"/>
    <w:rsid w:val="00C32DF0"/>
    <w:rsid w:val="00C33A18"/>
    <w:rsid w:val="00C353F8"/>
    <w:rsid w:val="00C35A54"/>
    <w:rsid w:val="00C416DB"/>
    <w:rsid w:val="00C423B7"/>
    <w:rsid w:val="00C42887"/>
    <w:rsid w:val="00C42ACD"/>
    <w:rsid w:val="00C42C49"/>
    <w:rsid w:val="00C446A5"/>
    <w:rsid w:val="00C45150"/>
    <w:rsid w:val="00C46737"/>
    <w:rsid w:val="00C51DEA"/>
    <w:rsid w:val="00C52004"/>
    <w:rsid w:val="00C56568"/>
    <w:rsid w:val="00C61AB3"/>
    <w:rsid w:val="00C62D9D"/>
    <w:rsid w:val="00C6333E"/>
    <w:rsid w:val="00C633A8"/>
    <w:rsid w:val="00C64DE5"/>
    <w:rsid w:val="00C65AAE"/>
    <w:rsid w:val="00C66A4D"/>
    <w:rsid w:val="00C7141D"/>
    <w:rsid w:val="00C72945"/>
    <w:rsid w:val="00C758F1"/>
    <w:rsid w:val="00C75E3A"/>
    <w:rsid w:val="00C77378"/>
    <w:rsid w:val="00C77C68"/>
    <w:rsid w:val="00C82E0E"/>
    <w:rsid w:val="00C85115"/>
    <w:rsid w:val="00C86896"/>
    <w:rsid w:val="00C86AE5"/>
    <w:rsid w:val="00C87BC6"/>
    <w:rsid w:val="00C90DBB"/>
    <w:rsid w:val="00C933DE"/>
    <w:rsid w:val="00C95D2F"/>
    <w:rsid w:val="00C97FEB"/>
    <w:rsid w:val="00CA082C"/>
    <w:rsid w:val="00CA0BCB"/>
    <w:rsid w:val="00CA373F"/>
    <w:rsid w:val="00CA6DEA"/>
    <w:rsid w:val="00CB0DAC"/>
    <w:rsid w:val="00CB1F66"/>
    <w:rsid w:val="00CB237D"/>
    <w:rsid w:val="00CB2A80"/>
    <w:rsid w:val="00CB2F00"/>
    <w:rsid w:val="00CB30D1"/>
    <w:rsid w:val="00CB5A26"/>
    <w:rsid w:val="00CB6AC4"/>
    <w:rsid w:val="00CB7DE8"/>
    <w:rsid w:val="00CC0BD5"/>
    <w:rsid w:val="00CC10D3"/>
    <w:rsid w:val="00CC2DAC"/>
    <w:rsid w:val="00CC4858"/>
    <w:rsid w:val="00CD1C12"/>
    <w:rsid w:val="00CD1D66"/>
    <w:rsid w:val="00CD1F7F"/>
    <w:rsid w:val="00CD2774"/>
    <w:rsid w:val="00CD3066"/>
    <w:rsid w:val="00CD57A7"/>
    <w:rsid w:val="00CD5FCA"/>
    <w:rsid w:val="00CD6F2A"/>
    <w:rsid w:val="00CD7CCA"/>
    <w:rsid w:val="00CE0AC5"/>
    <w:rsid w:val="00CE1DD6"/>
    <w:rsid w:val="00CE261F"/>
    <w:rsid w:val="00CE35E1"/>
    <w:rsid w:val="00CE5541"/>
    <w:rsid w:val="00CE5C53"/>
    <w:rsid w:val="00CF0573"/>
    <w:rsid w:val="00CF4607"/>
    <w:rsid w:val="00CF6767"/>
    <w:rsid w:val="00CF747C"/>
    <w:rsid w:val="00D00576"/>
    <w:rsid w:val="00D0207F"/>
    <w:rsid w:val="00D02CD4"/>
    <w:rsid w:val="00D04299"/>
    <w:rsid w:val="00D0506F"/>
    <w:rsid w:val="00D052D0"/>
    <w:rsid w:val="00D05A7A"/>
    <w:rsid w:val="00D07B78"/>
    <w:rsid w:val="00D12B80"/>
    <w:rsid w:val="00D13BD0"/>
    <w:rsid w:val="00D13D6F"/>
    <w:rsid w:val="00D165F4"/>
    <w:rsid w:val="00D1668E"/>
    <w:rsid w:val="00D16C33"/>
    <w:rsid w:val="00D177EA"/>
    <w:rsid w:val="00D20CC5"/>
    <w:rsid w:val="00D217AC"/>
    <w:rsid w:val="00D217E6"/>
    <w:rsid w:val="00D27E4D"/>
    <w:rsid w:val="00D301D6"/>
    <w:rsid w:val="00D31BE1"/>
    <w:rsid w:val="00D35B96"/>
    <w:rsid w:val="00D37973"/>
    <w:rsid w:val="00D40EAC"/>
    <w:rsid w:val="00D41F46"/>
    <w:rsid w:val="00D4222D"/>
    <w:rsid w:val="00D42754"/>
    <w:rsid w:val="00D455A4"/>
    <w:rsid w:val="00D517A4"/>
    <w:rsid w:val="00D51DD0"/>
    <w:rsid w:val="00D5265D"/>
    <w:rsid w:val="00D60415"/>
    <w:rsid w:val="00D62E09"/>
    <w:rsid w:val="00D64101"/>
    <w:rsid w:val="00D64FFD"/>
    <w:rsid w:val="00D670EB"/>
    <w:rsid w:val="00D671F5"/>
    <w:rsid w:val="00D67CE9"/>
    <w:rsid w:val="00D70AAA"/>
    <w:rsid w:val="00D7105E"/>
    <w:rsid w:val="00D71684"/>
    <w:rsid w:val="00D72D32"/>
    <w:rsid w:val="00D74824"/>
    <w:rsid w:val="00D7671C"/>
    <w:rsid w:val="00D767E6"/>
    <w:rsid w:val="00D76D7C"/>
    <w:rsid w:val="00D77A0C"/>
    <w:rsid w:val="00D8131B"/>
    <w:rsid w:val="00D81D94"/>
    <w:rsid w:val="00D82825"/>
    <w:rsid w:val="00D8420C"/>
    <w:rsid w:val="00D84DE0"/>
    <w:rsid w:val="00D90CAE"/>
    <w:rsid w:val="00D96FBA"/>
    <w:rsid w:val="00D97622"/>
    <w:rsid w:val="00DA1B53"/>
    <w:rsid w:val="00DA1FCE"/>
    <w:rsid w:val="00DA239C"/>
    <w:rsid w:val="00DA433D"/>
    <w:rsid w:val="00DA58AF"/>
    <w:rsid w:val="00DA6988"/>
    <w:rsid w:val="00DA7141"/>
    <w:rsid w:val="00DA744D"/>
    <w:rsid w:val="00DB1E78"/>
    <w:rsid w:val="00DB3228"/>
    <w:rsid w:val="00DB3721"/>
    <w:rsid w:val="00DB3D04"/>
    <w:rsid w:val="00DB57B4"/>
    <w:rsid w:val="00DC07AE"/>
    <w:rsid w:val="00DC10A1"/>
    <w:rsid w:val="00DC15CB"/>
    <w:rsid w:val="00DC1AC5"/>
    <w:rsid w:val="00DC1E2F"/>
    <w:rsid w:val="00DC2365"/>
    <w:rsid w:val="00DC3534"/>
    <w:rsid w:val="00DC499A"/>
    <w:rsid w:val="00DC64F8"/>
    <w:rsid w:val="00DC72F1"/>
    <w:rsid w:val="00DD00BE"/>
    <w:rsid w:val="00DD02D4"/>
    <w:rsid w:val="00DD0953"/>
    <w:rsid w:val="00DD0F2E"/>
    <w:rsid w:val="00DD1CB9"/>
    <w:rsid w:val="00DD1F77"/>
    <w:rsid w:val="00DD23E0"/>
    <w:rsid w:val="00DD2637"/>
    <w:rsid w:val="00DD2F35"/>
    <w:rsid w:val="00DD696D"/>
    <w:rsid w:val="00DD6FA5"/>
    <w:rsid w:val="00DD7872"/>
    <w:rsid w:val="00DE0724"/>
    <w:rsid w:val="00DE0896"/>
    <w:rsid w:val="00DE0AD5"/>
    <w:rsid w:val="00DE61A9"/>
    <w:rsid w:val="00DE7E62"/>
    <w:rsid w:val="00DF1C2B"/>
    <w:rsid w:val="00DF2F6B"/>
    <w:rsid w:val="00DF3993"/>
    <w:rsid w:val="00DF6E16"/>
    <w:rsid w:val="00DF77D8"/>
    <w:rsid w:val="00E00218"/>
    <w:rsid w:val="00E018E1"/>
    <w:rsid w:val="00E0333C"/>
    <w:rsid w:val="00E0484E"/>
    <w:rsid w:val="00E07AC4"/>
    <w:rsid w:val="00E10305"/>
    <w:rsid w:val="00E1062C"/>
    <w:rsid w:val="00E1136D"/>
    <w:rsid w:val="00E116BA"/>
    <w:rsid w:val="00E11D27"/>
    <w:rsid w:val="00E11D29"/>
    <w:rsid w:val="00E140A6"/>
    <w:rsid w:val="00E15447"/>
    <w:rsid w:val="00E15B7B"/>
    <w:rsid w:val="00E20773"/>
    <w:rsid w:val="00E2107F"/>
    <w:rsid w:val="00E23059"/>
    <w:rsid w:val="00E231E0"/>
    <w:rsid w:val="00E30352"/>
    <w:rsid w:val="00E33146"/>
    <w:rsid w:val="00E33F29"/>
    <w:rsid w:val="00E36F7D"/>
    <w:rsid w:val="00E374D1"/>
    <w:rsid w:val="00E37F50"/>
    <w:rsid w:val="00E40942"/>
    <w:rsid w:val="00E50D80"/>
    <w:rsid w:val="00E50E6F"/>
    <w:rsid w:val="00E51035"/>
    <w:rsid w:val="00E53438"/>
    <w:rsid w:val="00E539B3"/>
    <w:rsid w:val="00E55EC8"/>
    <w:rsid w:val="00E56469"/>
    <w:rsid w:val="00E56D02"/>
    <w:rsid w:val="00E57209"/>
    <w:rsid w:val="00E5727D"/>
    <w:rsid w:val="00E57FAB"/>
    <w:rsid w:val="00E60EDC"/>
    <w:rsid w:val="00E670D3"/>
    <w:rsid w:val="00E713A7"/>
    <w:rsid w:val="00E72404"/>
    <w:rsid w:val="00E73990"/>
    <w:rsid w:val="00E74A15"/>
    <w:rsid w:val="00E74B1D"/>
    <w:rsid w:val="00E7567F"/>
    <w:rsid w:val="00E76D01"/>
    <w:rsid w:val="00E81F3E"/>
    <w:rsid w:val="00E85807"/>
    <w:rsid w:val="00E86211"/>
    <w:rsid w:val="00E86ACB"/>
    <w:rsid w:val="00E900E0"/>
    <w:rsid w:val="00E90628"/>
    <w:rsid w:val="00E9122B"/>
    <w:rsid w:val="00E92559"/>
    <w:rsid w:val="00E93CFE"/>
    <w:rsid w:val="00E953B9"/>
    <w:rsid w:val="00EA0D43"/>
    <w:rsid w:val="00EA0EBB"/>
    <w:rsid w:val="00EA1619"/>
    <w:rsid w:val="00EA49CE"/>
    <w:rsid w:val="00EA4CBA"/>
    <w:rsid w:val="00EA6CD3"/>
    <w:rsid w:val="00EA7EDF"/>
    <w:rsid w:val="00EB184B"/>
    <w:rsid w:val="00EB1F01"/>
    <w:rsid w:val="00EB27FB"/>
    <w:rsid w:val="00EC03E6"/>
    <w:rsid w:val="00EC218F"/>
    <w:rsid w:val="00EC5935"/>
    <w:rsid w:val="00ED053C"/>
    <w:rsid w:val="00ED0911"/>
    <w:rsid w:val="00ED0A46"/>
    <w:rsid w:val="00ED18C9"/>
    <w:rsid w:val="00ED2979"/>
    <w:rsid w:val="00ED321C"/>
    <w:rsid w:val="00ED377A"/>
    <w:rsid w:val="00ED39FF"/>
    <w:rsid w:val="00ED4255"/>
    <w:rsid w:val="00ED5CF7"/>
    <w:rsid w:val="00ED603E"/>
    <w:rsid w:val="00EE0C47"/>
    <w:rsid w:val="00EE1CB0"/>
    <w:rsid w:val="00EE44FE"/>
    <w:rsid w:val="00EE4A54"/>
    <w:rsid w:val="00EE4C51"/>
    <w:rsid w:val="00EE61BD"/>
    <w:rsid w:val="00EE7BA0"/>
    <w:rsid w:val="00EF2696"/>
    <w:rsid w:val="00EF55B6"/>
    <w:rsid w:val="00F00E88"/>
    <w:rsid w:val="00F01691"/>
    <w:rsid w:val="00F019FA"/>
    <w:rsid w:val="00F02EB7"/>
    <w:rsid w:val="00F03FAA"/>
    <w:rsid w:val="00F04A52"/>
    <w:rsid w:val="00F0662E"/>
    <w:rsid w:val="00F066C5"/>
    <w:rsid w:val="00F06F21"/>
    <w:rsid w:val="00F11383"/>
    <w:rsid w:val="00F1504D"/>
    <w:rsid w:val="00F15773"/>
    <w:rsid w:val="00F1588A"/>
    <w:rsid w:val="00F205D5"/>
    <w:rsid w:val="00F2290E"/>
    <w:rsid w:val="00F23C9C"/>
    <w:rsid w:val="00F25C34"/>
    <w:rsid w:val="00F25F7D"/>
    <w:rsid w:val="00F2652E"/>
    <w:rsid w:val="00F27363"/>
    <w:rsid w:val="00F30608"/>
    <w:rsid w:val="00F30A0A"/>
    <w:rsid w:val="00F32129"/>
    <w:rsid w:val="00F32822"/>
    <w:rsid w:val="00F32ADC"/>
    <w:rsid w:val="00F352DD"/>
    <w:rsid w:val="00F35567"/>
    <w:rsid w:val="00F373AD"/>
    <w:rsid w:val="00F40716"/>
    <w:rsid w:val="00F40762"/>
    <w:rsid w:val="00F40F20"/>
    <w:rsid w:val="00F418C2"/>
    <w:rsid w:val="00F42208"/>
    <w:rsid w:val="00F449A8"/>
    <w:rsid w:val="00F44B3E"/>
    <w:rsid w:val="00F4599D"/>
    <w:rsid w:val="00F47AB9"/>
    <w:rsid w:val="00F51164"/>
    <w:rsid w:val="00F53042"/>
    <w:rsid w:val="00F53217"/>
    <w:rsid w:val="00F53508"/>
    <w:rsid w:val="00F53B91"/>
    <w:rsid w:val="00F53D49"/>
    <w:rsid w:val="00F542FA"/>
    <w:rsid w:val="00F543D6"/>
    <w:rsid w:val="00F5586F"/>
    <w:rsid w:val="00F56EB4"/>
    <w:rsid w:val="00F63A74"/>
    <w:rsid w:val="00F64D33"/>
    <w:rsid w:val="00F652EB"/>
    <w:rsid w:val="00F669EB"/>
    <w:rsid w:val="00F66C35"/>
    <w:rsid w:val="00F70443"/>
    <w:rsid w:val="00F7097D"/>
    <w:rsid w:val="00F716EF"/>
    <w:rsid w:val="00F77D50"/>
    <w:rsid w:val="00F81A0A"/>
    <w:rsid w:val="00F838F0"/>
    <w:rsid w:val="00F858D1"/>
    <w:rsid w:val="00F85A24"/>
    <w:rsid w:val="00F9016C"/>
    <w:rsid w:val="00F929ED"/>
    <w:rsid w:val="00F9305D"/>
    <w:rsid w:val="00F94D89"/>
    <w:rsid w:val="00F9522F"/>
    <w:rsid w:val="00F96902"/>
    <w:rsid w:val="00FA2346"/>
    <w:rsid w:val="00FA37DC"/>
    <w:rsid w:val="00FA3AB1"/>
    <w:rsid w:val="00FA3B62"/>
    <w:rsid w:val="00FA4EC5"/>
    <w:rsid w:val="00FA5EE1"/>
    <w:rsid w:val="00FB0E29"/>
    <w:rsid w:val="00FB1472"/>
    <w:rsid w:val="00FB3115"/>
    <w:rsid w:val="00FB392A"/>
    <w:rsid w:val="00FB5467"/>
    <w:rsid w:val="00FC0F65"/>
    <w:rsid w:val="00FC3C5A"/>
    <w:rsid w:val="00FC3C7A"/>
    <w:rsid w:val="00FC4BE9"/>
    <w:rsid w:val="00FC6839"/>
    <w:rsid w:val="00FC6FCC"/>
    <w:rsid w:val="00FD01FC"/>
    <w:rsid w:val="00FD061B"/>
    <w:rsid w:val="00FD5F34"/>
    <w:rsid w:val="00FD5FEF"/>
    <w:rsid w:val="00FE2D33"/>
    <w:rsid w:val="00FE6FC3"/>
    <w:rsid w:val="00FE76B5"/>
    <w:rsid w:val="00FE76D2"/>
    <w:rsid w:val="00FF15B4"/>
    <w:rsid w:val="00FF22AC"/>
    <w:rsid w:val="00FF2598"/>
    <w:rsid w:val="00FF3664"/>
    <w:rsid w:val="00FF42CE"/>
    <w:rsid w:val="00FF5967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5049DE3"/>
  <w15:docId w15:val="{FFC5070A-869C-45D7-974A-330AE73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6C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EA6CD3"/>
    <w:pPr>
      <w:jc w:val="both"/>
    </w:pPr>
    <w:rPr>
      <w:rFonts w:eastAsia="Times New Roman"/>
      <w:sz w:val="28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EA6CD3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Header">
    <w:name w:val="header"/>
    <w:basedOn w:val="Normal"/>
    <w:link w:val="HeaderChar"/>
    <w:unhideWhenUsed/>
    <w:rsid w:val="00EA6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naisf">
    <w:name w:val="naisf"/>
    <w:basedOn w:val="Normal"/>
    <w:rsid w:val="00EA6CD3"/>
    <w:pPr>
      <w:spacing w:before="75" w:after="75"/>
      <w:ind w:firstLine="375"/>
      <w:jc w:val="both"/>
    </w:pPr>
    <w:rPr>
      <w:rFonts w:eastAsia="Times New Roman"/>
      <w:sz w:val="24"/>
      <w:szCs w:val="24"/>
      <w:lang w:val="lv-LV" w:eastAsia="lv-LV"/>
    </w:rPr>
  </w:style>
  <w:style w:type="paragraph" w:customStyle="1" w:styleId="naiskr">
    <w:name w:val="naiskr"/>
    <w:basedOn w:val="Normal"/>
    <w:rsid w:val="00EA6CD3"/>
    <w:pPr>
      <w:spacing w:before="75" w:after="75"/>
    </w:pPr>
    <w:rPr>
      <w:rFonts w:eastAsia="Times New Roman"/>
      <w:sz w:val="24"/>
      <w:szCs w:val="24"/>
      <w:lang w:val="lv-LV" w:eastAsia="lv-LV"/>
    </w:rPr>
  </w:style>
  <w:style w:type="paragraph" w:customStyle="1" w:styleId="tv2131">
    <w:name w:val="tv2131"/>
    <w:basedOn w:val="Normal"/>
    <w:rsid w:val="00EA6CD3"/>
    <w:pPr>
      <w:spacing w:line="360" w:lineRule="auto"/>
      <w:ind w:firstLine="335"/>
    </w:pPr>
    <w:rPr>
      <w:rFonts w:eastAsia="Times New Roman"/>
      <w:color w:val="414142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D5"/>
    <w:rPr>
      <w:rFonts w:ascii="Tahoma" w:eastAsia="Calibri" w:hAnsi="Tahoma" w:cs="Tahoma"/>
      <w:sz w:val="16"/>
      <w:szCs w:val="16"/>
      <w:lang w:val="en-AU"/>
    </w:rPr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166A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6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605"/>
  </w:style>
  <w:style w:type="character" w:customStyle="1" w:styleId="CommentTextChar">
    <w:name w:val="Comment Text Char"/>
    <w:basedOn w:val="DefaultParagraphFont"/>
    <w:link w:val="CommentText"/>
    <w:uiPriority w:val="99"/>
    <w:rsid w:val="00961605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05"/>
    <w:rPr>
      <w:rFonts w:ascii="Times New Roman" w:eastAsia="Calibri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46A1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AD6AEF"/>
    <w:pPr>
      <w:jc w:val="both"/>
    </w:pPr>
    <w:rPr>
      <w:rFonts w:eastAsia="Times New Roman"/>
      <w:lang w:val="lv-LV"/>
    </w:rPr>
  </w:style>
  <w:style w:type="character" w:customStyle="1" w:styleId="FootnoteTextChar">
    <w:name w:val="Footnote Text Char"/>
    <w:basedOn w:val="DefaultParagraphFont"/>
    <w:link w:val="FootnoteText"/>
    <w:rsid w:val="00AD6AE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rsid w:val="00AD6AEF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753FF4"/>
  </w:style>
  <w:style w:type="character" w:customStyle="1" w:styleId="bumpedfont15">
    <w:name w:val="bumpedfont15"/>
    <w:rsid w:val="006C20C5"/>
  </w:style>
  <w:style w:type="character" w:styleId="PlaceholderText">
    <w:name w:val="Placeholder Text"/>
    <w:basedOn w:val="DefaultParagraphFont"/>
    <w:uiPriority w:val="99"/>
    <w:semiHidden/>
    <w:rsid w:val="00200E7D"/>
    <w:rPr>
      <w:color w:val="808080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D165F4"/>
    <w:rPr>
      <w:rFonts w:ascii="Times New Roman" w:eastAsia="Calibri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5E30B2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naisnod">
    <w:name w:val="naisnod"/>
    <w:basedOn w:val="Normal"/>
    <w:rsid w:val="00DC64F8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Default">
    <w:name w:val="Default"/>
    <w:rsid w:val="00FE76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tv213">
    <w:name w:val="tv213"/>
    <w:basedOn w:val="Normal"/>
    <w:rsid w:val="00F94D89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733C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47ACF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47ACF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B621AF"/>
    <w:rPr>
      <w:color w:val="2B579A"/>
      <w:shd w:val="clear" w:color="auto" w:fill="E6E6E6"/>
    </w:rPr>
  </w:style>
  <w:style w:type="character" w:styleId="BookTitle">
    <w:name w:val="Book Title"/>
    <w:basedOn w:val="DefaultParagraphFont"/>
    <w:uiPriority w:val="33"/>
    <w:qFormat/>
    <w:rsid w:val="00D97622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C78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1F3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1F3E"/>
    <w:rPr>
      <w:rFonts w:ascii="Times New Roman" w:eastAsia="Calibri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81F3E"/>
    <w:rPr>
      <w:vertAlign w:val="superscript"/>
    </w:rPr>
  </w:style>
  <w:style w:type="character" w:customStyle="1" w:styleId="italics">
    <w:name w:val="italics"/>
    <w:basedOn w:val="DefaultParagraphFont"/>
    <w:rsid w:val="00580B98"/>
  </w:style>
  <w:style w:type="character" w:styleId="UnresolvedMention">
    <w:name w:val="Unresolved Mention"/>
    <w:basedOn w:val="DefaultParagraphFont"/>
    <w:uiPriority w:val="99"/>
    <w:semiHidden/>
    <w:unhideWhenUsed/>
    <w:rsid w:val="000A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Ministrija/sabiedribas_lidzdaliba/diskusiju_dokum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ta.Tetere@em.gov.lv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93402" TargetMode="External"/><Relationship Id="rId2" Type="http://schemas.openxmlformats.org/officeDocument/2006/relationships/hyperlink" Target="https://likumi.lv/ta/id/293402" TargetMode="External"/><Relationship Id="rId1" Type="http://schemas.openxmlformats.org/officeDocument/2006/relationships/hyperlink" Target="http://eur-lex.europa.eu/eli/reg/2013/1407/oj/?locale=LV" TargetMode="External"/><Relationship Id="rId5" Type="http://schemas.openxmlformats.org/officeDocument/2006/relationships/hyperlink" Target="https://ec.europa.eu/competition/state_aid/what_is_new/sa_covid19_4th_amendment_and_prolongation_temporary_framework_en.pdf" TargetMode="External"/><Relationship Id="rId4" Type="http://schemas.openxmlformats.org/officeDocument/2006/relationships/hyperlink" Target="http://eur-lex.europa.eu/eli/reg/2013/1407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7978-C22F-4FD2-8DA7-221356F0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6257</Words>
  <Characters>3568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Altum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Anotācija</dc:subject>
  <dc:creator>Dita.Tetere@em.gov.lv</dc:creator>
  <dc:description>67013298
Signe.Tuklere@em.gov</dc:description>
  <cp:lastModifiedBy>Dita Tetere</cp:lastModifiedBy>
  <cp:revision>3</cp:revision>
  <cp:lastPrinted>2017-07-21T07:32:00Z</cp:lastPrinted>
  <dcterms:created xsi:type="dcterms:W3CDTF">2020-11-10T07:01:00Z</dcterms:created>
  <dcterms:modified xsi:type="dcterms:W3CDTF">2020-11-10T07:02:00Z</dcterms:modified>
</cp:coreProperties>
</file>