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6D85" w14:textId="77777777" w:rsidR="00747EEC" w:rsidRDefault="00747EEC" w:rsidP="0070665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D78A8" w14:textId="0A1CBC9A" w:rsidR="0070665D" w:rsidRPr="00771904" w:rsidRDefault="0070665D" w:rsidP="0070665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04">
        <w:rPr>
          <w:rFonts w:ascii="Times New Roman" w:hAnsi="Times New Roman" w:cs="Times New Roman"/>
          <w:sz w:val="28"/>
          <w:szCs w:val="28"/>
        </w:rPr>
        <w:t>20</w:t>
      </w:r>
      <w:r w:rsidR="009B3758">
        <w:rPr>
          <w:rFonts w:ascii="Times New Roman" w:hAnsi="Times New Roman" w:cs="Times New Roman"/>
          <w:sz w:val="28"/>
          <w:szCs w:val="28"/>
        </w:rPr>
        <w:t>20</w:t>
      </w:r>
      <w:r w:rsidRPr="00771904">
        <w:rPr>
          <w:rFonts w:ascii="Times New Roman" w:hAnsi="Times New Roman" w:cs="Times New Roman"/>
          <w:sz w:val="28"/>
          <w:szCs w:val="28"/>
        </w:rPr>
        <w:t>.</w:t>
      </w:r>
      <w:r w:rsidR="00A241BB">
        <w:rPr>
          <w:rFonts w:ascii="Times New Roman" w:hAnsi="Times New Roman" w:cs="Times New Roman"/>
          <w:sz w:val="28"/>
          <w:szCs w:val="28"/>
        </w:rPr>
        <w:t xml:space="preserve"> </w:t>
      </w:r>
      <w:r w:rsidRPr="00771904">
        <w:rPr>
          <w:rFonts w:ascii="Times New Roman" w:hAnsi="Times New Roman" w:cs="Times New Roman"/>
          <w:sz w:val="28"/>
          <w:szCs w:val="28"/>
        </w:rPr>
        <w:t>gada ___.______</w:t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143A967B" w14:textId="53C002D6" w:rsidR="0070665D" w:rsidRPr="00771904" w:rsidRDefault="0070665D" w:rsidP="0070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04">
        <w:rPr>
          <w:rFonts w:ascii="Times New Roman" w:hAnsi="Times New Roman" w:cs="Times New Roman"/>
          <w:sz w:val="28"/>
          <w:szCs w:val="28"/>
        </w:rPr>
        <w:t>Rīgā</w:t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  <w:t>(prot. Nr. _______  .§)</w:t>
      </w:r>
    </w:p>
    <w:p w14:paraId="23B89936" w14:textId="35E4601E" w:rsidR="0070665D" w:rsidRDefault="0070665D" w:rsidP="0070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A773E" w14:textId="77777777" w:rsidR="0070665D" w:rsidRPr="00771904" w:rsidRDefault="0070665D" w:rsidP="0070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71D826F" w14:textId="619A6458" w:rsidR="0070665D" w:rsidRPr="00771904" w:rsidRDefault="0070665D" w:rsidP="0070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Grozījumi Ministru kabineta 20</w:t>
      </w:r>
      <w:r w:rsid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17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.gada </w:t>
      </w:r>
      <w:r w:rsid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5.decembra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noteikumos Nr.</w:t>
      </w:r>
      <w:r w:rsid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537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„</w:t>
      </w:r>
      <w:r w:rsidR="00465292" w:rsidRP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Noteikumi par </w:t>
      </w:r>
      <w:proofErr w:type="spellStart"/>
      <w:r w:rsidR="00465292" w:rsidRP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portfeļgarantijām</w:t>
      </w:r>
      <w:proofErr w:type="spellEnd"/>
      <w:r w:rsidR="00465292" w:rsidRPr="0046529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sīko (mikro), mazo un vidējo komersantu kreditēšanas veicināšanai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”</w:t>
      </w:r>
    </w:p>
    <w:p w14:paraId="12218803" w14:textId="4D6838D9" w:rsidR="0070665D" w:rsidRDefault="0070665D" w:rsidP="0070665D">
      <w:pPr>
        <w:pStyle w:val="naislab"/>
        <w:spacing w:before="0" w:after="0"/>
        <w:jc w:val="left"/>
        <w:rPr>
          <w:b/>
          <w:sz w:val="28"/>
          <w:szCs w:val="28"/>
        </w:rPr>
      </w:pPr>
    </w:p>
    <w:p w14:paraId="5C67C833" w14:textId="02700951" w:rsidR="00465292" w:rsidRDefault="00B27DCC" w:rsidP="00B27DCC">
      <w:pPr>
        <w:pStyle w:val="naislab"/>
        <w:spacing w:before="0" w:after="0"/>
        <w:rPr>
          <w:i/>
          <w:sz w:val="28"/>
          <w:szCs w:val="28"/>
        </w:rPr>
      </w:pPr>
      <w:r w:rsidRPr="00B27DCC">
        <w:rPr>
          <w:i/>
          <w:sz w:val="28"/>
          <w:szCs w:val="28"/>
        </w:rPr>
        <w:t>Izdoti saskaņā ar </w:t>
      </w:r>
      <w:hyperlink r:id="rId8" w:tgtFrame="_blank" w:history="1">
        <w:r w:rsidRPr="00B27DCC">
          <w:rPr>
            <w:i/>
            <w:sz w:val="28"/>
            <w:szCs w:val="28"/>
          </w:rPr>
          <w:t>Attīstības finanšu institūcijas likuma</w:t>
        </w:r>
      </w:hyperlink>
    </w:p>
    <w:p w14:paraId="719FDB8C" w14:textId="62FF97D1" w:rsidR="00B27DCC" w:rsidRPr="00D045B4" w:rsidRDefault="00423AAC" w:rsidP="00B27DCC">
      <w:pPr>
        <w:pStyle w:val="naislab"/>
        <w:spacing w:before="0" w:after="0"/>
        <w:rPr>
          <w:rFonts w:ascii="Arial" w:hAnsi="Arial" w:cs="Arial"/>
          <w:i/>
          <w:iCs/>
          <w:color w:val="414142"/>
          <w:sz w:val="20"/>
          <w:szCs w:val="20"/>
        </w:rPr>
      </w:pPr>
      <w:hyperlink r:id="rId9" w:anchor="p12" w:tgtFrame="_blank" w:history="1">
        <w:r w:rsidR="00B27DCC" w:rsidRPr="00B27DCC">
          <w:rPr>
            <w:i/>
            <w:sz w:val="28"/>
            <w:szCs w:val="28"/>
          </w:rPr>
          <w:t>12.</w:t>
        </w:r>
      </w:hyperlink>
      <w:r w:rsidR="00B27DCC" w:rsidRPr="00B27DCC">
        <w:rPr>
          <w:i/>
          <w:sz w:val="28"/>
          <w:szCs w:val="28"/>
        </w:rPr>
        <w:t> panta</w:t>
      </w:r>
      <w:r w:rsidR="00465292">
        <w:rPr>
          <w:i/>
          <w:sz w:val="28"/>
          <w:szCs w:val="28"/>
        </w:rPr>
        <w:t xml:space="preserve"> </w:t>
      </w:r>
      <w:r w:rsidR="00B27DCC" w:rsidRPr="00B27DCC">
        <w:rPr>
          <w:i/>
          <w:sz w:val="28"/>
          <w:szCs w:val="28"/>
        </w:rPr>
        <w:t xml:space="preserve">ceturto daļu </w:t>
      </w:r>
    </w:p>
    <w:p w14:paraId="47039334" w14:textId="36CE5B72" w:rsidR="0070665D" w:rsidRDefault="0070665D" w:rsidP="0070665D">
      <w:pPr>
        <w:pStyle w:val="naislab"/>
        <w:spacing w:before="0" w:after="0"/>
        <w:rPr>
          <w:sz w:val="28"/>
          <w:szCs w:val="28"/>
        </w:rPr>
      </w:pPr>
    </w:p>
    <w:p w14:paraId="259704D9" w14:textId="77777777" w:rsidR="00CA4BCC" w:rsidRPr="00771904" w:rsidRDefault="00CA4BCC" w:rsidP="0070665D">
      <w:pPr>
        <w:pStyle w:val="naislab"/>
        <w:spacing w:before="0" w:after="0"/>
        <w:rPr>
          <w:sz w:val="28"/>
          <w:szCs w:val="28"/>
        </w:rPr>
      </w:pPr>
    </w:p>
    <w:p w14:paraId="6F32FC38" w14:textId="66085864" w:rsidR="0070665D" w:rsidRPr="00510FDE" w:rsidRDefault="0070665D" w:rsidP="00B27DCC">
      <w:pPr>
        <w:pStyle w:val="ListParagraph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FDE">
        <w:rPr>
          <w:rFonts w:ascii="Times New Roman" w:hAnsi="Times New Roman" w:cs="Times New Roman"/>
          <w:sz w:val="28"/>
          <w:szCs w:val="28"/>
        </w:rPr>
        <w:t xml:space="preserve">Izdarīt </w:t>
      </w:r>
      <w:r w:rsidR="00552FD1" w:rsidRPr="00552FD1">
        <w:rPr>
          <w:rFonts w:ascii="Times New Roman" w:hAnsi="Times New Roman" w:cs="Times New Roman"/>
          <w:sz w:val="28"/>
          <w:szCs w:val="28"/>
        </w:rPr>
        <w:t xml:space="preserve">Ministru kabineta 2017.gada 5.decembra noteikumos Nr.537 „Noteikumi par </w:t>
      </w:r>
      <w:proofErr w:type="spellStart"/>
      <w:r w:rsidR="00552FD1" w:rsidRPr="00552FD1">
        <w:rPr>
          <w:rFonts w:ascii="Times New Roman" w:hAnsi="Times New Roman" w:cs="Times New Roman"/>
          <w:sz w:val="28"/>
          <w:szCs w:val="28"/>
        </w:rPr>
        <w:t>portfeļgarantijām</w:t>
      </w:r>
      <w:proofErr w:type="spellEnd"/>
      <w:r w:rsidR="00552FD1" w:rsidRPr="00552FD1">
        <w:rPr>
          <w:rFonts w:ascii="Times New Roman" w:hAnsi="Times New Roman" w:cs="Times New Roman"/>
          <w:sz w:val="28"/>
          <w:szCs w:val="28"/>
        </w:rPr>
        <w:t xml:space="preserve"> sīko (mikro), mazo un vidējo komersantu kreditēšanas veicināšanai”</w:t>
      </w:r>
      <w:r w:rsidRPr="00510FDE">
        <w:rPr>
          <w:rFonts w:ascii="Times New Roman" w:hAnsi="Times New Roman" w:cs="Times New Roman"/>
          <w:sz w:val="28"/>
          <w:szCs w:val="28"/>
        </w:rPr>
        <w:t xml:space="preserve"> </w:t>
      </w:r>
      <w:r w:rsidRPr="00510FDE">
        <w:rPr>
          <w:rFonts w:ascii="Times New Roman" w:hAnsi="Times New Roman" w:cs="Times New Roman"/>
          <w:i/>
          <w:sz w:val="28"/>
          <w:szCs w:val="28"/>
        </w:rPr>
        <w:t>(</w:t>
      </w:r>
      <w:r w:rsidR="00552FD1">
        <w:rPr>
          <w:rFonts w:ascii="Times New Roman" w:hAnsi="Times New Roman" w:cs="Times New Roman"/>
          <w:i/>
          <w:sz w:val="28"/>
          <w:szCs w:val="28"/>
        </w:rPr>
        <w:t xml:space="preserve">Latvijas vēstnesis, 2017, </w:t>
      </w:r>
      <w:r w:rsidR="00552FD1" w:rsidRPr="00552FD1">
        <w:rPr>
          <w:rFonts w:ascii="Times New Roman" w:hAnsi="Times New Roman" w:cs="Times New Roman"/>
          <w:i/>
          <w:sz w:val="28"/>
          <w:szCs w:val="28"/>
        </w:rPr>
        <w:t>180</w:t>
      </w:r>
      <w:r w:rsidR="00552FD1">
        <w:rPr>
          <w:rFonts w:ascii="Times New Roman" w:hAnsi="Times New Roman" w:cs="Times New Roman"/>
          <w:i/>
          <w:sz w:val="28"/>
          <w:szCs w:val="28"/>
        </w:rPr>
        <w:t>.</w:t>
      </w:r>
      <w:r w:rsidR="007811EC">
        <w:rPr>
          <w:rFonts w:ascii="Times New Roman" w:hAnsi="Times New Roman" w:cs="Times New Roman"/>
          <w:i/>
          <w:sz w:val="28"/>
          <w:szCs w:val="28"/>
        </w:rPr>
        <w:t> </w:t>
      </w:r>
      <w:r w:rsidR="00552FD1">
        <w:rPr>
          <w:rFonts w:ascii="Times New Roman" w:hAnsi="Times New Roman" w:cs="Times New Roman"/>
          <w:i/>
          <w:sz w:val="28"/>
          <w:szCs w:val="28"/>
        </w:rPr>
        <w:t>nr.</w:t>
      </w:r>
      <w:r w:rsidR="00D277E0">
        <w:rPr>
          <w:rFonts w:ascii="Times New Roman" w:hAnsi="Times New Roman" w:cs="Times New Roman"/>
          <w:i/>
          <w:sz w:val="28"/>
          <w:szCs w:val="28"/>
        </w:rPr>
        <w:t>, 2018, 49.</w:t>
      </w:r>
      <w:r w:rsidR="007811EC">
        <w:rPr>
          <w:rFonts w:ascii="Times New Roman" w:hAnsi="Times New Roman" w:cs="Times New Roman"/>
          <w:i/>
          <w:sz w:val="28"/>
          <w:szCs w:val="28"/>
        </w:rPr>
        <w:t> </w:t>
      </w:r>
      <w:r w:rsidR="00D277E0">
        <w:rPr>
          <w:rFonts w:ascii="Times New Roman" w:hAnsi="Times New Roman" w:cs="Times New Roman"/>
          <w:i/>
          <w:sz w:val="28"/>
          <w:szCs w:val="28"/>
        </w:rPr>
        <w:t>nr., 2020, 60A.</w:t>
      </w:r>
      <w:r w:rsidR="007811EC">
        <w:rPr>
          <w:rFonts w:ascii="Times New Roman" w:hAnsi="Times New Roman" w:cs="Times New Roman"/>
          <w:i/>
          <w:sz w:val="28"/>
          <w:szCs w:val="28"/>
        </w:rPr>
        <w:t> </w:t>
      </w:r>
      <w:r w:rsidR="00D277E0">
        <w:rPr>
          <w:rFonts w:ascii="Times New Roman" w:hAnsi="Times New Roman" w:cs="Times New Roman"/>
          <w:i/>
          <w:sz w:val="28"/>
          <w:szCs w:val="28"/>
        </w:rPr>
        <w:t>nr.,</w:t>
      </w:r>
      <w:r w:rsidR="007811EC">
        <w:rPr>
          <w:rFonts w:ascii="Times New Roman" w:hAnsi="Times New Roman" w:cs="Times New Roman"/>
          <w:i/>
          <w:sz w:val="28"/>
          <w:szCs w:val="28"/>
        </w:rPr>
        <w:t xml:space="preserve"> 2020,</w:t>
      </w:r>
      <w:r w:rsidR="00D277E0">
        <w:rPr>
          <w:rFonts w:ascii="Times New Roman" w:hAnsi="Times New Roman" w:cs="Times New Roman"/>
          <w:i/>
          <w:sz w:val="28"/>
          <w:szCs w:val="28"/>
        </w:rPr>
        <w:t xml:space="preserve"> 74A.</w:t>
      </w:r>
      <w:r w:rsidR="007811EC">
        <w:rPr>
          <w:rFonts w:ascii="Times New Roman" w:hAnsi="Times New Roman" w:cs="Times New Roman"/>
          <w:i/>
          <w:sz w:val="28"/>
          <w:szCs w:val="28"/>
        </w:rPr>
        <w:t> n</w:t>
      </w:r>
      <w:r w:rsidR="00D277E0">
        <w:rPr>
          <w:rFonts w:ascii="Times New Roman" w:hAnsi="Times New Roman" w:cs="Times New Roman"/>
          <w:i/>
          <w:sz w:val="28"/>
          <w:szCs w:val="28"/>
        </w:rPr>
        <w:t>r.</w:t>
      </w:r>
      <w:r w:rsidRPr="00510FDE">
        <w:rPr>
          <w:rFonts w:ascii="Times New Roman" w:hAnsi="Times New Roman" w:cs="Times New Roman"/>
          <w:i/>
          <w:sz w:val="28"/>
          <w:szCs w:val="28"/>
        </w:rPr>
        <w:t>)</w:t>
      </w:r>
      <w:r w:rsidRPr="00510FDE">
        <w:rPr>
          <w:rFonts w:ascii="Times New Roman" w:hAnsi="Times New Roman" w:cs="Times New Roman"/>
          <w:sz w:val="28"/>
          <w:szCs w:val="28"/>
        </w:rPr>
        <w:t xml:space="preserve"> šādus grozījumus:</w:t>
      </w:r>
    </w:p>
    <w:p w14:paraId="2AF98AD5" w14:textId="77777777" w:rsidR="007864A5" w:rsidRPr="00510FDE" w:rsidRDefault="007864A5" w:rsidP="0070665D">
      <w:pPr>
        <w:pStyle w:val="ListParagraph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09B94B" w14:textId="164B237D" w:rsidR="00390B7D" w:rsidRPr="00423AAC" w:rsidRDefault="008F006D" w:rsidP="00815F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AC">
        <w:rPr>
          <w:rFonts w:ascii="Times New Roman" w:hAnsi="Times New Roman" w:cs="Times New Roman"/>
          <w:sz w:val="28"/>
          <w:szCs w:val="28"/>
        </w:rPr>
        <w:t xml:space="preserve">Aizstāt </w:t>
      </w:r>
      <w:r w:rsidR="00310E53" w:rsidRPr="00423AAC">
        <w:rPr>
          <w:rFonts w:ascii="Times New Roman" w:hAnsi="Times New Roman" w:cs="Times New Roman"/>
          <w:sz w:val="28"/>
          <w:szCs w:val="28"/>
        </w:rPr>
        <w:t xml:space="preserve">noteikumu </w:t>
      </w:r>
      <w:r w:rsidRPr="00423AAC">
        <w:rPr>
          <w:rFonts w:ascii="Times New Roman" w:hAnsi="Times New Roman" w:cs="Times New Roman"/>
          <w:sz w:val="28"/>
          <w:szCs w:val="28"/>
        </w:rPr>
        <w:t>nosaukumā un visā noteikumu tekstā vārdu “komersants” ar vārdu “saimnieciskās darbības veicējs</w:t>
      </w:r>
      <w:r w:rsidR="006213BC" w:rsidRPr="00423AAC">
        <w:rPr>
          <w:rFonts w:ascii="Times New Roman" w:hAnsi="Times New Roman" w:cs="Times New Roman"/>
          <w:sz w:val="28"/>
          <w:szCs w:val="28"/>
        </w:rPr>
        <w:t xml:space="preserve"> </w:t>
      </w:r>
      <w:r w:rsidR="00966F9D" w:rsidRPr="00423AAC">
        <w:rPr>
          <w:rFonts w:ascii="Times New Roman" w:hAnsi="Times New Roman" w:cs="Times New Roman"/>
          <w:sz w:val="28"/>
          <w:szCs w:val="28"/>
        </w:rPr>
        <w:t>-</w:t>
      </w:r>
      <w:r w:rsidR="006213BC" w:rsidRPr="00423AAC">
        <w:rPr>
          <w:rFonts w:ascii="Times New Roman" w:hAnsi="Times New Roman" w:cs="Times New Roman"/>
          <w:sz w:val="28"/>
          <w:szCs w:val="28"/>
        </w:rPr>
        <w:t xml:space="preserve"> </w:t>
      </w:r>
      <w:r w:rsidR="00966F9D" w:rsidRPr="00423AAC">
        <w:rPr>
          <w:rFonts w:ascii="Times New Roman" w:hAnsi="Times New Roman" w:cs="Times New Roman"/>
          <w:sz w:val="28"/>
          <w:szCs w:val="28"/>
        </w:rPr>
        <w:t>juridiska persona</w:t>
      </w:r>
      <w:r w:rsidRPr="00423AAC">
        <w:rPr>
          <w:rFonts w:ascii="Times New Roman" w:hAnsi="Times New Roman" w:cs="Times New Roman"/>
          <w:sz w:val="28"/>
          <w:szCs w:val="28"/>
        </w:rPr>
        <w:t>” attiecīgajā locījumā;</w:t>
      </w:r>
    </w:p>
    <w:p w14:paraId="610199EB" w14:textId="77777777" w:rsidR="008F006D" w:rsidRDefault="008F006D" w:rsidP="006213BC">
      <w:pPr>
        <w:pStyle w:val="ListParagraph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BA5DE34" w14:textId="7169E1D6" w:rsidR="00EE0FA6" w:rsidRDefault="00EE0FA6" w:rsidP="00815F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 5.</w:t>
      </w:r>
      <w:r w:rsidRPr="0087169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811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48794B42" w14:textId="596CA287" w:rsidR="00EE0FA6" w:rsidRPr="00310E53" w:rsidRDefault="00EE0FA6" w:rsidP="00310E5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“5.</w:t>
      </w:r>
      <w:r w:rsidRPr="00310E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1 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Covid-19 izraisītās krīzes seku </w:t>
      </w:r>
      <w:bookmarkStart w:id="0" w:name="_GoBack"/>
      <w:bookmarkEnd w:id="0"/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mazināšanai sabiedrība "</w:t>
      </w:r>
      <w:proofErr w:type="spellStart"/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Altum</w:t>
      </w:r>
      <w:proofErr w:type="spellEnd"/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" īsteno </w:t>
      </w:r>
      <w:proofErr w:type="spellStart"/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portfeļgarantijas</w:t>
      </w:r>
      <w:proofErr w:type="spellEnd"/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programmu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ar</w:t>
      </w:r>
      <w:r w:rsidR="00FE6D50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budžeta finansējum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nepārsniedz 25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000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000 </w:t>
      </w:r>
      <w:r w:rsidRPr="00310E53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. Minētajai programmai piemēro šo noteikumu </w:t>
      </w:r>
      <w:hyperlink r:id="rId10" w:anchor="p1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1" w:anchor="p2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2.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2" w:anchor="p3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3.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3" w:anchor="p7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7.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4" w:anchor="p8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8.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r w:rsidRPr="00310E53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9.</w:t>
      </w:r>
      <w:r w:rsidRPr="00310E53">
        <w:rPr>
          <w:rStyle w:val="Hyperlink"/>
          <w:rFonts w:ascii="Times New Roman" w:hAnsi="Times New Roman" w:cs="Times New Roman"/>
          <w:color w:val="auto"/>
          <w:sz w:val="28"/>
          <w:szCs w:val="28"/>
          <w:lang w:eastAsia="lv-LV"/>
        </w:rPr>
        <w:t>,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hyperlink r:id="rId15" w:anchor="p10.1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10.</w:t>
        </w:r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lv-LV"/>
          </w:rPr>
          <w:t>1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6" w:anchor="p11.1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11.</w:t>
        </w:r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lv-LV"/>
          </w:rPr>
          <w:t>1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7" w:anchor="p12.1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12.</w:t>
        </w:r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lv-LV"/>
          </w:rPr>
          <w:t>1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 </w:t>
      </w:r>
      <w:hyperlink r:id="rId18" w:anchor="p13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13. 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un </w:t>
      </w:r>
      <w:hyperlink r:id="rId19" w:anchor="p14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14. punktu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 IV¹ un V¹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nodaļu, 26., 27., 27.</w:t>
      </w:r>
      <w:r w:rsidRPr="00310E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, 28., 29., 30., 31., 32., 32.</w:t>
      </w:r>
      <w:r w:rsidRPr="00310E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un 34.</w:t>
      </w:r>
      <w:r w:rsidR="007811EC"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punktu, organizē atsevišķu kredītiestāžu pieteikšanos un noslēdz šo noteikumu </w:t>
      </w:r>
      <w:hyperlink r:id="rId20" w:anchor="p7" w:history="1">
        <w:r w:rsidRPr="00310E5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lv-LV"/>
          </w:rPr>
          <w:t>7.</w:t>
        </w:r>
      </w:hyperlink>
      <w:r w:rsidRP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 punktā minēto līgumu.</w:t>
      </w:r>
      <w:r w:rsidR="00310E53">
        <w:rPr>
          <w:rFonts w:ascii="Times New Roman" w:eastAsia="Times New Roman" w:hAnsi="Times New Roman" w:cs="Times New Roman"/>
          <w:sz w:val="28"/>
          <w:szCs w:val="28"/>
          <w:lang w:eastAsia="lv-LV"/>
        </w:rPr>
        <w:t>”</w:t>
      </w:r>
    </w:p>
    <w:p w14:paraId="69883E8F" w14:textId="77777777" w:rsidR="00EE0FA6" w:rsidRDefault="00EE0FA6" w:rsidP="00EE0FA6">
      <w:pPr>
        <w:pStyle w:val="ListParagraph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F8E758F" w14:textId="22491A72" w:rsidR="00815F62" w:rsidRDefault="0020312D" w:rsidP="00815F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 9.punktu</w:t>
      </w:r>
      <w:r w:rsidR="00815F62" w:rsidRPr="00510FDE">
        <w:rPr>
          <w:rFonts w:ascii="Times New Roman" w:hAnsi="Times New Roman" w:cs="Times New Roman"/>
          <w:sz w:val="28"/>
          <w:szCs w:val="28"/>
        </w:rPr>
        <w:t xml:space="preserve"> šādā redakcijā:</w:t>
      </w:r>
    </w:p>
    <w:p w14:paraId="086A1576" w14:textId="77777777" w:rsidR="0020312D" w:rsidRPr="00510FDE" w:rsidRDefault="0020312D" w:rsidP="0020312D">
      <w:pPr>
        <w:pStyle w:val="ListParagraph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72CA85F" w14:textId="58C10D46" w:rsidR="0020312D" w:rsidRP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2D">
        <w:rPr>
          <w:rFonts w:ascii="Times New Roman" w:hAnsi="Times New Roman" w:cs="Times New Roman"/>
          <w:sz w:val="28"/>
          <w:szCs w:val="28"/>
        </w:rPr>
        <w:t>“9. Atbalstu var saņemt, ja garantiju piešķir par šādiem finanšu pakalpojumiem:</w:t>
      </w:r>
    </w:p>
    <w:p w14:paraId="37442F23" w14:textId="0AD80F10" w:rsidR="0020312D" w:rsidRP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2D">
        <w:rPr>
          <w:rFonts w:ascii="Times New Roman" w:hAnsi="Times New Roman" w:cs="Times New Roman"/>
          <w:sz w:val="28"/>
          <w:szCs w:val="28"/>
        </w:rPr>
        <w:t>9.1. aizdevum</w:t>
      </w:r>
      <w:r w:rsidR="00332F65">
        <w:rPr>
          <w:rFonts w:ascii="Times New Roman" w:hAnsi="Times New Roman" w:cs="Times New Roman"/>
          <w:sz w:val="28"/>
          <w:szCs w:val="28"/>
        </w:rPr>
        <w:t>u</w:t>
      </w:r>
      <w:r w:rsidRPr="0020312D">
        <w:rPr>
          <w:rFonts w:ascii="Times New Roman" w:hAnsi="Times New Roman" w:cs="Times New Roman"/>
          <w:sz w:val="28"/>
          <w:szCs w:val="28"/>
        </w:rPr>
        <w:t xml:space="preserve"> investīciju veikšanai;</w:t>
      </w:r>
    </w:p>
    <w:p w14:paraId="4DD11766" w14:textId="3E91B59C" w:rsidR="0020312D" w:rsidRP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2D">
        <w:rPr>
          <w:rFonts w:ascii="Times New Roman" w:hAnsi="Times New Roman" w:cs="Times New Roman"/>
          <w:sz w:val="28"/>
          <w:szCs w:val="28"/>
        </w:rPr>
        <w:t>9.2. aizdevum</w:t>
      </w:r>
      <w:r w:rsidR="00332F65">
        <w:rPr>
          <w:rFonts w:ascii="Times New Roman" w:hAnsi="Times New Roman" w:cs="Times New Roman"/>
          <w:sz w:val="28"/>
          <w:szCs w:val="28"/>
        </w:rPr>
        <w:t>u</w:t>
      </w:r>
      <w:r w:rsidRPr="0020312D">
        <w:rPr>
          <w:rFonts w:ascii="Times New Roman" w:hAnsi="Times New Roman" w:cs="Times New Roman"/>
          <w:sz w:val="28"/>
          <w:szCs w:val="28"/>
        </w:rPr>
        <w:t xml:space="preserve"> apgrozāmo līdzekļu finansēšanai, tai skaitā</w:t>
      </w:r>
      <w:r w:rsidR="007811EC">
        <w:rPr>
          <w:rFonts w:ascii="Times New Roman" w:hAnsi="Times New Roman" w:cs="Times New Roman"/>
          <w:sz w:val="28"/>
          <w:szCs w:val="28"/>
        </w:rPr>
        <w:t>,</w:t>
      </w:r>
      <w:r w:rsidRPr="0020312D">
        <w:rPr>
          <w:rFonts w:ascii="Times New Roman" w:hAnsi="Times New Roman" w:cs="Times New Roman"/>
          <w:sz w:val="28"/>
          <w:szCs w:val="28"/>
        </w:rPr>
        <w:t xml:space="preserve"> aizdevum</w:t>
      </w:r>
      <w:r w:rsidR="00332F65">
        <w:rPr>
          <w:rFonts w:ascii="Times New Roman" w:hAnsi="Times New Roman" w:cs="Times New Roman"/>
          <w:sz w:val="28"/>
          <w:szCs w:val="28"/>
        </w:rPr>
        <w:t>u</w:t>
      </w:r>
      <w:r w:rsidRPr="0020312D">
        <w:rPr>
          <w:rFonts w:ascii="Times New Roman" w:hAnsi="Times New Roman" w:cs="Times New Roman"/>
          <w:sz w:val="28"/>
          <w:szCs w:val="28"/>
        </w:rPr>
        <w:t xml:space="preserve"> kredītlīnijas vai </w:t>
      </w:r>
      <w:proofErr w:type="spellStart"/>
      <w:r w:rsidRPr="0020312D">
        <w:rPr>
          <w:rFonts w:ascii="Times New Roman" w:hAnsi="Times New Roman" w:cs="Times New Roman"/>
          <w:sz w:val="28"/>
          <w:szCs w:val="28"/>
        </w:rPr>
        <w:t>kredītlimita</w:t>
      </w:r>
      <w:proofErr w:type="spellEnd"/>
      <w:r w:rsidRPr="0020312D">
        <w:rPr>
          <w:rFonts w:ascii="Times New Roman" w:hAnsi="Times New Roman" w:cs="Times New Roman"/>
          <w:sz w:val="28"/>
          <w:szCs w:val="28"/>
        </w:rPr>
        <w:t xml:space="preserve"> veidā;</w:t>
      </w:r>
    </w:p>
    <w:p w14:paraId="697B7B0B" w14:textId="2AD4E82A" w:rsid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2D">
        <w:rPr>
          <w:rFonts w:ascii="Times New Roman" w:hAnsi="Times New Roman" w:cs="Times New Roman"/>
          <w:sz w:val="28"/>
          <w:szCs w:val="28"/>
        </w:rPr>
        <w:t>9.3. finanšu līzingu.”</w:t>
      </w:r>
    </w:p>
    <w:p w14:paraId="44DB6288" w14:textId="2F5FDBFD" w:rsidR="00EE0FA6" w:rsidRDefault="00EE0FA6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757EC" w14:textId="76F0EF12" w:rsidR="00EE0FA6" w:rsidRPr="0020312D" w:rsidRDefault="00EE0FA6" w:rsidP="00EE0F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Svītrot  9.</w:t>
      </w:r>
      <w:r w:rsidRPr="00EE0F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punktu.</w:t>
      </w:r>
    </w:p>
    <w:p w14:paraId="2AD27704" w14:textId="77777777" w:rsidR="0020312D" w:rsidRPr="00510FDE" w:rsidRDefault="0020312D" w:rsidP="005B633C">
      <w:pPr>
        <w:pStyle w:val="ListParagraph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3AB69697" w14:textId="33D2C403" w:rsidR="00246F4C" w:rsidRDefault="00081136" w:rsidP="0006105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DE">
        <w:rPr>
          <w:rFonts w:ascii="Times New Roman" w:hAnsi="Times New Roman" w:cs="Times New Roman"/>
          <w:sz w:val="28"/>
          <w:szCs w:val="28"/>
        </w:rPr>
        <w:t xml:space="preserve">Izteikt </w:t>
      </w:r>
      <w:r w:rsidR="0020312D">
        <w:rPr>
          <w:rFonts w:ascii="Times New Roman" w:hAnsi="Times New Roman" w:cs="Times New Roman"/>
          <w:sz w:val="28"/>
          <w:szCs w:val="28"/>
        </w:rPr>
        <w:t>12</w:t>
      </w:r>
      <w:r w:rsidRPr="00510FDE">
        <w:rPr>
          <w:rFonts w:ascii="Times New Roman" w:hAnsi="Times New Roman" w:cs="Times New Roman"/>
          <w:sz w:val="28"/>
          <w:szCs w:val="28"/>
        </w:rPr>
        <w:t>.punktu</w:t>
      </w:r>
      <w:r w:rsidR="00F93025" w:rsidRPr="00510FDE">
        <w:rPr>
          <w:rFonts w:ascii="Times New Roman" w:hAnsi="Times New Roman" w:cs="Times New Roman"/>
          <w:sz w:val="28"/>
          <w:szCs w:val="28"/>
        </w:rPr>
        <w:t xml:space="preserve"> </w:t>
      </w:r>
      <w:r w:rsidR="00061052" w:rsidRPr="00510FDE">
        <w:rPr>
          <w:rFonts w:ascii="Times New Roman" w:hAnsi="Times New Roman" w:cs="Times New Roman"/>
          <w:sz w:val="28"/>
          <w:szCs w:val="28"/>
        </w:rPr>
        <w:t>šādā redakcijā:</w:t>
      </w:r>
    </w:p>
    <w:p w14:paraId="76A90995" w14:textId="77777777" w:rsidR="0020312D" w:rsidRDefault="0020312D" w:rsidP="0020312D">
      <w:pPr>
        <w:pStyle w:val="ListParagraph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F692A7C" w14:textId="5DD7B264" w:rsid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20312D">
        <w:rPr>
          <w:rFonts w:ascii="Times New Roman" w:hAnsi="Times New Roman" w:cs="Times New Roman"/>
          <w:sz w:val="28"/>
          <w:szCs w:val="28"/>
        </w:rPr>
        <w:t>12. Par garantijas izsniegšanu piemēro vienreizēj</w:t>
      </w:r>
      <w:r w:rsidR="00332F65">
        <w:rPr>
          <w:rFonts w:ascii="Times New Roman" w:hAnsi="Times New Roman" w:cs="Times New Roman"/>
          <w:sz w:val="28"/>
          <w:szCs w:val="28"/>
        </w:rPr>
        <w:t>u</w:t>
      </w:r>
      <w:r w:rsidRPr="0020312D">
        <w:rPr>
          <w:rFonts w:ascii="Times New Roman" w:hAnsi="Times New Roman" w:cs="Times New Roman"/>
          <w:sz w:val="28"/>
          <w:szCs w:val="28"/>
        </w:rPr>
        <w:t xml:space="preserve"> garantijas prēmij</w:t>
      </w:r>
      <w:r w:rsidR="00332F65">
        <w:rPr>
          <w:rFonts w:ascii="Times New Roman" w:hAnsi="Times New Roman" w:cs="Times New Roman"/>
          <w:sz w:val="28"/>
          <w:szCs w:val="28"/>
        </w:rPr>
        <w:t>u</w:t>
      </w:r>
      <w:r w:rsidRPr="0020312D">
        <w:rPr>
          <w:rFonts w:ascii="Times New Roman" w:hAnsi="Times New Roman" w:cs="Times New Roman"/>
          <w:sz w:val="28"/>
          <w:szCs w:val="28"/>
        </w:rPr>
        <w:t xml:space="preserve"> saskaņā ar kredītiestāžu atlases noteikumiem.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6DB3F0B1" w14:textId="2B25B921" w:rsidR="0020312D" w:rsidRDefault="0020312D" w:rsidP="0020312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BE028" w14:textId="49D5294D" w:rsidR="0020312D" w:rsidRDefault="006A2CF6" w:rsidP="0020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 32.</w:t>
      </w:r>
      <w:r w:rsidRPr="006A2C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punktu šādā redakcijā:</w:t>
      </w:r>
    </w:p>
    <w:p w14:paraId="119E42F8" w14:textId="167AE8B7" w:rsidR="006A2CF6" w:rsidRDefault="006A2CF6" w:rsidP="006A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E7DD7" w14:textId="487355A0" w:rsidR="006A2CF6" w:rsidRDefault="006A2CF6" w:rsidP="006A2CF6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6A2CF6">
        <w:rPr>
          <w:rFonts w:ascii="Times New Roman" w:hAnsi="Times New Roman" w:cs="Times New Roman"/>
          <w:sz w:val="28"/>
          <w:szCs w:val="28"/>
        </w:rPr>
        <w:t>32.</w:t>
      </w:r>
      <w:r w:rsidRPr="006A2C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A2CF6">
        <w:rPr>
          <w:rFonts w:ascii="Times New Roman" w:hAnsi="Times New Roman" w:cs="Times New Roman"/>
          <w:sz w:val="28"/>
          <w:szCs w:val="28"/>
        </w:rPr>
        <w:t> </w:t>
      </w:r>
      <w:r w:rsidR="008F006D">
        <w:rPr>
          <w:rFonts w:ascii="Times New Roman" w:hAnsi="Times New Roman" w:cs="Times New Roman"/>
          <w:sz w:val="28"/>
          <w:szCs w:val="28"/>
        </w:rPr>
        <w:t>Ja ir pārkāptas</w:t>
      </w:r>
      <w:r w:rsidRPr="006A2CF6">
        <w:rPr>
          <w:rFonts w:ascii="Times New Roman" w:hAnsi="Times New Roman" w:cs="Times New Roman"/>
          <w:sz w:val="28"/>
          <w:szCs w:val="28"/>
        </w:rPr>
        <w:t xml:space="preserve"> šo noteikumu prasības, ir pienākums atmaksāt sabiedrībai "</w:t>
      </w:r>
      <w:proofErr w:type="spellStart"/>
      <w:r w:rsidRPr="006A2CF6">
        <w:rPr>
          <w:rFonts w:ascii="Times New Roman" w:hAnsi="Times New Roman" w:cs="Times New Roman"/>
          <w:sz w:val="28"/>
          <w:szCs w:val="28"/>
        </w:rPr>
        <w:t>Altum</w:t>
      </w:r>
      <w:proofErr w:type="spellEnd"/>
      <w:r w:rsidRPr="006A2CF6">
        <w:rPr>
          <w:rFonts w:ascii="Times New Roman" w:hAnsi="Times New Roman" w:cs="Times New Roman"/>
          <w:sz w:val="28"/>
          <w:szCs w:val="28"/>
        </w:rPr>
        <w:t>" visu projekta ietvaros nelikumīgi saņemto atbalstu kopā ar procentiem, kuru likmi publicē Eiropas Komisija saskaņā ar Komisijas 2004. gada 21. aprīļa Regulas (EK) Nr. 794/2004, ar ko īsteno Padomes Regulu (ES) 2015/1589, ar ko nosaka sīki izstrādātus noteikumus Līguma par Eiropas Savienības darbību 108. panta piemērošanai (turpmāk – Komisijas regula Nr. 794/2004), 10. pantu, tiem pieskaitot 100 bāzes punktus, no dienas, kad atbalsts tika izmaksāts atbalsta saņēmējam, līdz tā atgūšanas dienai, ievērojot Komisijas regulas Nr. 794/2004 11. pantā noteikto procentu likmes piemērošanas metodi.</w:t>
      </w:r>
      <w:r w:rsidR="001441B4">
        <w:rPr>
          <w:rFonts w:ascii="Times New Roman" w:hAnsi="Times New Roman" w:cs="Times New Roman"/>
          <w:sz w:val="28"/>
          <w:szCs w:val="28"/>
        </w:rPr>
        <w:t>”</w:t>
      </w:r>
    </w:p>
    <w:p w14:paraId="1FA78D8E" w14:textId="77777777" w:rsidR="0087169E" w:rsidRDefault="0087169E" w:rsidP="006A2CF6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39565" w14:textId="759D0F4C" w:rsidR="001441B4" w:rsidRDefault="00310E53" w:rsidP="00310E5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F006D">
        <w:rPr>
          <w:rFonts w:ascii="Times New Roman" w:hAnsi="Times New Roman" w:cs="Times New Roman"/>
          <w:sz w:val="28"/>
          <w:szCs w:val="28"/>
        </w:rPr>
        <w:t>zteikt 34.punktu šādā redakcijā:</w:t>
      </w:r>
    </w:p>
    <w:p w14:paraId="2A3F7D4A" w14:textId="77777777" w:rsidR="00310E53" w:rsidRDefault="00310E53" w:rsidP="00FE6D50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1CF6686" w14:textId="292D0519" w:rsidR="00945D11" w:rsidRDefault="00310E53" w:rsidP="00FE6D50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945D11" w:rsidRPr="00945D11">
        <w:rPr>
          <w:rFonts w:ascii="Times New Roman" w:hAnsi="Times New Roman" w:cs="Times New Roman"/>
          <w:sz w:val="28"/>
          <w:szCs w:val="28"/>
        </w:rPr>
        <w:t>34. Atbalstu saskaņā ar šo noteikumu </w:t>
      </w:r>
      <w:hyperlink r:id="rId21" w:anchor="p5.1" w:history="1">
        <w:r w:rsidR="00945D11" w:rsidRPr="00945D11">
          <w:rPr>
            <w:rFonts w:ascii="Times New Roman" w:hAnsi="Times New Roman" w:cs="Times New Roman"/>
            <w:sz w:val="28"/>
            <w:szCs w:val="28"/>
          </w:rPr>
          <w:t>5.</w:t>
        </w:r>
        <w:r w:rsidR="00945D11" w:rsidRPr="0031051D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945D11" w:rsidRPr="00945D11">
        <w:rPr>
          <w:rFonts w:ascii="Times New Roman" w:hAnsi="Times New Roman" w:cs="Times New Roman"/>
          <w:sz w:val="28"/>
          <w:szCs w:val="28"/>
        </w:rPr>
        <w:t> punktu sniedz līdz 2021. gada 31. decembrim.</w:t>
      </w:r>
      <w:r w:rsidR="00945D11">
        <w:rPr>
          <w:rFonts w:ascii="Times New Roman" w:hAnsi="Times New Roman" w:cs="Times New Roman"/>
          <w:sz w:val="28"/>
          <w:szCs w:val="28"/>
        </w:rPr>
        <w:t>”</w:t>
      </w:r>
    </w:p>
    <w:p w14:paraId="74F87F84" w14:textId="7C40F32B" w:rsidR="00E918D8" w:rsidRDefault="00E918D8" w:rsidP="00945D1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DC183" w14:textId="77777777" w:rsidR="00E918D8" w:rsidRPr="00945D11" w:rsidRDefault="00E918D8" w:rsidP="00945D1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2741B" w14:textId="77777777" w:rsidR="00ED368C" w:rsidRPr="00510FDE" w:rsidRDefault="00ED368C" w:rsidP="002377D6">
      <w:pPr>
        <w:spacing w:after="0" w:line="240" w:lineRule="auto"/>
        <w:ind w:right="-199"/>
        <w:jc w:val="both"/>
        <w:rPr>
          <w:rFonts w:ascii="Times New Roman" w:hAnsi="Times New Roman"/>
          <w:sz w:val="28"/>
          <w:szCs w:val="28"/>
        </w:rPr>
      </w:pPr>
      <w:bookmarkStart w:id="1" w:name="p-741953"/>
      <w:bookmarkStart w:id="2" w:name="p-741955"/>
      <w:bookmarkStart w:id="3" w:name="p-741956"/>
      <w:bookmarkStart w:id="4" w:name="p-741958"/>
      <w:bookmarkStart w:id="5" w:name="n-741959"/>
      <w:bookmarkStart w:id="6" w:name="p-741960"/>
      <w:bookmarkStart w:id="7" w:name="p-741961"/>
      <w:bookmarkStart w:id="8" w:name="p-741962"/>
      <w:bookmarkStart w:id="9" w:name="p-741963"/>
      <w:bookmarkStart w:id="10" w:name="p-741964"/>
      <w:bookmarkStart w:id="11" w:name="p37"/>
      <w:bookmarkStart w:id="12" w:name="p-738918"/>
      <w:bookmarkStart w:id="13" w:name="p38"/>
      <w:bookmarkStart w:id="14" w:name="p-738919"/>
      <w:bookmarkStart w:id="15" w:name="p39"/>
      <w:bookmarkStart w:id="16" w:name="p-738920"/>
      <w:bookmarkStart w:id="17" w:name="p40"/>
      <w:bookmarkStart w:id="18" w:name="p-738921"/>
      <w:bookmarkStart w:id="19" w:name="p41"/>
      <w:bookmarkStart w:id="20" w:name="p-7389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278DFF8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Ministru prezidents</w:t>
      </w:r>
      <w:r w:rsidRPr="00510FDE">
        <w:rPr>
          <w:rFonts w:ascii="Times New Roman" w:hAnsi="Times New Roman"/>
          <w:sz w:val="28"/>
          <w:szCs w:val="28"/>
        </w:rPr>
        <w:tab/>
        <w:t>A. K. Kariņš</w:t>
      </w:r>
    </w:p>
    <w:p w14:paraId="7234F120" w14:textId="757FE8C3" w:rsidR="0064266A" w:rsidRPr="00510FDE" w:rsidRDefault="00F57E9E" w:rsidP="00F57E9E">
      <w:pPr>
        <w:tabs>
          <w:tab w:val="left" w:pos="5810"/>
          <w:tab w:val="left" w:pos="8210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ab/>
      </w:r>
      <w:r w:rsidRPr="00510FDE">
        <w:rPr>
          <w:rFonts w:ascii="Times New Roman" w:hAnsi="Times New Roman"/>
          <w:sz w:val="28"/>
          <w:szCs w:val="28"/>
        </w:rPr>
        <w:tab/>
      </w:r>
    </w:p>
    <w:p w14:paraId="74135621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Ekonomikas ministrs</w:t>
      </w:r>
      <w:r w:rsidRPr="00510FDE">
        <w:rPr>
          <w:rFonts w:ascii="Times New Roman" w:hAnsi="Times New Roman"/>
          <w:sz w:val="28"/>
          <w:szCs w:val="28"/>
        </w:rPr>
        <w:tab/>
      </w:r>
      <w:proofErr w:type="spellStart"/>
      <w:r w:rsidRPr="00510FDE"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24DC2A59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D5163A3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6682CBF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Iesniedzējs:</w:t>
      </w:r>
    </w:p>
    <w:p w14:paraId="05896EA3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Ekonomikas ministrs</w:t>
      </w:r>
      <w:r w:rsidRPr="00510FDE">
        <w:rPr>
          <w:rFonts w:ascii="Times New Roman" w:hAnsi="Times New Roman"/>
          <w:sz w:val="28"/>
          <w:szCs w:val="28"/>
        </w:rPr>
        <w:tab/>
      </w:r>
      <w:proofErr w:type="spellStart"/>
      <w:r w:rsidRPr="00510FDE"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04660F20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5A5F0309" w14:textId="7777777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Vīza:</w:t>
      </w:r>
    </w:p>
    <w:p w14:paraId="60AD5093" w14:textId="4BA56EC7" w:rsidR="0064266A" w:rsidRPr="00510FDE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10FDE">
        <w:rPr>
          <w:rFonts w:ascii="Times New Roman" w:hAnsi="Times New Roman"/>
          <w:sz w:val="28"/>
          <w:szCs w:val="28"/>
        </w:rPr>
        <w:t>Valsts sekretār</w:t>
      </w:r>
      <w:r w:rsidR="00AC2432" w:rsidRPr="00510FDE">
        <w:rPr>
          <w:rFonts w:ascii="Times New Roman" w:hAnsi="Times New Roman"/>
          <w:sz w:val="28"/>
          <w:szCs w:val="28"/>
        </w:rPr>
        <w:t>s</w:t>
      </w:r>
      <w:r w:rsidRPr="00510FDE">
        <w:rPr>
          <w:rFonts w:ascii="Times New Roman" w:hAnsi="Times New Roman"/>
          <w:sz w:val="28"/>
          <w:szCs w:val="28"/>
        </w:rPr>
        <w:tab/>
      </w:r>
      <w:proofErr w:type="spellStart"/>
      <w:r w:rsidRPr="00510FDE">
        <w:rPr>
          <w:rFonts w:ascii="Times New Roman" w:hAnsi="Times New Roman"/>
          <w:sz w:val="28"/>
          <w:szCs w:val="28"/>
        </w:rPr>
        <w:t>E.Valantis</w:t>
      </w:r>
      <w:proofErr w:type="spellEnd"/>
    </w:p>
    <w:p w14:paraId="14F9D1C9" w14:textId="171FBAC2" w:rsidR="00080691" w:rsidRDefault="00080691" w:rsidP="005429A4">
      <w:pPr>
        <w:tabs>
          <w:tab w:val="left" w:pos="2340"/>
        </w:tabs>
      </w:pPr>
    </w:p>
    <w:p w14:paraId="374C6823" w14:textId="2FD95B58" w:rsidR="00E26085" w:rsidRDefault="00E26085" w:rsidP="005429A4">
      <w:pPr>
        <w:tabs>
          <w:tab w:val="left" w:pos="2340"/>
        </w:tabs>
      </w:pPr>
    </w:p>
    <w:p w14:paraId="40920BFF" w14:textId="3DE304FC" w:rsidR="00E26085" w:rsidRDefault="00E26085" w:rsidP="005429A4">
      <w:pPr>
        <w:tabs>
          <w:tab w:val="left" w:pos="2340"/>
        </w:tabs>
      </w:pPr>
    </w:p>
    <w:p w14:paraId="49431F19" w14:textId="2F0CDCF9" w:rsidR="00E26085" w:rsidRDefault="00E26085" w:rsidP="005429A4">
      <w:pPr>
        <w:tabs>
          <w:tab w:val="left" w:pos="2340"/>
        </w:tabs>
      </w:pPr>
    </w:p>
    <w:sectPr w:rsidR="00E26085" w:rsidSect="00771904">
      <w:headerReference w:type="default" r:id="rId22"/>
      <w:footerReference w:type="default" r:id="rId23"/>
      <w:footerReference w:type="first" r:id="rId24"/>
      <w:pgSz w:w="11906" w:h="16838" w:code="9"/>
      <w:pgMar w:top="1247" w:right="124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6ECA8" w14:textId="77777777" w:rsidR="00E24706" w:rsidRDefault="00E24706" w:rsidP="0070665D">
      <w:pPr>
        <w:spacing w:after="0" w:line="240" w:lineRule="auto"/>
      </w:pPr>
      <w:r>
        <w:separator/>
      </w:r>
    </w:p>
  </w:endnote>
  <w:endnote w:type="continuationSeparator" w:id="0">
    <w:p w14:paraId="3E7D8519" w14:textId="77777777" w:rsidR="00E24706" w:rsidRDefault="00E24706" w:rsidP="007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94E6" w14:textId="3DB79CB3" w:rsidR="008B6E92" w:rsidRPr="00A9450A" w:rsidRDefault="008B6E92" w:rsidP="0070665D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A9450A">
      <w:rPr>
        <w:rFonts w:ascii="Times New Roman" w:hAnsi="Times New Roman" w:cs="Times New Roman"/>
        <w:sz w:val="20"/>
        <w:szCs w:val="20"/>
      </w:rPr>
      <w:fldChar w:fldCharType="begin"/>
    </w:r>
    <w:r w:rsidRPr="00A9450A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A9450A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EMNot_Groz</w:t>
    </w:r>
    <w:r w:rsidR="006A2CF6">
      <w:rPr>
        <w:rFonts w:ascii="Times New Roman" w:hAnsi="Times New Roman" w:cs="Times New Roman"/>
        <w:noProof/>
        <w:sz w:val="20"/>
        <w:szCs w:val="20"/>
      </w:rPr>
      <w:t>537</w:t>
    </w:r>
    <w:r>
      <w:rPr>
        <w:rFonts w:ascii="Times New Roman" w:hAnsi="Times New Roman" w:cs="Times New Roman"/>
        <w:noProof/>
        <w:sz w:val="20"/>
        <w:szCs w:val="20"/>
      </w:rPr>
      <w:t>_</w:t>
    </w:r>
    <w:r w:rsidR="006A2CF6">
      <w:rPr>
        <w:rFonts w:ascii="Times New Roman" w:hAnsi="Times New Roman" w:cs="Times New Roman"/>
        <w:noProof/>
        <w:sz w:val="20"/>
        <w:szCs w:val="20"/>
      </w:rPr>
      <w:t>0</w:t>
    </w:r>
    <w:r w:rsidR="00F87AC9">
      <w:rPr>
        <w:rFonts w:ascii="Times New Roman" w:hAnsi="Times New Roman" w:cs="Times New Roman"/>
        <w:noProof/>
        <w:sz w:val="20"/>
        <w:szCs w:val="20"/>
      </w:rPr>
      <w:t>6</w:t>
    </w:r>
    <w:r w:rsidR="006A2CF6">
      <w:rPr>
        <w:rFonts w:ascii="Times New Roman" w:hAnsi="Times New Roman" w:cs="Times New Roman"/>
        <w:noProof/>
        <w:sz w:val="20"/>
        <w:szCs w:val="20"/>
      </w:rPr>
      <w:t>11</w:t>
    </w:r>
    <w:r>
      <w:rPr>
        <w:rFonts w:ascii="Times New Roman" w:hAnsi="Times New Roman" w:cs="Times New Roman"/>
        <w:noProof/>
        <w:sz w:val="20"/>
        <w:szCs w:val="20"/>
      </w:rPr>
      <w:t>20.docx</w:t>
    </w:r>
    <w:r w:rsidRPr="00A9450A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631E1026" w14:textId="77777777" w:rsidR="008B6E92" w:rsidRPr="0070665D" w:rsidRDefault="008B6E92" w:rsidP="0070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F5D5" w14:textId="4D7CA470" w:rsidR="008B6E92" w:rsidRPr="002149C0" w:rsidRDefault="008B6E92" w:rsidP="00EE5389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EMNot_Groz_MKN328_191018.docx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  <w:r w:rsidRPr="00A9450A">
      <w:rPr>
        <w:rFonts w:ascii="Times New Roman" w:hAnsi="Times New Roman" w:cs="Times New Roman"/>
        <w:sz w:val="20"/>
        <w:szCs w:val="20"/>
      </w:rPr>
      <w:t>Ministru kabineta noteikumu projekts “</w:t>
    </w:r>
    <w:r w:rsidRPr="009E4A55">
      <w:rPr>
        <w:rFonts w:ascii="Times New Roman" w:hAnsi="Times New Roman" w:cs="Times New Roman"/>
        <w:sz w:val="20"/>
        <w:szCs w:val="20"/>
      </w:rPr>
      <w:t xml:space="preserve">Grozījumi Ministru kabineta 2016.gada 31.maija noteikumos Nr.328 „Noteikumi par </w:t>
    </w:r>
    <w:proofErr w:type="spellStart"/>
    <w:r w:rsidRPr="009E4A55">
      <w:rPr>
        <w:rFonts w:ascii="Times New Roman" w:hAnsi="Times New Roman" w:cs="Times New Roman"/>
        <w:sz w:val="20"/>
        <w:szCs w:val="20"/>
      </w:rPr>
      <w:t>mikroaizdevumiem</w:t>
    </w:r>
    <w:proofErr w:type="spellEnd"/>
    <w:r w:rsidRPr="009E4A55">
      <w:rPr>
        <w:rFonts w:ascii="Times New Roman" w:hAnsi="Times New Roman" w:cs="Times New Roman"/>
        <w:sz w:val="20"/>
        <w:szCs w:val="20"/>
      </w:rPr>
      <w:t xml:space="preserve"> un starta aizdevumiem”</w:t>
    </w:r>
    <w:r w:rsidRPr="00A9450A">
      <w:rPr>
        <w:rFonts w:ascii="Times New Roman" w:hAnsi="Times New Roman" w:cs="Times New Roman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F09F" w14:textId="77777777" w:rsidR="00E24706" w:rsidRDefault="00E24706" w:rsidP="0070665D">
      <w:pPr>
        <w:spacing w:after="0" w:line="240" w:lineRule="auto"/>
      </w:pPr>
      <w:r>
        <w:separator/>
      </w:r>
    </w:p>
  </w:footnote>
  <w:footnote w:type="continuationSeparator" w:id="0">
    <w:p w14:paraId="63A67D79" w14:textId="77777777" w:rsidR="00E24706" w:rsidRDefault="00E24706" w:rsidP="0070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CCB2" w14:textId="77777777" w:rsidR="008B6E92" w:rsidRPr="00173166" w:rsidRDefault="008B6E92" w:rsidP="00EE538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294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065"/>
    <w:multiLevelType w:val="hybridMultilevel"/>
    <w:tmpl w:val="D89681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33EE"/>
    <w:multiLevelType w:val="hybridMultilevel"/>
    <w:tmpl w:val="F72854F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47F1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164F2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42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6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5A0C"/>
    <w:multiLevelType w:val="hybridMultilevel"/>
    <w:tmpl w:val="B7164D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4BA5"/>
    <w:multiLevelType w:val="hybridMultilevel"/>
    <w:tmpl w:val="7D0EFD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F1BEC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3163C"/>
    <w:multiLevelType w:val="hybridMultilevel"/>
    <w:tmpl w:val="6CAC7A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051E3"/>
    <w:multiLevelType w:val="hybridMultilevel"/>
    <w:tmpl w:val="E64A4542"/>
    <w:lvl w:ilvl="0" w:tplc="81D8E0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24433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E7EE9"/>
    <w:multiLevelType w:val="hybridMultilevel"/>
    <w:tmpl w:val="02A48FCA"/>
    <w:lvl w:ilvl="0" w:tplc="E970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24464"/>
    <w:multiLevelType w:val="hybridMultilevel"/>
    <w:tmpl w:val="FA8EA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56F7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7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5"/>
  </w:num>
  <w:num w:numId="14">
    <w:abstractNumId w:val="4"/>
  </w:num>
  <w:num w:numId="15">
    <w:abstractNumId w:val="11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91"/>
    <w:rsid w:val="000009BC"/>
    <w:rsid w:val="00020344"/>
    <w:rsid w:val="000235C6"/>
    <w:rsid w:val="0005767E"/>
    <w:rsid w:val="000604A7"/>
    <w:rsid w:val="00061052"/>
    <w:rsid w:val="000718AC"/>
    <w:rsid w:val="0007428C"/>
    <w:rsid w:val="00080691"/>
    <w:rsid w:val="00081136"/>
    <w:rsid w:val="00083CA4"/>
    <w:rsid w:val="00090EE2"/>
    <w:rsid w:val="00095C5C"/>
    <w:rsid w:val="000A5D72"/>
    <w:rsid w:val="000B6663"/>
    <w:rsid w:val="000C4C73"/>
    <w:rsid w:val="000C5922"/>
    <w:rsid w:val="000D0B34"/>
    <w:rsid w:val="000F3B9A"/>
    <w:rsid w:val="000F3BD1"/>
    <w:rsid w:val="000F4A8F"/>
    <w:rsid w:val="00105028"/>
    <w:rsid w:val="001117BC"/>
    <w:rsid w:val="00111EEE"/>
    <w:rsid w:val="00115206"/>
    <w:rsid w:val="00117643"/>
    <w:rsid w:val="00127C50"/>
    <w:rsid w:val="001315B6"/>
    <w:rsid w:val="001332CC"/>
    <w:rsid w:val="001343F1"/>
    <w:rsid w:val="00134F94"/>
    <w:rsid w:val="00143F46"/>
    <w:rsid w:val="001441B4"/>
    <w:rsid w:val="00156AD6"/>
    <w:rsid w:val="00157AE5"/>
    <w:rsid w:val="00161135"/>
    <w:rsid w:val="001611FD"/>
    <w:rsid w:val="00163FD0"/>
    <w:rsid w:val="001813A1"/>
    <w:rsid w:val="00186AF0"/>
    <w:rsid w:val="0019146C"/>
    <w:rsid w:val="00192611"/>
    <w:rsid w:val="00197D18"/>
    <w:rsid w:val="001A402C"/>
    <w:rsid w:val="001A7855"/>
    <w:rsid w:val="001B12E4"/>
    <w:rsid w:val="001F06C6"/>
    <w:rsid w:val="001F1C73"/>
    <w:rsid w:val="001F23FA"/>
    <w:rsid w:val="00200639"/>
    <w:rsid w:val="00201CFA"/>
    <w:rsid w:val="0020269E"/>
    <w:rsid w:val="0020312D"/>
    <w:rsid w:val="002154F5"/>
    <w:rsid w:val="00223143"/>
    <w:rsid w:val="00226BBC"/>
    <w:rsid w:val="00230158"/>
    <w:rsid w:val="002317CF"/>
    <w:rsid w:val="002377D6"/>
    <w:rsid w:val="002457A0"/>
    <w:rsid w:val="00246F4C"/>
    <w:rsid w:val="00252546"/>
    <w:rsid w:val="00252CB5"/>
    <w:rsid w:val="0025505C"/>
    <w:rsid w:val="002643DC"/>
    <w:rsid w:val="0027661E"/>
    <w:rsid w:val="0028725C"/>
    <w:rsid w:val="002A018B"/>
    <w:rsid w:val="002A0AE9"/>
    <w:rsid w:val="002A6323"/>
    <w:rsid w:val="002B25D8"/>
    <w:rsid w:val="002B2DB9"/>
    <w:rsid w:val="002B4F27"/>
    <w:rsid w:val="002B7B74"/>
    <w:rsid w:val="002D05F8"/>
    <w:rsid w:val="002D1659"/>
    <w:rsid w:val="002E6598"/>
    <w:rsid w:val="002E6B3F"/>
    <w:rsid w:val="002F0256"/>
    <w:rsid w:val="002F320D"/>
    <w:rsid w:val="0030106A"/>
    <w:rsid w:val="0031051D"/>
    <w:rsid w:val="00310E53"/>
    <w:rsid w:val="00315C8A"/>
    <w:rsid w:val="0032380B"/>
    <w:rsid w:val="003323CE"/>
    <w:rsid w:val="00332F65"/>
    <w:rsid w:val="0034068A"/>
    <w:rsid w:val="00341FA5"/>
    <w:rsid w:val="003449AD"/>
    <w:rsid w:val="003605AB"/>
    <w:rsid w:val="0036588D"/>
    <w:rsid w:val="0036775A"/>
    <w:rsid w:val="00372F10"/>
    <w:rsid w:val="003748EC"/>
    <w:rsid w:val="003830D4"/>
    <w:rsid w:val="003836F3"/>
    <w:rsid w:val="00384225"/>
    <w:rsid w:val="00390161"/>
    <w:rsid w:val="00390B7D"/>
    <w:rsid w:val="00392013"/>
    <w:rsid w:val="00393845"/>
    <w:rsid w:val="003A2E34"/>
    <w:rsid w:val="003B3D8E"/>
    <w:rsid w:val="003D313A"/>
    <w:rsid w:val="003E56D0"/>
    <w:rsid w:val="0041161E"/>
    <w:rsid w:val="00423AAC"/>
    <w:rsid w:val="00425E36"/>
    <w:rsid w:val="00441120"/>
    <w:rsid w:val="004438A1"/>
    <w:rsid w:val="00445205"/>
    <w:rsid w:val="004470C4"/>
    <w:rsid w:val="0045218F"/>
    <w:rsid w:val="00453DC8"/>
    <w:rsid w:val="00465292"/>
    <w:rsid w:val="00467AB8"/>
    <w:rsid w:val="004834E7"/>
    <w:rsid w:val="00484223"/>
    <w:rsid w:val="00491170"/>
    <w:rsid w:val="0049313B"/>
    <w:rsid w:val="00493C79"/>
    <w:rsid w:val="004951F1"/>
    <w:rsid w:val="004A08E8"/>
    <w:rsid w:val="004A411A"/>
    <w:rsid w:val="004A425F"/>
    <w:rsid w:val="004E384D"/>
    <w:rsid w:val="004E3CAF"/>
    <w:rsid w:val="004E4844"/>
    <w:rsid w:val="004E568B"/>
    <w:rsid w:val="00510FDE"/>
    <w:rsid w:val="00516F1F"/>
    <w:rsid w:val="00523543"/>
    <w:rsid w:val="00524560"/>
    <w:rsid w:val="0053693B"/>
    <w:rsid w:val="005429A4"/>
    <w:rsid w:val="005442A4"/>
    <w:rsid w:val="005478C2"/>
    <w:rsid w:val="00552FD1"/>
    <w:rsid w:val="005544AE"/>
    <w:rsid w:val="00565156"/>
    <w:rsid w:val="00567776"/>
    <w:rsid w:val="00580933"/>
    <w:rsid w:val="00580EC8"/>
    <w:rsid w:val="005A22CE"/>
    <w:rsid w:val="005A60E1"/>
    <w:rsid w:val="005B2247"/>
    <w:rsid w:val="005B633C"/>
    <w:rsid w:val="005C07DB"/>
    <w:rsid w:val="005C3C41"/>
    <w:rsid w:val="005E048D"/>
    <w:rsid w:val="005E5A8E"/>
    <w:rsid w:val="00606EC8"/>
    <w:rsid w:val="006213BC"/>
    <w:rsid w:val="00631182"/>
    <w:rsid w:val="00634AF3"/>
    <w:rsid w:val="00640F28"/>
    <w:rsid w:val="0064220D"/>
    <w:rsid w:val="0064266A"/>
    <w:rsid w:val="00643D69"/>
    <w:rsid w:val="00647C88"/>
    <w:rsid w:val="00650068"/>
    <w:rsid w:val="00656339"/>
    <w:rsid w:val="0065786C"/>
    <w:rsid w:val="00670BA4"/>
    <w:rsid w:val="00675611"/>
    <w:rsid w:val="00681D82"/>
    <w:rsid w:val="00684CB6"/>
    <w:rsid w:val="00685F0A"/>
    <w:rsid w:val="00686700"/>
    <w:rsid w:val="00686BA9"/>
    <w:rsid w:val="0069625B"/>
    <w:rsid w:val="006A2CF6"/>
    <w:rsid w:val="006B7933"/>
    <w:rsid w:val="006C1456"/>
    <w:rsid w:val="006D5CAB"/>
    <w:rsid w:val="006E4CC6"/>
    <w:rsid w:val="006E5134"/>
    <w:rsid w:val="006E5F44"/>
    <w:rsid w:val="006F4E56"/>
    <w:rsid w:val="00704073"/>
    <w:rsid w:val="00704B29"/>
    <w:rsid w:val="0070665D"/>
    <w:rsid w:val="00710C42"/>
    <w:rsid w:val="00716E66"/>
    <w:rsid w:val="00730D07"/>
    <w:rsid w:val="00747EEC"/>
    <w:rsid w:val="0075038B"/>
    <w:rsid w:val="00750EF4"/>
    <w:rsid w:val="00752E73"/>
    <w:rsid w:val="00771904"/>
    <w:rsid w:val="00775218"/>
    <w:rsid w:val="007811EC"/>
    <w:rsid w:val="007864A5"/>
    <w:rsid w:val="00787FA4"/>
    <w:rsid w:val="007940C4"/>
    <w:rsid w:val="00795AB0"/>
    <w:rsid w:val="007A1BFF"/>
    <w:rsid w:val="007B5CC3"/>
    <w:rsid w:val="007B6C7A"/>
    <w:rsid w:val="007C2E75"/>
    <w:rsid w:val="007C3F82"/>
    <w:rsid w:val="007E635E"/>
    <w:rsid w:val="007E6B9A"/>
    <w:rsid w:val="007E6E0C"/>
    <w:rsid w:val="007F38A6"/>
    <w:rsid w:val="007F4136"/>
    <w:rsid w:val="00804677"/>
    <w:rsid w:val="00813814"/>
    <w:rsid w:val="00815F62"/>
    <w:rsid w:val="00823FAD"/>
    <w:rsid w:val="00831CE4"/>
    <w:rsid w:val="00834EF0"/>
    <w:rsid w:val="0084284E"/>
    <w:rsid w:val="008555F8"/>
    <w:rsid w:val="008573E5"/>
    <w:rsid w:val="0087169E"/>
    <w:rsid w:val="0089462D"/>
    <w:rsid w:val="00895EEB"/>
    <w:rsid w:val="008A68C8"/>
    <w:rsid w:val="008A7641"/>
    <w:rsid w:val="008B1124"/>
    <w:rsid w:val="008B6E92"/>
    <w:rsid w:val="008B6F80"/>
    <w:rsid w:val="008C3542"/>
    <w:rsid w:val="008D0218"/>
    <w:rsid w:val="008D2085"/>
    <w:rsid w:val="008D3C88"/>
    <w:rsid w:val="008D3F6F"/>
    <w:rsid w:val="008D6CA5"/>
    <w:rsid w:val="008E21CA"/>
    <w:rsid w:val="008E26D1"/>
    <w:rsid w:val="008E42EB"/>
    <w:rsid w:val="008E6361"/>
    <w:rsid w:val="008F006D"/>
    <w:rsid w:val="008F35EE"/>
    <w:rsid w:val="008F4CB2"/>
    <w:rsid w:val="008F657D"/>
    <w:rsid w:val="00901F52"/>
    <w:rsid w:val="00906E4C"/>
    <w:rsid w:val="00945D11"/>
    <w:rsid w:val="00946C76"/>
    <w:rsid w:val="009532FB"/>
    <w:rsid w:val="009551A3"/>
    <w:rsid w:val="00955246"/>
    <w:rsid w:val="009555E6"/>
    <w:rsid w:val="00963DAA"/>
    <w:rsid w:val="00966F9D"/>
    <w:rsid w:val="009724EE"/>
    <w:rsid w:val="00975352"/>
    <w:rsid w:val="00980265"/>
    <w:rsid w:val="00985639"/>
    <w:rsid w:val="00992740"/>
    <w:rsid w:val="00995336"/>
    <w:rsid w:val="0099639A"/>
    <w:rsid w:val="009B3758"/>
    <w:rsid w:val="009C4281"/>
    <w:rsid w:val="009C720D"/>
    <w:rsid w:val="009D45ED"/>
    <w:rsid w:val="009E4A55"/>
    <w:rsid w:val="009E7F0E"/>
    <w:rsid w:val="009F6C16"/>
    <w:rsid w:val="00A12712"/>
    <w:rsid w:val="00A241BB"/>
    <w:rsid w:val="00A33F23"/>
    <w:rsid w:val="00A4072F"/>
    <w:rsid w:val="00A604E8"/>
    <w:rsid w:val="00A60C5A"/>
    <w:rsid w:val="00A61D9D"/>
    <w:rsid w:val="00A630A9"/>
    <w:rsid w:val="00A64032"/>
    <w:rsid w:val="00A80EB3"/>
    <w:rsid w:val="00A94CC4"/>
    <w:rsid w:val="00AB6E34"/>
    <w:rsid w:val="00AC2432"/>
    <w:rsid w:val="00AC5C72"/>
    <w:rsid w:val="00AC66E7"/>
    <w:rsid w:val="00AD0EDA"/>
    <w:rsid w:val="00AD3E03"/>
    <w:rsid w:val="00AE000B"/>
    <w:rsid w:val="00AE0610"/>
    <w:rsid w:val="00AF2D09"/>
    <w:rsid w:val="00AF3901"/>
    <w:rsid w:val="00AF51D0"/>
    <w:rsid w:val="00AF74F0"/>
    <w:rsid w:val="00B01256"/>
    <w:rsid w:val="00B24478"/>
    <w:rsid w:val="00B25684"/>
    <w:rsid w:val="00B27DCC"/>
    <w:rsid w:val="00B43C0D"/>
    <w:rsid w:val="00B43FF8"/>
    <w:rsid w:val="00B60AAB"/>
    <w:rsid w:val="00B76E4D"/>
    <w:rsid w:val="00B82506"/>
    <w:rsid w:val="00B83A63"/>
    <w:rsid w:val="00B854DF"/>
    <w:rsid w:val="00B90537"/>
    <w:rsid w:val="00B912AC"/>
    <w:rsid w:val="00B91E47"/>
    <w:rsid w:val="00BA0405"/>
    <w:rsid w:val="00BA3818"/>
    <w:rsid w:val="00BA5637"/>
    <w:rsid w:val="00BA5BBD"/>
    <w:rsid w:val="00BA7038"/>
    <w:rsid w:val="00BB3CA0"/>
    <w:rsid w:val="00BB5459"/>
    <w:rsid w:val="00BD1211"/>
    <w:rsid w:val="00BD3FEF"/>
    <w:rsid w:val="00BF5F14"/>
    <w:rsid w:val="00BF5F7E"/>
    <w:rsid w:val="00C240B2"/>
    <w:rsid w:val="00C30387"/>
    <w:rsid w:val="00C31F50"/>
    <w:rsid w:val="00C427F2"/>
    <w:rsid w:val="00C50DBB"/>
    <w:rsid w:val="00C56BBD"/>
    <w:rsid w:val="00C6200D"/>
    <w:rsid w:val="00C647F8"/>
    <w:rsid w:val="00C64FD5"/>
    <w:rsid w:val="00C71753"/>
    <w:rsid w:val="00C7684F"/>
    <w:rsid w:val="00C9242C"/>
    <w:rsid w:val="00C95EF2"/>
    <w:rsid w:val="00C96804"/>
    <w:rsid w:val="00CA1943"/>
    <w:rsid w:val="00CA4BCC"/>
    <w:rsid w:val="00CA6CA1"/>
    <w:rsid w:val="00CB3E61"/>
    <w:rsid w:val="00CB4F5B"/>
    <w:rsid w:val="00CC0FA7"/>
    <w:rsid w:val="00CC3C08"/>
    <w:rsid w:val="00CD0E09"/>
    <w:rsid w:val="00CD77E3"/>
    <w:rsid w:val="00CE1E42"/>
    <w:rsid w:val="00CF7E43"/>
    <w:rsid w:val="00D043AF"/>
    <w:rsid w:val="00D044B1"/>
    <w:rsid w:val="00D04764"/>
    <w:rsid w:val="00D060ED"/>
    <w:rsid w:val="00D12DF5"/>
    <w:rsid w:val="00D20C52"/>
    <w:rsid w:val="00D24B65"/>
    <w:rsid w:val="00D277E0"/>
    <w:rsid w:val="00D460A7"/>
    <w:rsid w:val="00D52915"/>
    <w:rsid w:val="00D530A2"/>
    <w:rsid w:val="00D5510C"/>
    <w:rsid w:val="00D55B68"/>
    <w:rsid w:val="00D6176E"/>
    <w:rsid w:val="00D642D5"/>
    <w:rsid w:val="00D74100"/>
    <w:rsid w:val="00D82126"/>
    <w:rsid w:val="00D86058"/>
    <w:rsid w:val="00D95A64"/>
    <w:rsid w:val="00DA553A"/>
    <w:rsid w:val="00DB1BFB"/>
    <w:rsid w:val="00DB5E28"/>
    <w:rsid w:val="00DB62C1"/>
    <w:rsid w:val="00DC48B7"/>
    <w:rsid w:val="00DC61BD"/>
    <w:rsid w:val="00DD50FC"/>
    <w:rsid w:val="00DE023C"/>
    <w:rsid w:val="00DE4118"/>
    <w:rsid w:val="00DE6A16"/>
    <w:rsid w:val="00DE7AC1"/>
    <w:rsid w:val="00DF20DE"/>
    <w:rsid w:val="00DF2987"/>
    <w:rsid w:val="00DF2AAE"/>
    <w:rsid w:val="00E04C91"/>
    <w:rsid w:val="00E12F03"/>
    <w:rsid w:val="00E2142F"/>
    <w:rsid w:val="00E24706"/>
    <w:rsid w:val="00E26085"/>
    <w:rsid w:val="00E262C6"/>
    <w:rsid w:val="00E267DF"/>
    <w:rsid w:val="00E32547"/>
    <w:rsid w:val="00E33C3E"/>
    <w:rsid w:val="00E341AD"/>
    <w:rsid w:val="00E479B7"/>
    <w:rsid w:val="00E47B7B"/>
    <w:rsid w:val="00E56D55"/>
    <w:rsid w:val="00E60DB6"/>
    <w:rsid w:val="00E62FA7"/>
    <w:rsid w:val="00E654FD"/>
    <w:rsid w:val="00E6784B"/>
    <w:rsid w:val="00E75D00"/>
    <w:rsid w:val="00E80A16"/>
    <w:rsid w:val="00E835E2"/>
    <w:rsid w:val="00E837A6"/>
    <w:rsid w:val="00E83C1A"/>
    <w:rsid w:val="00E918D8"/>
    <w:rsid w:val="00EA076E"/>
    <w:rsid w:val="00EB27F5"/>
    <w:rsid w:val="00EB502C"/>
    <w:rsid w:val="00EB589F"/>
    <w:rsid w:val="00ED368C"/>
    <w:rsid w:val="00EE0FA6"/>
    <w:rsid w:val="00EE157C"/>
    <w:rsid w:val="00EE5389"/>
    <w:rsid w:val="00EE6AA3"/>
    <w:rsid w:val="00EF025D"/>
    <w:rsid w:val="00EF1EA2"/>
    <w:rsid w:val="00EF1F2E"/>
    <w:rsid w:val="00EF2CBF"/>
    <w:rsid w:val="00EF4E96"/>
    <w:rsid w:val="00F01130"/>
    <w:rsid w:val="00F04FB2"/>
    <w:rsid w:val="00F05A18"/>
    <w:rsid w:val="00F1317E"/>
    <w:rsid w:val="00F34496"/>
    <w:rsid w:val="00F43F3B"/>
    <w:rsid w:val="00F5189F"/>
    <w:rsid w:val="00F57E9E"/>
    <w:rsid w:val="00F63E34"/>
    <w:rsid w:val="00F63E5C"/>
    <w:rsid w:val="00F70D74"/>
    <w:rsid w:val="00F87AC9"/>
    <w:rsid w:val="00F9201D"/>
    <w:rsid w:val="00F93025"/>
    <w:rsid w:val="00FA1879"/>
    <w:rsid w:val="00FB06B4"/>
    <w:rsid w:val="00FE1A76"/>
    <w:rsid w:val="00FE5150"/>
    <w:rsid w:val="00FE59D4"/>
    <w:rsid w:val="00FE6D50"/>
    <w:rsid w:val="00FF5848"/>
    <w:rsid w:val="00FF5B54"/>
    <w:rsid w:val="00FF6041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CF1A44C"/>
  <w15:docId w15:val="{84ADC0E5-B12D-4B3E-8D80-7FC8CD4D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5D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5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665D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5D"/>
    <w:rPr>
      <w:rFonts w:eastAsiaTheme="minorEastAsia"/>
      <w:lang w:eastAsia="ja-JP"/>
    </w:rPr>
  </w:style>
  <w:style w:type="paragraph" w:customStyle="1" w:styleId="naislab">
    <w:name w:val="naislab"/>
    <w:basedOn w:val="Normal"/>
    <w:rsid w:val="0070665D"/>
    <w:pPr>
      <w:spacing w:before="84" w:after="84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70665D"/>
    <w:rPr>
      <w:strike w:val="0"/>
      <w:dstrike w:val="0"/>
      <w:color w:val="40407C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70665D"/>
  </w:style>
  <w:style w:type="paragraph" w:styleId="BalloonText">
    <w:name w:val="Balloon Text"/>
    <w:basedOn w:val="Normal"/>
    <w:link w:val="BalloonTextChar"/>
    <w:uiPriority w:val="99"/>
    <w:semiHidden/>
    <w:unhideWhenUsed/>
    <w:rsid w:val="0031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8A"/>
    <w:rPr>
      <w:rFonts w:ascii="Segoe UI" w:eastAsiaTheme="minorEastAsia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080691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90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537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537"/>
    <w:rPr>
      <w:rFonts w:eastAsiaTheme="minorEastAsia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D060ED"/>
    <w:rPr>
      <w:color w:val="2B579A"/>
      <w:shd w:val="clear" w:color="auto" w:fill="E6E6E6"/>
    </w:rPr>
  </w:style>
  <w:style w:type="paragraph" w:customStyle="1" w:styleId="tv213">
    <w:name w:val="tv213"/>
    <w:basedOn w:val="Normal"/>
    <w:rsid w:val="00AB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2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23C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E023C"/>
    <w:rPr>
      <w:vertAlign w:val="superscript"/>
    </w:rPr>
  </w:style>
  <w:style w:type="character" w:customStyle="1" w:styleId="Mention2">
    <w:name w:val="Mention2"/>
    <w:basedOn w:val="DefaultParagraphFont"/>
    <w:uiPriority w:val="99"/>
    <w:semiHidden/>
    <w:unhideWhenUsed/>
    <w:rsid w:val="00095C5C"/>
    <w:rPr>
      <w:color w:val="2B579A"/>
      <w:shd w:val="clear" w:color="auto" w:fill="E6E6E6"/>
    </w:rPr>
  </w:style>
  <w:style w:type="paragraph" w:customStyle="1" w:styleId="Normal1">
    <w:name w:val="Normal1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684CB6"/>
  </w:style>
  <w:style w:type="character" w:styleId="Strong">
    <w:name w:val="Strong"/>
    <w:basedOn w:val="DefaultParagraphFont"/>
    <w:uiPriority w:val="22"/>
    <w:qFormat/>
    <w:rsid w:val="008B6E9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2C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2CF6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6A2CF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6C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9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0323-attistibas-finansu-institucijas-likums" TargetMode="External"/><Relationship Id="rId13" Type="http://schemas.openxmlformats.org/officeDocument/2006/relationships/hyperlink" Target="https://likumi.lv/ta/id/293402" TargetMode="External"/><Relationship Id="rId18" Type="http://schemas.openxmlformats.org/officeDocument/2006/relationships/hyperlink" Target="https://likumi.lv/ta/id/29340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ikumi.lv/ta/id/293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umi.lv/ta/id/293402" TargetMode="External"/><Relationship Id="rId17" Type="http://schemas.openxmlformats.org/officeDocument/2006/relationships/hyperlink" Target="https://likumi.lv/ta/id/29340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293402" TargetMode="External"/><Relationship Id="rId20" Type="http://schemas.openxmlformats.org/officeDocument/2006/relationships/hyperlink" Target="https://likumi.lv/ta/id/2934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9340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29340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ikumi.lv/ta/id/293402" TargetMode="External"/><Relationship Id="rId19" Type="http://schemas.openxmlformats.org/officeDocument/2006/relationships/hyperlink" Target="https://likumi.lv/ta/id/293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0323-attistibas-finansu-institucijas-likums" TargetMode="External"/><Relationship Id="rId14" Type="http://schemas.openxmlformats.org/officeDocument/2006/relationships/hyperlink" Target="https://likumi.lv/ta/id/29340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AF41-E959-4027-8A20-1CE43F88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2278</Words>
  <Characters>1300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“Grozījumi Ministru kabineta 2016.gada 31.maija noteikumos Nr.328 „Noteikumi par mikroaizdevumiem un starta aizdevumiem””</vt:lpstr>
      <vt:lpstr>Ministru kabineta noteikumu projekts “Grozījumi Ministru kabineta 2016.gada 31.maija noteikumos Nr.328 „Noteikumi par mikroaizdevumiem un starta aizdevumiem””</vt:lpstr>
    </vt:vector>
  </TitlesOfParts>
  <Company>LHZB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2016.gada 31.maija noteikumos Nr.328 „Noteikumi par mikroaizdevumiem un starta aizdevumiem””</dc:title>
  <dc:subject/>
  <dc:creator>Signe Tuklere</dc:creator>
  <cp:keywords/>
  <dc:description/>
  <cp:lastModifiedBy>Dita Tetere</cp:lastModifiedBy>
  <cp:revision>2</cp:revision>
  <cp:lastPrinted>2018-10-24T12:19:00Z</cp:lastPrinted>
  <dcterms:created xsi:type="dcterms:W3CDTF">2020-11-10T07:03:00Z</dcterms:created>
  <dcterms:modified xsi:type="dcterms:W3CDTF">2020-11-10T07:03:00Z</dcterms:modified>
</cp:coreProperties>
</file>