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D13F72" w14:textId="4A31566C" w:rsidR="00506CDD" w:rsidRPr="0052321A" w:rsidRDefault="00506CDD" w:rsidP="00506CDD">
      <w:pPr>
        <w:jc w:val="right"/>
        <w:rPr>
          <w:rFonts w:ascii="Times New Roman" w:hAnsi="Times New Roman" w:cs="Times New Roman"/>
          <w:b/>
          <w:i/>
          <w:sz w:val="24"/>
          <w:szCs w:val="24"/>
        </w:rPr>
      </w:pPr>
      <w:bookmarkStart w:id="0" w:name="_GoBack"/>
      <w:bookmarkEnd w:id="0"/>
      <w:r w:rsidRPr="0052321A">
        <w:rPr>
          <w:rFonts w:ascii="Times New Roman" w:hAnsi="Times New Roman" w:cs="Times New Roman"/>
          <w:b/>
          <w:i/>
          <w:sz w:val="24"/>
          <w:szCs w:val="24"/>
        </w:rPr>
        <w:t>Ekonomikas ministrijas</w:t>
      </w:r>
    </w:p>
    <w:p w14:paraId="61CD4247" w14:textId="25DCB1C4" w:rsidR="00506CDD" w:rsidRPr="0052321A" w:rsidRDefault="00506CDD" w:rsidP="00506CDD">
      <w:pPr>
        <w:jc w:val="right"/>
        <w:rPr>
          <w:rFonts w:ascii="Times New Roman" w:hAnsi="Times New Roman" w:cs="Times New Roman"/>
          <w:b/>
          <w:i/>
          <w:sz w:val="24"/>
          <w:szCs w:val="24"/>
        </w:rPr>
      </w:pPr>
      <w:r w:rsidRPr="0052321A">
        <w:rPr>
          <w:rFonts w:ascii="Times New Roman" w:hAnsi="Times New Roman" w:cs="Times New Roman"/>
          <w:b/>
          <w:i/>
          <w:sz w:val="24"/>
          <w:szCs w:val="24"/>
        </w:rPr>
        <w:t>Inovācijas departamenta Projektu vadības nodaļas vadītājai</w:t>
      </w:r>
    </w:p>
    <w:p w14:paraId="338ED992" w14:textId="38316D58" w:rsidR="00506CDD" w:rsidRPr="0052321A" w:rsidRDefault="00506CDD" w:rsidP="00506CDD">
      <w:pPr>
        <w:jc w:val="right"/>
        <w:rPr>
          <w:rFonts w:ascii="Times New Roman" w:hAnsi="Times New Roman" w:cs="Times New Roman"/>
          <w:b/>
          <w:i/>
          <w:sz w:val="24"/>
          <w:szCs w:val="24"/>
        </w:rPr>
      </w:pPr>
      <w:proofErr w:type="spellStart"/>
      <w:r w:rsidRPr="0052321A">
        <w:rPr>
          <w:rFonts w:ascii="Times New Roman" w:hAnsi="Times New Roman" w:cs="Times New Roman"/>
          <w:b/>
          <w:i/>
          <w:sz w:val="24"/>
          <w:szCs w:val="24"/>
        </w:rPr>
        <w:t>A.Šķēles</w:t>
      </w:r>
      <w:proofErr w:type="spellEnd"/>
      <w:r w:rsidRPr="0052321A">
        <w:rPr>
          <w:rFonts w:ascii="Times New Roman" w:hAnsi="Times New Roman" w:cs="Times New Roman"/>
          <w:b/>
          <w:i/>
          <w:sz w:val="24"/>
          <w:szCs w:val="24"/>
        </w:rPr>
        <w:t xml:space="preserve"> k</w:t>
      </w:r>
      <w:r w:rsidR="00777971" w:rsidRPr="0052321A">
        <w:rPr>
          <w:rFonts w:ascii="Times New Roman" w:hAnsi="Times New Roman" w:cs="Times New Roman"/>
          <w:b/>
          <w:i/>
          <w:sz w:val="24"/>
          <w:szCs w:val="24"/>
        </w:rPr>
        <w:t>u</w:t>
      </w:r>
      <w:r w:rsidRPr="0052321A">
        <w:rPr>
          <w:rFonts w:ascii="Times New Roman" w:hAnsi="Times New Roman" w:cs="Times New Roman"/>
          <w:b/>
          <w:i/>
          <w:sz w:val="24"/>
          <w:szCs w:val="24"/>
        </w:rPr>
        <w:t>ndzei</w:t>
      </w:r>
    </w:p>
    <w:p w14:paraId="4EFCCB05" w14:textId="32A33DB9" w:rsidR="00506CDD" w:rsidRPr="001C3611" w:rsidRDefault="00506CDD" w:rsidP="00506CDD">
      <w:pPr>
        <w:jc w:val="right"/>
        <w:rPr>
          <w:rFonts w:ascii="Times New Roman" w:hAnsi="Times New Roman" w:cs="Times New Roman"/>
          <w:i/>
          <w:sz w:val="24"/>
          <w:szCs w:val="24"/>
        </w:rPr>
      </w:pPr>
      <w:r w:rsidRPr="001C3611">
        <w:rPr>
          <w:rFonts w:ascii="Times New Roman" w:hAnsi="Times New Roman" w:cs="Times New Roman"/>
          <w:i/>
          <w:sz w:val="24"/>
          <w:szCs w:val="24"/>
        </w:rPr>
        <w:t>No: Arta Grinberga</w:t>
      </w:r>
    </w:p>
    <w:p w14:paraId="51A9AAFE" w14:textId="70296C12" w:rsidR="00D218AF" w:rsidRPr="001C3611" w:rsidRDefault="00D218AF" w:rsidP="00506CDD">
      <w:pPr>
        <w:jc w:val="right"/>
        <w:rPr>
          <w:rFonts w:ascii="Times New Roman" w:hAnsi="Times New Roman" w:cs="Times New Roman"/>
          <w:i/>
          <w:sz w:val="24"/>
          <w:szCs w:val="24"/>
        </w:rPr>
      </w:pPr>
      <w:r w:rsidRPr="001C3611">
        <w:rPr>
          <w:rFonts w:ascii="Times New Roman" w:hAnsi="Times New Roman" w:cs="Times New Roman"/>
          <w:i/>
          <w:sz w:val="24"/>
          <w:szCs w:val="24"/>
        </w:rPr>
        <w:t xml:space="preserve">Saskaņā ar iepirkuma līguma </w:t>
      </w:r>
      <w:r w:rsidR="00DD0355" w:rsidRPr="001C3611">
        <w:rPr>
          <w:rFonts w:ascii="Times New Roman" w:hAnsi="Times New Roman" w:cs="Times New Roman"/>
          <w:i/>
          <w:sz w:val="24"/>
          <w:szCs w:val="24"/>
        </w:rPr>
        <w:t xml:space="preserve">EM </w:t>
      </w:r>
      <w:r w:rsidRPr="001C3611">
        <w:rPr>
          <w:rFonts w:ascii="Times New Roman" w:hAnsi="Times New Roman" w:cs="Times New Roman"/>
          <w:i/>
          <w:sz w:val="24"/>
          <w:szCs w:val="24"/>
        </w:rPr>
        <w:t xml:space="preserve">2019/51  </w:t>
      </w:r>
    </w:p>
    <w:p w14:paraId="3B83B4D1" w14:textId="416EC5DE" w:rsidR="00D218AF" w:rsidRPr="001C3611" w:rsidRDefault="00D218AF" w:rsidP="00506CDD">
      <w:pPr>
        <w:jc w:val="right"/>
        <w:rPr>
          <w:rFonts w:ascii="Times New Roman" w:hAnsi="Times New Roman" w:cs="Times New Roman"/>
          <w:i/>
          <w:sz w:val="24"/>
          <w:szCs w:val="24"/>
        </w:rPr>
      </w:pPr>
      <w:r w:rsidRPr="001C3611">
        <w:rPr>
          <w:rFonts w:ascii="Times New Roman" w:hAnsi="Times New Roman" w:cs="Times New Roman"/>
          <w:i/>
          <w:sz w:val="24"/>
          <w:szCs w:val="24"/>
        </w:rPr>
        <w:t>2.2. punktu pirmās darba daļas nodevums</w:t>
      </w:r>
    </w:p>
    <w:p w14:paraId="60EA8649" w14:textId="202E8BFE" w:rsidR="00D218AF" w:rsidRPr="001C3611" w:rsidRDefault="00D218AF" w:rsidP="00506CDD">
      <w:pPr>
        <w:jc w:val="right"/>
        <w:rPr>
          <w:rFonts w:ascii="Times New Roman" w:hAnsi="Times New Roman" w:cs="Times New Roman"/>
          <w:sz w:val="24"/>
          <w:szCs w:val="24"/>
        </w:rPr>
      </w:pPr>
    </w:p>
    <w:p w14:paraId="34BD5136" w14:textId="77777777" w:rsidR="00D218AF" w:rsidRPr="001C3611" w:rsidRDefault="00D218AF" w:rsidP="00D218AF">
      <w:pPr>
        <w:rPr>
          <w:rFonts w:ascii="Times New Roman" w:hAnsi="Times New Roman" w:cs="Times New Roman"/>
          <w:sz w:val="24"/>
          <w:szCs w:val="24"/>
        </w:rPr>
      </w:pPr>
    </w:p>
    <w:p w14:paraId="105D77DE" w14:textId="544F888C" w:rsidR="00506CDD" w:rsidRPr="001C3611" w:rsidRDefault="00506CDD" w:rsidP="00D218AF">
      <w:pPr>
        <w:rPr>
          <w:rFonts w:ascii="Times New Roman" w:hAnsi="Times New Roman" w:cs="Times New Roman"/>
          <w:sz w:val="24"/>
          <w:szCs w:val="24"/>
        </w:rPr>
      </w:pPr>
    </w:p>
    <w:p w14:paraId="6B89BA10" w14:textId="77777777" w:rsidR="00D218AF" w:rsidRPr="001C3611" w:rsidRDefault="00D218AF" w:rsidP="00D218AF">
      <w:pPr>
        <w:pStyle w:val="Heading1"/>
        <w:jc w:val="left"/>
        <w:rPr>
          <w:sz w:val="24"/>
          <w:szCs w:val="24"/>
        </w:rPr>
      </w:pPr>
    </w:p>
    <w:p w14:paraId="1DB3E06A" w14:textId="77777777" w:rsidR="00D218AF" w:rsidRPr="001C3611" w:rsidRDefault="00D218AF" w:rsidP="00D218AF">
      <w:pPr>
        <w:pStyle w:val="Heading1"/>
        <w:jc w:val="center"/>
        <w:rPr>
          <w:rFonts w:ascii="Candara" w:hAnsi="Candara"/>
          <w:sz w:val="32"/>
          <w:szCs w:val="32"/>
        </w:rPr>
      </w:pPr>
      <w:r w:rsidRPr="001C3611">
        <w:rPr>
          <w:rFonts w:ascii="Candara" w:hAnsi="Candara"/>
          <w:sz w:val="32"/>
          <w:szCs w:val="32"/>
        </w:rPr>
        <w:t>IEPIRKUMA LĪGUMS EM 2019/51</w:t>
      </w:r>
    </w:p>
    <w:p w14:paraId="5E89C7C6" w14:textId="77777777" w:rsidR="00D218AF" w:rsidRPr="001C3611" w:rsidRDefault="00D218AF" w:rsidP="00D218AF">
      <w:pPr>
        <w:pStyle w:val="Heading1"/>
        <w:jc w:val="center"/>
        <w:rPr>
          <w:rFonts w:ascii="Candara" w:hAnsi="Candara"/>
          <w:sz w:val="32"/>
          <w:szCs w:val="32"/>
        </w:rPr>
      </w:pPr>
    </w:p>
    <w:p w14:paraId="2FD47A7A" w14:textId="77777777" w:rsidR="00D218AF" w:rsidRPr="001C3611" w:rsidRDefault="00D218AF" w:rsidP="00D218AF">
      <w:pPr>
        <w:jc w:val="center"/>
        <w:rPr>
          <w:rFonts w:ascii="Candara" w:hAnsi="Candara" w:cs="Times New Roman"/>
          <w:color w:val="000000"/>
          <w:sz w:val="32"/>
          <w:szCs w:val="32"/>
          <w:lang w:eastAsia="lv-LV"/>
        </w:rPr>
      </w:pPr>
      <w:bookmarkStart w:id="1" w:name="_Hlk8917909"/>
      <w:r w:rsidRPr="001C3611">
        <w:rPr>
          <w:rFonts w:ascii="Candara" w:hAnsi="Candara" w:cs="Times New Roman"/>
          <w:color w:val="000000"/>
          <w:sz w:val="32"/>
          <w:szCs w:val="32"/>
          <w:lang w:eastAsia="lv-LV"/>
        </w:rPr>
        <w:t>„</w:t>
      </w:r>
      <w:r w:rsidRPr="001C3611">
        <w:rPr>
          <w:rFonts w:ascii="Candara" w:hAnsi="Candara" w:cs="Times New Roman"/>
          <w:sz w:val="32"/>
          <w:szCs w:val="32"/>
        </w:rPr>
        <w:t>Priekšlikumu izstrāde par viedās specializācijas stratēģijas un tās ekosistēmu integrāciju digitālajā vidē</w:t>
      </w:r>
      <w:r w:rsidRPr="001C3611">
        <w:rPr>
          <w:rFonts w:ascii="Candara" w:hAnsi="Candara" w:cs="Times New Roman"/>
          <w:color w:val="000000"/>
          <w:sz w:val="32"/>
          <w:szCs w:val="32"/>
          <w:lang w:eastAsia="lv-LV"/>
        </w:rPr>
        <w:t xml:space="preserve">” </w:t>
      </w:r>
    </w:p>
    <w:bookmarkEnd w:id="1"/>
    <w:p w14:paraId="568D9601" w14:textId="74B4CE61" w:rsidR="00506CDD" w:rsidRPr="001C3611" w:rsidRDefault="00506CDD" w:rsidP="00506CDD">
      <w:pPr>
        <w:rPr>
          <w:rFonts w:ascii="Times New Roman" w:hAnsi="Times New Roman" w:cs="Times New Roman"/>
          <w:sz w:val="24"/>
          <w:szCs w:val="24"/>
          <w:lang w:val="en-GB"/>
        </w:rPr>
      </w:pPr>
    </w:p>
    <w:p w14:paraId="575E534E" w14:textId="58AEAFAD" w:rsidR="00DD0355" w:rsidRPr="001C3611" w:rsidRDefault="00DD0355" w:rsidP="00506CDD">
      <w:pPr>
        <w:rPr>
          <w:rFonts w:ascii="Times New Roman" w:hAnsi="Times New Roman" w:cs="Times New Roman"/>
          <w:sz w:val="24"/>
          <w:szCs w:val="24"/>
          <w:lang w:val="en-GB"/>
        </w:rPr>
      </w:pPr>
    </w:p>
    <w:p w14:paraId="40965F9B" w14:textId="63DE9C64" w:rsidR="00DD0355" w:rsidRPr="001C3611" w:rsidRDefault="00DD0355" w:rsidP="00506CDD">
      <w:pPr>
        <w:rPr>
          <w:rFonts w:ascii="Times New Roman" w:hAnsi="Times New Roman" w:cs="Times New Roman"/>
          <w:sz w:val="24"/>
          <w:szCs w:val="24"/>
          <w:lang w:val="en-GB"/>
        </w:rPr>
      </w:pPr>
    </w:p>
    <w:p w14:paraId="6E22956C" w14:textId="3FCB3C0E" w:rsidR="00DD0355" w:rsidRPr="001C3611" w:rsidRDefault="00DD0355" w:rsidP="00506CDD">
      <w:pPr>
        <w:rPr>
          <w:rFonts w:ascii="Times New Roman" w:hAnsi="Times New Roman" w:cs="Times New Roman"/>
          <w:sz w:val="24"/>
          <w:szCs w:val="24"/>
          <w:lang w:val="en-GB"/>
        </w:rPr>
      </w:pPr>
    </w:p>
    <w:p w14:paraId="72CBCD9C" w14:textId="0F9BC26D" w:rsidR="00DD0355" w:rsidRPr="001C3611" w:rsidRDefault="00DD0355" w:rsidP="00506CDD">
      <w:pPr>
        <w:rPr>
          <w:rFonts w:ascii="Times New Roman" w:hAnsi="Times New Roman" w:cs="Times New Roman"/>
          <w:sz w:val="24"/>
          <w:szCs w:val="24"/>
          <w:lang w:val="en-GB"/>
        </w:rPr>
      </w:pPr>
    </w:p>
    <w:p w14:paraId="657E80AC" w14:textId="411B45B6" w:rsidR="00DD0355" w:rsidRPr="001C3611" w:rsidRDefault="00DD0355" w:rsidP="00506CDD">
      <w:pPr>
        <w:rPr>
          <w:rFonts w:ascii="Times New Roman" w:hAnsi="Times New Roman" w:cs="Times New Roman"/>
          <w:sz w:val="24"/>
          <w:szCs w:val="24"/>
          <w:lang w:val="en-GB"/>
        </w:rPr>
      </w:pPr>
    </w:p>
    <w:p w14:paraId="4E4E414A" w14:textId="2B2B9C7C" w:rsidR="00DD0355" w:rsidRPr="001C3611" w:rsidRDefault="00DD0355" w:rsidP="00506CDD">
      <w:pPr>
        <w:rPr>
          <w:rFonts w:ascii="Times New Roman" w:hAnsi="Times New Roman" w:cs="Times New Roman"/>
          <w:sz w:val="24"/>
          <w:szCs w:val="24"/>
          <w:lang w:val="en-GB"/>
        </w:rPr>
      </w:pPr>
    </w:p>
    <w:p w14:paraId="431F0A67" w14:textId="18DEE497" w:rsidR="00DD0355" w:rsidRPr="001C3611" w:rsidRDefault="00DD0355" w:rsidP="00506CDD">
      <w:pPr>
        <w:rPr>
          <w:rFonts w:ascii="Times New Roman" w:hAnsi="Times New Roman" w:cs="Times New Roman"/>
          <w:sz w:val="24"/>
          <w:szCs w:val="24"/>
          <w:lang w:val="en-GB"/>
        </w:rPr>
      </w:pPr>
    </w:p>
    <w:p w14:paraId="39F44029" w14:textId="6A4E2D6C" w:rsidR="00DD0355" w:rsidRPr="001C3611" w:rsidRDefault="00DD0355" w:rsidP="00506CDD">
      <w:pPr>
        <w:rPr>
          <w:rFonts w:ascii="Times New Roman" w:hAnsi="Times New Roman" w:cs="Times New Roman"/>
          <w:sz w:val="24"/>
          <w:szCs w:val="24"/>
          <w:lang w:val="en-GB"/>
        </w:rPr>
      </w:pPr>
    </w:p>
    <w:p w14:paraId="543181D8" w14:textId="0A4F0DBE" w:rsidR="00DD0355" w:rsidRPr="001C3611" w:rsidRDefault="00DD0355" w:rsidP="00506CDD">
      <w:pPr>
        <w:rPr>
          <w:rFonts w:ascii="Times New Roman" w:hAnsi="Times New Roman" w:cs="Times New Roman"/>
          <w:sz w:val="24"/>
          <w:szCs w:val="24"/>
          <w:lang w:val="en-GB"/>
        </w:rPr>
      </w:pPr>
    </w:p>
    <w:p w14:paraId="15CEF670" w14:textId="3FD0D3F2" w:rsidR="00DD0355" w:rsidRPr="001C3611" w:rsidRDefault="00DD0355" w:rsidP="00506CDD">
      <w:pPr>
        <w:rPr>
          <w:rFonts w:ascii="Times New Roman" w:hAnsi="Times New Roman" w:cs="Times New Roman"/>
          <w:sz w:val="24"/>
          <w:szCs w:val="24"/>
          <w:lang w:val="en-GB"/>
        </w:rPr>
      </w:pPr>
    </w:p>
    <w:p w14:paraId="495FB9AA" w14:textId="786284EC" w:rsidR="00DD0355" w:rsidRPr="001C3611" w:rsidRDefault="00DD0355" w:rsidP="00506CDD">
      <w:pPr>
        <w:rPr>
          <w:rFonts w:ascii="Times New Roman" w:hAnsi="Times New Roman" w:cs="Times New Roman"/>
          <w:sz w:val="24"/>
          <w:szCs w:val="24"/>
          <w:lang w:val="en-GB"/>
        </w:rPr>
      </w:pPr>
    </w:p>
    <w:p w14:paraId="76924D96" w14:textId="65B77D6F" w:rsidR="00DD0355" w:rsidRPr="001C3611" w:rsidRDefault="00DD0355" w:rsidP="00506CDD">
      <w:pPr>
        <w:rPr>
          <w:rFonts w:ascii="Times New Roman" w:hAnsi="Times New Roman" w:cs="Times New Roman"/>
          <w:sz w:val="24"/>
          <w:szCs w:val="24"/>
          <w:lang w:val="en-GB"/>
        </w:rPr>
      </w:pPr>
    </w:p>
    <w:p w14:paraId="4B53F499" w14:textId="6EDB7349" w:rsidR="00DD0355" w:rsidRPr="001C3611" w:rsidRDefault="00DD0355" w:rsidP="00506CDD">
      <w:pPr>
        <w:rPr>
          <w:rFonts w:ascii="Times New Roman" w:hAnsi="Times New Roman" w:cs="Times New Roman"/>
          <w:sz w:val="24"/>
          <w:szCs w:val="24"/>
          <w:lang w:val="en-GB"/>
        </w:rPr>
      </w:pPr>
    </w:p>
    <w:p w14:paraId="73E2B253" w14:textId="53D59CC6" w:rsidR="00DD0355" w:rsidRPr="001C3611" w:rsidRDefault="00DD0355" w:rsidP="00DD0355">
      <w:pPr>
        <w:jc w:val="center"/>
        <w:rPr>
          <w:rFonts w:ascii="Times New Roman" w:hAnsi="Times New Roman" w:cs="Times New Roman"/>
          <w:b/>
          <w:sz w:val="24"/>
          <w:szCs w:val="24"/>
        </w:rPr>
      </w:pPr>
      <w:r w:rsidRPr="001C3611">
        <w:rPr>
          <w:rFonts w:ascii="Times New Roman" w:hAnsi="Times New Roman" w:cs="Times New Roman"/>
          <w:b/>
          <w:sz w:val="24"/>
          <w:szCs w:val="24"/>
          <w:lang w:val="en-GB"/>
        </w:rPr>
        <w:t>R</w:t>
      </w:r>
      <w:r w:rsidRPr="001C3611">
        <w:rPr>
          <w:rFonts w:ascii="Times New Roman" w:hAnsi="Times New Roman" w:cs="Times New Roman"/>
          <w:b/>
          <w:sz w:val="24"/>
          <w:szCs w:val="24"/>
        </w:rPr>
        <w:t>īga, 2019</w:t>
      </w:r>
    </w:p>
    <w:p w14:paraId="60B679F2" w14:textId="53711560" w:rsidR="00DD0355" w:rsidRPr="001C3611" w:rsidRDefault="00DD0355" w:rsidP="00506CDD">
      <w:pPr>
        <w:rPr>
          <w:rFonts w:ascii="Times New Roman" w:hAnsi="Times New Roman" w:cs="Times New Roman"/>
          <w:sz w:val="24"/>
          <w:szCs w:val="24"/>
          <w:lang w:val="en-GB"/>
        </w:rPr>
      </w:pPr>
    </w:p>
    <w:p w14:paraId="344DE342" w14:textId="2B143D95" w:rsidR="00DD0355" w:rsidRPr="001C3611" w:rsidRDefault="00DD0355" w:rsidP="00506CDD">
      <w:pPr>
        <w:rPr>
          <w:rFonts w:ascii="Times New Roman" w:hAnsi="Times New Roman" w:cs="Times New Roman"/>
          <w:sz w:val="24"/>
          <w:szCs w:val="24"/>
          <w:lang w:val="en-GB"/>
        </w:rPr>
      </w:pPr>
    </w:p>
    <w:p w14:paraId="2C88E147" w14:textId="657F241A" w:rsidR="00091E1C" w:rsidRDefault="001C3611" w:rsidP="00777971">
      <w:pPr>
        <w:spacing w:after="0" w:line="276" w:lineRule="auto"/>
        <w:jc w:val="both"/>
        <w:rPr>
          <w:rFonts w:ascii="Candara" w:hAnsi="Candara" w:cs="Times New Roman"/>
          <w:b/>
          <w:i/>
          <w:sz w:val="32"/>
          <w:szCs w:val="32"/>
        </w:rPr>
      </w:pPr>
      <w:r w:rsidRPr="001C3611">
        <w:rPr>
          <w:rFonts w:ascii="Candara" w:hAnsi="Candara" w:cs="Times New Roman"/>
          <w:b/>
          <w:i/>
          <w:sz w:val="32"/>
          <w:szCs w:val="32"/>
        </w:rPr>
        <w:lastRenderedPageBreak/>
        <w:t>Ievads</w:t>
      </w:r>
    </w:p>
    <w:p w14:paraId="5998D5D5" w14:textId="38A06679" w:rsidR="001C3611" w:rsidRPr="001C3611" w:rsidRDefault="001C3611" w:rsidP="00777971">
      <w:pPr>
        <w:spacing w:after="0" w:line="276" w:lineRule="auto"/>
        <w:jc w:val="both"/>
        <w:rPr>
          <w:rFonts w:ascii="Candara" w:hAnsi="Candara" w:cs="Times New Roman"/>
          <w:b/>
          <w:i/>
          <w:sz w:val="32"/>
          <w:szCs w:val="32"/>
        </w:rPr>
      </w:pPr>
    </w:p>
    <w:p w14:paraId="3ADF0DEE" w14:textId="18886AAC" w:rsidR="00DD0355" w:rsidRPr="001C3611" w:rsidRDefault="00DD0355" w:rsidP="00205459">
      <w:pPr>
        <w:spacing w:after="0" w:line="276" w:lineRule="auto"/>
        <w:jc w:val="both"/>
        <w:rPr>
          <w:rFonts w:ascii="Times New Roman" w:hAnsi="Times New Roman" w:cs="Times New Roman"/>
          <w:sz w:val="24"/>
          <w:szCs w:val="24"/>
        </w:rPr>
      </w:pPr>
      <w:r w:rsidRPr="00205459">
        <w:rPr>
          <w:rFonts w:ascii="Times New Roman" w:hAnsi="Times New Roman" w:cs="Times New Roman"/>
          <w:sz w:val="24"/>
          <w:szCs w:val="24"/>
        </w:rPr>
        <w:t>Saskaņā ar iepirkuma līguma EM 2019/51  priekšmetu par priekšlikumu</w:t>
      </w:r>
      <w:r w:rsidRPr="001C3611">
        <w:rPr>
          <w:rFonts w:ascii="Times New Roman" w:hAnsi="Times New Roman" w:cs="Times New Roman"/>
          <w:sz w:val="24"/>
          <w:szCs w:val="24"/>
        </w:rPr>
        <w:t xml:space="preserve"> izstrādi par viedās specializācijas stratēģijas un tās ekosistēmu integrāciju digitālajā vidē, kas ietver: </w:t>
      </w:r>
      <w:proofErr w:type="spellStart"/>
      <w:r w:rsidRPr="001C3611">
        <w:rPr>
          <w:rFonts w:ascii="Times New Roman" w:hAnsi="Times New Roman" w:cs="Times New Roman"/>
          <w:sz w:val="24"/>
          <w:szCs w:val="24"/>
        </w:rPr>
        <w:t>priekšizpētes</w:t>
      </w:r>
      <w:proofErr w:type="spellEnd"/>
      <w:r w:rsidRPr="001C3611">
        <w:rPr>
          <w:rFonts w:ascii="Times New Roman" w:hAnsi="Times New Roman" w:cs="Times New Roman"/>
          <w:sz w:val="24"/>
          <w:szCs w:val="24"/>
        </w:rPr>
        <w:t xml:space="preserve"> ziņojuma izstrādi</w:t>
      </w:r>
      <w:r w:rsidRPr="001C3611">
        <w:rPr>
          <w:rFonts w:ascii="Times New Roman" w:hAnsi="Times New Roman" w:cs="Times New Roman"/>
          <w:bCs/>
          <w:sz w:val="24"/>
          <w:szCs w:val="24"/>
        </w:rPr>
        <w:t xml:space="preserve">; </w:t>
      </w:r>
      <w:r w:rsidRPr="001C3611">
        <w:rPr>
          <w:rFonts w:ascii="Times New Roman" w:hAnsi="Times New Roman" w:cs="Times New Roman"/>
          <w:sz w:val="24"/>
          <w:szCs w:val="24"/>
        </w:rPr>
        <w:t xml:space="preserve">izpētes ziņojuma izstrādi; </w:t>
      </w:r>
      <w:r w:rsidRPr="001C3611">
        <w:rPr>
          <w:rFonts w:ascii="Times New Roman" w:eastAsia="Calibri" w:hAnsi="Times New Roman" w:cs="Times New Roman"/>
          <w:sz w:val="24"/>
          <w:szCs w:val="24"/>
        </w:rPr>
        <w:t>priekšlikumu viedās specializācijas stratēģijas un tās ekosistēmu integrācijai digitālajā vidē un kopsavilkuma angļu valodā izstrādi</w:t>
      </w:r>
      <w:r w:rsidRPr="001C3611">
        <w:rPr>
          <w:rFonts w:ascii="Times New Roman" w:hAnsi="Times New Roman" w:cs="Times New Roman"/>
          <w:sz w:val="24"/>
          <w:szCs w:val="24"/>
        </w:rPr>
        <w:t xml:space="preserve"> un saskaņā ar minētā līguma 2.2. punktu par pirmās līguma daļas iesniegšanu Pasūtītājam,</w:t>
      </w:r>
      <w:r w:rsidR="001C3611">
        <w:rPr>
          <w:rFonts w:ascii="Times New Roman" w:hAnsi="Times New Roman" w:cs="Times New Roman"/>
          <w:sz w:val="24"/>
          <w:szCs w:val="24"/>
        </w:rPr>
        <w:t xml:space="preserve"> </w:t>
      </w:r>
      <w:r w:rsidRPr="001C3611">
        <w:rPr>
          <w:rFonts w:ascii="Times New Roman" w:hAnsi="Times New Roman" w:cs="Times New Roman"/>
          <w:sz w:val="24"/>
          <w:szCs w:val="24"/>
        </w:rPr>
        <w:t>kā līguma Izpildītājs iesniedzu nodevumu.</w:t>
      </w:r>
    </w:p>
    <w:p w14:paraId="7797BEF6" w14:textId="7FDEAA0A" w:rsidR="00091E1C" w:rsidRPr="001C3611" w:rsidRDefault="00DD0355" w:rsidP="00205459">
      <w:pPr>
        <w:spacing w:after="0" w:line="276" w:lineRule="auto"/>
        <w:jc w:val="both"/>
        <w:rPr>
          <w:rFonts w:ascii="Times New Roman" w:hAnsi="Times New Roman" w:cs="Times New Roman"/>
          <w:sz w:val="24"/>
          <w:szCs w:val="24"/>
        </w:rPr>
      </w:pPr>
      <w:r w:rsidRPr="001C3611">
        <w:rPr>
          <w:rFonts w:ascii="Times New Roman" w:hAnsi="Times New Roman" w:cs="Times New Roman"/>
          <w:sz w:val="24"/>
          <w:szCs w:val="24"/>
        </w:rPr>
        <w:t>Saskaņā ar līgumu un tā tehnisko specifikāciju, l</w:t>
      </w:r>
      <w:r w:rsidR="00506CDD" w:rsidRPr="001C3611">
        <w:rPr>
          <w:rFonts w:ascii="Times New Roman" w:hAnsi="Times New Roman" w:cs="Times New Roman"/>
          <w:sz w:val="24"/>
          <w:szCs w:val="24"/>
        </w:rPr>
        <w:t xml:space="preserve">ai izstrādātu priekšlikumus sākotnēji </w:t>
      </w:r>
      <w:r w:rsidR="001C3611">
        <w:rPr>
          <w:rFonts w:ascii="Times New Roman" w:hAnsi="Times New Roman" w:cs="Times New Roman"/>
          <w:sz w:val="24"/>
          <w:szCs w:val="24"/>
        </w:rPr>
        <w:t xml:space="preserve">tika veikta </w:t>
      </w:r>
      <w:r w:rsidR="00506CDD" w:rsidRPr="001C3611">
        <w:rPr>
          <w:rFonts w:ascii="Times New Roman" w:hAnsi="Times New Roman" w:cs="Times New Roman"/>
          <w:sz w:val="24"/>
          <w:szCs w:val="24"/>
        </w:rPr>
        <w:t xml:space="preserve">situācijas </w:t>
      </w:r>
      <w:proofErr w:type="spellStart"/>
      <w:r w:rsidR="00506CDD" w:rsidRPr="001C3611">
        <w:rPr>
          <w:rFonts w:ascii="Times New Roman" w:hAnsi="Times New Roman" w:cs="Times New Roman"/>
          <w:sz w:val="24"/>
          <w:szCs w:val="24"/>
        </w:rPr>
        <w:t>priekšizpēte</w:t>
      </w:r>
      <w:proofErr w:type="spellEnd"/>
      <w:r w:rsidR="00506CDD" w:rsidRPr="001C3611">
        <w:rPr>
          <w:rFonts w:ascii="Times New Roman" w:hAnsi="Times New Roman" w:cs="Times New Roman"/>
          <w:sz w:val="24"/>
          <w:szCs w:val="24"/>
        </w:rPr>
        <w:t xml:space="preserve">, jeb </w:t>
      </w:r>
      <w:proofErr w:type="spellStart"/>
      <w:r w:rsidR="00506CDD" w:rsidRPr="001C3611">
        <w:rPr>
          <w:rFonts w:ascii="Times New Roman" w:hAnsi="Times New Roman" w:cs="Times New Roman"/>
          <w:sz w:val="24"/>
          <w:szCs w:val="24"/>
        </w:rPr>
        <w:t>izvērtējuma</w:t>
      </w:r>
      <w:proofErr w:type="spellEnd"/>
      <w:r w:rsidR="00506CDD" w:rsidRPr="001C3611">
        <w:rPr>
          <w:rFonts w:ascii="Times New Roman" w:hAnsi="Times New Roman" w:cs="Times New Roman"/>
          <w:sz w:val="24"/>
          <w:szCs w:val="24"/>
        </w:rPr>
        <w:t xml:space="preserve"> dokumentācijas un </w:t>
      </w:r>
      <w:proofErr w:type="spellStart"/>
      <w:r w:rsidR="00506CDD" w:rsidRPr="001C3611">
        <w:rPr>
          <w:rFonts w:ascii="Times New Roman" w:hAnsi="Times New Roman" w:cs="Times New Roman"/>
          <w:sz w:val="24"/>
          <w:szCs w:val="24"/>
        </w:rPr>
        <w:t>digitalizācijas</w:t>
      </w:r>
      <w:proofErr w:type="spellEnd"/>
      <w:r w:rsidR="00506CDD" w:rsidRPr="001C3611">
        <w:rPr>
          <w:rFonts w:ascii="Times New Roman" w:hAnsi="Times New Roman" w:cs="Times New Roman"/>
          <w:sz w:val="24"/>
          <w:szCs w:val="24"/>
        </w:rPr>
        <w:t xml:space="preserve"> jomas analīze.</w:t>
      </w:r>
      <w:r w:rsidR="00091E1C" w:rsidRPr="001C3611">
        <w:rPr>
          <w:rFonts w:ascii="Times New Roman" w:hAnsi="Times New Roman" w:cs="Times New Roman"/>
          <w:sz w:val="24"/>
          <w:szCs w:val="24"/>
        </w:rPr>
        <w:t xml:space="preserve"> </w:t>
      </w:r>
    </w:p>
    <w:p w14:paraId="11A9331A" w14:textId="77777777" w:rsidR="00091E1C" w:rsidRPr="001C3611" w:rsidRDefault="00091E1C" w:rsidP="00205459">
      <w:pPr>
        <w:spacing w:after="0" w:line="276" w:lineRule="auto"/>
        <w:jc w:val="both"/>
        <w:rPr>
          <w:rFonts w:ascii="Times New Roman" w:hAnsi="Times New Roman" w:cs="Times New Roman"/>
          <w:sz w:val="24"/>
          <w:szCs w:val="24"/>
        </w:rPr>
      </w:pPr>
    </w:p>
    <w:p w14:paraId="5139E81B" w14:textId="231A1C40" w:rsidR="00777971" w:rsidRPr="001C3611" w:rsidRDefault="00506CDD" w:rsidP="00205459">
      <w:pPr>
        <w:spacing w:after="0" w:line="276" w:lineRule="auto"/>
        <w:jc w:val="both"/>
        <w:rPr>
          <w:rFonts w:ascii="Times New Roman" w:hAnsi="Times New Roman" w:cs="Times New Roman"/>
          <w:sz w:val="24"/>
          <w:szCs w:val="24"/>
        </w:rPr>
      </w:pPr>
      <w:proofErr w:type="spellStart"/>
      <w:r w:rsidRPr="001C3611">
        <w:rPr>
          <w:rFonts w:ascii="Times New Roman" w:hAnsi="Times New Roman" w:cs="Times New Roman"/>
          <w:sz w:val="24"/>
          <w:szCs w:val="24"/>
        </w:rPr>
        <w:t>Priekšizpēte</w:t>
      </w:r>
      <w:proofErr w:type="spellEnd"/>
      <w:r w:rsidRPr="001C3611">
        <w:rPr>
          <w:rFonts w:ascii="Times New Roman" w:hAnsi="Times New Roman" w:cs="Times New Roman"/>
          <w:sz w:val="24"/>
          <w:szCs w:val="24"/>
        </w:rPr>
        <w:t xml:space="preserve"> </w:t>
      </w:r>
      <w:r w:rsidR="00DD0355" w:rsidRPr="001C3611">
        <w:rPr>
          <w:rFonts w:ascii="Times New Roman" w:hAnsi="Times New Roman" w:cs="Times New Roman"/>
          <w:sz w:val="24"/>
          <w:szCs w:val="24"/>
        </w:rPr>
        <w:t>sastāv no</w:t>
      </w:r>
      <w:r w:rsidRPr="001C3611">
        <w:rPr>
          <w:rFonts w:ascii="Times New Roman" w:hAnsi="Times New Roman" w:cs="Times New Roman"/>
          <w:sz w:val="24"/>
          <w:szCs w:val="24"/>
        </w:rPr>
        <w:t xml:space="preserve"> pamatinformācija</w:t>
      </w:r>
      <w:r w:rsidR="00DD0355" w:rsidRPr="001C3611">
        <w:rPr>
          <w:rFonts w:ascii="Times New Roman" w:hAnsi="Times New Roman" w:cs="Times New Roman"/>
          <w:sz w:val="24"/>
          <w:szCs w:val="24"/>
        </w:rPr>
        <w:t>s</w:t>
      </w:r>
      <w:r w:rsidRPr="001C3611">
        <w:rPr>
          <w:rFonts w:ascii="Times New Roman" w:hAnsi="Times New Roman" w:cs="Times New Roman"/>
          <w:sz w:val="24"/>
          <w:szCs w:val="24"/>
        </w:rPr>
        <w:t xml:space="preserve"> apkopošana un analīze</w:t>
      </w:r>
      <w:r w:rsidR="002175C8" w:rsidRPr="001C3611">
        <w:rPr>
          <w:rFonts w:ascii="Times New Roman" w:hAnsi="Times New Roman" w:cs="Times New Roman"/>
          <w:sz w:val="24"/>
          <w:szCs w:val="24"/>
        </w:rPr>
        <w:t>s, kas tika</w:t>
      </w:r>
      <w:r w:rsidRPr="001C3611">
        <w:rPr>
          <w:rFonts w:ascii="Times New Roman" w:hAnsi="Times New Roman" w:cs="Times New Roman"/>
          <w:sz w:val="24"/>
          <w:szCs w:val="24"/>
        </w:rPr>
        <w:t xml:space="preserve"> sistem</w:t>
      </w:r>
      <w:r w:rsidR="002175C8" w:rsidRPr="001C3611">
        <w:rPr>
          <w:rFonts w:ascii="Times New Roman" w:hAnsi="Times New Roman" w:cs="Times New Roman"/>
          <w:sz w:val="24"/>
          <w:szCs w:val="24"/>
        </w:rPr>
        <w:t>atizēta, izejot no Pasūtītāja norādījumiem par analizējamo dokumentu saturisko tvērumu.</w:t>
      </w:r>
      <w:r w:rsidR="00777971" w:rsidRPr="001C3611">
        <w:rPr>
          <w:rFonts w:ascii="Times New Roman" w:hAnsi="Times New Roman" w:cs="Times New Roman"/>
          <w:sz w:val="24"/>
          <w:szCs w:val="24"/>
        </w:rPr>
        <w:t xml:space="preserve"> </w:t>
      </w:r>
    </w:p>
    <w:p w14:paraId="3BBA98BE" w14:textId="77777777" w:rsidR="00091E1C" w:rsidRPr="001C3611" w:rsidRDefault="00091E1C" w:rsidP="00205459">
      <w:pPr>
        <w:spacing w:after="0" w:line="276" w:lineRule="auto"/>
        <w:jc w:val="both"/>
        <w:rPr>
          <w:rFonts w:ascii="Times New Roman" w:hAnsi="Times New Roman" w:cs="Times New Roman"/>
          <w:sz w:val="24"/>
          <w:szCs w:val="24"/>
        </w:rPr>
      </w:pPr>
    </w:p>
    <w:p w14:paraId="4E82F1A0" w14:textId="5F68C427" w:rsidR="00506CDD" w:rsidRPr="001C3611" w:rsidRDefault="002175C8" w:rsidP="00205459">
      <w:pPr>
        <w:spacing w:line="276" w:lineRule="auto"/>
        <w:jc w:val="both"/>
        <w:rPr>
          <w:rFonts w:ascii="Times New Roman" w:hAnsi="Times New Roman" w:cs="Times New Roman"/>
          <w:sz w:val="24"/>
          <w:szCs w:val="24"/>
        </w:rPr>
      </w:pPr>
      <w:proofErr w:type="spellStart"/>
      <w:r w:rsidRPr="001C3611">
        <w:rPr>
          <w:rFonts w:ascii="Times New Roman" w:hAnsi="Times New Roman" w:cs="Times New Roman"/>
          <w:sz w:val="24"/>
          <w:szCs w:val="24"/>
        </w:rPr>
        <w:t>I</w:t>
      </w:r>
      <w:r w:rsidR="00506CDD" w:rsidRPr="001C3611">
        <w:rPr>
          <w:rFonts w:ascii="Times New Roman" w:hAnsi="Times New Roman" w:cs="Times New Roman"/>
          <w:sz w:val="24"/>
          <w:szCs w:val="24"/>
        </w:rPr>
        <w:t>zvērtējuma</w:t>
      </w:r>
      <w:proofErr w:type="spellEnd"/>
      <w:r w:rsidR="00506CDD" w:rsidRPr="001C3611">
        <w:rPr>
          <w:rFonts w:ascii="Times New Roman" w:hAnsi="Times New Roman" w:cs="Times New Roman"/>
          <w:sz w:val="24"/>
          <w:szCs w:val="24"/>
        </w:rPr>
        <w:t xml:space="preserve"> dokumentācija </w:t>
      </w:r>
      <w:r w:rsidRPr="001C3611">
        <w:rPr>
          <w:rFonts w:ascii="Times New Roman" w:hAnsi="Times New Roman" w:cs="Times New Roman"/>
          <w:sz w:val="24"/>
          <w:szCs w:val="24"/>
        </w:rPr>
        <w:t xml:space="preserve">ietvēra </w:t>
      </w:r>
      <w:r w:rsidR="00506CDD" w:rsidRPr="001C3611">
        <w:rPr>
          <w:rFonts w:ascii="Times New Roman" w:hAnsi="Times New Roman" w:cs="Times New Roman"/>
          <w:sz w:val="24"/>
          <w:szCs w:val="24"/>
        </w:rPr>
        <w:t xml:space="preserve">(viedas specializācijas stratēģija, OECD digitālās transformācijas </w:t>
      </w:r>
      <w:proofErr w:type="spellStart"/>
      <w:r w:rsidR="00506CDD" w:rsidRPr="001C3611">
        <w:rPr>
          <w:rFonts w:ascii="Times New Roman" w:hAnsi="Times New Roman" w:cs="Times New Roman"/>
          <w:sz w:val="24"/>
          <w:szCs w:val="24"/>
        </w:rPr>
        <w:t>i</w:t>
      </w:r>
      <w:r w:rsidRPr="001C3611">
        <w:rPr>
          <w:rFonts w:ascii="Times New Roman" w:hAnsi="Times New Roman" w:cs="Times New Roman"/>
          <w:sz w:val="24"/>
          <w:szCs w:val="24"/>
        </w:rPr>
        <w:t>zvērtējuma</w:t>
      </w:r>
      <w:proofErr w:type="spellEnd"/>
      <w:r w:rsidRPr="001C3611">
        <w:rPr>
          <w:rFonts w:ascii="Times New Roman" w:hAnsi="Times New Roman" w:cs="Times New Roman"/>
          <w:sz w:val="24"/>
          <w:szCs w:val="24"/>
        </w:rPr>
        <w:t xml:space="preserve"> ziņojumus</w:t>
      </w:r>
      <w:r w:rsidR="00506CDD" w:rsidRPr="001C3611">
        <w:rPr>
          <w:rFonts w:ascii="Times New Roman" w:hAnsi="Times New Roman" w:cs="Times New Roman"/>
          <w:sz w:val="24"/>
          <w:szCs w:val="24"/>
        </w:rPr>
        <w:t xml:space="preserve">, OECD </w:t>
      </w:r>
      <w:proofErr w:type="spellStart"/>
      <w:r w:rsidR="00506CDD" w:rsidRPr="001C3611">
        <w:rPr>
          <w:rFonts w:ascii="Times New Roman" w:hAnsi="Times New Roman" w:cs="Times New Roman"/>
          <w:sz w:val="24"/>
          <w:szCs w:val="24"/>
        </w:rPr>
        <w:t>Going</w:t>
      </w:r>
      <w:proofErr w:type="spellEnd"/>
      <w:r w:rsidR="00506CDD" w:rsidRPr="001C3611">
        <w:rPr>
          <w:rFonts w:ascii="Times New Roman" w:hAnsi="Times New Roman" w:cs="Times New Roman"/>
          <w:sz w:val="24"/>
          <w:szCs w:val="24"/>
        </w:rPr>
        <w:t xml:space="preserve"> </w:t>
      </w:r>
      <w:proofErr w:type="spellStart"/>
      <w:r w:rsidR="00506CDD" w:rsidRPr="001C3611">
        <w:rPr>
          <w:rFonts w:ascii="Times New Roman" w:hAnsi="Times New Roman" w:cs="Times New Roman"/>
          <w:sz w:val="24"/>
          <w:szCs w:val="24"/>
        </w:rPr>
        <w:t>Digital</w:t>
      </w:r>
      <w:proofErr w:type="spellEnd"/>
      <w:r w:rsidR="00506CDD" w:rsidRPr="001C3611">
        <w:rPr>
          <w:rFonts w:ascii="Times New Roman" w:hAnsi="Times New Roman" w:cs="Times New Roman"/>
          <w:sz w:val="24"/>
          <w:szCs w:val="24"/>
        </w:rPr>
        <w:t xml:space="preserve">: </w:t>
      </w:r>
      <w:proofErr w:type="spellStart"/>
      <w:r w:rsidR="00506CDD" w:rsidRPr="001C3611">
        <w:rPr>
          <w:rFonts w:ascii="Times New Roman" w:hAnsi="Times New Roman" w:cs="Times New Roman"/>
          <w:sz w:val="24"/>
          <w:szCs w:val="24"/>
        </w:rPr>
        <w:t>Making</w:t>
      </w:r>
      <w:proofErr w:type="spellEnd"/>
      <w:r w:rsidR="00506CDD" w:rsidRPr="001C3611">
        <w:rPr>
          <w:rFonts w:ascii="Times New Roman" w:hAnsi="Times New Roman" w:cs="Times New Roman"/>
          <w:sz w:val="24"/>
          <w:szCs w:val="24"/>
        </w:rPr>
        <w:t xml:space="preserve"> </w:t>
      </w:r>
      <w:proofErr w:type="spellStart"/>
      <w:r w:rsidR="00506CDD" w:rsidRPr="001C3611">
        <w:rPr>
          <w:rFonts w:ascii="Times New Roman" w:hAnsi="Times New Roman" w:cs="Times New Roman"/>
          <w:sz w:val="24"/>
          <w:szCs w:val="24"/>
        </w:rPr>
        <w:t>the</w:t>
      </w:r>
      <w:proofErr w:type="spellEnd"/>
      <w:r w:rsidR="00506CDD" w:rsidRPr="001C3611">
        <w:rPr>
          <w:rFonts w:ascii="Times New Roman" w:hAnsi="Times New Roman" w:cs="Times New Roman"/>
          <w:sz w:val="24"/>
          <w:szCs w:val="24"/>
        </w:rPr>
        <w:t xml:space="preserve"> </w:t>
      </w:r>
      <w:proofErr w:type="spellStart"/>
      <w:r w:rsidR="00506CDD" w:rsidRPr="001C3611">
        <w:rPr>
          <w:rFonts w:ascii="Times New Roman" w:hAnsi="Times New Roman" w:cs="Times New Roman"/>
          <w:sz w:val="24"/>
          <w:szCs w:val="24"/>
        </w:rPr>
        <w:t>Transformation</w:t>
      </w:r>
      <w:proofErr w:type="spellEnd"/>
      <w:r w:rsidR="00506CDD" w:rsidRPr="001C3611">
        <w:rPr>
          <w:rFonts w:ascii="Times New Roman" w:hAnsi="Times New Roman" w:cs="Times New Roman"/>
          <w:sz w:val="24"/>
          <w:szCs w:val="24"/>
        </w:rPr>
        <w:t xml:space="preserve"> </w:t>
      </w:r>
      <w:proofErr w:type="spellStart"/>
      <w:r w:rsidR="00506CDD" w:rsidRPr="001C3611">
        <w:rPr>
          <w:rFonts w:ascii="Times New Roman" w:hAnsi="Times New Roman" w:cs="Times New Roman"/>
          <w:sz w:val="24"/>
          <w:szCs w:val="24"/>
        </w:rPr>
        <w:t>W</w:t>
      </w:r>
      <w:r w:rsidRPr="001C3611">
        <w:rPr>
          <w:rFonts w:ascii="Times New Roman" w:hAnsi="Times New Roman" w:cs="Times New Roman"/>
          <w:sz w:val="24"/>
          <w:szCs w:val="24"/>
        </w:rPr>
        <w:t>o</w:t>
      </w:r>
      <w:r w:rsidR="00506CDD" w:rsidRPr="001C3611">
        <w:rPr>
          <w:rFonts w:ascii="Times New Roman" w:hAnsi="Times New Roman" w:cs="Times New Roman"/>
          <w:sz w:val="24"/>
          <w:szCs w:val="24"/>
        </w:rPr>
        <w:t>rk</w:t>
      </w:r>
      <w:proofErr w:type="spellEnd"/>
      <w:r w:rsidR="00506CDD" w:rsidRPr="001C3611">
        <w:rPr>
          <w:rFonts w:ascii="Times New Roman" w:hAnsi="Times New Roman" w:cs="Times New Roman"/>
          <w:sz w:val="24"/>
          <w:szCs w:val="24"/>
        </w:rPr>
        <w:t xml:space="preserve"> </w:t>
      </w:r>
      <w:proofErr w:type="spellStart"/>
      <w:r w:rsidR="00506CDD" w:rsidRPr="001C3611">
        <w:rPr>
          <w:rFonts w:ascii="Times New Roman" w:hAnsi="Times New Roman" w:cs="Times New Roman"/>
          <w:sz w:val="24"/>
          <w:szCs w:val="24"/>
        </w:rPr>
        <w:t>for</w:t>
      </w:r>
      <w:proofErr w:type="spellEnd"/>
      <w:r w:rsidR="00506CDD" w:rsidRPr="001C3611">
        <w:rPr>
          <w:rFonts w:ascii="Times New Roman" w:hAnsi="Times New Roman" w:cs="Times New Roman"/>
          <w:sz w:val="24"/>
          <w:szCs w:val="24"/>
        </w:rPr>
        <w:t xml:space="preserve"> </w:t>
      </w:r>
      <w:proofErr w:type="spellStart"/>
      <w:r w:rsidR="00506CDD" w:rsidRPr="001C3611">
        <w:rPr>
          <w:rFonts w:ascii="Times New Roman" w:hAnsi="Times New Roman" w:cs="Times New Roman"/>
          <w:sz w:val="24"/>
          <w:szCs w:val="24"/>
        </w:rPr>
        <w:t>Growth</w:t>
      </w:r>
      <w:proofErr w:type="spellEnd"/>
      <w:r w:rsidR="00506CDD" w:rsidRPr="001C3611">
        <w:rPr>
          <w:rFonts w:ascii="Times New Roman" w:hAnsi="Times New Roman" w:cs="Times New Roman"/>
          <w:sz w:val="24"/>
          <w:szCs w:val="24"/>
        </w:rPr>
        <w:t xml:space="preserve"> </w:t>
      </w:r>
      <w:proofErr w:type="spellStart"/>
      <w:r w:rsidR="00506CDD" w:rsidRPr="001C3611">
        <w:rPr>
          <w:rFonts w:ascii="Times New Roman" w:hAnsi="Times New Roman" w:cs="Times New Roman"/>
          <w:sz w:val="24"/>
          <w:szCs w:val="24"/>
        </w:rPr>
        <w:t>and</w:t>
      </w:r>
      <w:proofErr w:type="spellEnd"/>
      <w:r w:rsidR="00506CDD" w:rsidRPr="001C3611">
        <w:rPr>
          <w:rFonts w:ascii="Times New Roman" w:hAnsi="Times New Roman" w:cs="Times New Roman"/>
          <w:sz w:val="24"/>
          <w:szCs w:val="24"/>
        </w:rPr>
        <w:t xml:space="preserve"> </w:t>
      </w:r>
      <w:proofErr w:type="spellStart"/>
      <w:r w:rsidR="00506CDD" w:rsidRPr="001C3611">
        <w:rPr>
          <w:rFonts w:ascii="Times New Roman" w:hAnsi="Times New Roman" w:cs="Times New Roman"/>
          <w:sz w:val="24"/>
          <w:szCs w:val="24"/>
        </w:rPr>
        <w:t>Well-Being</w:t>
      </w:r>
      <w:proofErr w:type="spellEnd"/>
      <w:r w:rsidR="00506CDD" w:rsidRPr="001C3611">
        <w:rPr>
          <w:rFonts w:ascii="Times New Roman" w:hAnsi="Times New Roman" w:cs="Times New Roman"/>
          <w:sz w:val="24"/>
          <w:szCs w:val="24"/>
        </w:rPr>
        <w:t xml:space="preserve">, OECD </w:t>
      </w:r>
      <w:proofErr w:type="spellStart"/>
      <w:r w:rsidR="00506CDD" w:rsidRPr="001C3611">
        <w:rPr>
          <w:rFonts w:ascii="Times New Roman" w:hAnsi="Times New Roman" w:cs="Times New Roman"/>
          <w:sz w:val="24"/>
          <w:szCs w:val="24"/>
        </w:rPr>
        <w:t>Science</w:t>
      </w:r>
      <w:proofErr w:type="spellEnd"/>
      <w:r w:rsidR="00506CDD" w:rsidRPr="001C3611">
        <w:rPr>
          <w:rFonts w:ascii="Times New Roman" w:hAnsi="Times New Roman" w:cs="Times New Roman"/>
          <w:sz w:val="24"/>
          <w:szCs w:val="24"/>
        </w:rPr>
        <w:t xml:space="preserve">, </w:t>
      </w:r>
      <w:proofErr w:type="spellStart"/>
      <w:r w:rsidR="00506CDD" w:rsidRPr="001C3611">
        <w:rPr>
          <w:rFonts w:ascii="Times New Roman" w:hAnsi="Times New Roman" w:cs="Times New Roman"/>
          <w:sz w:val="24"/>
          <w:szCs w:val="24"/>
        </w:rPr>
        <w:t>Technology</w:t>
      </w:r>
      <w:proofErr w:type="spellEnd"/>
      <w:r w:rsidR="00506CDD" w:rsidRPr="001C3611">
        <w:rPr>
          <w:rFonts w:ascii="Times New Roman" w:hAnsi="Times New Roman" w:cs="Times New Roman"/>
          <w:sz w:val="24"/>
          <w:szCs w:val="24"/>
        </w:rPr>
        <w:t xml:space="preserve"> </w:t>
      </w:r>
      <w:proofErr w:type="spellStart"/>
      <w:r w:rsidR="00506CDD" w:rsidRPr="001C3611">
        <w:rPr>
          <w:rFonts w:ascii="Times New Roman" w:hAnsi="Times New Roman" w:cs="Times New Roman"/>
          <w:sz w:val="24"/>
          <w:szCs w:val="24"/>
        </w:rPr>
        <w:t>and</w:t>
      </w:r>
      <w:proofErr w:type="spellEnd"/>
      <w:r w:rsidR="00506CDD" w:rsidRPr="001C3611">
        <w:rPr>
          <w:rFonts w:ascii="Times New Roman" w:hAnsi="Times New Roman" w:cs="Times New Roman"/>
          <w:sz w:val="24"/>
          <w:szCs w:val="24"/>
        </w:rPr>
        <w:t xml:space="preserve"> </w:t>
      </w:r>
      <w:proofErr w:type="spellStart"/>
      <w:r w:rsidR="00506CDD" w:rsidRPr="001C3611">
        <w:rPr>
          <w:rFonts w:ascii="Times New Roman" w:hAnsi="Times New Roman" w:cs="Times New Roman"/>
          <w:sz w:val="24"/>
          <w:szCs w:val="24"/>
        </w:rPr>
        <w:t>Industry</w:t>
      </w:r>
      <w:proofErr w:type="spellEnd"/>
      <w:r w:rsidR="00506CDD" w:rsidRPr="001C3611">
        <w:rPr>
          <w:rFonts w:ascii="Times New Roman" w:hAnsi="Times New Roman" w:cs="Times New Roman"/>
          <w:sz w:val="24"/>
          <w:szCs w:val="24"/>
        </w:rPr>
        <w:t xml:space="preserve"> </w:t>
      </w:r>
      <w:proofErr w:type="spellStart"/>
      <w:r w:rsidR="00506CDD" w:rsidRPr="001C3611">
        <w:rPr>
          <w:rFonts w:ascii="Times New Roman" w:hAnsi="Times New Roman" w:cs="Times New Roman"/>
          <w:sz w:val="24"/>
          <w:szCs w:val="24"/>
        </w:rPr>
        <w:t>Scoreboard</w:t>
      </w:r>
      <w:proofErr w:type="spellEnd"/>
      <w:r w:rsidR="00506CDD" w:rsidRPr="001C3611">
        <w:rPr>
          <w:rFonts w:ascii="Times New Roman" w:hAnsi="Times New Roman" w:cs="Times New Roman"/>
          <w:sz w:val="24"/>
          <w:szCs w:val="24"/>
        </w:rPr>
        <w:t xml:space="preserve"> 2017 reitings,  </w:t>
      </w:r>
      <w:proofErr w:type="spellStart"/>
      <w:r w:rsidR="00506CDD" w:rsidRPr="001C3611">
        <w:rPr>
          <w:rFonts w:ascii="Times New Roman" w:hAnsi="Times New Roman" w:cs="Times New Roman"/>
          <w:sz w:val="24"/>
          <w:szCs w:val="24"/>
        </w:rPr>
        <w:t>How</w:t>
      </w:r>
      <w:proofErr w:type="spellEnd"/>
      <w:r w:rsidR="00506CDD" w:rsidRPr="001C3611">
        <w:rPr>
          <w:rFonts w:ascii="Times New Roman" w:hAnsi="Times New Roman" w:cs="Times New Roman"/>
          <w:sz w:val="24"/>
          <w:szCs w:val="24"/>
        </w:rPr>
        <w:t xml:space="preserve"> </w:t>
      </w:r>
      <w:proofErr w:type="spellStart"/>
      <w:r w:rsidR="00506CDD" w:rsidRPr="001C3611">
        <w:rPr>
          <w:rFonts w:ascii="Times New Roman" w:hAnsi="Times New Roman" w:cs="Times New Roman"/>
          <w:sz w:val="24"/>
          <w:szCs w:val="24"/>
        </w:rPr>
        <w:t>digitization</w:t>
      </w:r>
      <w:proofErr w:type="spellEnd"/>
      <w:r w:rsidR="00506CDD" w:rsidRPr="001C3611">
        <w:rPr>
          <w:rFonts w:ascii="Times New Roman" w:hAnsi="Times New Roman" w:cs="Times New Roman"/>
          <w:sz w:val="24"/>
          <w:szCs w:val="24"/>
        </w:rPr>
        <w:t xml:space="preserve"> </w:t>
      </w:r>
      <w:proofErr w:type="spellStart"/>
      <w:r w:rsidR="00506CDD" w:rsidRPr="001C3611">
        <w:rPr>
          <w:rFonts w:ascii="Times New Roman" w:hAnsi="Times New Roman" w:cs="Times New Roman"/>
          <w:sz w:val="24"/>
          <w:szCs w:val="24"/>
        </w:rPr>
        <w:t>can</w:t>
      </w:r>
      <w:proofErr w:type="spellEnd"/>
      <w:r w:rsidR="00506CDD" w:rsidRPr="001C3611">
        <w:rPr>
          <w:rFonts w:ascii="Times New Roman" w:hAnsi="Times New Roman" w:cs="Times New Roman"/>
          <w:sz w:val="24"/>
          <w:szCs w:val="24"/>
        </w:rPr>
        <w:t xml:space="preserve"> </w:t>
      </w:r>
      <w:proofErr w:type="spellStart"/>
      <w:r w:rsidR="00506CDD" w:rsidRPr="001C3611">
        <w:rPr>
          <w:rFonts w:ascii="Times New Roman" w:hAnsi="Times New Roman" w:cs="Times New Roman"/>
          <w:sz w:val="24"/>
          <w:szCs w:val="24"/>
        </w:rPr>
        <w:t>become</w:t>
      </w:r>
      <w:proofErr w:type="spellEnd"/>
      <w:r w:rsidR="00506CDD" w:rsidRPr="001C3611">
        <w:rPr>
          <w:rFonts w:ascii="Times New Roman" w:hAnsi="Times New Roman" w:cs="Times New Roman"/>
          <w:sz w:val="24"/>
          <w:szCs w:val="24"/>
        </w:rPr>
        <w:t xml:space="preserve"> </w:t>
      </w:r>
      <w:proofErr w:type="spellStart"/>
      <w:r w:rsidR="00506CDD" w:rsidRPr="001C3611">
        <w:rPr>
          <w:rFonts w:ascii="Times New Roman" w:hAnsi="Times New Roman" w:cs="Times New Roman"/>
          <w:sz w:val="24"/>
          <w:szCs w:val="24"/>
        </w:rPr>
        <w:t>the</w:t>
      </w:r>
      <w:proofErr w:type="spellEnd"/>
      <w:r w:rsidR="00506CDD" w:rsidRPr="001C3611">
        <w:rPr>
          <w:rFonts w:ascii="Times New Roman" w:hAnsi="Times New Roman" w:cs="Times New Roman"/>
          <w:sz w:val="24"/>
          <w:szCs w:val="24"/>
        </w:rPr>
        <w:t xml:space="preserve"> </w:t>
      </w:r>
      <w:proofErr w:type="spellStart"/>
      <w:r w:rsidR="00506CDD" w:rsidRPr="001C3611">
        <w:rPr>
          <w:rFonts w:ascii="Times New Roman" w:hAnsi="Times New Roman" w:cs="Times New Roman"/>
          <w:sz w:val="24"/>
          <w:szCs w:val="24"/>
        </w:rPr>
        <w:t>next</w:t>
      </w:r>
      <w:proofErr w:type="spellEnd"/>
      <w:r w:rsidR="00506CDD" w:rsidRPr="001C3611">
        <w:rPr>
          <w:rFonts w:ascii="Times New Roman" w:hAnsi="Times New Roman" w:cs="Times New Roman"/>
          <w:sz w:val="24"/>
          <w:szCs w:val="24"/>
        </w:rPr>
        <w:t xml:space="preserve"> </w:t>
      </w:r>
      <w:proofErr w:type="spellStart"/>
      <w:r w:rsidR="00506CDD" w:rsidRPr="001C3611">
        <w:rPr>
          <w:rFonts w:ascii="Times New Roman" w:hAnsi="Times New Roman" w:cs="Times New Roman"/>
          <w:sz w:val="24"/>
          <w:szCs w:val="24"/>
        </w:rPr>
        <w:t>growth</w:t>
      </w:r>
      <w:proofErr w:type="spellEnd"/>
      <w:r w:rsidR="00506CDD" w:rsidRPr="001C3611">
        <w:rPr>
          <w:rFonts w:ascii="Times New Roman" w:hAnsi="Times New Roman" w:cs="Times New Roman"/>
          <w:sz w:val="24"/>
          <w:szCs w:val="24"/>
        </w:rPr>
        <w:t xml:space="preserve"> </w:t>
      </w:r>
      <w:proofErr w:type="spellStart"/>
      <w:r w:rsidR="00506CDD" w:rsidRPr="001C3611">
        <w:rPr>
          <w:rFonts w:ascii="Times New Roman" w:hAnsi="Times New Roman" w:cs="Times New Roman"/>
          <w:sz w:val="24"/>
          <w:szCs w:val="24"/>
        </w:rPr>
        <w:t>engine</w:t>
      </w:r>
      <w:proofErr w:type="spellEnd"/>
      <w:r w:rsidR="00506CDD" w:rsidRPr="001C3611">
        <w:rPr>
          <w:rFonts w:ascii="Times New Roman" w:hAnsi="Times New Roman" w:cs="Times New Roman"/>
          <w:sz w:val="24"/>
          <w:szCs w:val="24"/>
        </w:rPr>
        <w:t xml:space="preserve"> </w:t>
      </w:r>
      <w:proofErr w:type="spellStart"/>
      <w:r w:rsidR="00506CDD" w:rsidRPr="001C3611">
        <w:rPr>
          <w:rFonts w:ascii="Times New Roman" w:hAnsi="Times New Roman" w:cs="Times New Roman"/>
          <w:sz w:val="24"/>
          <w:szCs w:val="24"/>
        </w:rPr>
        <w:t>for</w:t>
      </w:r>
      <w:proofErr w:type="spellEnd"/>
      <w:r w:rsidR="00506CDD" w:rsidRPr="001C3611">
        <w:rPr>
          <w:rFonts w:ascii="Times New Roman" w:hAnsi="Times New Roman" w:cs="Times New Roman"/>
          <w:sz w:val="24"/>
          <w:szCs w:val="24"/>
        </w:rPr>
        <w:t xml:space="preserve"> </w:t>
      </w:r>
      <w:proofErr w:type="spellStart"/>
      <w:r w:rsidR="00506CDD" w:rsidRPr="001C3611">
        <w:rPr>
          <w:rFonts w:ascii="Times New Roman" w:hAnsi="Times New Roman" w:cs="Times New Roman"/>
          <w:sz w:val="24"/>
          <w:szCs w:val="24"/>
        </w:rPr>
        <w:t>Central</w:t>
      </w:r>
      <w:proofErr w:type="spellEnd"/>
      <w:r w:rsidR="00506CDD" w:rsidRPr="001C3611">
        <w:rPr>
          <w:rFonts w:ascii="Times New Roman" w:hAnsi="Times New Roman" w:cs="Times New Roman"/>
          <w:sz w:val="24"/>
          <w:szCs w:val="24"/>
        </w:rPr>
        <w:t xml:space="preserve"> </w:t>
      </w:r>
      <w:proofErr w:type="spellStart"/>
      <w:r w:rsidR="00506CDD" w:rsidRPr="001C3611">
        <w:rPr>
          <w:rFonts w:ascii="Times New Roman" w:hAnsi="Times New Roman" w:cs="Times New Roman"/>
          <w:sz w:val="24"/>
          <w:szCs w:val="24"/>
        </w:rPr>
        <w:t>and</w:t>
      </w:r>
      <w:proofErr w:type="spellEnd"/>
      <w:r w:rsidR="00506CDD" w:rsidRPr="001C3611">
        <w:rPr>
          <w:rFonts w:ascii="Times New Roman" w:hAnsi="Times New Roman" w:cs="Times New Roman"/>
          <w:sz w:val="24"/>
          <w:szCs w:val="24"/>
        </w:rPr>
        <w:t xml:space="preserve"> </w:t>
      </w:r>
      <w:proofErr w:type="spellStart"/>
      <w:r w:rsidR="00506CDD" w:rsidRPr="001C3611">
        <w:rPr>
          <w:rFonts w:ascii="Times New Roman" w:hAnsi="Times New Roman" w:cs="Times New Roman"/>
          <w:sz w:val="24"/>
          <w:szCs w:val="24"/>
        </w:rPr>
        <w:t>Eastern</w:t>
      </w:r>
      <w:proofErr w:type="spellEnd"/>
      <w:r w:rsidR="00506CDD" w:rsidRPr="001C3611">
        <w:rPr>
          <w:rFonts w:ascii="Times New Roman" w:hAnsi="Times New Roman" w:cs="Times New Roman"/>
          <w:sz w:val="24"/>
          <w:szCs w:val="24"/>
        </w:rPr>
        <w:t xml:space="preserve"> </w:t>
      </w:r>
      <w:proofErr w:type="spellStart"/>
      <w:r w:rsidR="00506CDD" w:rsidRPr="001C3611">
        <w:rPr>
          <w:rFonts w:ascii="Times New Roman" w:hAnsi="Times New Roman" w:cs="Times New Roman"/>
          <w:sz w:val="24"/>
          <w:szCs w:val="24"/>
        </w:rPr>
        <w:t>Europe</w:t>
      </w:r>
      <w:proofErr w:type="spellEnd"/>
      <w:r w:rsidRPr="001C3611">
        <w:rPr>
          <w:rFonts w:ascii="Times New Roman" w:hAnsi="Times New Roman" w:cs="Times New Roman"/>
          <w:sz w:val="24"/>
          <w:szCs w:val="24"/>
        </w:rPr>
        <w:t>;</w:t>
      </w:r>
      <w:r w:rsidR="00506CDD" w:rsidRPr="001C3611">
        <w:rPr>
          <w:rFonts w:ascii="Times New Roman" w:hAnsi="Times New Roman" w:cs="Times New Roman"/>
          <w:sz w:val="24"/>
          <w:szCs w:val="24"/>
        </w:rPr>
        <w:t xml:space="preserve"> </w:t>
      </w:r>
      <w:proofErr w:type="spellStart"/>
      <w:r w:rsidR="00506CDD" w:rsidRPr="001C3611">
        <w:rPr>
          <w:rFonts w:ascii="Times New Roman" w:hAnsi="Times New Roman" w:cs="Times New Roman"/>
          <w:sz w:val="24"/>
          <w:szCs w:val="24"/>
        </w:rPr>
        <w:t>The</w:t>
      </w:r>
      <w:proofErr w:type="spellEnd"/>
      <w:r w:rsidR="00506CDD" w:rsidRPr="001C3611">
        <w:rPr>
          <w:rFonts w:ascii="Times New Roman" w:hAnsi="Times New Roman" w:cs="Times New Roman"/>
          <w:sz w:val="24"/>
          <w:szCs w:val="24"/>
        </w:rPr>
        <w:t xml:space="preserve"> </w:t>
      </w:r>
      <w:proofErr w:type="spellStart"/>
      <w:r w:rsidR="00506CDD" w:rsidRPr="001C3611">
        <w:rPr>
          <w:rFonts w:ascii="Times New Roman" w:hAnsi="Times New Roman" w:cs="Times New Roman"/>
          <w:sz w:val="24"/>
          <w:szCs w:val="24"/>
        </w:rPr>
        <w:t>Future</w:t>
      </w:r>
      <w:proofErr w:type="spellEnd"/>
      <w:r w:rsidR="00506CDD" w:rsidRPr="001C3611">
        <w:rPr>
          <w:rFonts w:ascii="Times New Roman" w:hAnsi="Times New Roman" w:cs="Times New Roman"/>
          <w:sz w:val="24"/>
          <w:szCs w:val="24"/>
        </w:rPr>
        <w:t xml:space="preserve"> of </w:t>
      </w:r>
      <w:proofErr w:type="spellStart"/>
      <w:r w:rsidR="00506CDD" w:rsidRPr="001C3611">
        <w:rPr>
          <w:rFonts w:ascii="Times New Roman" w:hAnsi="Times New Roman" w:cs="Times New Roman"/>
          <w:sz w:val="24"/>
          <w:szCs w:val="24"/>
        </w:rPr>
        <w:t>Data</w:t>
      </w:r>
      <w:proofErr w:type="spellEnd"/>
      <w:r w:rsidR="00506CDD" w:rsidRPr="001C3611">
        <w:rPr>
          <w:rFonts w:ascii="Times New Roman" w:hAnsi="Times New Roman" w:cs="Times New Roman"/>
          <w:sz w:val="24"/>
          <w:szCs w:val="24"/>
        </w:rPr>
        <w:t xml:space="preserve">: </w:t>
      </w:r>
      <w:proofErr w:type="spellStart"/>
      <w:r w:rsidR="00506CDD" w:rsidRPr="001C3611">
        <w:rPr>
          <w:rFonts w:ascii="Times New Roman" w:hAnsi="Times New Roman" w:cs="Times New Roman"/>
          <w:sz w:val="24"/>
          <w:szCs w:val="24"/>
        </w:rPr>
        <w:t>Adjusting</w:t>
      </w:r>
      <w:proofErr w:type="spellEnd"/>
      <w:r w:rsidR="00506CDD" w:rsidRPr="001C3611">
        <w:rPr>
          <w:rFonts w:ascii="Times New Roman" w:hAnsi="Times New Roman" w:cs="Times New Roman"/>
          <w:sz w:val="24"/>
          <w:szCs w:val="24"/>
        </w:rPr>
        <w:t xml:space="preserve"> to </w:t>
      </w:r>
      <w:proofErr w:type="spellStart"/>
      <w:r w:rsidR="00506CDD" w:rsidRPr="001C3611">
        <w:rPr>
          <w:rFonts w:ascii="Times New Roman" w:hAnsi="Times New Roman" w:cs="Times New Roman"/>
          <w:sz w:val="24"/>
          <w:szCs w:val="24"/>
        </w:rPr>
        <w:t>an</w:t>
      </w:r>
      <w:proofErr w:type="spellEnd"/>
      <w:r w:rsidR="00506CDD" w:rsidRPr="001C3611">
        <w:rPr>
          <w:rFonts w:ascii="Times New Roman" w:hAnsi="Times New Roman" w:cs="Times New Roman"/>
          <w:sz w:val="24"/>
          <w:szCs w:val="24"/>
        </w:rPr>
        <w:t xml:space="preserve"> </w:t>
      </w:r>
      <w:proofErr w:type="spellStart"/>
      <w:r w:rsidR="00506CDD" w:rsidRPr="001C3611">
        <w:rPr>
          <w:rFonts w:ascii="Times New Roman" w:hAnsi="Times New Roman" w:cs="Times New Roman"/>
          <w:sz w:val="24"/>
          <w:szCs w:val="24"/>
        </w:rPr>
        <w:t>opt-in</w:t>
      </w:r>
      <w:proofErr w:type="spellEnd"/>
      <w:r w:rsidR="00506CDD" w:rsidRPr="001C3611">
        <w:rPr>
          <w:rFonts w:ascii="Times New Roman" w:hAnsi="Times New Roman" w:cs="Times New Roman"/>
          <w:sz w:val="24"/>
          <w:szCs w:val="24"/>
        </w:rPr>
        <w:t xml:space="preserve"> </w:t>
      </w:r>
      <w:proofErr w:type="spellStart"/>
      <w:r w:rsidR="00506CDD" w:rsidRPr="001C3611">
        <w:rPr>
          <w:rFonts w:ascii="Times New Roman" w:hAnsi="Times New Roman" w:cs="Times New Roman"/>
          <w:sz w:val="24"/>
          <w:szCs w:val="24"/>
        </w:rPr>
        <w:t>economy</w:t>
      </w:r>
      <w:proofErr w:type="spellEnd"/>
      <w:r w:rsidR="00506CDD" w:rsidRPr="001C3611">
        <w:rPr>
          <w:rFonts w:ascii="Times New Roman" w:hAnsi="Times New Roman" w:cs="Times New Roman"/>
          <w:sz w:val="24"/>
          <w:szCs w:val="24"/>
        </w:rPr>
        <w:t xml:space="preserve"> u.c.)</w:t>
      </w:r>
      <w:r w:rsidRPr="001C3611">
        <w:rPr>
          <w:rFonts w:ascii="Times New Roman" w:hAnsi="Times New Roman" w:cs="Times New Roman"/>
          <w:sz w:val="24"/>
          <w:szCs w:val="24"/>
        </w:rPr>
        <w:t>.</w:t>
      </w:r>
    </w:p>
    <w:p w14:paraId="565AF8E6" w14:textId="77777777" w:rsidR="00777971" w:rsidRPr="001C3611" w:rsidRDefault="00506CDD" w:rsidP="00205459">
      <w:pPr>
        <w:spacing w:line="276" w:lineRule="auto"/>
        <w:jc w:val="both"/>
        <w:rPr>
          <w:rFonts w:ascii="Times New Roman" w:hAnsi="Times New Roman" w:cs="Times New Roman"/>
          <w:sz w:val="24"/>
          <w:szCs w:val="24"/>
        </w:rPr>
      </w:pPr>
      <w:r w:rsidRPr="001C3611">
        <w:rPr>
          <w:rFonts w:ascii="Times New Roman" w:hAnsi="Times New Roman" w:cs="Times New Roman"/>
          <w:sz w:val="24"/>
          <w:szCs w:val="24"/>
        </w:rPr>
        <w:t xml:space="preserve">Pirmā posma noslēgumā Izpildītājs nodod Pasūtītājam </w:t>
      </w:r>
      <w:proofErr w:type="spellStart"/>
      <w:r w:rsidRPr="001C3611">
        <w:rPr>
          <w:rFonts w:ascii="Times New Roman" w:hAnsi="Times New Roman" w:cs="Times New Roman"/>
          <w:sz w:val="24"/>
          <w:szCs w:val="24"/>
        </w:rPr>
        <w:t>priekšizpētes</w:t>
      </w:r>
      <w:proofErr w:type="spellEnd"/>
      <w:r w:rsidRPr="001C3611">
        <w:rPr>
          <w:rFonts w:ascii="Times New Roman" w:hAnsi="Times New Roman" w:cs="Times New Roman"/>
          <w:sz w:val="24"/>
          <w:szCs w:val="24"/>
        </w:rPr>
        <w:t xml:space="preserve"> ziņojumu, kurā ir apkopota informācija par </w:t>
      </w:r>
      <w:proofErr w:type="spellStart"/>
      <w:r w:rsidRPr="001C3611">
        <w:rPr>
          <w:rFonts w:ascii="Times New Roman" w:hAnsi="Times New Roman" w:cs="Times New Roman"/>
          <w:sz w:val="24"/>
          <w:szCs w:val="24"/>
        </w:rPr>
        <w:t>priekšizpētē</w:t>
      </w:r>
      <w:proofErr w:type="spellEnd"/>
      <w:r w:rsidRPr="001C3611">
        <w:rPr>
          <w:rFonts w:ascii="Times New Roman" w:hAnsi="Times New Roman" w:cs="Times New Roman"/>
          <w:sz w:val="24"/>
          <w:szCs w:val="24"/>
        </w:rPr>
        <w:t xml:space="preserve"> iegūtajiem rezultātiem.</w:t>
      </w:r>
      <w:r w:rsidR="00777971" w:rsidRPr="001C3611">
        <w:rPr>
          <w:rFonts w:ascii="Times New Roman" w:hAnsi="Times New Roman" w:cs="Times New Roman"/>
          <w:sz w:val="24"/>
          <w:szCs w:val="24"/>
        </w:rPr>
        <w:t xml:space="preserve"> </w:t>
      </w:r>
    </w:p>
    <w:p w14:paraId="7C007305" w14:textId="1C2E449C" w:rsidR="00777971" w:rsidRPr="001C3611" w:rsidRDefault="002175C8" w:rsidP="00205459">
      <w:pPr>
        <w:spacing w:line="276" w:lineRule="auto"/>
        <w:jc w:val="both"/>
        <w:rPr>
          <w:rFonts w:ascii="Times New Roman" w:hAnsi="Times New Roman" w:cs="Times New Roman"/>
          <w:sz w:val="24"/>
          <w:szCs w:val="24"/>
        </w:rPr>
      </w:pPr>
      <w:proofErr w:type="spellStart"/>
      <w:r w:rsidRPr="001C3611">
        <w:rPr>
          <w:rFonts w:ascii="Times New Roman" w:hAnsi="Times New Roman" w:cs="Times New Roman"/>
          <w:iCs/>
          <w:sz w:val="24"/>
          <w:szCs w:val="24"/>
        </w:rPr>
        <w:t>Izvērtējuma</w:t>
      </w:r>
      <w:proofErr w:type="spellEnd"/>
      <w:r w:rsidRPr="001C3611">
        <w:rPr>
          <w:rFonts w:ascii="Times New Roman" w:hAnsi="Times New Roman" w:cs="Times New Roman"/>
          <w:iCs/>
          <w:sz w:val="24"/>
          <w:szCs w:val="24"/>
        </w:rPr>
        <w:t xml:space="preserve"> sākuma posmā tika </w:t>
      </w:r>
      <w:r w:rsidR="000A2C16" w:rsidRPr="001C3611">
        <w:rPr>
          <w:rFonts w:ascii="Times New Roman" w:hAnsi="Times New Roman" w:cs="Times New Roman"/>
          <w:iCs/>
          <w:sz w:val="24"/>
          <w:szCs w:val="24"/>
        </w:rPr>
        <w:t xml:space="preserve">izvērtēta pieejamā dokumentācija attiecībā uz </w:t>
      </w:r>
      <w:r w:rsidR="000A2C16" w:rsidRPr="001C3611">
        <w:rPr>
          <w:rFonts w:ascii="Times New Roman" w:hAnsi="Times New Roman" w:cs="Times New Roman"/>
          <w:sz w:val="24"/>
          <w:szCs w:val="24"/>
        </w:rPr>
        <w:t>OECD projektā “</w:t>
      </w:r>
      <w:proofErr w:type="spellStart"/>
      <w:r w:rsidR="000A2C16" w:rsidRPr="001C3611">
        <w:rPr>
          <w:rFonts w:ascii="Times New Roman" w:hAnsi="Times New Roman" w:cs="Times New Roman"/>
          <w:sz w:val="24"/>
          <w:szCs w:val="24"/>
        </w:rPr>
        <w:t>Going</w:t>
      </w:r>
      <w:proofErr w:type="spellEnd"/>
      <w:r w:rsidR="000A2C16" w:rsidRPr="001C3611">
        <w:rPr>
          <w:rFonts w:ascii="Times New Roman" w:hAnsi="Times New Roman" w:cs="Times New Roman"/>
          <w:sz w:val="24"/>
          <w:szCs w:val="24"/>
        </w:rPr>
        <w:t xml:space="preserve"> </w:t>
      </w:r>
      <w:proofErr w:type="spellStart"/>
      <w:r w:rsidR="000A2C16" w:rsidRPr="001C3611">
        <w:rPr>
          <w:rFonts w:ascii="Times New Roman" w:hAnsi="Times New Roman" w:cs="Times New Roman"/>
          <w:sz w:val="24"/>
          <w:szCs w:val="24"/>
        </w:rPr>
        <w:t>Digital</w:t>
      </w:r>
      <w:proofErr w:type="spellEnd"/>
      <w:r w:rsidR="000A2C16" w:rsidRPr="001C3611">
        <w:rPr>
          <w:rFonts w:ascii="Times New Roman" w:hAnsi="Times New Roman" w:cs="Times New Roman"/>
          <w:sz w:val="24"/>
          <w:szCs w:val="24"/>
        </w:rPr>
        <w:t xml:space="preserve"> </w:t>
      </w:r>
      <w:proofErr w:type="spellStart"/>
      <w:r w:rsidR="000A2C16" w:rsidRPr="001C3611">
        <w:rPr>
          <w:rFonts w:ascii="Times New Roman" w:hAnsi="Times New Roman" w:cs="Times New Roman"/>
          <w:sz w:val="24"/>
          <w:szCs w:val="24"/>
        </w:rPr>
        <w:t>in</w:t>
      </w:r>
      <w:proofErr w:type="spellEnd"/>
      <w:r w:rsidR="000A2C16" w:rsidRPr="001C3611">
        <w:rPr>
          <w:rFonts w:ascii="Times New Roman" w:hAnsi="Times New Roman" w:cs="Times New Roman"/>
          <w:sz w:val="24"/>
          <w:szCs w:val="24"/>
        </w:rPr>
        <w:t xml:space="preserve"> Latvia” ietve</w:t>
      </w:r>
      <w:r w:rsidR="001C3611">
        <w:rPr>
          <w:rFonts w:ascii="Times New Roman" w:hAnsi="Times New Roman" w:cs="Times New Roman"/>
          <w:sz w:val="24"/>
          <w:szCs w:val="24"/>
        </w:rPr>
        <w:t>r</w:t>
      </w:r>
      <w:r w:rsidR="000A2C16" w:rsidRPr="001C3611">
        <w:rPr>
          <w:rFonts w:ascii="Times New Roman" w:hAnsi="Times New Roman" w:cs="Times New Roman"/>
          <w:sz w:val="24"/>
          <w:szCs w:val="24"/>
        </w:rPr>
        <w:t xml:space="preserve">to saturu par kuru ir noslēgts sadarbības līgums starp Latvijas Republiku un OECD, kas paredz veikt Latvijas digitālās transformācijas </w:t>
      </w:r>
      <w:proofErr w:type="spellStart"/>
      <w:r w:rsidR="000A2C16" w:rsidRPr="001C3611">
        <w:rPr>
          <w:rFonts w:ascii="Times New Roman" w:hAnsi="Times New Roman" w:cs="Times New Roman"/>
          <w:sz w:val="24"/>
          <w:szCs w:val="24"/>
        </w:rPr>
        <w:t>izvērtējumu</w:t>
      </w:r>
      <w:proofErr w:type="spellEnd"/>
      <w:r w:rsidR="000A2C16" w:rsidRPr="001C3611">
        <w:rPr>
          <w:rFonts w:ascii="Times New Roman" w:hAnsi="Times New Roman" w:cs="Times New Roman"/>
          <w:sz w:val="24"/>
          <w:szCs w:val="24"/>
        </w:rPr>
        <w:t xml:space="preserve"> (</w:t>
      </w:r>
      <w:proofErr w:type="spellStart"/>
      <w:r w:rsidR="000A2C16" w:rsidRPr="001C3611">
        <w:rPr>
          <w:rFonts w:ascii="Times New Roman" w:hAnsi="Times New Roman" w:cs="Times New Roman"/>
          <w:sz w:val="24"/>
          <w:szCs w:val="24"/>
        </w:rPr>
        <w:t>izvērtējuma</w:t>
      </w:r>
      <w:proofErr w:type="spellEnd"/>
      <w:r w:rsidR="000A2C16" w:rsidRPr="001C3611">
        <w:rPr>
          <w:rFonts w:ascii="Times New Roman" w:hAnsi="Times New Roman" w:cs="Times New Roman"/>
          <w:sz w:val="24"/>
          <w:szCs w:val="24"/>
        </w:rPr>
        <w:t xml:space="preserve"> periods 2018.gada decembris – 2020.gada jūnijs). </w:t>
      </w:r>
    </w:p>
    <w:p w14:paraId="258CF2FD" w14:textId="4C5BE22B" w:rsidR="000A2C16" w:rsidRPr="001C3611" w:rsidRDefault="000A2C16" w:rsidP="00205459">
      <w:pPr>
        <w:spacing w:line="276" w:lineRule="auto"/>
        <w:jc w:val="both"/>
        <w:rPr>
          <w:rFonts w:ascii="Times New Roman" w:hAnsi="Times New Roman" w:cs="Times New Roman"/>
          <w:sz w:val="24"/>
          <w:szCs w:val="24"/>
        </w:rPr>
      </w:pPr>
      <w:r w:rsidRPr="001C3611">
        <w:rPr>
          <w:rFonts w:ascii="Times New Roman" w:hAnsi="Times New Roman" w:cs="Times New Roman"/>
          <w:sz w:val="24"/>
          <w:szCs w:val="24"/>
        </w:rPr>
        <w:t xml:space="preserve">Latvijas mērķis ir </w:t>
      </w:r>
      <w:proofErr w:type="spellStart"/>
      <w:r w:rsidRPr="001C3611">
        <w:rPr>
          <w:rFonts w:ascii="Times New Roman" w:hAnsi="Times New Roman" w:cs="Times New Roman"/>
          <w:sz w:val="24"/>
          <w:szCs w:val="24"/>
        </w:rPr>
        <w:t>izvērtējuma</w:t>
      </w:r>
      <w:proofErr w:type="spellEnd"/>
      <w:r w:rsidRPr="001C3611">
        <w:rPr>
          <w:rFonts w:ascii="Times New Roman" w:hAnsi="Times New Roman" w:cs="Times New Roman"/>
          <w:sz w:val="24"/>
          <w:szCs w:val="24"/>
        </w:rPr>
        <w:t xml:space="preserve"> rezultātus vērst uz politikas turpmāko izstrādi, lai veicinātu </w:t>
      </w:r>
      <w:proofErr w:type="spellStart"/>
      <w:r w:rsidRPr="001C3611">
        <w:rPr>
          <w:rFonts w:ascii="Times New Roman" w:hAnsi="Times New Roman" w:cs="Times New Roman"/>
          <w:sz w:val="24"/>
          <w:szCs w:val="24"/>
        </w:rPr>
        <w:t>digitalizācijas</w:t>
      </w:r>
      <w:proofErr w:type="spellEnd"/>
      <w:r w:rsidRPr="001C3611">
        <w:rPr>
          <w:rFonts w:ascii="Times New Roman" w:hAnsi="Times New Roman" w:cs="Times New Roman"/>
          <w:sz w:val="24"/>
          <w:szCs w:val="24"/>
        </w:rPr>
        <w:t xml:space="preserve"> attīstību Latvijā un celtu inovācijas potenciālu, kas palīdzētu Latvijai veiksmīgāk konkurēt starptautiskā līmenī un pielāgoties mūsdienu situācijas izaicinājumiem.</w:t>
      </w:r>
      <w:r w:rsidRPr="001C3611">
        <w:rPr>
          <w:rFonts w:ascii="Times New Roman" w:eastAsia="Calibri" w:hAnsi="Times New Roman" w:cs="Times New Roman"/>
          <w:sz w:val="24"/>
          <w:szCs w:val="24"/>
        </w:rPr>
        <w:t xml:space="preserve"> </w:t>
      </w:r>
      <w:r w:rsidRPr="001C3611">
        <w:rPr>
          <w:rFonts w:ascii="Times New Roman" w:hAnsi="Times New Roman" w:cs="Times New Roman"/>
          <w:sz w:val="24"/>
          <w:szCs w:val="24"/>
        </w:rPr>
        <w:t>Lai varētu skaidri un precīzi definēt rīcības virzienus digitālās transformācijas attīstībai tos sasaistot ar viedās specializācijas stratēģiju un to ekosistēmām ir nepieciešams izstrādāt priekšlikumus veiksmīgai politikas īstenošanai.</w:t>
      </w:r>
    </w:p>
    <w:p w14:paraId="48CB2E6E" w14:textId="35C113E5" w:rsidR="00777971" w:rsidRPr="001C3611" w:rsidRDefault="00777971" w:rsidP="000A2C16">
      <w:pPr>
        <w:jc w:val="both"/>
        <w:rPr>
          <w:rFonts w:ascii="Times New Roman" w:hAnsi="Times New Roman" w:cs="Times New Roman"/>
          <w:sz w:val="24"/>
          <w:szCs w:val="24"/>
        </w:rPr>
      </w:pPr>
    </w:p>
    <w:p w14:paraId="4B24FB2D" w14:textId="64C4D605" w:rsidR="00777971" w:rsidRPr="001C3611" w:rsidRDefault="00777971" w:rsidP="000A2C16">
      <w:pPr>
        <w:jc w:val="both"/>
        <w:rPr>
          <w:rFonts w:ascii="Times New Roman" w:hAnsi="Times New Roman" w:cs="Times New Roman"/>
          <w:sz w:val="24"/>
          <w:szCs w:val="24"/>
        </w:rPr>
      </w:pPr>
    </w:p>
    <w:p w14:paraId="6E537480" w14:textId="12A947EA" w:rsidR="00777971" w:rsidRPr="001C3611" w:rsidRDefault="00777971" w:rsidP="000A2C16">
      <w:pPr>
        <w:jc w:val="both"/>
        <w:rPr>
          <w:rFonts w:ascii="Times New Roman" w:hAnsi="Times New Roman" w:cs="Times New Roman"/>
          <w:sz w:val="24"/>
          <w:szCs w:val="24"/>
        </w:rPr>
      </w:pPr>
    </w:p>
    <w:p w14:paraId="0338A7C4" w14:textId="2F88AFD2" w:rsidR="00777971" w:rsidRPr="001C3611" w:rsidRDefault="00777971" w:rsidP="000A2C16">
      <w:pPr>
        <w:jc w:val="both"/>
        <w:rPr>
          <w:rFonts w:ascii="Times New Roman" w:hAnsi="Times New Roman" w:cs="Times New Roman"/>
          <w:sz w:val="24"/>
          <w:szCs w:val="24"/>
        </w:rPr>
      </w:pPr>
    </w:p>
    <w:p w14:paraId="5571DE14" w14:textId="48C8EE84" w:rsidR="00777971" w:rsidRPr="001C3611" w:rsidRDefault="00777971" w:rsidP="000A2C16">
      <w:pPr>
        <w:jc w:val="both"/>
        <w:rPr>
          <w:rFonts w:ascii="Times New Roman" w:hAnsi="Times New Roman" w:cs="Times New Roman"/>
          <w:sz w:val="24"/>
          <w:szCs w:val="24"/>
        </w:rPr>
      </w:pPr>
    </w:p>
    <w:p w14:paraId="5F73201C" w14:textId="77777777" w:rsidR="00091E1C" w:rsidRPr="001C3611" w:rsidRDefault="00091E1C" w:rsidP="000A2C16">
      <w:pPr>
        <w:jc w:val="both"/>
        <w:rPr>
          <w:rFonts w:ascii="Times New Roman" w:hAnsi="Times New Roman" w:cs="Times New Roman"/>
          <w:sz w:val="24"/>
          <w:szCs w:val="24"/>
        </w:rPr>
      </w:pPr>
    </w:p>
    <w:p w14:paraId="722319AB" w14:textId="479CAFEE" w:rsidR="00777971" w:rsidRPr="001C3611" w:rsidRDefault="00777971" w:rsidP="000A2C16">
      <w:pPr>
        <w:jc w:val="both"/>
        <w:rPr>
          <w:rFonts w:ascii="Candara" w:hAnsi="Candara" w:cs="Times New Roman"/>
          <w:b/>
          <w:i/>
          <w:sz w:val="32"/>
          <w:szCs w:val="32"/>
        </w:rPr>
      </w:pPr>
    </w:p>
    <w:p w14:paraId="61160C35" w14:textId="261A1A1B" w:rsidR="00777971" w:rsidRDefault="00777971" w:rsidP="000A2C16">
      <w:pPr>
        <w:jc w:val="both"/>
        <w:rPr>
          <w:rFonts w:ascii="Candara" w:hAnsi="Candara" w:cs="Times New Roman"/>
          <w:b/>
          <w:i/>
          <w:sz w:val="32"/>
          <w:szCs w:val="32"/>
        </w:rPr>
      </w:pPr>
      <w:r w:rsidRPr="001C3611">
        <w:rPr>
          <w:rFonts w:ascii="Candara" w:hAnsi="Candara" w:cs="Times New Roman"/>
          <w:b/>
          <w:i/>
          <w:sz w:val="32"/>
          <w:szCs w:val="32"/>
        </w:rPr>
        <w:lastRenderedPageBreak/>
        <w:t xml:space="preserve">Priekšvārds un </w:t>
      </w:r>
      <w:proofErr w:type="spellStart"/>
      <w:r w:rsidRPr="001C3611">
        <w:rPr>
          <w:rFonts w:ascii="Candara" w:hAnsi="Candara" w:cs="Times New Roman"/>
          <w:b/>
          <w:i/>
          <w:sz w:val="32"/>
          <w:szCs w:val="32"/>
        </w:rPr>
        <w:t>izvērtējuma</w:t>
      </w:r>
      <w:proofErr w:type="spellEnd"/>
      <w:r w:rsidRPr="001C3611">
        <w:rPr>
          <w:rFonts w:ascii="Candara" w:hAnsi="Candara" w:cs="Times New Roman"/>
          <w:b/>
          <w:i/>
          <w:sz w:val="32"/>
          <w:szCs w:val="32"/>
        </w:rPr>
        <w:t xml:space="preserve"> konteksts</w:t>
      </w:r>
    </w:p>
    <w:p w14:paraId="526857B9" w14:textId="77777777" w:rsidR="001C3611" w:rsidRPr="001C3611" w:rsidRDefault="001C3611" w:rsidP="000A2C16">
      <w:pPr>
        <w:jc w:val="both"/>
        <w:rPr>
          <w:rFonts w:ascii="Candara" w:hAnsi="Candara" w:cs="Times New Roman"/>
          <w:b/>
          <w:i/>
          <w:sz w:val="32"/>
          <w:szCs w:val="32"/>
        </w:rPr>
      </w:pPr>
    </w:p>
    <w:p w14:paraId="084E61FB" w14:textId="77777777" w:rsidR="00334841" w:rsidRPr="001C3611" w:rsidRDefault="00777971" w:rsidP="00205459">
      <w:pPr>
        <w:spacing w:before="60" w:after="60" w:line="276" w:lineRule="auto"/>
        <w:jc w:val="both"/>
        <w:rPr>
          <w:rFonts w:ascii="Times New Roman" w:hAnsi="Times New Roman" w:cs="Times New Roman"/>
          <w:b/>
          <w:sz w:val="24"/>
          <w:szCs w:val="24"/>
          <w:shd w:val="clear" w:color="auto" w:fill="FFFFFF"/>
        </w:rPr>
      </w:pPr>
      <w:r w:rsidRPr="001C3611">
        <w:rPr>
          <w:rFonts w:ascii="Times New Roman" w:hAnsi="Times New Roman" w:cs="Times New Roman"/>
          <w:sz w:val="24"/>
          <w:szCs w:val="24"/>
          <w:shd w:val="clear" w:color="auto" w:fill="FFFFFF"/>
        </w:rPr>
        <w:t>Līdzsvarotas un konkurētspējīgas</w:t>
      </w:r>
      <w:r w:rsidR="00091E1C" w:rsidRPr="001C3611">
        <w:rPr>
          <w:rFonts w:ascii="Times New Roman" w:hAnsi="Times New Roman" w:cs="Times New Roman"/>
          <w:sz w:val="24"/>
          <w:szCs w:val="24"/>
          <w:shd w:val="clear" w:color="auto" w:fill="FFFFFF"/>
        </w:rPr>
        <w:t xml:space="preserve"> Latvijas</w:t>
      </w:r>
      <w:r w:rsidRPr="001C3611">
        <w:rPr>
          <w:rFonts w:ascii="Times New Roman" w:hAnsi="Times New Roman" w:cs="Times New Roman"/>
          <w:sz w:val="24"/>
          <w:szCs w:val="24"/>
          <w:shd w:val="clear" w:color="auto" w:fill="FFFFFF"/>
        </w:rPr>
        <w:t xml:space="preserve"> tautsaimniecības attīstība vidējā termiņā, panākot </w:t>
      </w:r>
      <w:r w:rsidRPr="00205459">
        <w:rPr>
          <w:rFonts w:ascii="Times New Roman" w:hAnsi="Times New Roman" w:cs="Times New Roman"/>
          <w:sz w:val="24"/>
          <w:szCs w:val="24"/>
          <w:shd w:val="clear" w:color="auto" w:fill="FFFFFF"/>
        </w:rPr>
        <w:t>stabilu un sabalansētu</w:t>
      </w:r>
      <w:r w:rsidR="00091E1C" w:rsidRPr="00205459">
        <w:rPr>
          <w:rFonts w:ascii="Times New Roman" w:hAnsi="Times New Roman" w:cs="Times New Roman"/>
          <w:sz w:val="24"/>
          <w:szCs w:val="24"/>
          <w:shd w:val="clear" w:color="auto" w:fill="FFFFFF"/>
        </w:rPr>
        <w:t xml:space="preserve"> IKP pieaugumu, vienlaikus straujāku kā vidēji ES 28 valstu grupā, ir bijis valdību ambiciozs uzstādījums un tas zināmā mērā ir arī izdevies</w:t>
      </w:r>
      <w:r w:rsidRPr="00205459">
        <w:rPr>
          <w:rFonts w:ascii="Times New Roman" w:hAnsi="Times New Roman" w:cs="Times New Roman"/>
          <w:sz w:val="24"/>
          <w:szCs w:val="24"/>
          <w:shd w:val="clear" w:color="auto" w:fill="FFFFFF"/>
        </w:rPr>
        <w:t>.</w:t>
      </w:r>
      <w:r w:rsidR="00091E1C" w:rsidRPr="00205459">
        <w:rPr>
          <w:rFonts w:ascii="Times New Roman" w:hAnsi="Times New Roman" w:cs="Times New Roman"/>
          <w:sz w:val="24"/>
          <w:szCs w:val="24"/>
          <w:shd w:val="clear" w:color="auto" w:fill="FFFFFF"/>
        </w:rPr>
        <w:t xml:space="preserve"> Lai arī pašlaik Latvijas ekonomika ir makroekonomiski sabalansēta, tomēr tai trūkst straujākas izaugsmes stimuli</w:t>
      </w:r>
      <w:r w:rsidR="00334841" w:rsidRPr="00205459">
        <w:rPr>
          <w:rFonts w:ascii="Times New Roman" w:hAnsi="Times New Roman" w:cs="Times New Roman"/>
          <w:sz w:val="24"/>
          <w:szCs w:val="24"/>
          <w:shd w:val="clear" w:color="auto" w:fill="FFFFFF"/>
        </w:rPr>
        <w:t>. E</w:t>
      </w:r>
      <w:r w:rsidR="00091E1C" w:rsidRPr="00205459">
        <w:rPr>
          <w:rFonts w:ascii="Times New Roman" w:hAnsi="Times New Roman" w:cs="Times New Roman"/>
          <w:sz w:val="24"/>
          <w:szCs w:val="24"/>
          <w:shd w:val="clear" w:color="auto" w:fill="FFFFFF"/>
        </w:rPr>
        <w:t xml:space="preserve">ksporta tirgus daļas </w:t>
      </w:r>
      <w:r w:rsidR="00334841" w:rsidRPr="00205459">
        <w:rPr>
          <w:rFonts w:ascii="Times New Roman" w:hAnsi="Times New Roman" w:cs="Times New Roman"/>
          <w:sz w:val="24"/>
          <w:szCs w:val="24"/>
          <w:shd w:val="clear" w:color="auto" w:fill="FFFFFF"/>
        </w:rPr>
        <w:t>rādītāju izmaiņas norāda uz konkurētspējas izaicinājumiem ar kuriem Latvijas ekonomika neizbēgami sastapsies jau tuvākajā nākotnē (2-3gadu kontekstā) pie nestabiliem ārējiem (jo īpaši ES eksporta tirgos) ekonomiskajiem procesiem.</w:t>
      </w:r>
      <w:r w:rsidR="00334841" w:rsidRPr="001C3611">
        <w:rPr>
          <w:rFonts w:ascii="Times New Roman" w:hAnsi="Times New Roman" w:cs="Times New Roman"/>
          <w:b/>
          <w:sz w:val="24"/>
          <w:szCs w:val="24"/>
          <w:shd w:val="clear" w:color="auto" w:fill="FFFFFF"/>
        </w:rPr>
        <w:t xml:space="preserve"> </w:t>
      </w:r>
    </w:p>
    <w:p w14:paraId="515B911F" w14:textId="5E629DD8" w:rsidR="00334841" w:rsidRPr="001C3611" w:rsidRDefault="00777971" w:rsidP="00205459">
      <w:pPr>
        <w:spacing w:before="60" w:after="60" w:line="276" w:lineRule="auto"/>
        <w:jc w:val="both"/>
        <w:rPr>
          <w:rFonts w:ascii="Times New Roman" w:hAnsi="Times New Roman" w:cs="Times New Roman"/>
          <w:sz w:val="24"/>
          <w:szCs w:val="24"/>
        </w:rPr>
      </w:pPr>
      <w:r w:rsidRPr="001C3611">
        <w:rPr>
          <w:rFonts w:ascii="Times New Roman" w:hAnsi="Times New Roman" w:cs="Times New Roman"/>
          <w:sz w:val="24"/>
          <w:szCs w:val="24"/>
        </w:rPr>
        <w:t>Ar mērķi panākt straujāku tautsaimniecības transformācijas procesu valdībai sadarbībā ar uzņēmējiem un zinātnes pārstāvjiem ir mērķtiecīgi jāīsteno pasākumu kopums, kurš vērsts uz ekonomisko subjektu augstāku darba ražīgumu un vienkāršu, drošu un ātru publisko pakalpojumu saņemšanu, tādējādi stiprinot sabiedrības vēlmi iesaistīties dažādu ekonomisku un sociālu vērtību radīšanā.</w:t>
      </w:r>
    </w:p>
    <w:p w14:paraId="5A01B253" w14:textId="77777777" w:rsidR="001A7DFA" w:rsidRDefault="00777971" w:rsidP="00205459">
      <w:pPr>
        <w:spacing w:before="60" w:after="60" w:line="276" w:lineRule="auto"/>
        <w:jc w:val="both"/>
        <w:rPr>
          <w:rFonts w:ascii="Times New Roman" w:hAnsi="Times New Roman" w:cs="Times New Roman"/>
          <w:sz w:val="24"/>
          <w:szCs w:val="24"/>
        </w:rPr>
      </w:pPr>
      <w:r w:rsidRPr="001C3611">
        <w:rPr>
          <w:rFonts w:ascii="Times New Roman" w:hAnsi="Times New Roman" w:cs="Times New Roman"/>
          <w:sz w:val="24"/>
          <w:szCs w:val="24"/>
        </w:rPr>
        <w:t>Latvijai ir</w:t>
      </w:r>
      <w:r w:rsidR="00334841" w:rsidRPr="001C3611">
        <w:rPr>
          <w:rFonts w:ascii="Times New Roman" w:hAnsi="Times New Roman" w:cs="Times New Roman"/>
          <w:sz w:val="24"/>
          <w:szCs w:val="24"/>
        </w:rPr>
        <w:t xml:space="preserve"> </w:t>
      </w:r>
      <w:r w:rsidRPr="001C3611">
        <w:rPr>
          <w:rFonts w:ascii="Times New Roman" w:hAnsi="Times New Roman" w:cs="Times New Roman"/>
          <w:sz w:val="24"/>
          <w:szCs w:val="24"/>
        </w:rPr>
        <w:t>priekšnoteikumi, lai attīstīt</w:t>
      </w:r>
      <w:r w:rsidR="00334841" w:rsidRPr="001C3611">
        <w:rPr>
          <w:rFonts w:ascii="Times New Roman" w:hAnsi="Times New Roman" w:cs="Times New Roman"/>
          <w:sz w:val="24"/>
          <w:szCs w:val="24"/>
        </w:rPr>
        <w:t xml:space="preserve">u </w:t>
      </w:r>
      <w:r w:rsidRPr="001C3611">
        <w:rPr>
          <w:rFonts w:ascii="Times New Roman" w:hAnsi="Times New Roman" w:cs="Times New Roman"/>
          <w:sz w:val="24"/>
          <w:szCs w:val="24"/>
        </w:rPr>
        <w:t xml:space="preserve">pasaules tirgū pieprasītus produktus/risinājumus. Ņemot vērā </w:t>
      </w:r>
      <w:proofErr w:type="spellStart"/>
      <w:r w:rsidRPr="001C3611">
        <w:rPr>
          <w:rFonts w:ascii="Times New Roman" w:hAnsi="Times New Roman" w:cs="Times New Roman"/>
          <w:sz w:val="24"/>
          <w:szCs w:val="24"/>
        </w:rPr>
        <w:t>digitalizācijas</w:t>
      </w:r>
      <w:proofErr w:type="spellEnd"/>
      <w:r w:rsidRPr="001C3611">
        <w:rPr>
          <w:rFonts w:ascii="Times New Roman" w:hAnsi="Times New Roman" w:cs="Times New Roman"/>
          <w:sz w:val="24"/>
          <w:szCs w:val="24"/>
        </w:rPr>
        <w:t xml:space="preserve"> straujo attīstību un tās tiešo ietekmi uz produktivitāti (līdz šim produktivitātes pieaugums tika bāzēts </w:t>
      </w:r>
      <w:proofErr w:type="spellStart"/>
      <w:r w:rsidRPr="001C3611">
        <w:rPr>
          <w:rFonts w:ascii="Times New Roman" w:hAnsi="Times New Roman" w:cs="Times New Roman"/>
          <w:sz w:val="24"/>
          <w:szCs w:val="24"/>
        </w:rPr>
        <w:t>cilvēkresursa</w:t>
      </w:r>
      <w:proofErr w:type="spellEnd"/>
      <w:r w:rsidRPr="001C3611">
        <w:rPr>
          <w:rFonts w:ascii="Times New Roman" w:hAnsi="Times New Roman" w:cs="Times New Roman"/>
          <w:sz w:val="24"/>
          <w:szCs w:val="24"/>
        </w:rPr>
        <w:t xml:space="preserve"> izmaksu un procesu izmaiņu vadībā), jau šobrīd pasaule un arī Latvija saskaras ar izaicinājumiem, kas saistīti  ar lēno darbaspēka produktivitātes pieauguma tempu (1-2% pieaugumu gadā</w:t>
      </w:r>
      <w:r w:rsidR="00756B6F" w:rsidRPr="001C3611">
        <w:rPr>
          <w:rStyle w:val="FootnoteReference"/>
          <w:rFonts w:ascii="Times New Roman" w:hAnsi="Times New Roman" w:cs="Times New Roman"/>
          <w:sz w:val="24"/>
          <w:szCs w:val="24"/>
        </w:rPr>
        <w:footnoteReference w:id="1"/>
      </w:r>
      <w:r w:rsidRPr="001C3611">
        <w:rPr>
          <w:rFonts w:ascii="Times New Roman" w:hAnsi="Times New Roman" w:cs="Times New Roman"/>
          <w:sz w:val="24"/>
          <w:szCs w:val="24"/>
        </w:rPr>
        <w:t>), kā arī darba roku limitētu pieejamību.</w:t>
      </w:r>
      <w:r w:rsidR="002412FE" w:rsidRPr="001C3611">
        <w:rPr>
          <w:rFonts w:ascii="Times New Roman" w:hAnsi="Times New Roman" w:cs="Times New Roman"/>
          <w:sz w:val="24"/>
          <w:szCs w:val="24"/>
        </w:rPr>
        <w:t xml:space="preserve"> </w:t>
      </w:r>
      <w:proofErr w:type="spellStart"/>
      <w:r w:rsidR="002412FE" w:rsidRPr="001C3611">
        <w:rPr>
          <w:rFonts w:ascii="Times New Roman" w:hAnsi="Times New Roman" w:cs="Times New Roman"/>
          <w:sz w:val="24"/>
          <w:szCs w:val="24"/>
        </w:rPr>
        <w:t>Digiālā</w:t>
      </w:r>
      <w:proofErr w:type="spellEnd"/>
      <w:r w:rsidR="002412FE" w:rsidRPr="001C3611">
        <w:rPr>
          <w:rFonts w:ascii="Times New Roman" w:hAnsi="Times New Roman" w:cs="Times New Roman"/>
          <w:sz w:val="24"/>
          <w:szCs w:val="24"/>
        </w:rPr>
        <w:t xml:space="preserve"> transformācija ir uzņēmusi </w:t>
      </w:r>
      <w:proofErr w:type="spellStart"/>
      <w:r w:rsidR="002412FE" w:rsidRPr="001C3611">
        <w:rPr>
          <w:rFonts w:ascii="Times New Roman" w:hAnsi="Times New Roman" w:cs="Times New Roman"/>
          <w:sz w:val="24"/>
          <w:szCs w:val="24"/>
        </w:rPr>
        <w:t>apgriezienus</w:t>
      </w:r>
      <w:proofErr w:type="spellEnd"/>
      <w:r w:rsidR="002412FE" w:rsidRPr="001C3611">
        <w:rPr>
          <w:rFonts w:ascii="Times New Roman" w:hAnsi="Times New Roman" w:cs="Times New Roman"/>
          <w:sz w:val="24"/>
          <w:szCs w:val="24"/>
        </w:rPr>
        <w:t>, vairāk jau kā 40% no pasaules iedzīvotājiem ir iesaistīti digitālajos tīklos</w:t>
      </w:r>
      <w:r w:rsidR="00107BC2" w:rsidRPr="001C3611">
        <w:rPr>
          <w:rFonts w:ascii="Times New Roman" w:hAnsi="Times New Roman" w:cs="Times New Roman"/>
          <w:sz w:val="24"/>
          <w:szCs w:val="24"/>
        </w:rPr>
        <w:t xml:space="preserve"> </w:t>
      </w:r>
      <w:r w:rsidR="002412FE" w:rsidRPr="001C3611">
        <w:rPr>
          <w:rFonts w:ascii="Times New Roman" w:hAnsi="Times New Roman" w:cs="Times New Roman"/>
          <w:sz w:val="24"/>
          <w:szCs w:val="24"/>
        </w:rPr>
        <w:t>salīdzinājumā ar 4% 1995.gadā</w:t>
      </w:r>
      <w:r w:rsidR="00205459" w:rsidRPr="001C3611">
        <w:rPr>
          <w:rStyle w:val="FootnoteReference"/>
          <w:rFonts w:ascii="Times New Roman" w:hAnsi="Times New Roman" w:cs="Times New Roman"/>
          <w:sz w:val="24"/>
          <w:szCs w:val="24"/>
        </w:rPr>
        <w:footnoteReference w:id="2"/>
      </w:r>
      <w:r w:rsidR="002412FE" w:rsidRPr="001C3611">
        <w:rPr>
          <w:rFonts w:ascii="Times New Roman" w:hAnsi="Times New Roman" w:cs="Times New Roman"/>
          <w:sz w:val="24"/>
          <w:szCs w:val="24"/>
        </w:rPr>
        <w:t xml:space="preserve"> un ik gadu jauno digitālo tehnoloģiju ietekme uz valstu ekonomiku transformāciju ar vien palielina savu ietekmi</w:t>
      </w:r>
      <w:r w:rsidR="00205459">
        <w:rPr>
          <w:rFonts w:ascii="Times New Roman" w:hAnsi="Times New Roman" w:cs="Times New Roman"/>
          <w:sz w:val="24"/>
          <w:szCs w:val="24"/>
        </w:rPr>
        <w:t xml:space="preserve"> </w:t>
      </w:r>
      <w:r w:rsidR="00205459" w:rsidRPr="001C3611">
        <w:rPr>
          <w:rFonts w:ascii="Times New Roman" w:hAnsi="Times New Roman" w:cs="Times New Roman"/>
          <w:sz w:val="24"/>
          <w:szCs w:val="24"/>
        </w:rPr>
        <w:t>(piem., v</w:t>
      </w:r>
      <w:r w:rsidR="00107BC2" w:rsidRPr="00107BC2">
        <w:rPr>
          <w:rFonts w:ascii="Times New Roman" w:hAnsi="Times New Roman" w:cs="Times New Roman"/>
          <w:sz w:val="24"/>
          <w:szCs w:val="24"/>
        </w:rPr>
        <w:t>idējais ikgadējais globālā B2C</w:t>
      </w:r>
      <w:r w:rsidR="00205459" w:rsidRPr="001C3611">
        <w:rPr>
          <w:rFonts w:ascii="Times New Roman" w:hAnsi="Times New Roman" w:cs="Times New Roman"/>
          <w:sz w:val="24"/>
          <w:szCs w:val="24"/>
        </w:rPr>
        <w:t xml:space="preserve"> (</w:t>
      </w:r>
      <w:proofErr w:type="spellStart"/>
      <w:r w:rsidR="00205459" w:rsidRPr="001C3611">
        <w:rPr>
          <w:rFonts w:ascii="Times New Roman" w:hAnsi="Times New Roman" w:cs="Times New Roman"/>
          <w:i/>
          <w:sz w:val="24"/>
          <w:szCs w:val="24"/>
        </w:rPr>
        <w:t>business</w:t>
      </w:r>
      <w:proofErr w:type="spellEnd"/>
      <w:r w:rsidR="00205459" w:rsidRPr="001C3611">
        <w:rPr>
          <w:rFonts w:ascii="Times New Roman" w:hAnsi="Times New Roman" w:cs="Times New Roman"/>
          <w:i/>
          <w:sz w:val="24"/>
          <w:szCs w:val="24"/>
        </w:rPr>
        <w:t xml:space="preserve"> to </w:t>
      </w:r>
      <w:proofErr w:type="spellStart"/>
      <w:r w:rsidR="00205459" w:rsidRPr="001C3611">
        <w:rPr>
          <w:rFonts w:ascii="Times New Roman" w:hAnsi="Times New Roman" w:cs="Times New Roman"/>
          <w:i/>
          <w:sz w:val="24"/>
          <w:szCs w:val="24"/>
        </w:rPr>
        <w:t>client</w:t>
      </w:r>
      <w:proofErr w:type="spellEnd"/>
      <w:r w:rsidR="00205459" w:rsidRPr="001C3611">
        <w:rPr>
          <w:rFonts w:ascii="Times New Roman" w:hAnsi="Times New Roman" w:cs="Times New Roman"/>
          <w:sz w:val="24"/>
          <w:szCs w:val="24"/>
        </w:rPr>
        <w:t>)</w:t>
      </w:r>
      <w:r w:rsidR="00107BC2" w:rsidRPr="00107BC2">
        <w:rPr>
          <w:rFonts w:ascii="Times New Roman" w:hAnsi="Times New Roman" w:cs="Times New Roman"/>
          <w:sz w:val="24"/>
          <w:szCs w:val="24"/>
        </w:rPr>
        <w:t xml:space="preserve"> pieaugums </w:t>
      </w:r>
      <w:r w:rsidR="00107BC2" w:rsidRPr="00107BC2">
        <w:rPr>
          <w:rFonts w:ascii="Times New Roman" w:hAnsi="Times New Roman" w:cs="Times New Roman"/>
          <w:sz w:val="24"/>
          <w:szCs w:val="24"/>
          <w:lang w:val="ru-RU"/>
        </w:rPr>
        <w:t>2014</w:t>
      </w:r>
      <w:r w:rsidR="00107BC2" w:rsidRPr="00107BC2">
        <w:rPr>
          <w:rFonts w:ascii="Times New Roman" w:hAnsi="Times New Roman" w:cs="Times New Roman"/>
          <w:sz w:val="24"/>
          <w:szCs w:val="24"/>
        </w:rPr>
        <w:t>.</w:t>
      </w:r>
      <w:r w:rsidR="00107BC2" w:rsidRPr="00107BC2">
        <w:rPr>
          <w:rFonts w:ascii="Times New Roman" w:hAnsi="Times New Roman" w:cs="Times New Roman"/>
          <w:sz w:val="24"/>
          <w:szCs w:val="24"/>
          <w:lang w:val="ru-RU"/>
        </w:rPr>
        <w:t>-2020</w:t>
      </w:r>
      <w:r w:rsidR="00107BC2" w:rsidRPr="00107BC2">
        <w:rPr>
          <w:rFonts w:ascii="Times New Roman" w:hAnsi="Times New Roman" w:cs="Times New Roman"/>
          <w:sz w:val="24"/>
          <w:szCs w:val="24"/>
        </w:rPr>
        <w:t xml:space="preserve">.g. </w:t>
      </w:r>
      <w:r w:rsidR="00107BC2" w:rsidRPr="00107BC2">
        <w:rPr>
          <w:rFonts w:ascii="Times New Roman" w:hAnsi="Times New Roman" w:cs="Times New Roman"/>
          <w:sz w:val="24"/>
          <w:szCs w:val="24"/>
          <w:lang w:val="ru-RU"/>
        </w:rPr>
        <w:t>13,5%</w:t>
      </w:r>
      <w:r w:rsidR="00205459" w:rsidRPr="001C3611">
        <w:rPr>
          <w:rFonts w:ascii="Times New Roman" w:hAnsi="Times New Roman" w:cs="Times New Roman"/>
          <w:sz w:val="24"/>
          <w:szCs w:val="24"/>
        </w:rPr>
        <w:t>)</w:t>
      </w:r>
      <w:r w:rsidR="002412FE" w:rsidRPr="001C3611">
        <w:rPr>
          <w:rFonts w:ascii="Times New Roman" w:hAnsi="Times New Roman" w:cs="Times New Roman"/>
          <w:sz w:val="24"/>
          <w:szCs w:val="24"/>
        </w:rPr>
        <w:t>.</w:t>
      </w:r>
      <w:r w:rsidR="002426C9" w:rsidRPr="001C3611">
        <w:rPr>
          <w:rFonts w:ascii="Times New Roman" w:hAnsi="Times New Roman" w:cs="Times New Roman"/>
          <w:sz w:val="24"/>
          <w:szCs w:val="24"/>
        </w:rPr>
        <w:t xml:space="preserve"> Eiropā digitālā ekonomika aug 7 reizes ātrāk nekā tradicionālā,</w:t>
      </w:r>
      <w:r w:rsidR="002426C9" w:rsidRPr="001C3611">
        <w:rPr>
          <w:rFonts w:ascii="Times New Roman" w:hAnsi="Times New Roman" w:cs="Times New Roman"/>
          <w:sz w:val="24"/>
          <w:szCs w:val="24"/>
          <w:lang w:val="ru-RU"/>
        </w:rPr>
        <w:t xml:space="preserve"> </w:t>
      </w:r>
      <w:r w:rsidR="002426C9" w:rsidRPr="001C3611">
        <w:rPr>
          <w:rFonts w:ascii="Times New Roman" w:hAnsi="Times New Roman" w:cs="Times New Roman"/>
          <w:sz w:val="24"/>
          <w:szCs w:val="24"/>
        </w:rPr>
        <w:t xml:space="preserve">60% profesijas ir vairāk nekā 30% darbību, kuras var veikt informācijas tehnoloģiju atbalstu un digitālās ekonomikas īpatsvars tiek vērtēts ap </w:t>
      </w:r>
      <w:r w:rsidR="002426C9" w:rsidRPr="001C3611">
        <w:rPr>
          <w:rFonts w:ascii="Times New Roman" w:hAnsi="Times New Roman" w:cs="Times New Roman"/>
          <w:sz w:val="24"/>
          <w:szCs w:val="24"/>
          <w:lang w:val="en-US"/>
        </w:rPr>
        <w:t>20</w:t>
      </w:r>
      <w:r w:rsidR="002426C9" w:rsidRPr="001C3611">
        <w:rPr>
          <w:rFonts w:ascii="Times New Roman" w:hAnsi="Times New Roman" w:cs="Times New Roman"/>
          <w:sz w:val="24"/>
          <w:szCs w:val="24"/>
          <w:lang w:val="ru-RU"/>
        </w:rPr>
        <w:t>-22</w:t>
      </w:r>
      <w:r w:rsidR="002426C9" w:rsidRPr="001C3611">
        <w:rPr>
          <w:rFonts w:ascii="Times New Roman" w:hAnsi="Times New Roman" w:cs="Times New Roman"/>
          <w:sz w:val="24"/>
          <w:szCs w:val="24"/>
          <w:lang w:val="en-US"/>
        </w:rPr>
        <w:t xml:space="preserve">% </w:t>
      </w:r>
      <w:r w:rsidR="002426C9" w:rsidRPr="001C3611">
        <w:rPr>
          <w:rFonts w:ascii="Times New Roman" w:hAnsi="Times New Roman" w:cs="Times New Roman"/>
          <w:sz w:val="24"/>
          <w:szCs w:val="24"/>
          <w:lang w:val="ru-RU"/>
        </w:rPr>
        <w:t>(2017</w:t>
      </w:r>
      <w:r w:rsidR="002426C9" w:rsidRPr="001C3611">
        <w:rPr>
          <w:rFonts w:ascii="Times New Roman" w:hAnsi="Times New Roman" w:cs="Times New Roman"/>
          <w:sz w:val="24"/>
          <w:szCs w:val="24"/>
        </w:rPr>
        <w:t>.g.</w:t>
      </w:r>
      <w:r w:rsidR="002426C9" w:rsidRPr="001C3611">
        <w:rPr>
          <w:rFonts w:ascii="Times New Roman" w:hAnsi="Times New Roman" w:cs="Times New Roman"/>
          <w:sz w:val="24"/>
          <w:szCs w:val="24"/>
          <w:lang w:val="ru-RU"/>
        </w:rPr>
        <w:t xml:space="preserve">) </w:t>
      </w:r>
      <w:r w:rsidR="002426C9" w:rsidRPr="001C3611">
        <w:rPr>
          <w:rFonts w:ascii="Times New Roman" w:hAnsi="Times New Roman" w:cs="Times New Roman"/>
          <w:sz w:val="24"/>
          <w:szCs w:val="24"/>
        </w:rPr>
        <w:t xml:space="preserve">līmenī no globālā IKP. </w:t>
      </w:r>
      <w:r w:rsidR="00A20684" w:rsidRPr="001C3611">
        <w:rPr>
          <w:rFonts w:ascii="Times New Roman" w:hAnsi="Times New Roman" w:cs="Times New Roman"/>
          <w:sz w:val="24"/>
          <w:szCs w:val="24"/>
        </w:rPr>
        <w:t>Tehnoloģiju ietekme tuvākajā</w:t>
      </w:r>
      <w:r w:rsidR="002426C9" w:rsidRPr="001C3611">
        <w:rPr>
          <w:rFonts w:ascii="Times New Roman" w:hAnsi="Times New Roman" w:cs="Times New Roman"/>
          <w:sz w:val="24"/>
          <w:szCs w:val="24"/>
        </w:rPr>
        <w:t xml:space="preserve"> nākotnē var iespaidot līdz 50% no pasaules ekonomikas</w:t>
      </w:r>
      <w:r w:rsidR="00A20684" w:rsidRPr="001C3611">
        <w:rPr>
          <w:rFonts w:ascii="Times New Roman" w:hAnsi="Times New Roman" w:cs="Times New Roman"/>
          <w:sz w:val="24"/>
          <w:szCs w:val="24"/>
        </w:rPr>
        <w:t>.</w:t>
      </w:r>
      <w:r w:rsidR="00E77EBA" w:rsidRPr="001C3611">
        <w:rPr>
          <w:rFonts w:ascii="Times New Roman" w:hAnsi="Times New Roman" w:cs="Times New Roman"/>
          <w:sz w:val="24"/>
          <w:szCs w:val="24"/>
        </w:rPr>
        <w:t xml:space="preserve"> Analizējot digitālo tehnoloģiju ietekmi uz IKP ir vērojama </w:t>
      </w:r>
      <w:r w:rsidR="00E20C36" w:rsidRPr="001C3611">
        <w:rPr>
          <w:rFonts w:ascii="Times New Roman" w:hAnsi="Times New Roman" w:cs="Times New Roman"/>
          <w:sz w:val="24"/>
          <w:szCs w:val="24"/>
        </w:rPr>
        <w:t xml:space="preserve">augoša </w:t>
      </w:r>
      <w:r w:rsidR="00E77EBA" w:rsidRPr="001C3611">
        <w:rPr>
          <w:rFonts w:ascii="Times New Roman" w:hAnsi="Times New Roman" w:cs="Times New Roman"/>
          <w:sz w:val="24"/>
          <w:szCs w:val="24"/>
        </w:rPr>
        <w:t xml:space="preserve">korelācija </w:t>
      </w:r>
      <w:r w:rsidR="00E20C36" w:rsidRPr="001C3611">
        <w:rPr>
          <w:rFonts w:ascii="Times New Roman" w:hAnsi="Times New Roman" w:cs="Times New Roman"/>
          <w:sz w:val="24"/>
          <w:szCs w:val="24"/>
        </w:rPr>
        <w:t xml:space="preserve">un tieša ietekme </w:t>
      </w:r>
      <w:r w:rsidR="00E77EBA" w:rsidRPr="001C3611">
        <w:rPr>
          <w:rFonts w:ascii="Times New Roman" w:hAnsi="Times New Roman" w:cs="Times New Roman"/>
          <w:sz w:val="24"/>
          <w:szCs w:val="24"/>
        </w:rPr>
        <w:t>ar datu pārraides ātrumu</w:t>
      </w:r>
      <w:r w:rsidR="00E20C36" w:rsidRPr="001C3611">
        <w:rPr>
          <w:rFonts w:ascii="Times New Roman" w:hAnsi="Times New Roman" w:cs="Times New Roman"/>
          <w:sz w:val="24"/>
          <w:szCs w:val="24"/>
        </w:rPr>
        <w:t xml:space="preserve"> (izziņai - </w:t>
      </w:r>
      <w:r w:rsidR="00E77EBA" w:rsidRPr="001C3611">
        <w:rPr>
          <w:rFonts w:ascii="Times New Roman" w:hAnsi="Times New Roman" w:cs="Times New Roman"/>
          <w:sz w:val="24"/>
          <w:szCs w:val="24"/>
        </w:rPr>
        <w:t xml:space="preserve">lielo datu analīze </w:t>
      </w:r>
      <w:r w:rsidR="00E77EBA" w:rsidRPr="001C3611">
        <w:rPr>
          <w:rFonts w:ascii="Times New Roman" w:hAnsi="Times New Roman" w:cs="Times New Roman"/>
          <w:sz w:val="24"/>
          <w:szCs w:val="24"/>
          <w:lang w:val="ru-RU"/>
        </w:rPr>
        <w:t xml:space="preserve">– </w:t>
      </w:r>
      <w:r w:rsidR="00E77EBA" w:rsidRPr="001C3611">
        <w:rPr>
          <w:rFonts w:ascii="Times New Roman" w:hAnsi="Times New Roman" w:cs="Times New Roman"/>
          <w:sz w:val="24"/>
          <w:szCs w:val="24"/>
        </w:rPr>
        <w:t>tikai 10% ES uzņēmumu</w:t>
      </w:r>
      <w:r w:rsidR="00E77EBA" w:rsidRPr="001C3611">
        <w:rPr>
          <w:rFonts w:ascii="Times New Roman" w:hAnsi="Times New Roman" w:cs="Times New Roman"/>
          <w:sz w:val="24"/>
          <w:szCs w:val="24"/>
          <w:lang w:val="ru-RU"/>
        </w:rPr>
        <w:t xml:space="preserve">; </w:t>
      </w:r>
      <w:proofErr w:type="spellStart"/>
      <w:r w:rsidR="00E77EBA" w:rsidRPr="001C3611">
        <w:rPr>
          <w:rFonts w:ascii="Times New Roman" w:hAnsi="Times New Roman" w:cs="Times New Roman"/>
          <w:sz w:val="24"/>
          <w:szCs w:val="24"/>
        </w:rPr>
        <w:t>mākoņpakalpojumi</w:t>
      </w:r>
      <w:proofErr w:type="spellEnd"/>
      <w:r w:rsidR="00E77EBA" w:rsidRPr="001C3611">
        <w:rPr>
          <w:rFonts w:ascii="Times New Roman" w:hAnsi="Times New Roman" w:cs="Times New Roman"/>
          <w:sz w:val="24"/>
          <w:szCs w:val="24"/>
        </w:rPr>
        <w:t xml:space="preserve"> </w:t>
      </w:r>
      <w:r w:rsidR="00E77EBA" w:rsidRPr="001C3611">
        <w:rPr>
          <w:rFonts w:ascii="Times New Roman" w:hAnsi="Times New Roman" w:cs="Times New Roman"/>
          <w:sz w:val="24"/>
          <w:szCs w:val="24"/>
          <w:lang w:val="ru-RU"/>
        </w:rPr>
        <w:t xml:space="preserve">- </w:t>
      </w:r>
      <w:r w:rsidR="00E77EBA" w:rsidRPr="001C3611">
        <w:rPr>
          <w:rFonts w:ascii="Times New Roman" w:hAnsi="Times New Roman" w:cs="Times New Roman"/>
          <w:sz w:val="24"/>
          <w:szCs w:val="24"/>
        </w:rPr>
        <w:t xml:space="preserve">22%; </w:t>
      </w:r>
      <w:r w:rsidR="00E77EBA" w:rsidRPr="001C3611">
        <w:rPr>
          <w:rFonts w:ascii="Times New Roman" w:hAnsi="Times New Roman" w:cs="Times New Roman"/>
          <w:sz w:val="24"/>
          <w:szCs w:val="24"/>
          <w:lang w:val="ru-RU"/>
        </w:rPr>
        <w:t xml:space="preserve"> </w:t>
      </w:r>
      <w:r w:rsidR="00E77EBA" w:rsidRPr="001C3611">
        <w:rPr>
          <w:rFonts w:ascii="Times New Roman" w:hAnsi="Times New Roman" w:cs="Times New Roman"/>
          <w:sz w:val="24"/>
          <w:szCs w:val="24"/>
        </w:rPr>
        <w:t xml:space="preserve">ātrumi </w:t>
      </w:r>
      <w:r w:rsidR="00E77EBA" w:rsidRPr="001C3611">
        <w:rPr>
          <w:rFonts w:ascii="Times New Roman" w:hAnsi="Times New Roman" w:cs="Times New Roman"/>
          <w:sz w:val="24"/>
          <w:szCs w:val="24"/>
          <w:lang w:val="ru-RU"/>
        </w:rPr>
        <w:t xml:space="preserve"> </w:t>
      </w:r>
      <w:r w:rsidR="00E77EBA" w:rsidRPr="001C3611">
        <w:rPr>
          <w:rFonts w:ascii="Times New Roman" w:hAnsi="Times New Roman" w:cs="Times New Roman"/>
          <w:sz w:val="24"/>
          <w:szCs w:val="24"/>
        </w:rPr>
        <w:t xml:space="preserve">&gt; 100 </w:t>
      </w:r>
      <w:proofErr w:type="spellStart"/>
      <w:r w:rsidR="00E77EBA" w:rsidRPr="001C3611">
        <w:rPr>
          <w:rFonts w:ascii="Times New Roman" w:hAnsi="Times New Roman" w:cs="Times New Roman"/>
          <w:sz w:val="24"/>
          <w:szCs w:val="24"/>
        </w:rPr>
        <w:t>Mbps</w:t>
      </w:r>
      <w:proofErr w:type="spellEnd"/>
      <w:r w:rsidR="00E77EBA" w:rsidRPr="001C3611">
        <w:rPr>
          <w:rFonts w:ascii="Times New Roman" w:hAnsi="Times New Roman" w:cs="Times New Roman"/>
          <w:sz w:val="24"/>
          <w:szCs w:val="24"/>
          <w:lang w:val="ru-RU"/>
        </w:rPr>
        <w:t xml:space="preserve"> – </w:t>
      </w:r>
      <w:r w:rsidR="00E77EBA" w:rsidRPr="001C3611">
        <w:rPr>
          <w:rFonts w:ascii="Times New Roman" w:hAnsi="Times New Roman" w:cs="Times New Roman"/>
          <w:sz w:val="24"/>
          <w:szCs w:val="24"/>
        </w:rPr>
        <w:t>biznesa nākotne</w:t>
      </w:r>
      <w:r w:rsidR="00E20C36" w:rsidRPr="001C3611">
        <w:rPr>
          <w:rFonts w:ascii="Times New Roman" w:hAnsi="Times New Roman" w:cs="Times New Roman"/>
          <w:sz w:val="24"/>
          <w:szCs w:val="24"/>
        </w:rPr>
        <w:t xml:space="preserve">, kas nosaka arī nepieciešamību pēc tālākas tīklu attīstības arī Latvijā). </w:t>
      </w:r>
    </w:p>
    <w:p w14:paraId="22C862E3" w14:textId="0E2301B5" w:rsidR="0083052A" w:rsidRPr="001C3611" w:rsidRDefault="00E20C36" w:rsidP="00205459">
      <w:pPr>
        <w:spacing w:before="60" w:after="60" w:line="276" w:lineRule="auto"/>
        <w:jc w:val="both"/>
        <w:rPr>
          <w:rFonts w:ascii="Times New Roman" w:hAnsi="Times New Roman" w:cs="Times New Roman"/>
          <w:sz w:val="24"/>
          <w:szCs w:val="24"/>
          <w:lang w:val="en-GB"/>
        </w:rPr>
      </w:pPr>
      <w:r w:rsidRPr="001C3611">
        <w:rPr>
          <w:rFonts w:ascii="Times New Roman" w:hAnsi="Times New Roman" w:cs="Times New Roman"/>
          <w:sz w:val="24"/>
          <w:szCs w:val="24"/>
        </w:rPr>
        <w:t xml:space="preserve">Nākotnes izaicinājumi ir saistīti ne tikai ar kvalitatīvu tīklu attīstību, bet vienlaikus izglītotu un ar tehnoloģiskajām prasmēm apveltītu darbaspēka pieejamību. Eiropas Savienībā tehnoloģiju ietekme uz nodarbinātību ar vien pieaug un prognozēta vēl straujāka darbaspēka īpatsvara pieaugums (šobrīd </w:t>
      </w:r>
      <w:r w:rsidRPr="00E20C36">
        <w:rPr>
          <w:rFonts w:ascii="Times New Roman" w:hAnsi="Times New Roman" w:cs="Times New Roman"/>
          <w:sz w:val="24"/>
          <w:szCs w:val="24"/>
          <w:lang w:val="en-US"/>
        </w:rPr>
        <w:t>1</w:t>
      </w:r>
      <w:r w:rsidRPr="00E20C36">
        <w:rPr>
          <w:rFonts w:ascii="Times New Roman" w:hAnsi="Times New Roman" w:cs="Times New Roman"/>
          <w:sz w:val="24"/>
          <w:szCs w:val="24"/>
          <w:lang w:val="ru-RU"/>
        </w:rPr>
        <w:t>,</w:t>
      </w:r>
      <w:r w:rsidRPr="00E20C36">
        <w:rPr>
          <w:rFonts w:ascii="Times New Roman" w:hAnsi="Times New Roman" w:cs="Times New Roman"/>
          <w:sz w:val="24"/>
          <w:szCs w:val="24"/>
        </w:rPr>
        <w:t>5</w:t>
      </w:r>
      <w:r w:rsidRPr="00E20C36">
        <w:rPr>
          <w:rFonts w:ascii="Times New Roman" w:hAnsi="Times New Roman" w:cs="Times New Roman"/>
          <w:sz w:val="24"/>
          <w:szCs w:val="24"/>
          <w:lang w:val="en-US"/>
        </w:rPr>
        <w:t>%-6</w:t>
      </w:r>
      <w:r w:rsidRPr="00E20C36">
        <w:rPr>
          <w:rFonts w:ascii="Times New Roman" w:hAnsi="Times New Roman" w:cs="Times New Roman"/>
          <w:sz w:val="24"/>
          <w:szCs w:val="24"/>
          <w:lang w:val="ru-RU"/>
        </w:rPr>
        <w:t>,</w:t>
      </w:r>
      <w:r w:rsidRPr="00E20C36">
        <w:rPr>
          <w:rFonts w:ascii="Times New Roman" w:hAnsi="Times New Roman" w:cs="Times New Roman"/>
          <w:sz w:val="24"/>
          <w:szCs w:val="24"/>
          <w:lang w:val="en-US"/>
        </w:rPr>
        <w:t>5%</w:t>
      </w:r>
      <w:r w:rsidRPr="001C3611">
        <w:rPr>
          <w:rFonts w:ascii="Times New Roman" w:hAnsi="Times New Roman" w:cs="Times New Roman"/>
          <w:sz w:val="24"/>
          <w:szCs w:val="24"/>
          <w:lang w:val="en-US"/>
        </w:rPr>
        <w:t>)</w:t>
      </w:r>
      <w:r w:rsidRPr="00E20C36">
        <w:rPr>
          <w:rFonts w:ascii="Times New Roman" w:hAnsi="Times New Roman" w:cs="Times New Roman"/>
          <w:sz w:val="24"/>
          <w:szCs w:val="24"/>
          <w:lang w:val="ru-RU"/>
        </w:rPr>
        <w:t xml:space="preserve"> </w:t>
      </w:r>
      <w:r w:rsidRPr="00E20C36">
        <w:rPr>
          <w:rFonts w:ascii="Times New Roman" w:hAnsi="Times New Roman" w:cs="Times New Roman"/>
          <w:sz w:val="24"/>
          <w:szCs w:val="24"/>
        </w:rPr>
        <w:t>no kopējās nodarbinātības</w:t>
      </w:r>
      <w:r w:rsidRPr="001C3611">
        <w:rPr>
          <w:rFonts w:ascii="Times New Roman" w:hAnsi="Times New Roman" w:cs="Times New Roman"/>
          <w:sz w:val="24"/>
          <w:szCs w:val="24"/>
        </w:rPr>
        <w:t>.</w:t>
      </w:r>
      <w:r w:rsidRPr="00E20C36">
        <w:rPr>
          <w:rFonts w:ascii="Times New Roman" w:hAnsi="Times New Roman" w:cs="Times New Roman"/>
          <w:sz w:val="24"/>
          <w:szCs w:val="24"/>
          <w:lang w:val="ru-RU"/>
        </w:rPr>
        <w:t xml:space="preserve"> </w:t>
      </w:r>
      <w:r w:rsidRPr="00E20C36">
        <w:rPr>
          <w:rFonts w:ascii="Times New Roman" w:hAnsi="Times New Roman" w:cs="Times New Roman"/>
          <w:sz w:val="24"/>
          <w:szCs w:val="24"/>
        </w:rPr>
        <w:t xml:space="preserve">Eiropā </w:t>
      </w:r>
      <w:r w:rsidRPr="001C3611">
        <w:rPr>
          <w:rFonts w:ascii="Times New Roman" w:hAnsi="Times New Roman" w:cs="Times New Roman"/>
          <w:sz w:val="24"/>
          <w:szCs w:val="24"/>
        </w:rPr>
        <w:t xml:space="preserve">uz 2020 gadu prognozē, ka </w:t>
      </w:r>
      <w:r w:rsidRPr="00E20C36">
        <w:rPr>
          <w:rFonts w:ascii="Times New Roman" w:hAnsi="Times New Roman" w:cs="Times New Roman"/>
          <w:sz w:val="24"/>
          <w:szCs w:val="24"/>
        </w:rPr>
        <w:t>trūks</w:t>
      </w:r>
      <w:r w:rsidRPr="00E20C36">
        <w:rPr>
          <w:rFonts w:ascii="Times New Roman" w:hAnsi="Times New Roman" w:cs="Times New Roman"/>
          <w:sz w:val="24"/>
          <w:szCs w:val="24"/>
          <w:lang w:val="en-US"/>
        </w:rPr>
        <w:t xml:space="preserve"> 500 000</w:t>
      </w:r>
      <w:r w:rsidRPr="00E20C36">
        <w:rPr>
          <w:rFonts w:ascii="Times New Roman" w:hAnsi="Times New Roman" w:cs="Times New Roman"/>
          <w:sz w:val="24"/>
          <w:szCs w:val="24"/>
        </w:rPr>
        <w:t xml:space="preserve">  IKT speciālistu</w:t>
      </w:r>
      <w:r w:rsidR="00107BC2" w:rsidRPr="001C3611">
        <w:rPr>
          <w:rFonts w:ascii="Times New Roman" w:hAnsi="Times New Roman" w:cs="Times New Roman"/>
          <w:sz w:val="24"/>
          <w:szCs w:val="24"/>
        </w:rPr>
        <w:t xml:space="preserve"> (</w:t>
      </w:r>
      <w:r w:rsidR="00107BC2" w:rsidRPr="001C3611">
        <w:rPr>
          <w:rFonts w:ascii="Times New Roman" w:hAnsi="Times New Roman" w:cs="Times New Roman"/>
          <w:sz w:val="24"/>
          <w:szCs w:val="24"/>
          <w:lang w:val="en-US"/>
        </w:rPr>
        <w:t xml:space="preserve">67% </w:t>
      </w:r>
      <w:r w:rsidR="00107BC2" w:rsidRPr="001C3611">
        <w:rPr>
          <w:rFonts w:ascii="Times New Roman" w:hAnsi="Times New Roman" w:cs="Times New Roman"/>
          <w:sz w:val="24"/>
          <w:szCs w:val="24"/>
        </w:rPr>
        <w:t xml:space="preserve">darbiniekiem ES pienākumu izpildei nepieciešamas digitālās zināšanas un prasmes, kas pārsniedz </w:t>
      </w:r>
      <w:proofErr w:type="spellStart"/>
      <w:r w:rsidR="00107BC2" w:rsidRPr="001C3611">
        <w:rPr>
          <w:rFonts w:ascii="Times New Roman" w:hAnsi="Times New Roman" w:cs="Times New Roman"/>
          <w:sz w:val="24"/>
          <w:szCs w:val="24"/>
        </w:rPr>
        <w:t>pamatlīmeni</w:t>
      </w:r>
      <w:proofErr w:type="spellEnd"/>
      <w:r w:rsidR="00107BC2" w:rsidRPr="001C3611">
        <w:rPr>
          <w:rFonts w:ascii="Times New Roman" w:hAnsi="Times New Roman" w:cs="Times New Roman"/>
          <w:sz w:val="24"/>
          <w:szCs w:val="24"/>
        </w:rPr>
        <w:t>)</w:t>
      </w:r>
      <w:r w:rsidRPr="001C3611">
        <w:rPr>
          <w:rFonts w:ascii="Times New Roman" w:hAnsi="Times New Roman" w:cs="Times New Roman"/>
          <w:sz w:val="24"/>
          <w:szCs w:val="24"/>
        </w:rPr>
        <w:t>. Šis ir tiešs izaicinājums visām izglītības sistēmām, t.sk. mūžizglītības piedāvājumam un darba devēju tiešai un ciešai iesaistei</w:t>
      </w:r>
      <w:r w:rsidR="00107BC2" w:rsidRPr="001C3611">
        <w:rPr>
          <w:rFonts w:ascii="Times New Roman" w:hAnsi="Times New Roman" w:cs="Times New Roman"/>
          <w:sz w:val="24"/>
          <w:szCs w:val="24"/>
        </w:rPr>
        <w:t>. Šobrīd Latvijas i</w:t>
      </w:r>
      <w:r w:rsidRPr="00E20C36">
        <w:rPr>
          <w:rFonts w:ascii="Times New Roman" w:hAnsi="Times New Roman" w:cs="Times New Roman"/>
          <w:sz w:val="24"/>
          <w:szCs w:val="24"/>
        </w:rPr>
        <w:t>zglītības sistēmas nepietiekam</w:t>
      </w:r>
      <w:r w:rsidR="00107BC2" w:rsidRPr="001C3611">
        <w:rPr>
          <w:rFonts w:ascii="Times New Roman" w:hAnsi="Times New Roman" w:cs="Times New Roman"/>
          <w:sz w:val="24"/>
          <w:szCs w:val="24"/>
        </w:rPr>
        <w:t>a</w:t>
      </w:r>
      <w:r w:rsidRPr="00E20C36">
        <w:rPr>
          <w:rFonts w:ascii="Times New Roman" w:hAnsi="Times New Roman" w:cs="Times New Roman"/>
          <w:sz w:val="24"/>
          <w:szCs w:val="24"/>
        </w:rPr>
        <w:t xml:space="preserve"> jauda (Latvijā apm. 40% no nepieciešamās)</w:t>
      </w:r>
      <w:r w:rsidR="00107BC2" w:rsidRPr="001C3611">
        <w:rPr>
          <w:rFonts w:ascii="Times New Roman" w:hAnsi="Times New Roman" w:cs="Times New Roman"/>
          <w:sz w:val="24"/>
          <w:szCs w:val="24"/>
        </w:rPr>
        <w:t xml:space="preserve">, </w:t>
      </w:r>
      <w:r w:rsidR="00107BC2" w:rsidRPr="001C3611">
        <w:rPr>
          <w:rFonts w:ascii="Times New Roman" w:hAnsi="Times New Roman" w:cs="Times New Roman"/>
          <w:sz w:val="24"/>
          <w:szCs w:val="24"/>
        </w:rPr>
        <w:lastRenderedPageBreak/>
        <w:t>kas vienlaikus izvirza jautājumu par viedas un vadītas migrācijas politikas pasākumu kopuma valsts politiku ietvaros.</w:t>
      </w:r>
      <w:r w:rsidR="0083052A" w:rsidRPr="001C3611">
        <w:rPr>
          <w:rFonts w:ascii="Times New Roman" w:hAnsi="Times New Roman" w:cs="Times New Roman"/>
          <w:sz w:val="24"/>
          <w:szCs w:val="24"/>
        </w:rPr>
        <w:t xml:space="preserve"> </w:t>
      </w:r>
    </w:p>
    <w:p w14:paraId="0985C3D4" w14:textId="684A3210" w:rsidR="002412FE" w:rsidRPr="001C3611" w:rsidRDefault="0083052A" w:rsidP="00205459">
      <w:pPr>
        <w:spacing w:before="60" w:after="60" w:line="276" w:lineRule="auto"/>
        <w:jc w:val="both"/>
        <w:rPr>
          <w:rFonts w:ascii="Times New Roman" w:hAnsi="Times New Roman" w:cs="Times New Roman"/>
          <w:sz w:val="24"/>
          <w:szCs w:val="24"/>
        </w:rPr>
      </w:pPr>
      <w:r w:rsidRPr="001C3611">
        <w:rPr>
          <w:rFonts w:ascii="Times New Roman" w:hAnsi="Times New Roman" w:cs="Times New Roman"/>
          <w:sz w:val="24"/>
          <w:szCs w:val="24"/>
        </w:rPr>
        <w:t>Taču, lai uzrunātu šos visus izaicinājumus</w:t>
      </w:r>
      <w:r w:rsidR="00205459">
        <w:rPr>
          <w:rFonts w:ascii="Times New Roman" w:hAnsi="Times New Roman" w:cs="Times New Roman"/>
          <w:sz w:val="24"/>
          <w:szCs w:val="24"/>
        </w:rPr>
        <w:t xml:space="preserve"> </w:t>
      </w:r>
      <w:r w:rsidRPr="001C3611">
        <w:rPr>
          <w:rFonts w:ascii="Times New Roman" w:hAnsi="Times New Roman" w:cs="Times New Roman"/>
          <w:sz w:val="24"/>
          <w:szCs w:val="24"/>
        </w:rPr>
        <w:t xml:space="preserve">virzība ir panākama tikai kopējā </w:t>
      </w:r>
      <w:proofErr w:type="spellStart"/>
      <w:r w:rsidRPr="001C3611">
        <w:rPr>
          <w:rFonts w:ascii="Times New Roman" w:hAnsi="Times New Roman" w:cs="Times New Roman"/>
          <w:sz w:val="24"/>
          <w:szCs w:val="24"/>
        </w:rPr>
        <w:t>proaktīvā</w:t>
      </w:r>
      <w:proofErr w:type="spellEnd"/>
      <w:r w:rsidRPr="001C3611">
        <w:rPr>
          <w:rFonts w:ascii="Times New Roman" w:hAnsi="Times New Roman" w:cs="Times New Roman"/>
          <w:sz w:val="24"/>
          <w:szCs w:val="24"/>
        </w:rPr>
        <w:t xml:space="preserve"> sadarbībā. B</w:t>
      </w:r>
      <w:r w:rsidRPr="0083052A">
        <w:rPr>
          <w:rFonts w:ascii="Times New Roman" w:hAnsi="Times New Roman" w:cs="Times New Roman"/>
          <w:sz w:val="24"/>
          <w:szCs w:val="24"/>
        </w:rPr>
        <w:t xml:space="preserve">ez </w:t>
      </w:r>
      <w:proofErr w:type="spellStart"/>
      <w:r w:rsidRPr="0083052A">
        <w:rPr>
          <w:rFonts w:ascii="Times New Roman" w:hAnsi="Times New Roman" w:cs="Times New Roman"/>
          <w:sz w:val="24"/>
          <w:szCs w:val="24"/>
        </w:rPr>
        <w:t>pieslēgumu</w:t>
      </w:r>
      <w:proofErr w:type="spellEnd"/>
      <w:r w:rsidRPr="0083052A">
        <w:rPr>
          <w:rFonts w:ascii="Times New Roman" w:hAnsi="Times New Roman" w:cs="Times New Roman"/>
          <w:sz w:val="24"/>
          <w:szCs w:val="24"/>
        </w:rPr>
        <w:t xml:space="preserve"> pieejamības un prasmēm tautsaimniecības </w:t>
      </w:r>
      <w:proofErr w:type="spellStart"/>
      <w:r w:rsidRPr="0083052A">
        <w:rPr>
          <w:rFonts w:ascii="Times New Roman" w:hAnsi="Times New Roman" w:cs="Times New Roman"/>
          <w:sz w:val="24"/>
          <w:szCs w:val="24"/>
        </w:rPr>
        <w:t>digitalizācija</w:t>
      </w:r>
      <w:proofErr w:type="spellEnd"/>
      <w:r w:rsidRPr="0083052A">
        <w:rPr>
          <w:rFonts w:ascii="Times New Roman" w:hAnsi="Times New Roman" w:cs="Times New Roman"/>
          <w:sz w:val="24"/>
          <w:szCs w:val="24"/>
        </w:rPr>
        <w:t xml:space="preserve"> nav iespējama</w:t>
      </w:r>
      <w:r w:rsidRPr="001C3611">
        <w:rPr>
          <w:rFonts w:ascii="Times New Roman" w:hAnsi="Times New Roman" w:cs="Times New Roman"/>
          <w:sz w:val="24"/>
          <w:szCs w:val="24"/>
        </w:rPr>
        <w:t xml:space="preserve"> un</w:t>
      </w:r>
      <w:r w:rsidRPr="0083052A">
        <w:rPr>
          <w:rFonts w:ascii="Times New Roman" w:hAnsi="Times New Roman" w:cs="Times New Roman"/>
          <w:sz w:val="24"/>
          <w:szCs w:val="24"/>
        </w:rPr>
        <w:t xml:space="preserve"> bez e-tran</w:t>
      </w:r>
      <w:r w:rsidRPr="001C3611">
        <w:rPr>
          <w:rFonts w:ascii="Times New Roman" w:hAnsi="Times New Roman" w:cs="Times New Roman"/>
          <w:sz w:val="24"/>
          <w:szCs w:val="24"/>
        </w:rPr>
        <w:t>s</w:t>
      </w:r>
      <w:r w:rsidRPr="0083052A">
        <w:rPr>
          <w:rFonts w:ascii="Times New Roman" w:hAnsi="Times New Roman" w:cs="Times New Roman"/>
          <w:sz w:val="24"/>
          <w:szCs w:val="24"/>
        </w:rPr>
        <w:t xml:space="preserve">akcijām uzņēmējdarbībā </w:t>
      </w:r>
      <w:proofErr w:type="spellStart"/>
      <w:r w:rsidRPr="0083052A">
        <w:rPr>
          <w:rFonts w:ascii="Times New Roman" w:hAnsi="Times New Roman" w:cs="Times New Roman"/>
          <w:sz w:val="24"/>
          <w:szCs w:val="24"/>
        </w:rPr>
        <w:t>pieslēgumu</w:t>
      </w:r>
      <w:proofErr w:type="spellEnd"/>
      <w:r w:rsidRPr="0083052A">
        <w:rPr>
          <w:rFonts w:ascii="Times New Roman" w:hAnsi="Times New Roman" w:cs="Times New Roman"/>
          <w:sz w:val="24"/>
          <w:szCs w:val="24"/>
        </w:rPr>
        <w:t xml:space="preserve"> pieejamībai nav </w:t>
      </w:r>
      <w:proofErr w:type="spellStart"/>
      <w:r w:rsidRPr="0083052A">
        <w:rPr>
          <w:rFonts w:ascii="Times New Roman" w:hAnsi="Times New Roman" w:cs="Times New Roman"/>
          <w:sz w:val="24"/>
          <w:szCs w:val="24"/>
        </w:rPr>
        <w:t>atdeves</w:t>
      </w:r>
      <w:proofErr w:type="spellEnd"/>
      <w:r w:rsidRPr="0083052A">
        <w:rPr>
          <w:rFonts w:ascii="Times New Roman" w:hAnsi="Times New Roman" w:cs="Times New Roman"/>
          <w:sz w:val="24"/>
          <w:szCs w:val="24"/>
        </w:rPr>
        <w:t>.</w:t>
      </w:r>
      <w:r w:rsidRPr="001C3611">
        <w:rPr>
          <w:rStyle w:val="FootnoteReference"/>
          <w:rFonts w:ascii="Times New Roman" w:hAnsi="Times New Roman" w:cs="Times New Roman"/>
          <w:sz w:val="24"/>
          <w:szCs w:val="24"/>
        </w:rPr>
        <w:footnoteReference w:id="3"/>
      </w:r>
    </w:p>
    <w:p w14:paraId="6F281030" w14:textId="6BB64A05" w:rsidR="00777971" w:rsidRPr="001C3611" w:rsidRDefault="00777971" w:rsidP="00205459">
      <w:pPr>
        <w:spacing w:before="60" w:after="60" w:line="276" w:lineRule="auto"/>
        <w:jc w:val="both"/>
        <w:rPr>
          <w:rFonts w:ascii="Times New Roman" w:hAnsi="Times New Roman" w:cs="Times New Roman"/>
          <w:sz w:val="24"/>
          <w:szCs w:val="24"/>
        </w:rPr>
      </w:pPr>
      <w:r w:rsidRPr="001C3611">
        <w:rPr>
          <w:rFonts w:ascii="Times New Roman" w:hAnsi="Times New Roman" w:cs="Times New Roman"/>
          <w:sz w:val="24"/>
          <w:szCs w:val="24"/>
        </w:rPr>
        <w:t xml:space="preserve">Līdz ar to, tā kā Latvija vēlas panākt straujāku ekonomikas izaugsmi kā vidēji ES, ir jāveic virkne </w:t>
      </w:r>
      <w:proofErr w:type="spellStart"/>
      <w:r w:rsidRPr="001C3611">
        <w:rPr>
          <w:rFonts w:ascii="Times New Roman" w:hAnsi="Times New Roman" w:cs="Times New Roman"/>
          <w:sz w:val="24"/>
          <w:szCs w:val="24"/>
        </w:rPr>
        <w:t>proaktīvu</w:t>
      </w:r>
      <w:proofErr w:type="spellEnd"/>
      <w:r w:rsidRPr="001C3611">
        <w:rPr>
          <w:rFonts w:ascii="Times New Roman" w:hAnsi="Times New Roman" w:cs="Times New Roman"/>
          <w:sz w:val="24"/>
          <w:szCs w:val="24"/>
        </w:rPr>
        <w:t xml:space="preserve"> soļu, lai Latvija būtu atvērta un spējīga absorbēt </w:t>
      </w:r>
      <w:proofErr w:type="spellStart"/>
      <w:r w:rsidRPr="001C3611">
        <w:rPr>
          <w:rFonts w:ascii="Times New Roman" w:hAnsi="Times New Roman" w:cs="Times New Roman"/>
          <w:sz w:val="24"/>
          <w:szCs w:val="24"/>
        </w:rPr>
        <w:t>digitalizācijas</w:t>
      </w:r>
      <w:proofErr w:type="spellEnd"/>
      <w:r w:rsidRPr="001C3611">
        <w:rPr>
          <w:rFonts w:ascii="Times New Roman" w:hAnsi="Times New Roman" w:cs="Times New Roman"/>
          <w:sz w:val="24"/>
          <w:szCs w:val="24"/>
        </w:rPr>
        <w:t xml:space="preserve"> radītos izaicinājumus un – vēl vairāk – spējīga arī pati, izmantojot savu zinātnes potenciālu un uzņēmēju spējas, radīt pasaulē pieprasītus, eksportspējīgus produktus/ risinājumus. </w:t>
      </w:r>
      <w:r w:rsidR="00334841" w:rsidRPr="001C3611">
        <w:rPr>
          <w:rFonts w:ascii="Times New Roman" w:hAnsi="Times New Roman" w:cs="Times New Roman"/>
          <w:sz w:val="24"/>
          <w:szCs w:val="24"/>
        </w:rPr>
        <w:t xml:space="preserve"> Sadarbībā ar plašu sadarbības partneru loku 2016.gadā tika izstrādāts stratēģisks redzējums par Latvijas kā digitāli modernas un uz digitālo transformāciju vērstas valsts redzējums - “</w:t>
      </w:r>
      <w:proofErr w:type="spellStart"/>
      <w:r w:rsidR="00334841" w:rsidRPr="001C3611">
        <w:rPr>
          <w:rFonts w:ascii="Times New Roman" w:hAnsi="Times New Roman" w:cs="Times New Roman"/>
          <w:sz w:val="24"/>
          <w:szCs w:val="24"/>
        </w:rPr>
        <w:t>Data</w:t>
      </w:r>
      <w:proofErr w:type="spellEnd"/>
      <w:r w:rsidR="00334841" w:rsidRPr="001C3611">
        <w:rPr>
          <w:rFonts w:ascii="Times New Roman" w:hAnsi="Times New Roman" w:cs="Times New Roman"/>
          <w:sz w:val="24"/>
          <w:szCs w:val="24"/>
        </w:rPr>
        <w:t xml:space="preserve"> </w:t>
      </w:r>
      <w:proofErr w:type="spellStart"/>
      <w:r w:rsidR="00334841" w:rsidRPr="001C3611">
        <w:rPr>
          <w:rFonts w:ascii="Times New Roman" w:hAnsi="Times New Roman" w:cs="Times New Roman"/>
          <w:sz w:val="24"/>
          <w:szCs w:val="24"/>
        </w:rPr>
        <w:t>Driven</w:t>
      </w:r>
      <w:proofErr w:type="spellEnd"/>
      <w:r w:rsidR="00334841" w:rsidRPr="001C3611">
        <w:rPr>
          <w:rFonts w:ascii="Times New Roman" w:hAnsi="Times New Roman" w:cs="Times New Roman"/>
          <w:sz w:val="24"/>
          <w:szCs w:val="24"/>
        </w:rPr>
        <w:t xml:space="preserve"> Nation” (turpmāk tekstā – </w:t>
      </w:r>
      <w:r w:rsidRPr="001C3611">
        <w:rPr>
          <w:rFonts w:ascii="Times New Roman" w:hAnsi="Times New Roman" w:cs="Times New Roman"/>
          <w:sz w:val="24"/>
          <w:szCs w:val="24"/>
        </w:rPr>
        <w:t>DDN</w:t>
      </w:r>
      <w:r w:rsidR="00334841" w:rsidRPr="001C3611">
        <w:rPr>
          <w:rFonts w:ascii="Times New Roman" w:hAnsi="Times New Roman" w:cs="Times New Roman"/>
          <w:sz w:val="24"/>
          <w:szCs w:val="24"/>
        </w:rPr>
        <w:t xml:space="preserve">), kas </w:t>
      </w:r>
      <w:r w:rsidRPr="001C3611">
        <w:rPr>
          <w:rFonts w:ascii="Times New Roman" w:hAnsi="Times New Roman" w:cs="Times New Roman"/>
          <w:sz w:val="24"/>
          <w:szCs w:val="24"/>
        </w:rPr>
        <w:t xml:space="preserve">paredz darbību trīs </w:t>
      </w:r>
      <w:r w:rsidR="00334841" w:rsidRPr="001C3611">
        <w:rPr>
          <w:rFonts w:ascii="Times New Roman" w:hAnsi="Times New Roman" w:cs="Times New Roman"/>
          <w:sz w:val="24"/>
          <w:szCs w:val="24"/>
        </w:rPr>
        <w:t xml:space="preserve">fundamentālos </w:t>
      </w:r>
      <w:r w:rsidRPr="001C3611">
        <w:rPr>
          <w:rFonts w:ascii="Times New Roman" w:hAnsi="Times New Roman" w:cs="Times New Roman"/>
          <w:sz w:val="24"/>
          <w:szCs w:val="24"/>
        </w:rPr>
        <w:t xml:space="preserve">pīlāros – publisko datu atvēršana; sabiedrības iesaiste datu izmantošanā un datu izmantošana inovatīvu produktu radīšanai. </w:t>
      </w:r>
    </w:p>
    <w:p w14:paraId="34527DDB" w14:textId="7D7AF7D6" w:rsidR="00777971" w:rsidRPr="001C3611" w:rsidRDefault="00777971" w:rsidP="00205459">
      <w:pPr>
        <w:autoSpaceDE w:val="0"/>
        <w:autoSpaceDN w:val="0"/>
        <w:adjustRightInd w:val="0"/>
        <w:spacing w:line="276" w:lineRule="auto"/>
        <w:jc w:val="both"/>
        <w:rPr>
          <w:rFonts w:ascii="Times New Roman" w:hAnsi="Times New Roman" w:cs="Times New Roman"/>
          <w:sz w:val="24"/>
          <w:szCs w:val="24"/>
        </w:rPr>
      </w:pPr>
      <w:r w:rsidRPr="001C3611">
        <w:rPr>
          <w:rFonts w:ascii="Times New Roman" w:hAnsi="Times New Roman" w:cs="Times New Roman"/>
          <w:sz w:val="24"/>
          <w:szCs w:val="24"/>
        </w:rPr>
        <w:t xml:space="preserve">Vienlaikus centrālais jautājums ir – kā izveidot </w:t>
      </w:r>
      <w:r w:rsidR="00334841" w:rsidRPr="001C3611">
        <w:rPr>
          <w:rFonts w:ascii="Times New Roman" w:hAnsi="Times New Roman" w:cs="Times New Roman"/>
          <w:sz w:val="24"/>
          <w:szCs w:val="24"/>
        </w:rPr>
        <w:t xml:space="preserve">holistiski </w:t>
      </w:r>
      <w:r w:rsidRPr="001C3611">
        <w:rPr>
          <w:rFonts w:ascii="Times New Roman" w:hAnsi="Times New Roman" w:cs="Times New Roman"/>
          <w:sz w:val="24"/>
          <w:szCs w:val="24"/>
        </w:rPr>
        <w:t>aptverošu politikas ietvaru digitālās transformācijas pasākumiem Latvijas tautsaimniecīb</w:t>
      </w:r>
      <w:r w:rsidR="00756B6F" w:rsidRPr="001C3611">
        <w:rPr>
          <w:rFonts w:ascii="Times New Roman" w:hAnsi="Times New Roman" w:cs="Times New Roman"/>
          <w:sz w:val="24"/>
          <w:szCs w:val="24"/>
        </w:rPr>
        <w:t>ai</w:t>
      </w:r>
      <w:r w:rsidRPr="001C3611">
        <w:rPr>
          <w:rFonts w:ascii="Times New Roman" w:hAnsi="Times New Roman" w:cs="Times New Roman"/>
          <w:sz w:val="24"/>
          <w:szCs w:val="24"/>
        </w:rPr>
        <w:t xml:space="preserve">, kuri ietvertu gan ministrijas, aģentūras, pašvaldības (horizontālā pasākumu koordinācija), kā arī nodrošinātu politikas pasākumu koordinētu ieviešanu visās valsts pārvaldes institūcijās (vertikālā koordinācija), vienlaikus nodrošinot </w:t>
      </w:r>
      <w:proofErr w:type="spellStart"/>
      <w:r w:rsidRPr="001C3611">
        <w:rPr>
          <w:rFonts w:ascii="Times New Roman" w:hAnsi="Times New Roman" w:cs="Times New Roman"/>
          <w:sz w:val="24"/>
          <w:szCs w:val="24"/>
        </w:rPr>
        <w:t>proaktīvu</w:t>
      </w:r>
      <w:proofErr w:type="spellEnd"/>
      <w:r w:rsidRPr="001C3611">
        <w:rPr>
          <w:rFonts w:ascii="Times New Roman" w:hAnsi="Times New Roman" w:cs="Times New Roman"/>
          <w:sz w:val="24"/>
          <w:szCs w:val="24"/>
        </w:rPr>
        <w:t xml:space="preserve"> komersantu iesaisti visos publisko pakalpojumu, kā arī privātā sektora produktu inovācijas radīšanas ķēdes posmos.</w:t>
      </w:r>
    </w:p>
    <w:p w14:paraId="25419728" w14:textId="016F8574" w:rsidR="00847641" w:rsidRPr="001C3611" w:rsidRDefault="002412FE" w:rsidP="00205459">
      <w:pPr>
        <w:spacing w:before="60" w:after="60" w:line="276" w:lineRule="auto"/>
        <w:jc w:val="both"/>
        <w:rPr>
          <w:rFonts w:ascii="Times New Roman" w:hAnsi="Times New Roman" w:cs="Times New Roman"/>
          <w:b/>
          <w:color w:val="000000" w:themeColor="text1"/>
          <w:sz w:val="24"/>
          <w:szCs w:val="24"/>
        </w:rPr>
      </w:pPr>
      <w:r w:rsidRPr="001C3611">
        <w:rPr>
          <w:rFonts w:ascii="Times New Roman" w:hAnsi="Times New Roman" w:cs="Times New Roman"/>
          <w:sz w:val="24"/>
          <w:szCs w:val="24"/>
        </w:rPr>
        <w:t>Analizējot dažādu valstu labākās prakses piemērus un ekonomikas pētniecību institūciju rekomendācijas par digitālās transformācijas ietekmi uz ekonomikas konkurētspēju, š</w:t>
      </w:r>
      <w:r w:rsidR="00756B6F" w:rsidRPr="001C3611">
        <w:rPr>
          <w:rFonts w:ascii="Times New Roman" w:hAnsi="Times New Roman" w:cs="Times New Roman"/>
          <w:sz w:val="24"/>
          <w:szCs w:val="24"/>
        </w:rPr>
        <w:t>ī ziņojuma izstrādes autora vērtējumā</w:t>
      </w:r>
      <w:r w:rsidR="00756B6F" w:rsidRPr="001C3611">
        <w:rPr>
          <w:rFonts w:ascii="Times New Roman" w:hAnsi="Times New Roman" w:cs="Times New Roman"/>
          <w:b/>
          <w:sz w:val="24"/>
          <w:szCs w:val="24"/>
        </w:rPr>
        <w:t xml:space="preserve"> </w:t>
      </w:r>
      <w:r w:rsidR="00777971" w:rsidRPr="001C3611">
        <w:rPr>
          <w:rFonts w:ascii="Times New Roman" w:hAnsi="Times New Roman" w:cs="Times New Roman"/>
          <w:b/>
          <w:sz w:val="24"/>
          <w:szCs w:val="24"/>
        </w:rPr>
        <w:t>Latvijas tautsaimniecības digitālās transformācijas pārvaldības mode</w:t>
      </w:r>
      <w:r w:rsidR="00756B6F" w:rsidRPr="001C3611">
        <w:rPr>
          <w:rFonts w:ascii="Times New Roman" w:hAnsi="Times New Roman" w:cs="Times New Roman"/>
          <w:b/>
          <w:sz w:val="24"/>
          <w:szCs w:val="24"/>
        </w:rPr>
        <w:t xml:space="preserve">ļa izveide </w:t>
      </w:r>
      <w:r w:rsidR="00756B6F" w:rsidRPr="001C3611">
        <w:rPr>
          <w:rFonts w:ascii="Times New Roman" w:hAnsi="Times New Roman" w:cs="Times New Roman"/>
          <w:sz w:val="24"/>
          <w:szCs w:val="24"/>
        </w:rPr>
        <w:t>ir izaicinājums</w:t>
      </w:r>
      <w:r w:rsidR="00756B6F" w:rsidRPr="001C3611">
        <w:rPr>
          <w:rFonts w:ascii="Times New Roman" w:hAnsi="Times New Roman" w:cs="Times New Roman"/>
          <w:b/>
          <w:sz w:val="24"/>
          <w:szCs w:val="24"/>
        </w:rPr>
        <w:t xml:space="preserve">, </w:t>
      </w:r>
      <w:r w:rsidR="00756B6F" w:rsidRPr="001C3611">
        <w:rPr>
          <w:rFonts w:ascii="Times New Roman" w:hAnsi="Times New Roman" w:cs="Times New Roman"/>
          <w:sz w:val="24"/>
          <w:szCs w:val="24"/>
        </w:rPr>
        <w:t>kurš šajā brīdī ir izvirzāms kā viens no prioritārajiem uzdevumiem valsts pārvaldes institūcijām. Šāda modeļa izstrāde un tā koordinācija ir īstenojama</w:t>
      </w:r>
      <w:r w:rsidR="00847641" w:rsidRPr="001C3611">
        <w:rPr>
          <w:rFonts w:ascii="Times New Roman" w:hAnsi="Times New Roman" w:cs="Times New Roman"/>
          <w:sz w:val="24"/>
          <w:szCs w:val="24"/>
        </w:rPr>
        <w:t xml:space="preserve">, izveidojot </w:t>
      </w:r>
      <w:r w:rsidR="00847641" w:rsidRPr="001C3611">
        <w:rPr>
          <w:rFonts w:ascii="Times New Roman" w:hAnsi="Times New Roman" w:cs="Times New Roman"/>
          <w:b/>
          <w:color w:val="000000" w:themeColor="text1"/>
          <w:sz w:val="24"/>
          <w:szCs w:val="24"/>
        </w:rPr>
        <w:t xml:space="preserve">aptverošu politikas ietvaru </w:t>
      </w:r>
      <w:r w:rsidR="00847641" w:rsidRPr="001C3611">
        <w:rPr>
          <w:rFonts w:ascii="Times New Roman" w:hAnsi="Times New Roman" w:cs="Times New Roman"/>
          <w:sz w:val="24"/>
          <w:szCs w:val="24"/>
        </w:rPr>
        <w:t xml:space="preserve">(starp valsts pārvaldes institūcijām) </w:t>
      </w:r>
      <w:r w:rsidR="00847641" w:rsidRPr="001C3611">
        <w:rPr>
          <w:rFonts w:ascii="Times New Roman" w:hAnsi="Times New Roman" w:cs="Times New Roman"/>
          <w:b/>
          <w:color w:val="000000" w:themeColor="text1"/>
          <w:sz w:val="24"/>
          <w:szCs w:val="24"/>
        </w:rPr>
        <w:t>digitālās transformācijas pasākumiem</w:t>
      </w:r>
      <w:r w:rsidR="00847641" w:rsidRPr="001C3611">
        <w:rPr>
          <w:rFonts w:ascii="Times New Roman" w:hAnsi="Times New Roman" w:cs="Times New Roman"/>
          <w:color w:val="000000" w:themeColor="text1"/>
          <w:sz w:val="24"/>
          <w:szCs w:val="24"/>
        </w:rPr>
        <w:t xml:space="preserve">, kuri ietver gan ministrijas, aģentūras, pašvaldības (horizontālā pasākumu koordinācija), kā arī politikas pasākumu koordinētu ieviešanu visās valsts pārvaldes institūcijās (vertikālā koordinācija, piem., īstenojot dažādus </w:t>
      </w:r>
      <w:proofErr w:type="spellStart"/>
      <w:r w:rsidR="00847641" w:rsidRPr="001C3611">
        <w:rPr>
          <w:rFonts w:ascii="Times New Roman" w:hAnsi="Times New Roman" w:cs="Times New Roman"/>
          <w:color w:val="000000" w:themeColor="text1"/>
          <w:sz w:val="24"/>
          <w:szCs w:val="24"/>
        </w:rPr>
        <w:t>pilotrpojektus</w:t>
      </w:r>
      <w:proofErr w:type="spellEnd"/>
      <w:r w:rsidR="00847641" w:rsidRPr="001C3611">
        <w:rPr>
          <w:rFonts w:ascii="Times New Roman" w:hAnsi="Times New Roman" w:cs="Times New Roman"/>
          <w:color w:val="000000" w:themeColor="text1"/>
          <w:sz w:val="24"/>
          <w:szCs w:val="24"/>
        </w:rPr>
        <w:t xml:space="preserve"> institūciju ietvaros).</w:t>
      </w:r>
      <w:r w:rsidRPr="001C3611">
        <w:rPr>
          <w:rFonts w:ascii="Times New Roman" w:hAnsi="Times New Roman" w:cs="Times New Roman"/>
          <w:color w:val="000000" w:themeColor="text1"/>
          <w:sz w:val="24"/>
          <w:szCs w:val="24"/>
        </w:rPr>
        <w:t xml:space="preserve"> </w:t>
      </w:r>
    </w:p>
    <w:p w14:paraId="219E0466" w14:textId="35FB50B2" w:rsidR="00277B83" w:rsidRPr="001C3611" w:rsidRDefault="00847641" w:rsidP="00205459">
      <w:pPr>
        <w:autoSpaceDE w:val="0"/>
        <w:autoSpaceDN w:val="0"/>
        <w:adjustRightInd w:val="0"/>
        <w:spacing w:before="60" w:after="60" w:line="276" w:lineRule="auto"/>
        <w:jc w:val="both"/>
        <w:rPr>
          <w:rFonts w:ascii="Times New Roman" w:hAnsi="Times New Roman" w:cs="Times New Roman"/>
          <w:color w:val="000000" w:themeColor="text1"/>
          <w:sz w:val="24"/>
          <w:szCs w:val="24"/>
        </w:rPr>
      </w:pPr>
      <w:r w:rsidRPr="001C3611">
        <w:rPr>
          <w:rFonts w:ascii="Times New Roman" w:hAnsi="Times New Roman" w:cs="Times New Roman"/>
          <w:b/>
          <w:color w:val="000000" w:themeColor="text1"/>
          <w:sz w:val="24"/>
          <w:szCs w:val="24"/>
        </w:rPr>
        <w:t>Digitālo jautājumu stratēģiskās koordinācijas un vadības sistēmas</w:t>
      </w:r>
      <w:r w:rsidR="00277B83" w:rsidRPr="001C3611">
        <w:rPr>
          <w:rFonts w:ascii="Times New Roman" w:hAnsi="Times New Roman" w:cs="Times New Roman"/>
          <w:color w:val="000000" w:themeColor="text1"/>
          <w:sz w:val="24"/>
          <w:szCs w:val="24"/>
        </w:rPr>
        <w:t xml:space="preserve"> </w:t>
      </w:r>
      <w:r w:rsidR="002412FE" w:rsidRPr="001C3611">
        <w:rPr>
          <w:rFonts w:ascii="Times New Roman" w:hAnsi="Times New Roman" w:cs="Times New Roman"/>
          <w:color w:val="000000" w:themeColor="text1"/>
          <w:sz w:val="24"/>
          <w:szCs w:val="24"/>
        </w:rPr>
        <w:t>fokuss būtu orientējams uz</w:t>
      </w:r>
      <w:r w:rsidRPr="001C3611">
        <w:rPr>
          <w:rFonts w:ascii="Times New Roman" w:hAnsi="Times New Roman" w:cs="Times New Roman"/>
          <w:color w:val="000000" w:themeColor="text1"/>
          <w:sz w:val="24"/>
          <w:szCs w:val="24"/>
        </w:rPr>
        <w:t xml:space="preserve"> prioritārajiem industriju (</w:t>
      </w:r>
      <w:r w:rsidR="002412FE" w:rsidRPr="001C3611">
        <w:rPr>
          <w:rFonts w:ascii="Times New Roman" w:hAnsi="Times New Roman" w:cs="Times New Roman"/>
          <w:color w:val="000000" w:themeColor="text1"/>
          <w:sz w:val="24"/>
          <w:szCs w:val="24"/>
        </w:rPr>
        <w:t xml:space="preserve">Latvijas Viedās specializācijas stratēģijas – turpmāk tekstā </w:t>
      </w:r>
      <w:r w:rsidRPr="001C3611">
        <w:rPr>
          <w:rFonts w:ascii="Times New Roman" w:hAnsi="Times New Roman" w:cs="Times New Roman"/>
          <w:color w:val="000000" w:themeColor="text1"/>
          <w:sz w:val="24"/>
          <w:szCs w:val="24"/>
        </w:rPr>
        <w:t xml:space="preserve">RIS3) un tehnoloģiju attīstības virzieniem (Latvijas </w:t>
      </w:r>
      <w:r w:rsidR="00277B83" w:rsidRPr="001C3611">
        <w:rPr>
          <w:rFonts w:ascii="Times New Roman" w:hAnsi="Times New Roman" w:cs="Times New Roman"/>
          <w:color w:val="000000" w:themeColor="text1"/>
          <w:sz w:val="24"/>
          <w:szCs w:val="24"/>
        </w:rPr>
        <w:t xml:space="preserve">komersantu un pētniecības institūciju </w:t>
      </w:r>
      <w:r w:rsidRPr="001C3611">
        <w:rPr>
          <w:rFonts w:ascii="Times New Roman" w:hAnsi="Times New Roman" w:cs="Times New Roman"/>
          <w:color w:val="000000" w:themeColor="text1"/>
          <w:sz w:val="24"/>
          <w:szCs w:val="24"/>
        </w:rPr>
        <w:t xml:space="preserve">attīstītās </w:t>
      </w:r>
      <w:r w:rsidR="0032454D" w:rsidRPr="001C3611">
        <w:rPr>
          <w:rFonts w:ascii="Times New Roman" w:hAnsi="Times New Roman" w:cs="Times New Roman"/>
          <w:color w:val="000000" w:themeColor="text1"/>
          <w:sz w:val="24"/>
          <w:szCs w:val="24"/>
        </w:rPr>
        <w:t>P</w:t>
      </w:r>
      <w:r w:rsidRPr="001C3611">
        <w:rPr>
          <w:rFonts w:ascii="Times New Roman" w:hAnsi="Times New Roman" w:cs="Times New Roman"/>
          <w:color w:val="000000" w:themeColor="text1"/>
          <w:sz w:val="24"/>
          <w:szCs w:val="24"/>
        </w:rPr>
        <w:t>&amp;</w:t>
      </w:r>
      <w:r w:rsidR="0032454D" w:rsidRPr="001C3611">
        <w:rPr>
          <w:rFonts w:ascii="Times New Roman" w:hAnsi="Times New Roman" w:cs="Times New Roman"/>
          <w:color w:val="000000" w:themeColor="text1"/>
          <w:sz w:val="24"/>
          <w:szCs w:val="24"/>
        </w:rPr>
        <w:t>A</w:t>
      </w:r>
      <w:r w:rsidRPr="001C3611">
        <w:rPr>
          <w:rFonts w:ascii="Times New Roman" w:hAnsi="Times New Roman" w:cs="Times New Roman"/>
          <w:color w:val="000000" w:themeColor="text1"/>
          <w:sz w:val="24"/>
          <w:szCs w:val="24"/>
        </w:rPr>
        <w:t xml:space="preserve"> kompetences)</w:t>
      </w:r>
      <w:r w:rsidR="002412FE" w:rsidRPr="001C3611">
        <w:rPr>
          <w:rFonts w:ascii="Times New Roman" w:hAnsi="Times New Roman" w:cs="Times New Roman"/>
          <w:color w:val="000000" w:themeColor="text1"/>
          <w:sz w:val="24"/>
          <w:szCs w:val="24"/>
        </w:rPr>
        <w:t xml:space="preserve">. Vienlaikus </w:t>
      </w:r>
      <w:r w:rsidR="00205459">
        <w:rPr>
          <w:rFonts w:ascii="Times New Roman" w:hAnsi="Times New Roman" w:cs="Times New Roman"/>
          <w:color w:val="000000" w:themeColor="text1"/>
          <w:sz w:val="24"/>
          <w:szCs w:val="24"/>
        </w:rPr>
        <w:t>ir</w:t>
      </w:r>
      <w:r w:rsidRPr="001C3611">
        <w:rPr>
          <w:rFonts w:ascii="Times New Roman" w:hAnsi="Times New Roman" w:cs="Times New Roman"/>
          <w:color w:val="000000" w:themeColor="text1"/>
          <w:sz w:val="24"/>
          <w:szCs w:val="24"/>
        </w:rPr>
        <w:t xml:space="preserve"> nepieciešams apmācīt </w:t>
      </w:r>
      <w:r w:rsidR="00205459">
        <w:rPr>
          <w:rFonts w:ascii="Times New Roman" w:hAnsi="Times New Roman" w:cs="Times New Roman"/>
          <w:color w:val="000000" w:themeColor="text1"/>
          <w:sz w:val="24"/>
          <w:szCs w:val="24"/>
        </w:rPr>
        <w:t>publiskās</w:t>
      </w:r>
      <w:r w:rsidRPr="001C3611">
        <w:rPr>
          <w:rFonts w:ascii="Times New Roman" w:hAnsi="Times New Roman" w:cs="Times New Roman"/>
          <w:color w:val="000000" w:themeColor="text1"/>
          <w:sz w:val="24"/>
          <w:szCs w:val="24"/>
        </w:rPr>
        <w:t xml:space="preserve"> pārvaldes darbiniekus, palīdzot apjaust un pieprasīt </w:t>
      </w:r>
      <w:proofErr w:type="spellStart"/>
      <w:r w:rsidRPr="001C3611">
        <w:rPr>
          <w:rFonts w:ascii="Times New Roman" w:hAnsi="Times New Roman" w:cs="Times New Roman"/>
          <w:color w:val="000000" w:themeColor="text1"/>
          <w:sz w:val="24"/>
          <w:szCs w:val="24"/>
        </w:rPr>
        <w:t>komercsektoram</w:t>
      </w:r>
      <w:proofErr w:type="spellEnd"/>
      <w:r w:rsidRPr="001C3611">
        <w:rPr>
          <w:rFonts w:ascii="Times New Roman" w:hAnsi="Times New Roman" w:cs="Times New Roman"/>
          <w:color w:val="000000" w:themeColor="text1"/>
          <w:sz w:val="24"/>
          <w:szCs w:val="24"/>
        </w:rPr>
        <w:t xml:space="preserve"> inovatīvākos tehnoloģiskos risinājumus valsts pārvaldes sniegto pakalpojumu </w:t>
      </w:r>
      <w:proofErr w:type="spellStart"/>
      <w:r w:rsidRPr="001C3611">
        <w:rPr>
          <w:rFonts w:ascii="Times New Roman" w:hAnsi="Times New Roman" w:cs="Times New Roman"/>
          <w:color w:val="000000" w:themeColor="text1"/>
          <w:sz w:val="24"/>
          <w:szCs w:val="24"/>
        </w:rPr>
        <w:t>digitalizēšanai</w:t>
      </w:r>
      <w:proofErr w:type="spellEnd"/>
      <w:r w:rsidRPr="001C3611">
        <w:rPr>
          <w:rFonts w:ascii="Times New Roman" w:hAnsi="Times New Roman" w:cs="Times New Roman"/>
          <w:color w:val="000000" w:themeColor="text1"/>
          <w:sz w:val="24"/>
          <w:szCs w:val="24"/>
        </w:rPr>
        <w:t xml:space="preserve">. </w:t>
      </w:r>
    </w:p>
    <w:p w14:paraId="7A32730F" w14:textId="77777777" w:rsidR="00277B83" w:rsidRPr="001C3611" w:rsidRDefault="00277B83" w:rsidP="00205459">
      <w:pPr>
        <w:autoSpaceDE w:val="0"/>
        <w:autoSpaceDN w:val="0"/>
        <w:adjustRightInd w:val="0"/>
        <w:spacing w:before="60" w:after="60" w:line="276" w:lineRule="auto"/>
        <w:jc w:val="both"/>
        <w:rPr>
          <w:rFonts w:ascii="Times New Roman" w:hAnsi="Times New Roman" w:cs="Times New Roman"/>
          <w:color w:val="000000" w:themeColor="text1"/>
          <w:sz w:val="24"/>
          <w:szCs w:val="24"/>
        </w:rPr>
      </w:pPr>
      <w:r w:rsidRPr="001C3611">
        <w:rPr>
          <w:rFonts w:ascii="Times New Roman" w:hAnsi="Times New Roman" w:cs="Times New Roman"/>
          <w:color w:val="000000" w:themeColor="text1"/>
          <w:sz w:val="24"/>
          <w:szCs w:val="24"/>
        </w:rPr>
        <w:t>Mērķtiecīgi jāturpina strādāt pie DDN konceptā iekļautajiem pasākumiem, kuri ir vērsti uz publisko</w:t>
      </w:r>
      <w:r w:rsidR="00847641" w:rsidRPr="001C3611">
        <w:rPr>
          <w:rFonts w:ascii="Times New Roman" w:hAnsi="Times New Roman" w:cs="Times New Roman"/>
          <w:color w:val="000000" w:themeColor="text1"/>
          <w:sz w:val="24"/>
          <w:szCs w:val="24"/>
        </w:rPr>
        <w:t xml:space="preserve"> datu </w:t>
      </w:r>
      <w:r w:rsidRPr="001C3611">
        <w:rPr>
          <w:rFonts w:ascii="Times New Roman" w:hAnsi="Times New Roman" w:cs="Times New Roman"/>
          <w:color w:val="000000" w:themeColor="text1"/>
          <w:sz w:val="24"/>
          <w:szCs w:val="24"/>
        </w:rPr>
        <w:t xml:space="preserve">atvēršanu </w:t>
      </w:r>
      <w:r w:rsidR="00847641" w:rsidRPr="001C3611">
        <w:rPr>
          <w:rFonts w:ascii="Times New Roman" w:hAnsi="Times New Roman" w:cs="Times New Roman"/>
          <w:color w:val="000000" w:themeColor="text1"/>
          <w:sz w:val="24"/>
          <w:szCs w:val="24"/>
        </w:rPr>
        <w:t xml:space="preserve">(pēc principa “atvērts pēc noklusējuma”) un publisko pakalpojumu </w:t>
      </w:r>
      <w:proofErr w:type="spellStart"/>
      <w:r w:rsidR="00847641" w:rsidRPr="001C3611">
        <w:rPr>
          <w:rFonts w:ascii="Times New Roman" w:hAnsi="Times New Roman" w:cs="Times New Roman"/>
          <w:color w:val="000000" w:themeColor="text1"/>
          <w:sz w:val="24"/>
          <w:szCs w:val="24"/>
        </w:rPr>
        <w:t>saskarņu</w:t>
      </w:r>
      <w:proofErr w:type="spellEnd"/>
      <w:r w:rsidR="00847641" w:rsidRPr="001C3611">
        <w:rPr>
          <w:rFonts w:ascii="Times New Roman" w:hAnsi="Times New Roman" w:cs="Times New Roman"/>
          <w:color w:val="000000" w:themeColor="text1"/>
          <w:sz w:val="24"/>
          <w:szCs w:val="24"/>
        </w:rPr>
        <w:t xml:space="preserve"> atvēršanu kā arī  valsts pārvaldi orie</w:t>
      </w:r>
      <w:r w:rsidRPr="001C3611">
        <w:rPr>
          <w:rFonts w:ascii="Times New Roman" w:hAnsi="Times New Roman" w:cs="Times New Roman"/>
          <w:color w:val="000000" w:themeColor="text1"/>
          <w:sz w:val="24"/>
          <w:szCs w:val="24"/>
        </w:rPr>
        <w:t>ntējot</w:t>
      </w:r>
      <w:r w:rsidR="00847641" w:rsidRPr="001C3611">
        <w:rPr>
          <w:rFonts w:ascii="Times New Roman" w:hAnsi="Times New Roman" w:cs="Times New Roman"/>
          <w:color w:val="000000" w:themeColor="text1"/>
          <w:sz w:val="24"/>
          <w:szCs w:val="24"/>
        </w:rPr>
        <w:t xml:space="preserve"> uz datos balstītu lēmumu pieņemšanu, ievie</w:t>
      </w:r>
      <w:r w:rsidRPr="001C3611">
        <w:rPr>
          <w:rFonts w:ascii="Times New Roman" w:hAnsi="Times New Roman" w:cs="Times New Roman"/>
          <w:color w:val="000000" w:themeColor="text1"/>
          <w:sz w:val="24"/>
          <w:szCs w:val="24"/>
        </w:rPr>
        <w:t>šot</w:t>
      </w:r>
      <w:r w:rsidR="00847641" w:rsidRPr="001C3611">
        <w:rPr>
          <w:rFonts w:ascii="Times New Roman" w:hAnsi="Times New Roman" w:cs="Times New Roman"/>
          <w:color w:val="000000" w:themeColor="text1"/>
          <w:sz w:val="24"/>
          <w:szCs w:val="24"/>
        </w:rPr>
        <w:t xml:space="preserve"> efektīvus datu apmaiņas un </w:t>
      </w:r>
      <w:proofErr w:type="spellStart"/>
      <w:r w:rsidR="00847641" w:rsidRPr="001C3611">
        <w:rPr>
          <w:rFonts w:ascii="Times New Roman" w:hAnsi="Times New Roman" w:cs="Times New Roman"/>
          <w:color w:val="000000" w:themeColor="text1"/>
          <w:sz w:val="24"/>
          <w:szCs w:val="24"/>
        </w:rPr>
        <w:t>atkalizmantošanas</w:t>
      </w:r>
      <w:proofErr w:type="spellEnd"/>
      <w:r w:rsidR="00847641" w:rsidRPr="001C3611">
        <w:rPr>
          <w:rFonts w:ascii="Times New Roman" w:hAnsi="Times New Roman" w:cs="Times New Roman"/>
          <w:color w:val="000000" w:themeColor="text1"/>
          <w:sz w:val="24"/>
          <w:szCs w:val="24"/>
        </w:rPr>
        <w:t xml:space="preserve"> principus. </w:t>
      </w:r>
    </w:p>
    <w:p w14:paraId="657B7F9A" w14:textId="77777777" w:rsidR="00277B83" w:rsidRPr="001C3611" w:rsidRDefault="00847641" w:rsidP="00205459">
      <w:pPr>
        <w:autoSpaceDE w:val="0"/>
        <w:autoSpaceDN w:val="0"/>
        <w:adjustRightInd w:val="0"/>
        <w:spacing w:before="60" w:after="60" w:line="276" w:lineRule="auto"/>
        <w:jc w:val="both"/>
        <w:rPr>
          <w:rFonts w:ascii="Times New Roman" w:hAnsi="Times New Roman" w:cs="Times New Roman"/>
          <w:color w:val="000000" w:themeColor="text1"/>
          <w:sz w:val="24"/>
          <w:szCs w:val="24"/>
        </w:rPr>
      </w:pPr>
      <w:r w:rsidRPr="001C3611">
        <w:rPr>
          <w:rFonts w:ascii="Times New Roman" w:hAnsi="Times New Roman" w:cs="Times New Roman"/>
          <w:color w:val="000000" w:themeColor="text1"/>
          <w:sz w:val="24"/>
          <w:szCs w:val="24"/>
        </w:rPr>
        <w:lastRenderedPageBreak/>
        <w:t>Primāri publisko datu atvēršan</w:t>
      </w:r>
      <w:r w:rsidR="00277B83" w:rsidRPr="001C3611">
        <w:rPr>
          <w:rFonts w:ascii="Times New Roman" w:hAnsi="Times New Roman" w:cs="Times New Roman"/>
          <w:color w:val="000000" w:themeColor="text1"/>
          <w:sz w:val="24"/>
          <w:szCs w:val="24"/>
        </w:rPr>
        <w:t xml:space="preserve">a būtu veicam </w:t>
      </w:r>
      <w:r w:rsidRPr="001C3611">
        <w:rPr>
          <w:rFonts w:ascii="Times New Roman" w:hAnsi="Times New Roman" w:cs="Times New Roman"/>
          <w:color w:val="000000" w:themeColor="text1"/>
          <w:sz w:val="24"/>
          <w:szCs w:val="24"/>
        </w:rPr>
        <w:t xml:space="preserve">eksportspējīgu vai tautsaimniecības attīstībai būtisku produktu izstrādei, publiskajai pārvaldei </w:t>
      </w:r>
      <w:proofErr w:type="spellStart"/>
      <w:r w:rsidRPr="001C3611">
        <w:rPr>
          <w:rFonts w:ascii="Times New Roman" w:hAnsi="Times New Roman" w:cs="Times New Roman"/>
          <w:color w:val="000000" w:themeColor="text1"/>
          <w:sz w:val="24"/>
          <w:szCs w:val="24"/>
        </w:rPr>
        <w:t>proaktīvi</w:t>
      </w:r>
      <w:proofErr w:type="spellEnd"/>
      <w:r w:rsidRPr="001C3611">
        <w:rPr>
          <w:rFonts w:ascii="Times New Roman" w:hAnsi="Times New Roman" w:cs="Times New Roman"/>
          <w:color w:val="000000" w:themeColor="text1"/>
          <w:sz w:val="24"/>
          <w:szCs w:val="24"/>
        </w:rPr>
        <w:t xml:space="preserve"> darbojoties kā šo produktu inkubācijas platformai (“</w:t>
      </w:r>
      <w:proofErr w:type="spellStart"/>
      <w:r w:rsidRPr="001C3611">
        <w:rPr>
          <w:rFonts w:ascii="Times New Roman" w:hAnsi="Times New Roman" w:cs="Times New Roman"/>
          <w:color w:val="000000" w:themeColor="text1"/>
          <w:sz w:val="24"/>
          <w:szCs w:val="24"/>
        </w:rPr>
        <w:t>sandbox</w:t>
      </w:r>
      <w:proofErr w:type="spellEnd"/>
      <w:r w:rsidRPr="001C3611">
        <w:rPr>
          <w:rFonts w:ascii="Times New Roman" w:hAnsi="Times New Roman" w:cs="Times New Roman"/>
          <w:color w:val="000000" w:themeColor="text1"/>
          <w:sz w:val="24"/>
          <w:szCs w:val="24"/>
        </w:rPr>
        <w:t xml:space="preserve">” pieeja). </w:t>
      </w:r>
    </w:p>
    <w:p w14:paraId="5BB31392" w14:textId="57FCD07D" w:rsidR="00777971" w:rsidRPr="001C3611" w:rsidRDefault="00277B83" w:rsidP="00205459">
      <w:pPr>
        <w:autoSpaceDE w:val="0"/>
        <w:autoSpaceDN w:val="0"/>
        <w:adjustRightInd w:val="0"/>
        <w:spacing w:before="60" w:after="60" w:line="276" w:lineRule="auto"/>
        <w:jc w:val="both"/>
        <w:rPr>
          <w:rFonts w:ascii="Times New Roman" w:hAnsi="Times New Roman" w:cs="Times New Roman"/>
          <w:b/>
          <w:color w:val="000000" w:themeColor="text1"/>
          <w:sz w:val="24"/>
          <w:szCs w:val="24"/>
        </w:rPr>
      </w:pPr>
      <w:r w:rsidRPr="001C3611">
        <w:rPr>
          <w:rFonts w:ascii="Times New Roman" w:hAnsi="Times New Roman" w:cs="Times New Roman"/>
          <w:color w:val="000000" w:themeColor="text1"/>
          <w:sz w:val="24"/>
          <w:szCs w:val="24"/>
        </w:rPr>
        <w:t>Ir nepieciešams izstrādāt</w:t>
      </w:r>
      <w:r w:rsidR="00847641" w:rsidRPr="001C3611">
        <w:rPr>
          <w:rFonts w:ascii="Times New Roman" w:hAnsi="Times New Roman" w:cs="Times New Roman"/>
          <w:color w:val="000000" w:themeColor="text1"/>
          <w:sz w:val="24"/>
          <w:szCs w:val="24"/>
        </w:rPr>
        <w:t xml:space="preserve"> mehānismu kā valsts pārvaldes iestāde var veidot partnerību ar komersantu, ka finansiālos ieguvumus no produkta ieviešanas rezultāta publiskās pārvaldes iestāde var dalīt ar komersantu</w:t>
      </w:r>
      <w:r w:rsidRPr="001C3611">
        <w:rPr>
          <w:rFonts w:ascii="Times New Roman" w:hAnsi="Times New Roman" w:cs="Times New Roman"/>
          <w:b/>
          <w:color w:val="000000" w:themeColor="text1"/>
          <w:sz w:val="24"/>
          <w:szCs w:val="24"/>
        </w:rPr>
        <w:t xml:space="preserve">, vienlaikus nodrošinot </w:t>
      </w:r>
      <w:r w:rsidR="00847641" w:rsidRPr="001C3611">
        <w:rPr>
          <w:rFonts w:ascii="Times New Roman" w:hAnsi="Times New Roman" w:cs="Times New Roman"/>
          <w:b/>
          <w:color w:val="000000" w:themeColor="text1"/>
          <w:sz w:val="24"/>
          <w:szCs w:val="24"/>
        </w:rPr>
        <w:t>modern</w:t>
      </w:r>
      <w:r w:rsidRPr="001C3611">
        <w:rPr>
          <w:rFonts w:ascii="Times New Roman" w:hAnsi="Times New Roman" w:cs="Times New Roman"/>
          <w:b/>
          <w:color w:val="000000" w:themeColor="text1"/>
          <w:sz w:val="24"/>
          <w:szCs w:val="24"/>
        </w:rPr>
        <w:t>as</w:t>
      </w:r>
      <w:r w:rsidR="00847641" w:rsidRPr="001C3611">
        <w:rPr>
          <w:rFonts w:ascii="Times New Roman" w:hAnsi="Times New Roman" w:cs="Times New Roman"/>
          <w:b/>
          <w:color w:val="000000" w:themeColor="text1"/>
          <w:sz w:val="24"/>
          <w:szCs w:val="24"/>
        </w:rPr>
        <w:t xml:space="preserve"> </w:t>
      </w:r>
      <w:proofErr w:type="spellStart"/>
      <w:r w:rsidR="00847641" w:rsidRPr="001C3611">
        <w:rPr>
          <w:rFonts w:ascii="Times New Roman" w:hAnsi="Times New Roman" w:cs="Times New Roman"/>
          <w:b/>
          <w:color w:val="000000" w:themeColor="text1"/>
          <w:sz w:val="24"/>
          <w:szCs w:val="24"/>
        </w:rPr>
        <w:t>kiberdrošības</w:t>
      </w:r>
      <w:proofErr w:type="spellEnd"/>
      <w:r w:rsidR="00847641" w:rsidRPr="001C3611">
        <w:rPr>
          <w:rFonts w:ascii="Times New Roman" w:hAnsi="Times New Roman" w:cs="Times New Roman"/>
          <w:b/>
          <w:color w:val="000000" w:themeColor="text1"/>
          <w:sz w:val="24"/>
          <w:szCs w:val="24"/>
        </w:rPr>
        <w:t xml:space="preserve"> kapacitātes attīstības programm</w:t>
      </w:r>
      <w:r w:rsidRPr="001C3611">
        <w:rPr>
          <w:rFonts w:ascii="Times New Roman" w:hAnsi="Times New Roman" w:cs="Times New Roman"/>
          <w:b/>
          <w:color w:val="000000" w:themeColor="text1"/>
          <w:sz w:val="24"/>
          <w:szCs w:val="24"/>
        </w:rPr>
        <w:t>as/pasākumu</w:t>
      </w:r>
      <w:r w:rsidR="00847641" w:rsidRPr="001C3611">
        <w:rPr>
          <w:rFonts w:ascii="Times New Roman" w:hAnsi="Times New Roman" w:cs="Times New Roman"/>
          <w:color w:val="000000" w:themeColor="text1"/>
          <w:sz w:val="24"/>
          <w:szCs w:val="24"/>
        </w:rPr>
        <w:t xml:space="preserve"> </w:t>
      </w:r>
      <w:r w:rsidRPr="001C3611">
        <w:rPr>
          <w:rFonts w:ascii="Times New Roman" w:hAnsi="Times New Roman" w:cs="Times New Roman"/>
          <w:color w:val="000000" w:themeColor="text1"/>
          <w:sz w:val="24"/>
          <w:szCs w:val="24"/>
        </w:rPr>
        <w:t xml:space="preserve">izstrādi un ieviešanu </w:t>
      </w:r>
      <w:r w:rsidR="00847641" w:rsidRPr="001C3611">
        <w:rPr>
          <w:rFonts w:ascii="Times New Roman" w:hAnsi="Times New Roman" w:cs="Times New Roman"/>
          <w:color w:val="000000" w:themeColor="text1"/>
          <w:sz w:val="24"/>
          <w:szCs w:val="24"/>
        </w:rPr>
        <w:t xml:space="preserve">gan publiskā, gan privātā sektora </w:t>
      </w:r>
      <w:proofErr w:type="spellStart"/>
      <w:r w:rsidR="00847641" w:rsidRPr="001C3611">
        <w:rPr>
          <w:rFonts w:ascii="Times New Roman" w:hAnsi="Times New Roman" w:cs="Times New Roman"/>
          <w:color w:val="000000" w:themeColor="text1"/>
          <w:sz w:val="24"/>
          <w:szCs w:val="24"/>
        </w:rPr>
        <w:t>kiberapdraudējuma</w:t>
      </w:r>
      <w:proofErr w:type="spellEnd"/>
      <w:r w:rsidR="00847641" w:rsidRPr="001C3611">
        <w:rPr>
          <w:rFonts w:ascii="Times New Roman" w:hAnsi="Times New Roman" w:cs="Times New Roman"/>
          <w:color w:val="000000" w:themeColor="text1"/>
          <w:sz w:val="24"/>
          <w:szCs w:val="24"/>
        </w:rPr>
        <w:t xml:space="preserve"> novēršanai, nodrošinot iedzīvotāju un komersantu uzticību valstij.</w:t>
      </w:r>
    </w:p>
    <w:p w14:paraId="34B5D60F" w14:textId="0F863366" w:rsidR="008B7645" w:rsidRPr="001C3611" w:rsidRDefault="008B7645" w:rsidP="00205459">
      <w:pPr>
        <w:pStyle w:val="GDFlyerBodyText"/>
        <w:spacing w:after="40"/>
        <w:ind w:firstLine="340"/>
        <w:rPr>
          <w:rFonts w:ascii="Times New Roman" w:hAnsi="Times New Roman" w:cs="Times New Roman"/>
          <w:b/>
          <w:bCs/>
          <w:sz w:val="24"/>
          <w:szCs w:val="24"/>
        </w:rPr>
      </w:pPr>
    </w:p>
    <w:p w14:paraId="2A6E8FD2" w14:textId="05539383" w:rsidR="008B7645" w:rsidRPr="001C3611" w:rsidRDefault="0083052A" w:rsidP="00205459">
      <w:pPr>
        <w:pStyle w:val="GDFlyerBodyText"/>
        <w:spacing w:after="40"/>
        <w:rPr>
          <w:rFonts w:ascii="Times New Roman" w:hAnsi="Times New Roman" w:cs="Times New Roman"/>
          <w:b/>
          <w:bCs/>
          <w:sz w:val="24"/>
          <w:szCs w:val="24"/>
        </w:rPr>
      </w:pPr>
      <w:r w:rsidRPr="001C3611">
        <w:rPr>
          <w:rFonts w:ascii="Times New Roman" w:hAnsi="Times New Roman" w:cs="Times New Roman"/>
          <w:b/>
          <w:bCs/>
          <w:sz w:val="24"/>
          <w:szCs w:val="24"/>
        </w:rPr>
        <w:t>Svarīgi ir saprast arī veicamie pasākumu</w:t>
      </w:r>
      <w:r w:rsidR="008B7645" w:rsidRPr="001C3611">
        <w:rPr>
          <w:rFonts w:ascii="Times New Roman" w:hAnsi="Times New Roman" w:cs="Times New Roman"/>
          <w:b/>
          <w:bCs/>
          <w:sz w:val="24"/>
          <w:szCs w:val="24"/>
        </w:rPr>
        <w:t xml:space="preserve"> kontekst</w:t>
      </w:r>
      <w:r w:rsidRPr="001C3611">
        <w:rPr>
          <w:rFonts w:ascii="Times New Roman" w:hAnsi="Times New Roman" w:cs="Times New Roman"/>
          <w:b/>
          <w:bCs/>
          <w:sz w:val="24"/>
          <w:szCs w:val="24"/>
        </w:rPr>
        <w:t>u</w:t>
      </w:r>
      <w:r w:rsidR="008B7645" w:rsidRPr="001C3611">
        <w:rPr>
          <w:rFonts w:ascii="Times New Roman" w:hAnsi="Times New Roman" w:cs="Times New Roman"/>
          <w:b/>
          <w:bCs/>
          <w:sz w:val="24"/>
          <w:szCs w:val="24"/>
        </w:rPr>
        <w:t xml:space="preserve"> kādā šobrīd ir publiskais sektors, ņemot vērā darbu, kas ir uzsākts pie nākamā plānošanas perioda (2021-2027), </w:t>
      </w:r>
      <w:r w:rsidR="008B7645" w:rsidRPr="00205459">
        <w:rPr>
          <w:rFonts w:ascii="Times New Roman" w:hAnsi="Times New Roman" w:cs="Times New Roman"/>
          <w:bCs/>
          <w:sz w:val="24"/>
          <w:szCs w:val="24"/>
        </w:rPr>
        <w:t xml:space="preserve">kas lielā mērā iezīmēs gan </w:t>
      </w:r>
      <w:proofErr w:type="spellStart"/>
      <w:r w:rsidR="008B7645" w:rsidRPr="00205459">
        <w:rPr>
          <w:rFonts w:ascii="Times New Roman" w:hAnsi="Times New Roman" w:cs="Times New Roman"/>
          <w:bCs/>
          <w:sz w:val="24"/>
          <w:szCs w:val="24"/>
        </w:rPr>
        <w:t>rīcībpolitiku</w:t>
      </w:r>
      <w:proofErr w:type="spellEnd"/>
      <w:r w:rsidR="008B7645" w:rsidRPr="00205459">
        <w:rPr>
          <w:rFonts w:ascii="Times New Roman" w:hAnsi="Times New Roman" w:cs="Times New Roman"/>
          <w:bCs/>
          <w:sz w:val="24"/>
          <w:szCs w:val="24"/>
        </w:rPr>
        <w:t xml:space="preserve"> ambīcijas un realizējamos pasākumus</w:t>
      </w:r>
      <w:r w:rsidRPr="00205459">
        <w:rPr>
          <w:rFonts w:ascii="Times New Roman" w:hAnsi="Times New Roman" w:cs="Times New Roman"/>
          <w:bCs/>
          <w:sz w:val="24"/>
          <w:szCs w:val="24"/>
        </w:rPr>
        <w:t>, gan</w:t>
      </w:r>
      <w:r w:rsidR="008B7645" w:rsidRPr="00205459">
        <w:rPr>
          <w:rFonts w:ascii="Times New Roman" w:hAnsi="Times New Roman" w:cs="Times New Roman"/>
          <w:bCs/>
          <w:sz w:val="24"/>
          <w:szCs w:val="24"/>
        </w:rPr>
        <w:t xml:space="preserve"> arī finansējumu nozaru politikām</w:t>
      </w:r>
      <w:r w:rsidRPr="00205459">
        <w:rPr>
          <w:rFonts w:ascii="Times New Roman" w:hAnsi="Times New Roman" w:cs="Times New Roman"/>
          <w:bCs/>
          <w:sz w:val="24"/>
          <w:szCs w:val="24"/>
        </w:rPr>
        <w:t>, līdz ar to 2019-2020.gada plānoš</w:t>
      </w:r>
      <w:r w:rsidR="00205459" w:rsidRPr="00205459">
        <w:rPr>
          <w:rFonts w:ascii="Times New Roman" w:hAnsi="Times New Roman" w:cs="Times New Roman"/>
          <w:bCs/>
          <w:sz w:val="24"/>
          <w:szCs w:val="24"/>
        </w:rPr>
        <w:t>a</w:t>
      </w:r>
      <w:r w:rsidRPr="00205459">
        <w:rPr>
          <w:rFonts w:ascii="Times New Roman" w:hAnsi="Times New Roman" w:cs="Times New Roman"/>
          <w:bCs/>
          <w:sz w:val="24"/>
          <w:szCs w:val="24"/>
        </w:rPr>
        <w:t xml:space="preserve">nas procesi </w:t>
      </w:r>
      <w:proofErr w:type="spellStart"/>
      <w:r w:rsidRPr="00205459">
        <w:rPr>
          <w:rFonts w:ascii="Times New Roman" w:hAnsi="Times New Roman" w:cs="Times New Roman"/>
          <w:bCs/>
          <w:sz w:val="24"/>
          <w:szCs w:val="24"/>
        </w:rPr>
        <w:t>rīcībpolitiku</w:t>
      </w:r>
      <w:proofErr w:type="spellEnd"/>
      <w:r w:rsidRPr="00205459">
        <w:rPr>
          <w:rFonts w:ascii="Times New Roman" w:hAnsi="Times New Roman" w:cs="Times New Roman"/>
          <w:bCs/>
          <w:sz w:val="24"/>
          <w:szCs w:val="24"/>
        </w:rPr>
        <w:t xml:space="preserve"> izstrādē ir izšķiroši svarīgi digitālās transformācijas </w:t>
      </w:r>
      <w:r w:rsidR="00495F51" w:rsidRPr="00205459">
        <w:rPr>
          <w:rFonts w:ascii="Times New Roman" w:hAnsi="Times New Roman" w:cs="Times New Roman"/>
          <w:bCs/>
          <w:sz w:val="24"/>
          <w:szCs w:val="24"/>
        </w:rPr>
        <w:t>progresam</w:t>
      </w:r>
      <w:r w:rsidR="008B7645" w:rsidRPr="001C3611">
        <w:rPr>
          <w:rFonts w:ascii="Times New Roman" w:hAnsi="Times New Roman" w:cs="Times New Roman"/>
          <w:b/>
          <w:bCs/>
          <w:sz w:val="24"/>
          <w:szCs w:val="24"/>
        </w:rPr>
        <w:t>.</w:t>
      </w:r>
    </w:p>
    <w:p w14:paraId="3EE1C1A2" w14:textId="75A11451" w:rsidR="008B7645" w:rsidRPr="001C3611" w:rsidRDefault="008B7645" w:rsidP="00205459">
      <w:pPr>
        <w:pStyle w:val="GDFlyerBodyText"/>
        <w:spacing w:after="40"/>
        <w:rPr>
          <w:rFonts w:ascii="Times New Roman" w:hAnsi="Times New Roman" w:cs="Times New Roman"/>
          <w:sz w:val="24"/>
          <w:szCs w:val="24"/>
          <w:lang w:val="en-US"/>
        </w:rPr>
      </w:pPr>
    </w:p>
    <w:p w14:paraId="75CE48ED" w14:textId="5B5336CD" w:rsidR="008B7645" w:rsidRPr="001C3611" w:rsidRDefault="00495F51" w:rsidP="00205459">
      <w:pPr>
        <w:pStyle w:val="GDFlyerBodyText"/>
        <w:spacing w:after="40"/>
        <w:rPr>
          <w:rFonts w:ascii="Times New Roman" w:hAnsi="Times New Roman" w:cs="Times New Roman"/>
          <w:sz w:val="24"/>
          <w:szCs w:val="24"/>
          <w:lang w:val="en-US"/>
        </w:rPr>
      </w:pPr>
      <w:r w:rsidRPr="001C3611">
        <w:rPr>
          <w:rFonts w:ascii="Times New Roman" w:hAnsi="Times New Roman" w:cs="Times New Roman"/>
          <w:sz w:val="24"/>
          <w:szCs w:val="24"/>
        </w:rPr>
        <w:t xml:space="preserve">Strādājot pie digitālās transformācijas projekta kopā ar OECD ekspertiem pie </w:t>
      </w:r>
      <w:proofErr w:type="spellStart"/>
      <w:r w:rsidRPr="001C3611">
        <w:rPr>
          <w:rFonts w:ascii="Times New Roman" w:hAnsi="Times New Roman" w:cs="Times New Roman"/>
          <w:sz w:val="24"/>
          <w:szCs w:val="24"/>
        </w:rPr>
        <w:t>izvērtējuma</w:t>
      </w:r>
      <w:proofErr w:type="spellEnd"/>
      <w:r w:rsidRPr="001C3611">
        <w:rPr>
          <w:rFonts w:ascii="Times New Roman" w:hAnsi="Times New Roman" w:cs="Times New Roman"/>
          <w:sz w:val="24"/>
          <w:szCs w:val="24"/>
        </w:rPr>
        <w:t xml:space="preserve"> “</w:t>
      </w:r>
      <w:proofErr w:type="spellStart"/>
      <w:r w:rsidRPr="001C3611">
        <w:rPr>
          <w:rFonts w:ascii="Times New Roman" w:hAnsi="Times New Roman" w:cs="Times New Roman"/>
          <w:sz w:val="24"/>
          <w:szCs w:val="24"/>
        </w:rPr>
        <w:t>Going</w:t>
      </w:r>
      <w:proofErr w:type="spellEnd"/>
      <w:r w:rsidRPr="001C3611">
        <w:rPr>
          <w:rFonts w:ascii="Times New Roman" w:hAnsi="Times New Roman" w:cs="Times New Roman"/>
          <w:sz w:val="24"/>
          <w:szCs w:val="24"/>
        </w:rPr>
        <w:t xml:space="preserve"> </w:t>
      </w:r>
      <w:proofErr w:type="spellStart"/>
      <w:r w:rsidRPr="001C3611">
        <w:rPr>
          <w:rFonts w:ascii="Times New Roman" w:hAnsi="Times New Roman" w:cs="Times New Roman"/>
          <w:sz w:val="24"/>
          <w:szCs w:val="24"/>
        </w:rPr>
        <w:t>Digital</w:t>
      </w:r>
      <w:proofErr w:type="spellEnd"/>
      <w:r w:rsidRPr="001C3611">
        <w:rPr>
          <w:rFonts w:ascii="Times New Roman" w:hAnsi="Times New Roman" w:cs="Times New Roman"/>
          <w:sz w:val="24"/>
          <w:szCs w:val="24"/>
        </w:rPr>
        <w:t xml:space="preserve"> </w:t>
      </w:r>
      <w:proofErr w:type="spellStart"/>
      <w:r w:rsidRPr="001C3611">
        <w:rPr>
          <w:rFonts w:ascii="Times New Roman" w:hAnsi="Times New Roman" w:cs="Times New Roman"/>
          <w:sz w:val="24"/>
          <w:szCs w:val="24"/>
        </w:rPr>
        <w:t>in</w:t>
      </w:r>
      <w:proofErr w:type="spellEnd"/>
      <w:r w:rsidRPr="001C3611">
        <w:rPr>
          <w:rFonts w:ascii="Times New Roman" w:hAnsi="Times New Roman" w:cs="Times New Roman"/>
          <w:sz w:val="24"/>
          <w:szCs w:val="24"/>
        </w:rPr>
        <w:t xml:space="preserve"> Latvia” </w:t>
      </w:r>
      <w:r w:rsidR="00205459">
        <w:rPr>
          <w:rFonts w:ascii="Times New Roman" w:hAnsi="Times New Roman" w:cs="Times New Roman"/>
          <w:sz w:val="24"/>
          <w:szCs w:val="24"/>
        </w:rPr>
        <w:t>ir jāņem</w:t>
      </w:r>
      <w:r w:rsidR="008B7645" w:rsidRPr="001C3611">
        <w:rPr>
          <w:rFonts w:ascii="Times New Roman" w:hAnsi="Times New Roman" w:cs="Times New Roman"/>
          <w:sz w:val="24"/>
          <w:szCs w:val="24"/>
        </w:rPr>
        <w:t xml:space="preserve"> vērā digitālās transformācijas horizontālo ietekmi uz tautsaimniecības nozaru attīstību, kā arī </w:t>
      </w:r>
      <w:proofErr w:type="spellStart"/>
      <w:r w:rsidR="008B7645" w:rsidRPr="001C3611">
        <w:rPr>
          <w:rFonts w:ascii="Times New Roman" w:hAnsi="Times New Roman" w:cs="Times New Roman"/>
          <w:sz w:val="24"/>
          <w:szCs w:val="24"/>
        </w:rPr>
        <w:t>starpsektorālo</w:t>
      </w:r>
      <w:proofErr w:type="spellEnd"/>
      <w:r w:rsidR="008B7645" w:rsidRPr="001C3611">
        <w:rPr>
          <w:rFonts w:ascii="Times New Roman" w:hAnsi="Times New Roman" w:cs="Times New Roman"/>
          <w:sz w:val="24"/>
          <w:szCs w:val="24"/>
        </w:rPr>
        <w:t xml:space="preserve"> ietekmi un dažādu sabiedrības grupu iesaisti, primāri nodrošin</w:t>
      </w:r>
      <w:r w:rsidRPr="001C3611">
        <w:rPr>
          <w:rFonts w:ascii="Times New Roman" w:hAnsi="Times New Roman" w:cs="Times New Roman"/>
          <w:sz w:val="24"/>
          <w:szCs w:val="24"/>
        </w:rPr>
        <w:t>ot</w:t>
      </w:r>
      <w:r w:rsidR="008B7645" w:rsidRPr="001C3611">
        <w:rPr>
          <w:rFonts w:ascii="Times New Roman" w:hAnsi="Times New Roman" w:cs="Times New Roman"/>
          <w:sz w:val="24"/>
          <w:szCs w:val="24"/>
        </w:rPr>
        <w:t xml:space="preserve"> valsts nākotnes attīstības vajadzību novērtējumu un </w:t>
      </w:r>
      <w:proofErr w:type="spellStart"/>
      <w:r w:rsidR="008B7645" w:rsidRPr="001C3611">
        <w:rPr>
          <w:rFonts w:ascii="Times New Roman" w:hAnsi="Times New Roman" w:cs="Times New Roman"/>
          <w:sz w:val="24"/>
          <w:szCs w:val="24"/>
        </w:rPr>
        <w:t>rīcībpolitikas</w:t>
      </w:r>
      <w:proofErr w:type="spellEnd"/>
      <w:r w:rsidR="008B7645" w:rsidRPr="001C3611">
        <w:rPr>
          <w:rFonts w:ascii="Times New Roman" w:hAnsi="Times New Roman" w:cs="Times New Roman"/>
          <w:sz w:val="24"/>
          <w:szCs w:val="24"/>
        </w:rPr>
        <w:t xml:space="preserve"> pasākumu kopuma izstrādi un īstenošanu vidējam termiņam. </w:t>
      </w:r>
      <w:r w:rsidR="0032454D" w:rsidRPr="001C3611">
        <w:rPr>
          <w:rFonts w:ascii="Times New Roman" w:hAnsi="Times New Roman" w:cs="Times New Roman"/>
          <w:iCs/>
          <w:sz w:val="24"/>
          <w:szCs w:val="24"/>
        </w:rPr>
        <w:t>Projektā “</w:t>
      </w:r>
      <w:proofErr w:type="spellStart"/>
      <w:r w:rsidR="0032454D" w:rsidRPr="001C3611">
        <w:rPr>
          <w:rFonts w:ascii="Times New Roman" w:hAnsi="Times New Roman" w:cs="Times New Roman"/>
          <w:iCs/>
          <w:sz w:val="24"/>
          <w:szCs w:val="24"/>
        </w:rPr>
        <w:t>Going</w:t>
      </w:r>
      <w:proofErr w:type="spellEnd"/>
      <w:r w:rsidR="0032454D" w:rsidRPr="001C3611">
        <w:rPr>
          <w:rFonts w:ascii="Times New Roman" w:hAnsi="Times New Roman" w:cs="Times New Roman"/>
          <w:iCs/>
          <w:sz w:val="24"/>
          <w:szCs w:val="24"/>
        </w:rPr>
        <w:t xml:space="preserve"> </w:t>
      </w:r>
      <w:proofErr w:type="spellStart"/>
      <w:r w:rsidR="0032454D" w:rsidRPr="001C3611">
        <w:rPr>
          <w:rFonts w:ascii="Times New Roman" w:hAnsi="Times New Roman" w:cs="Times New Roman"/>
          <w:iCs/>
          <w:sz w:val="24"/>
          <w:szCs w:val="24"/>
        </w:rPr>
        <w:t>Digital</w:t>
      </w:r>
      <w:proofErr w:type="spellEnd"/>
      <w:r w:rsidR="0032454D" w:rsidRPr="001C3611">
        <w:rPr>
          <w:rFonts w:ascii="Times New Roman" w:hAnsi="Times New Roman" w:cs="Times New Roman"/>
          <w:iCs/>
          <w:sz w:val="24"/>
          <w:szCs w:val="24"/>
        </w:rPr>
        <w:t xml:space="preserve"> </w:t>
      </w:r>
      <w:proofErr w:type="spellStart"/>
      <w:r w:rsidR="0032454D" w:rsidRPr="001C3611">
        <w:rPr>
          <w:rFonts w:ascii="Times New Roman" w:hAnsi="Times New Roman" w:cs="Times New Roman"/>
          <w:iCs/>
          <w:sz w:val="24"/>
          <w:szCs w:val="24"/>
        </w:rPr>
        <w:t>in</w:t>
      </w:r>
      <w:proofErr w:type="spellEnd"/>
      <w:r w:rsidR="0032454D" w:rsidRPr="001C3611">
        <w:rPr>
          <w:rFonts w:ascii="Times New Roman" w:hAnsi="Times New Roman" w:cs="Times New Roman"/>
          <w:iCs/>
          <w:sz w:val="24"/>
          <w:szCs w:val="24"/>
        </w:rPr>
        <w:t xml:space="preserve"> Latvia” OECD eksperti fokusēsies uz trīs galvenajiem virzieniem: valdības ietekme un loma inovācijas un produktivitātes celšanā caur digitālo </w:t>
      </w:r>
      <w:proofErr w:type="spellStart"/>
      <w:r w:rsidR="0032454D" w:rsidRPr="001C3611">
        <w:rPr>
          <w:rFonts w:ascii="Times New Roman" w:hAnsi="Times New Roman" w:cs="Times New Roman"/>
          <w:iCs/>
          <w:sz w:val="24"/>
          <w:szCs w:val="24"/>
        </w:rPr>
        <w:t>tranformāciju</w:t>
      </w:r>
      <w:proofErr w:type="spellEnd"/>
      <w:r w:rsidR="0032454D" w:rsidRPr="001C3611">
        <w:rPr>
          <w:rFonts w:ascii="Times New Roman" w:hAnsi="Times New Roman" w:cs="Times New Roman"/>
          <w:iCs/>
          <w:sz w:val="24"/>
          <w:szCs w:val="24"/>
        </w:rPr>
        <w:t>; Sabiedrības (publiskā sektora un komersantu) prasmju attīstība digitālā laikmeta kontekstā; Modernas un uzticamas digitālās infrastruktūras izveide ceļā uz digitālās ekonomikas izveidi.</w:t>
      </w:r>
    </w:p>
    <w:p w14:paraId="05D0AD94" w14:textId="32519E07" w:rsidR="008B7645" w:rsidRPr="001A7DFA" w:rsidRDefault="0032454D" w:rsidP="001A7DFA">
      <w:pPr>
        <w:pStyle w:val="GDFlyerBodyText"/>
        <w:numPr>
          <w:ilvl w:val="0"/>
          <w:numId w:val="1"/>
        </w:numPr>
        <w:spacing w:after="40"/>
        <w:ind w:left="426"/>
        <w:rPr>
          <w:rFonts w:ascii="Times New Roman" w:hAnsi="Times New Roman" w:cs="Times New Roman"/>
          <w:sz w:val="24"/>
          <w:szCs w:val="24"/>
        </w:rPr>
      </w:pPr>
      <w:r w:rsidRPr="001A7DFA">
        <w:rPr>
          <w:rFonts w:ascii="Times New Roman" w:hAnsi="Times New Roman" w:cs="Times New Roman"/>
          <w:sz w:val="24"/>
          <w:szCs w:val="24"/>
        </w:rPr>
        <w:t>Būtiski, ka projekta izstrādes laikā i</w:t>
      </w:r>
      <w:r w:rsidR="008B7645" w:rsidRPr="001A7DFA">
        <w:rPr>
          <w:rFonts w:ascii="Times New Roman" w:hAnsi="Times New Roman" w:cs="Times New Roman"/>
          <w:sz w:val="24"/>
          <w:szCs w:val="24"/>
        </w:rPr>
        <w:t>dentificētie virzieni un pasākumi</w:t>
      </w:r>
      <w:r w:rsidRPr="001A7DFA">
        <w:rPr>
          <w:rFonts w:ascii="Times New Roman" w:hAnsi="Times New Roman" w:cs="Times New Roman"/>
          <w:sz w:val="24"/>
          <w:szCs w:val="24"/>
        </w:rPr>
        <w:t xml:space="preserve"> tiek</w:t>
      </w:r>
      <w:r w:rsidR="008B7645" w:rsidRPr="001A7DFA">
        <w:rPr>
          <w:rFonts w:ascii="Times New Roman" w:hAnsi="Times New Roman" w:cs="Times New Roman"/>
          <w:sz w:val="24"/>
          <w:szCs w:val="24"/>
        </w:rPr>
        <w:t xml:space="preserve"> iekļau</w:t>
      </w:r>
      <w:r w:rsidRPr="001A7DFA">
        <w:rPr>
          <w:rFonts w:ascii="Times New Roman" w:hAnsi="Times New Roman" w:cs="Times New Roman"/>
          <w:sz w:val="24"/>
          <w:szCs w:val="24"/>
        </w:rPr>
        <w:t>ti</w:t>
      </w:r>
      <w:r w:rsidR="008B7645" w:rsidRPr="001A7DFA">
        <w:rPr>
          <w:rFonts w:ascii="Times New Roman" w:hAnsi="Times New Roman" w:cs="Times New Roman"/>
          <w:sz w:val="24"/>
          <w:szCs w:val="24"/>
        </w:rPr>
        <w:t xml:space="preserve"> gan Latvijas nacionālā attīstības plānā 2021.–2027.gadam (NAP2021+), gan saistīto nozaru attīstības plānošanas dokumentos (t.sk. </w:t>
      </w:r>
      <w:proofErr w:type="spellStart"/>
      <w:r w:rsidR="008B7645" w:rsidRPr="001A7DFA">
        <w:rPr>
          <w:rFonts w:ascii="Times New Roman" w:hAnsi="Times New Roman" w:cs="Times New Roman"/>
          <w:iCs/>
          <w:sz w:val="24"/>
          <w:szCs w:val="24"/>
        </w:rPr>
        <w:t>ex-ante</w:t>
      </w:r>
      <w:proofErr w:type="spellEnd"/>
      <w:r w:rsidR="008B7645" w:rsidRPr="001A7DFA">
        <w:rPr>
          <w:rFonts w:ascii="Times New Roman" w:hAnsi="Times New Roman" w:cs="Times New Roman"/>
          <w:sz w:val="24"/>
          <w:szCs w:val="24"/>
        </w:rPr>
        <w:t xml:space="preserve"> </w:t>
      </w:r>
      <w:proofErr w:type="spellStart"/>
      <w:r w:rsidR="008B7645" w:rsidRPr="001A7DFA">
        <w:rPr>
          <w:rFonts w:ascii="Times New Roman" w:hAnsi="Times New Roman" w:cs="Times New Roman"/>
          <w:sz w:val="24"/>
          <w:szCs w:val="24"/>
        </w:rPr>
        <w:t>izvērtējumi</w:t>
      </w:r>
      <w:proofErr w:type="spellEnd"/>
      <w:r w:rsidR="008B7645" w:rsidRPr="001A7DFA">
        <w:rPr>
          <w:rFonts w:ascii="Times New Roman" w:hAnsi="Times New Roman" w:cs="Times New Roman"/>
          <w:sz w:val="24"/>
          <w:szCs w:val="24"/>
        </w:rPr>
        <w:t xml:space="preserve"> un pamatnostādnes). 2019. – 2020.gada laikā nozaru ministrijas izstrādās vidēja termiņa plānošanas dokumentus (daļai no ministrijām </w:t>
      </w:r>
      <w:proofErr w:type="spellStart"/>
      <w:r w:rsidR="008B7645" w:rsidRPr="001A7DFA">
        <w:rPr>
          <w:rFonts w:ascii="Times New Roman" w:hAnsi="Times New Roman" w:cs="Times New Roman"/>
          <w:sz w:val="24"/>
          <w:szCs w:val="24"/>
        </w:rPr>
        <w:t>ex-ante</w:t>
      </w:r>
      <w:proofErr w:type="spellEnd"/>
      <w:r w:rsidR="008B7645" w:rsidRPr="001A7DFA">
        <w:rPr>
          <w:rFonts w:ascii="Times New Roman" w:hAnsi="Times New Roman" w:cs="Times New Roman"/>
          <w:sz w:val="24"/>
          <w:szCs w:val="24"/>
        </w:rPr>
        <w:t xml:space="preserve"> novērtējumi būs kā priekšnoteikumi ES fondu investīciju apguves uzsākšanai), līdz ar to šajā nozaru </w:t>
      </w:r>
      <w:proofErr w:type="spellStart"/>
      <w:r w:rsidR="008B7645" w:rsidRPr="001A7DFA">
        <w:rPr>
          <w:rFonts w:ascii="Times New Roman" w:hAnsi="Times New Roman" w:cs="Times New Roman"/>
          <w:sz w:val="24"/>
          <w:szCs w:val="24"/>
        </w:rPr>
        <w:t>rīcībpolitiku</w:t>
      </w:r>
      <w:proofErr w:type="spellEnd"/>
      <w:r w:rsidR="008B7645" w:rsidRPr="001A7DFA">
        <w:rPr>
          <w:rFonts w:ascii="Times New Roman" w:hAnsi="Times New Roman" w:cs="Times New Roman"/>
          <w:sz w:val="24"/>
          <w:szCs w:val="24"/>
        </w:rPr>
        <w:t xml:space="preserve"> izstrādes fāzē ir jānodrošina tautsaimniecības digitālās transformācijas jautājumu integrācija galvenajos vidēja termiņa plānošanas dokumentos.</w:t>
      </w:r>
    </w:p>
    <w:p w14:paraId="319FB572" w14:textId="77777777" w:rsidR="008B7645" w:rsidRPr="001A7DFA" w:rsidRDefault="008B7645" w:rsidP="001A7DFA">
      <w:pPr>
        <w:pStyle w:val="GDFlyerBodyText"/>
        <w:numPr>
          <w:ilvl w:val="0"/>
          <w:numId w:val="1"/>
        </w:numPr>
        <w:spacing w:after="40"/>
        <w:ind w:left="426"/>
        <w:rPr>
          <w:rFonts w:ascii="Times New Roman" w:hAnsi="Times New Roman" w:cs="Times New Roman"/>
          <w:sz w:val="24"/>
          <w:szCs w:val="24"/>
        </w:rPr>
      </w:pPr>
      <w:r w:rsidRPr="001A7DFA">
        <w:rPr>
          <w:rFonts w:ascii="Times New Roman" w:hAnsi="Times New Roman" w:cs="Times New Roman"/>
          <w:sz w:val="24"/>
          <w:szCs w:val="24"/>
        </w:rPr>
        <w:t xml:space="preserve">Pētījuma izstrādes laikā, sadarbībā ar nozaru uzņēmējiem un zinātniskajām institūcijām turpināms darbs pie Latvijas konkurētspējas priekšrocību identificēšanas digitālās transformācijas kontekstā, t.sk. sagatavojot priekšlikumus </w:t>
      </w:r>
      <w:proofErr w:type="spellStart"/>
      <w:r w:rsidRPr="001A7DFA">
        <w:rPr>
          <w:rFonts w:ascii="Times New Roman" w:hAnsi="Times New Roman" w:cs="Times New Roman"/>
          <w:sz w:val="24"/>
          <w:szCs w:val="24"/>
        </w:rPr>
        <w:t>rīcībpolitikas</w:t>
      </w:r>
      <w:proofErr w:type="spellEnd"/>
      <w:r w:rsidRPr="001A7DFA">
        <w:rPr>
          <w:rFonts w:ascii="Times New Roman" w:hAnsi="Times New Roman" w:cs="Times New Roman"/>
          <w:sz w:val="24"/>
          <w:szCs w:val="24"/>
        </w:rPr>
        <w:t xml:space="preserve"> veidotājiem (EM, SM, IZM, VM, ZM u.c.) attiecībā uz ārvalstu investīciju vai globālo tehnoloģiju kompāniju piesaistes iespējām, kurām piedāvāt Latviju kā sadarbības platformu P&amp;A izstrāžu veikšanai un pilotēšanai – ar mērķi piesaistīt kompetenci dažādu augsto tehnoloģiju produktu izstrādei.</w:t>
      </w:r>
    </w:p>
    <w:p w14:paraId="5700B679" w14:textId="1CBF2F01" w:rsidR="008B7645" w:rsidRPr="001A7DFA" w:rsidRDefault="008B7645" w:rsidP="001A7DFA">
      <w:pPr>
        <w:pStyle w:val="GDFlyerBodyText"/>
        <w:numPr>
          <w:ilvl w:val="0"/>
          <w:numId w:val="1"/>
        </w:numPr>
        <w:spacing w:after="40"/>
        <w:ind w:left="426"/>
        <w:rPr>
          <w:rFonts w:ascii="Times New Roman" w:hAnsi="Times New Roman" w:cs="Times New Roman"/>
          <w:sz w:val="24"/>
          <w:szCs w:val="24"/>
        </w:rPr>
      </w:pPr>
      <w:r w:rsidRPr="001A7DFA">
        <w:rPr>
          <w:rFonts w:ascii="Times New Roman" w:hAnsi="Times New Roman" w:cs="Times New Roman"/>
          <w:sz w:val="24"/>
          <w:szCs w:val="24"/>
        </w:rPr>
        <w:t xml:space="preserve">Latvijas ekonomikas transformācijas kontekstā un kā ES fondu </w:t>
      </w:r>
      <w:proofErr w:type="spellStart"/>
      <w:r w:rsidRPr="001A7DFA">
        <w:rPr>
          <w:rFonts w:ascii="Times New Roman" w:hAnsi="Times New Roman" w:cs="Times New Roman"/>
          <w:sz w:val="24"/>
          <w:szCs w:val="24"/>
        </w:rPr>
        <w:t>ex-ante</w:t>
      </w:r>
      <w:proofErr w:type="spellEnd"/>
      <w:r w:rsidRPr="001A7DFA">
        <w:rPr>
          <w:rFonts w:ascii="Times New Roman" w:hAnsi="Times New Roman" w:cs="Times New Roman"/>
          <w:sz w:val="24"/>
          <w:szCs w:val="24"/>
        </w:rPr>
        <w:t xml:space="preserve"> priekšnoteikums Latvijai ir aktualizēt Viedās specializācijas stratēģiju - RIS3</w:t>
      </w:r>
      <w:r w:rsidR="00495F51" w:rsidRPr="001A7DFA">
        <w:rPr>
          <w:rFonts w:ascii="Times New Roman" w:hAnsi="Times New Roman" w:cs="Times New Roman"/>
          <w:sz w:val="24"/>
          <w:szCs w:val="24"/>
        </w:rPr>
        <w:t xml:space="preserve"> ekosistēmu definēšanu</w:t>
      </w:r>
      <w:r w:rsidRPr="001A7DFA">
        <w:rPr>
          <w:rFonts w:ascii="Times New Roman" w:hAnsi="Times New Roman" w:cs="Times New Roman"/>
          <w:sz w:val="24"/>
          <w:szCs w:val="24"/>
        </w:rPr>
        <w:t>, kas paredz viedās specializācijas jomu (</w:t>
      </w:r>
      <w:proofErr w:type="spellStart"/>
      <w:r w:rsidRPr="001A7DFA">
        <w:rPr>
          <w:rFonts w:ascii="Times New Roman" w:hAnsi="Times New Roman" w:cs="Times New Roman"/>
          <w:sz w:val="24"/>
          <w:szCs w:val="24"/>
        </w:rPr>
        <w:t>Bioekonomikas</w:t>
      </w:r>
      <w:proofErr w:type="spellEnd"/>
      <w:r w:rsidRPr="001A7DFA">
        <w:rPr>
          <w:rFonts w:ascii="Times New Roman" w:hAnsi="Times New Roman" w:cs="Times New Roman"/>
          <w:sz w:val="24"/>
          <w:szCs w:val="24"/>
        </w:rPr>
        <w:t xml:space="preserve">, </w:t>
      </w:r>
      <w:proofErr w:type="spellStart"/>
      <w:r w:rsidRPr="001A7DFA">
        <w:rPr>
          <w:rFonts w:ascii="Times New Roman" w:hAnsi="Times New Roman" w:cs="Times New Roman"/>
          <w:sz w:val="24"/>
          <w:szCs w:val="24"/>
        </w:rPr>
        <w:t>Biomedicīnas</w:t>
      </w:r>
      <w:proofErr w:type="spellEnd"/>
      <w:r w:rsidRPr="001A7DFA">
        <w:rPr>
          <w:rFonts w:ascii="Times New Roman" w:hAnsi="Times New Roman" w:cs="Times New Roman"/>
          <w:sz w:val="24"/>
          <w:szCs w:val="24"/>
        </w:rPr>
        <w:t xml:space="preserve">, Viedo materiālu, IKT, </w:t>
      </w:r>
      <w:r w:rsidRPr="001A7DFA">
        <w:rPr>
          <w:rFonts w:ascii="Times New Roman" w:hAnsi="Times New Roman" w:cs="Times New Roman"/>
          <w:sz w:val="24"/>
          <w:szCs w:val="24"/>
        </w:rPr>
        <w:lastRenderedPageBreak/>
        <w:t xml:space="preserve">Viedās enerģētikas) spēlētāju integrāciju </w:t>
      </w:r>
      <w:proofErr w:type="spellStart"/>
      <w:r w:rsidRPr="001A7DFA">
        <w:rPr>
          <w:rFonts w:ascii="Times New Roman" w:hAnsi="Times New Roman" w:cs="Times New Roman"/>
          <w:sz w:val="24"/>
          <w:szCs w:val="24"/>
        </w:rPr>
        <w:t>rīcībpolitikas</w:t>
      </w:r>
      <w:proofErr w:type="spellEnd"/>
      <w:r w:rsidRPr="001A7DFA">
        <w:rPr>
          <w:rFonts w:ascii="Times New Roman" w:hAnsi="Times New Roman" w:cs="Times New Roman"/>
          <w:sz w:val="24"/>
          <w:szCs w:val="24"/>
        </w:rPr>
        <w:t xml:space="preserve"> pasākumu izstrādē, kas tieši saistīti ar digitālo transformāciju, panākot starpnozaru eksportspējīgu augstas pievienotās vērtības produktu izstrādi.</w:t>
      </w:r>
    </w:p>
    <w:p w14:paraId="5165148D" w14:textId="08E34DB8" w:rsidR="008B7645" w:rsidRPr="001A7DFA" w:rsidRDefault="008B7645" w:rsidP="001A7DFA">
      <w:pPr>
        <w:pStyle w:val="GDFlyerBodyText"/>
        <w:numPr>
          <w:ilvl w:val="0"/>
          <w:numId w:val="1"/>
        </w:numPr>
        <w:spacing w:after="40"/>
        <w:ind w:left="426"/>
        <w:rPr>
          <w:rFonts w:ascii="Times New Roman" w:hAnsi="Times New Roman" w:cs="Times New Roman"/>
          <w:sz w:val="24"/>
          <w:szCs w:val="24"/>
        </w:rPr>
      </w:pPr>
      <w:r w:rsidRPr="001A7DFA">
        <w:rPr>
          <w:rFonts w:ascii="Times New Roman" w:hAnsi="Times New Roman" w:cs="Times New Roman"/>
          <w:sz w:val="24"/>
          <w:szCs w:val="24"/>
        </w:rPr>
        <w:t>Sākot ar 2018.g. rudeni notiek Latvijas sarunas ar ES par nākamā plānošanas perioda finanšu ietvaru (t.sk. indikatīvo investīciju sadalījumu starp tematiskajiem mērķiem), kas ir sasaistīti arī ar Eiropas semestra procesu, līdz ar to</w:t>
      </w:r>
      <w:r w:rsidR="00495F51" w:rsidRPr="001A7DFA">
        <w:rPr>
          <w:rFonts w:ascii="Times New Roman" w:hAnsi="Times New Roman" w:cs="Times New Roman"/>
          <w:sz w:val="24"/>
          <w:szCs w:val="24"/>
        </w:rPr>
        <w:t>, būtiski ir</w:t>
      </w:r>
      <w:r w:rsidRPr="001A7DFA">
        <w:rPr>
          <w:rFonts w:ascii="Times New Roman" w:hAnsi="Times New Roman" w:cs="Times New Roman"/>
          <w:sz w:val="24"/>
          <w:szCs w:val="24"/>
        </w:rPr>
        <w:t xml:space="preserve"> nodrošinot OECD pētījuma izstrāžu un sākotnējo rekomendāciju integrāciju nākamā plānošanas perioda investīciju sadales posmā.</w:t>
      </w:r>
    </w:p>
    <w:p w14:paraId="5B6C7DA9" w14:textId="06345007" w:rsidR="00777971" w:rsidRPr="001A7DFA" w:rsidRDefault="008B7645" w:rsidP="001A7DFA">
      <w:pPr>
        <w:pStyle w:val="GDFlyerBodyText"/>
        <w:numPr>
          <w:ilvl w:val="0"/>
          <w:numId w:val="1"/>
        </w:numPr>
        <w:spacing w:after="40"/>
        <w:ind w:left="426"/>
        <w:rPr>
          <w:rFonts w:ascii="Times New Roman" w:hAnsi="Times New Roman" w:cs="Times New Roman"/>
          <w:sz w:val="24"/>
          <w:szCs w:val="24"/>
        </w:rPr>
      </w:pPr>
      <w:r w:rsidRPr="001A7DFA">
        <w:rPr>
          <w:rFonts w:ascii="Times New Roman" w:hAnsi="Times New Roman" w:cs="Times New Roman"/>
          <w:sz w:val="24"/>
          <w:szCs w:val="24"/>
        </w:rPr>
        <w:t xml:space="preserve">Organizēt dažādus Latvijas tautsaimniecības digitālās transformācijas diskusiju formātus, iesaistot nozaru ministriju ekspertus, komersantus, akadēmiskās un pētnieciskās institūcijas </w:t>
      </w:r>
      <w:proofErr w:type="spellStart"/>
      <w:r w:rsidRPr="001A7DFA">
        <w:rPr>
          <w:rFonts w:ascii="Times New Roman" w:hAnsi="Times New Roman" w:cs="Times New Roman"/>
          <w:sz w:val="24"/>
          <w:szCs w:val="24"/>
        </w:rPr>
        <w:t>rīcībpolitiku</w:t>
      </w:r>
      <w:proofErr w:type="spellEnd"/>
      <w:r w:rsidRPr="001A7DFA">
        <w:rPr>
          <w:rFonts w:ascii="Times New Roman" w:hAnsi="Times New Roman" w:cs="Times New Roman"/>
          <w:sz w:val="24"/>
          <w:szCs w:val="24"/>
        </w:rPr>
        <w:t xml:space="preserve"> </w:t>
      </w:r>
      <w:proofErr w:type="spellStart"/>
      <w:r w:rsidRPr="001A7DFA">
        <w:rPr>
          <w:rFonts w:ascii="Times New Roman" w:hAnsi="Times New Roman" w:cs="Times New Roman"/>
          <w:sz w:val="24"/>
          <w:szCs w:val="24"/>
        </w:rPr>
        <w:t>prikšlikumu</w:t>
      </w:r>
      <w:proofErr w:type="spellEnd"/>
      <w:r w:rsidRPr="001A7DFA">
        <w:rPr>
          <w:rFonts w:ascii="Times New Roman" w:hAnsi="Times New Roman" w:cs="Times New Roman"/>
          <w:sz w:val="24"/>
          <w:szCs w:val="24"/>
        </w:rPr>
        <w:t xml:space="preserve"> izstrādei sadarbībā ar OECD zinātnes, tehnoloģiju un inovācijas direktorātu kā arī citiem OECD politiku direktorātiem.  </w:t>
      </w:r>
    </w:p>
    <w:p w14:paraId="79FA39BE" w14:textId="77777777" w:rsidR="008B7645" w:rsidRPr="001A7DFA" w:rsidRDefault="008B7645" w:rsidP="001A7DFA">
      <w:pPr>
        <w:spacing w:line="276" w:lineRule="auto"/>
        <w:jc w:val="both"/>
        <w:rPr>
          <w:rFonts w:ascii="Candara" w:hAnsi="Candara" w:cs="Times New Roman"/>
          <w:b/>
          <w:i/>
          <w:sz w:val="32"/>
          <w:szCs w:val="32"/>
        </w:rPr>
      </w:pPr>
    </w:p>
    <w:p w14:paraId="25551952" w14:textId="77777777" w:rsidR="001A7DFA" w:rsidRDefault="001A7DFA" w:rsidP="000A2C16">
      <w:pPr>
        <w:jc w:val="both"/>
        <w:rPr>
          <w:rFonts w:ascii="Candara" w:hAnsi="Candara" w:cs="Times New Roman"/>
          <w:b/>
          <w:i/>
          <w:sz w:val="32"/>
          <w:szCs w:val="32"/>
        </w:rPr>
      </w:pPr>
    </w:p>
    <w:p w14:paraId="75C8DC3C" w14:textId="77777777" w:rsidR="001A7DFA" w:rsidRDefault="001A7DFA" w:rsidP="000A2C16">
      <w:pPr>
        <w:jc w:val="both"/>
        <w:rPr>
          <w:rFonts w:ascii="Candara" w:hAnsi="Candara" w:cs="Times New Roman"/>
          <w:b/>
          <w:i/>
          <w:sz w:val="32"/>
          <w:szCs w:val="32"/>
        </w:rPr>
      </w:pPr>
    </w:p>
    <w:p w14:paraId="1DB10167" w14:textId="77777777" w:rsidR="001A7DFA" w:rsidRDefault="001A7DFA" w:rsidP="000A2C16">
      <w:pPr>
        <w:jc w:val="both"/>
        <w:rPr>
          <w:rFonts w:ascii="Candara" w:hAnsi="Candara" w:cs="Times New Roman"/>
          <w:b/>
          <w:i/>
          <w:sz w:val="32"/>
          <w:szCs w:val="32"/>
        </w:rPr>
      </w:pPr>
    </w:p>
    <w:p w14:paraId="61CABC17" w14:textId="77777777" w:rsidR="001A7DFA" w:rsidRDefault="001A7DFA" w:rsidP="000A2C16">
      <w:pPr>
        <w:jc w:val="both"/>
        <w:rPr>
          <w:rFonts w:ascii="Candara" w:hAnsi="Candara" w:cs="Times New Roman"/>
          <w:b/>
          <w:i/>
          <w:sz w:val="32"/>
          <w:szCs w:val="32"/>
        </w:rPr>
      </w:pPr>
    </w:p>
    <w:p w14:paraId="15EDD492" w14:textId="77777777" w:rsidR="001A7DFA" w:rsidRDefault="001A7DFA" w:rsidP="000A2C16">
      <w:pPr>
        <w:jc w:val="both"/>
        <w:rPr>
          <w:rFonts w:ascii="Candara" w:hAnsi="Candara" w:cs="Times New Roman"/>
          <w:b/>
          <w:i/>
          <w:sz w:val="32"/>
          <w:szCs w:val="32"/>
        </w:rPr>
      </w:pPr>
    </w:p>
    <w:p w14:paraId="11CDF2CB" w14:textId="77777777" w:rsidR="001A7DFA" w:rsidRDefault="001A7DFA" w:rsidP="000A2C16">
      <w:pPr>
        <w:jc w:val="both"/>
        <w:rPr>
          <w:rFonts w:ascii="Candara" w:hAnsi="Candara" w:cs="Times New Roman"/>
          <w:b/>
          <w:i/>
          <w:sz w:val="32"/>
          <w:szCs w:val="32"/>
        </w:rPr>
      </w:pPr>
    </w:p>
    <w:p w14:paraId="7474845A" w14:textId="77777777" w:rsidR="001A7DFA" w:rsidRDefault="001A7DFA" w:rsidP="000A2C16">
      <w:pPr>
        <w:jc w:val="both"/>
        <w:rPr>
          <w:rFonts w:ascii="Candara" w:hAnsi="Candara" w:cs="Times New Roman"/>
          <w:b/>
          <w:i/>
          <w:sz w:val="32"/>
          <w:szCs w:val="32"/>
        </w:rPr>
      </w:pPr>
    </w:p>
    <w:p w14:paraId="5009BD33" w14:textId="77777777" w:rsidR="001A7DFA" w:rsidRDefault="001A7DFA" w:rsidP="000A2C16">
      <w:pPr>
        <w:jc w:val="both"/>
        <w:rPr>
          <w:rFonts w:ascii="Candara" w:hAnsi="Candara" w:cs="Times New Roman"/>
          <w:b/>
          <w:i/>
          <w:sz w:val="32"/>
          <w:szCs w:val="32"/>
        </w:rPr>
      </w:pPr>
    </w:p>
    <w:p w14:paraId="080D2BB6" w14:textId="77777777" w:rsidR="001A7DFA" w:rsidRDefault="001A7DFA" w:rsidP="000A2C16">
      <w:pPr>
        <w:jc w:val="both"/>
        <w:rPr>
          <w:rFonts w:ascii="Candara" w:hAnsi="Candara" w:cs="Times New Roman"/>
          <w:b/>
          <w:i/>
          <w:sz w:val="32"/>
          <w:szCs w:val="32"/>
        </w:rPr>
      </w:pPr>
    </w:p>
    <w:p w14:paraId="082AAB98" w14:textId="77777777" w:rsidR="001A7DFA" w:rsidRDefault="001A7DFA" w:rsidP="000A2C16">
      <w:pPr>
        <w:jc w:val="both"/>
        <w:rPr>
          <w:rFonts w:ascii="Candara" w:hAnsi="Candara" w:cs="Times New Roman"/>
          <w:b/>
          <w:i/>
          <w:sz w:val="32"/>
          <w:szCs w:val="32"/>
        </w:rPr>
      </w:pPr>
    </w:p>
    <w:p w14:paraId="3784AEC1" w14:textId="77777777" w:rsidR="001A7DFA" w:rsidRDefault="001A7DFA" w:rsidP="000A2C16">
      <w:pPr>
        <w:jc w:val="both"/>
        <w:rPr>
          <w:rFonts w:ascii="Candara" w:hAnsi="Candara" w:cs="Times New Roman"/>
          <w:b/>
          <w:i/>
          <w:sz w:val="32"/>
          <w:szCs w:val="32"/>
        </w:rPr>
      </w:pPr>
    </w:p>
    <w:p w14:paraId="08DFE118" w14:textId="77777777" w:rsidR="001A7DFA" w:rsidRDefault="001A7DFA" w:rsidP="000A2C16">
      <w:pPr>
        <w:jc w:val="both"/>
        <w:rPr>
          <w:rFonts w:ascii="Candara" w:hAnsi="Candara" w:cs="Times New Roman"/>
          <w:b/>
          <w:i/>
          <w:sz w:val="32"/>
          <w:szCs w:val="32"/>
        </w:rPr>
      </w:pPr>
    </w:p>
    <w:p w14:paraId="7BB68EA0" w14:textId="77777777" w:rsidR="001A7DFA" w:rsidRDefault="001A7DFA" w:rsidP="000A2C16">
      <w:pPr>
        <w:jc w:val="both"/>
        <w:rPr>
          <w:rFonts w:ascii="Candara" w:hAnsi="Candara" w:cs="Times New Roman"/>
          <w:b/>
          <w:i/>
          <w:sz w:val="32"/>
          <w:szCs w:val="32"/>
        </w:rPr>
      </w:pPr>
    </w:p>
    <w:p w14:paraId="4ED88362" w14:textId="77777777" w:rsidR="001A7DFA" w:rsidRDefault="001A7DFA" w:rsidP="000A2C16">
      <w:pPr>
        <w:jc w:val="both"/>
        <w:rPr>
          <w:rFonts w:ascii="Candara" w:hAnsi="Candara" w:cs="Times New Roman"/>
          <w:b/>
          <w:i/>
          <w:sz w:val="32"/>
          <w:szCs w:val="32"/>
        </w:rPr>
      </w:pPr>
    </w:p>
    <w:p w14:paraId="0A8325B2" w14:textId="77777777" w:rsidR="001A7DFA" w:rsidRDefault="001A7DFA" w:rsidP="000A2C16">
      <w:pPr>
        <w:jc w:val="both"/>
        <w:rPr>
          <w:rFonts w:ascii="Candara" w:hAnsi="Candara" w:cs="Times New Roman"/>
          <w:b/>
          <w:i/>
          <w:sz w:val="32"/>
          <w:szCs w:val="32"/>
        </w:rPr>
      </w:pPr>
    </w:p>
    <w:p w14:paraId="00ECB2E1" w14:textId="46B11612" w:rsidR="001A7DFA" w:rsidRPr="001A7DFA" w:rsidRDefault="00777971" w:rsidP="000A2C16">
      <w:pPr>
        <w:jc w:val="both"/>
        <w:rPr>
          <w:rFonts w:ascii="Candara" w:hAnsi="Candara" w:cs="Times New Roman"/>
          <w:b/>
          <w:i/>
          <w:sz w:val="32"/>
          <w:szCs w:val="32"/>
        </w:rPr>
      </w:pPr>
      <w:r w:rsidRPr="001A7DFA">
        <w:rPr>
          <w:rFonts w:ascii="Candara" w:hAnsi="Candara" w:cs="Times New Roman"/>
          <w:b/>
          <w:i/>
          <w:sz w:val="32"/>
          <w:szCs w:val="32"/>
        </w:rPr>
        <w:lastRenderedPageBreak/>
        <w:t xml:space="preserve">Galvenās atziņas un rekomendācijas </w:t>
      </w:r>
      <w:r w:rsidR="00495F51" w:rsidRPr="001A7DFA">
        <w:rPr>
          <w:rFonts w:ascii="Candara" w:hAnsi="Candara" w:cs="Times New Roman"/>
          <w:b/>
          <w:i/>
          <w:sz w:val="32"/>
          <w:szCs w:val="32"/>
        </w:rPr>
        <w:t xml:space="preserve">no analizētajiem materiāliem </w:t>
      </w:r>
      <w:r w:rsidRPr="001A7DFA">
        <w:rPr>
          <w:rFonts w:ascii="Candara" w:hAnsi="Candara" w:cs="Times New Roman"/>
          <w:b/>
          <w:i/>
          <w:sz w:val="32"/>
          <w:szCs w:val="32"/>
        </w:rPr>
        <w:t>politikas veidotājiem</w:t>
      </w:r>
    </w:p>
    <w:p w14:paraId="27D95AB6" w14:textId="77777777" w:rsidR="0032454D" w:rsidRPr="001C3611" w:rsidRDefault="004F1253" w:rsidP="001A7DFA">
      <w:pPr>
        <w:spacing w:line="276" w:lineRule="auto"/>
        <w:jc w:val="both"/>
        <w:rPr>
          <w:rFonts w:ascii="Times New Roman" w:hAnsi="Times New Roman" w:cs="Times New Roman"/>
          <w:sz w:val="24"/>
          <w:szCs w:val="24"/>
        </w:rPr>
      </w:pPr>
      <w:r w:rsidRPr="001C3611">
        <w:rPr>
          <w:rFonts w:ascii="Times New Roman" w:hAnsi="Times New Roman" w:cs="Times New Roman"/>
          <w:sz w:val="24"/>
          <w:szCs w:val="24"/>
        </w:rPr>
        <w:t>Digitālā transformācija ir izmainījusi gan to kā līdz šim ir darbojušās valstu ekonomikas, gan arī to kā ir organizētas inovāciju atbalsta politikas dažādās valstīs. Līdz ar to šādos apstākļos ir būtiski saprast kā šī digitālā transformācija maina inovāciju politiku, tās procesus un kādi ir visatbilstošākie un efektīvākie atbalsta instrumenti, kas ietekmē gan valsts ekonomiskos, gan sociālos procesus šajā jaunajā kontek</w:t>
      </w:r>
      <w:r w:rsidR="00B037C9" w:rsidRPr="001C3611">
        <w:rPr>
          <w:rFonts w:ascii="Times New Roman" w:hAnsi="Times New Roman" w:cs="Times New Roman"/>
          <w:sz w:val="24"/>
          <w:szCs w:val="24"/>
        </w:rPr>
        <w:t>s</w:t>
      </w:r>
      <w:r w:rsidRPr="001C3611">
        <w:rPr>
          <w:rFonts w:ascii="Times New Roman" w:hAnsi="Times New Roman" w:cs="Times New Roman"/>
          <w:sz w:val="24"/>
          <w:szCs w:val="24"/>
        </w:rPr>
        <w:t>tā.</w:t>
      </w:r>
      <w:r w:rsidR="00EE0A9C" w:rsidRPr="001C3611">
        <w:rPr>
          <w:rStyle w:val="FootnoteReference"/>
          <w:rFonts w:ascii="Times New Roman" w:hAnsi="Times New Roman" w:cs="Times New Roman"/>
          <w:sz w:val="24"/>
          <w:szCs w:val="24"/>
        </w:rPr>
        <w:footnoteReference w:id="4"/>
      </w:r>
      <w:r w:rsidR="00A61BA8" w:rsidRPr="001C3611">
        <w:rPr>
          <w:rFonts w:ascii="Times New Roman" w:hAnsi="Times New Roman" w:cs="Times New Roman"/>
          <w:sz w:val="24"/>
          <w:szCs w:val="24"/>
        </w:rPr>
        <w:t xml:space="preserve"> </w:t>
      </w:r>
    </w:p>
    <w:p w14:paraId="5372E172" w14:textId="77777777" w:rsidR="0032454D" w:rsidRPr="001C3611" w:rsidRDefault="00EE0A9C" w:rsidP="001A7DFA">
      <w:pPr>
        <w:spacing w:line="276" w:lineRule="auto"/>
        <w:jc w:val="both"/>
        <w:rPr>
          <w:rFonts w:ascii="Times New Roman" w:hAnsi="Times New Roman" w:cs="Times New Roman"/>
          <w:sz w:val="24"/>
          <w:szCs w:val="24"/>
        </w:rPr>
      </w:pPr>
      <w:r w:rsidRPr="001C3611">
        <w:rPr>
          <w:rFonts w:ascii="Times New Roman" w:hAnsi="Times New Roman" w:cs="Times New Roman"/>
          <w:sz w:val="24"/>
          <w:szCs w:val="24"/>
        </w:rPr>
        <w:t xml:space="preserve">Arī paši inovācijas procesi mainās – tie transformējas digitāli, ar </w:t>
      </w:r>
      <w:proofErr w:type="spellStart"/>
      <w:r w:rsidRPr="001C3611">
        <w:rPr>
          <w:rFonts w:ascii="Times New Roman" w:hAnsi="Times New Roman" w:cs="Times New Roman"/>
          <w:sz w:val="24"/>
          <w:szCs w:val="24"/>
        </w:rPr>
        <w:t>māklīgā</w:t>
      </w:r>
      <w:proofErr w:type="spellEnd"/>
      <w:r w:rsidRPr="001C3611">
        <w:rPr>
          <w:rFonts w:ascii="Times New Roman" w:hAnsi="Times New Roman" w:cs="Times New Roman"/>
          <w:sz w:val="24"/>
          <w:szCs w:val="24"/>
        </w:rPr>
        <w:t xml:space="preserve"> intelekta bāzētiem </w:t>
      </w:r>
      <w:r w:rsidR="006E3FF1" w:rsidRPr="001C3611">
        <w:rPr>
          <w:rFonts w:ascii="Times New Roman" w:hAnsi="Times New Roman" w:cs="Times New Roman"/>
          <w:sz w:val="24"/>
          <w:szCs w:val="24"/>
        </w:rPr>
        <w:t xml:space="preserve">analītikas rīkiem, kas nodrošina iespēju veikt līdz šim nebijuša mēroga pētījumus, virtuālas simulācijas un </w:t>
      </w:r>
      <w:proofErr w:type="spellStart"/>
      <w:r w:rsidR="006E3FF1" w:rsidRPr="001C3611">
        <w:rPr>
          <w:rFonts w:ascii="Times New Roman" w:hAnsi="Times New Roman" w:cs="Times New Roman"/>
          <w:sz w:val="24"/>
          <w:szCs w:val="24"/>
        </w:rPr>
        <w:t>prototipēšanas</w:t>
      </w:r>
      <w:proofErr w:type="spellEnd"/>
      <w:r w:rsidR="006E3FF1" w:rsidRPr="001C3611">
        <w:rPr>
          <w:rFonts w:ascii="Times New Roman" w:hAnsi="Times New Roman" w:cs="Times New Roman"/>
          <w:sz w:val="24"/>
          <w:szCs w:val="24"/>
        </w:rPr>
        <w:t xml:space="preserve"> paņēmienus, lai attīstītu jaunus produktus. </w:t>
      </w:r>
      <w:r w:rsidR="00A61BA8" w:rsidRPr="001C3611">
        <w:rPr>
          <w:rFonts w:ascii="Times New Roman" w:hAnsi="Times New Roman" w:cs="Times New Roman"/>
          <w:sz w:val="24"/>
          <w:szCs w:val="24"/>
        </w:rPr>
        <w:t>Digitālā transformācija ietekmē mūsu ikdienas vairākos veidos – tiek radīti jauni biznesa koncepti biznesu savstarpējai sadarbībai, pašu biznesa pārstāvju pieejas inovāciju procesiem mainās</w:t>
      </w:r>
      <w:r w:rsidR="001F694A" w:rsidRPr="001C3611">
        <w:rPr>
          <w:rFonts w:ascii="Times New Roman" w:hAnsi="Times New Roman" w:cs="Times New Roman"/>
          <w:sz w:val="24"/>
          <w:szCs w:val="24"/>
        </w:rPr>
        <w:t>, līdz ar to šie aspekti maina gan “iespējas gan izaicinājumus” dažādām inovāciju ekosistēmās iesaistītajām pusēm.</w:t>
      </w:r>
      <w:r w:rsidR="00D75A75" w:rsidRPr="001C3611">
        <w:rPr>
          <w:rFonts w:ascii="Times New Roman" w:hAnsi="Times New Roman" w:cs="Times New Roman"/>
          <w:sz w:val="24"/>
          <w:szCs w:val="24"/>
        </w:rPr>
        <w:t xml:space="preserve"> Kompānijas </w:t>
      </w:r>
      <w:proofErr w:type="spellStart"/>
      <w:r w:rsidR="00D75A75" w:rsidRPr="001C3611">
        <w:rPr>
          <w:rFonts w:ascii="Times New Roman" w:hAnsi="Times New Roman" w:cs="Times New Roman"/>
          <w:sz w:val="24"/>
          <w:szCs w:val="24"/>
        </w:rPr>
        <w:t>inovē</w:t>
      </w:r>
      <w:proofErr w:type="spellEnd"/>
      <w:r w:rsidR="00D75A75" w:rsidRPr="001C3611">
        <w:rPr>
          <w:rFonts w:ascii="Times New Roman" w:hAnsi="Times New Roman" w:cs="Times New Roman"/>
          <w:sz w:val="24"/>
          <w:szCs w:val="24"/>
        </w:rPr>
        <w:t xml:space="preserve"> daudzveidīgi (ne tikai tradicionālajā – produktu/pakalpojumu un iekšējo procesu uzlabošana), bet </w:t>
      </w:r>
      <w:proofErr w:type="spellStart"/>
      <w:r w:rsidR="00D75A75" w:rsidRPr="001C3611">
        <w:rPr>
          <w:rFonts w:ascii="Times New Roman" w:hAnsi="Times New Roman" w:cs="Times New Roman"/>
          <w:sz w:val="24"/>
          <w:szCs w:val="24"/>
        </w:rPr>
        <w:t>inovēšana</w:t>
      </w:r>
      <w:proofErr w:type="spellEnd"/>
      <w:r w:rsidR="00D75A75" w:rsidRPr="001C3611">
        <w:rPr>
          <w:rFonts w:ascii="Times New Roman" w:hAnsi="Times New Roman" w:cs="Times New Roman"/>
          <w:sz w:val="24"/>
          <w:szCs w:val="24"/>
        </w:rPr>
        <w:t xml:space="preserve"> notiek arī kā tiek atrasti jauni pārdošanas kanāli, mijiedarbība ar klientu, zīmolu uzlabošanas dažādākie paņēmieni, pieaugoša nepieciešamība pēc ārējo partneru plašākas iesaistes, vienlaikus saskaņojot to ar pieejamajām kompānijas da</w:t>
      </w:r>
      <w:r w:rsidR="009749E2" w:rsidRPr="001C3611">
        <w:rPr>
          <w:rFonts w:ascii="Times New Roman" w:hAnsi="Times New Roman" w:cs="Times New Roman"/>
          <w:sz w:val="24"/>
          <w:szCs w:val="24"/>
        </w:rPr>
        <w:t>r</w:t>
      </w:r>
      <w:r w:rsidR="00D75A75" w:rsidRPr="001C3611">
        <w:rPr>
          <w:rFonts w:ascii="Times New Roman" w:hAnsi="Times New Roman" w:cs="Times New Roman"/>
          <w:sz w:val="24"/>
          <w:szCs w:val="24"/>
        </w:rPr>
        <w:t>baspēka prasmēm kā arī pieejamajiem resursiem.</w:t>
      </w:r>
      <w:r w:rsidR="00237DC5" w:rsidRPr="001C3611">
        <w:rPr>
          <w:rFonts w:ascii="Times New Roman" w:hAnsi="Times New Roman" w:cs="Times New Roman"/>
          <w:sz w:val="24"/>
          <w:szCs w:val="24"/>
        </w:rPr>
        <w:t xml:space="preserve"> </w:t>
      </w:r>
    </w:p>
    <w:p w14:paraId="7921AC9E" w14:textId="69831A9B" w:rsidR="001A7DFA" w:rsidRDefault="00237DC5" w:rsidP="001A7DFA">
      <w:pPr>
        <w:spacing w:line="276" w:lineRule="auto"/>
        <w:jc w:val="both"/>
        <w:rPr>
          <w:rFonts w:ascii="Times New Roman" w:hAnsi="Times New Roman" w:cs="Times New Roman"/>
          <w:i/>
          <w:sz w:val="24"/>
          <w:szCs w:val="24"/>
        </w:rPr>
      </w:pPr>
      <w:r w:rsidRPr="001C3611">
        <w:rPr>
          <w:rFonts w:ascii="Times New Roman" w:hAnsi="Times New Roman" w:cs="Times New Roman"/>
          <w:sz w:val="24"/>
          <w:szCs w:val="24"/>
        </w:rPr>
        <w:t>Ņemot vērā tendenci, kas ir novērojama jau no 1990.gadiem (īpaši fiksēta kopš 2008.gada), kad darbaspēka produktivitātes pieaugums ir kļuvis ievērojami lēnāks, izmantojot jaunākās tehnoloģijas šis potenciāls vēl ir panākams.</w:t>
      </w:r>
      <w:r w:rsidR="009E750B" w:rsidRPr="001C3611">
        <w:rPr>
          <w:rFonts w:ascii="Times New Roman" w:hAnsi="Times New Roman" w:cs="Times New Roman"/>
          <w:sz w:val="24"/>
          <w:szCs w:val="24"/>
        </w:rPr>
        <w:t xml:space="preserve"> (</w:t>
      </w:r>
      <w:r w:rsidR="00E902E0" w:rsidRPr="001C3611">
        <w:rPr>
          <w:rFonts w:ascii="Times New Roman" w:hAnsi="Times New Roman" w:cs="Times New Roman"/>
          <w:sz w:val="24"/>
          <w:szCs w:val="24"/>
        </w:rPr>
        <w:t xml:space="preserve">Ražošanas un kopējās </w:t>
      </w:r>
      <w:r w:rsidR="009E750B" w:rsidRPr="001C3611">
        <w:rPr>
          <w:rFonts w:ascii="Times New Roman" w:hAnsi="Times New Roman" w:cs="Times New Roman"/>
          <w:sz w:val="24"/>
          <w:szCs w:val="24"/>
        </w:rPr>
        <w:t>produktivitātes sabremzēšanās</w:t>
      </w:r>
      <w:r w:rsidR="00E902E0" w:rsidRPr="001C3611">
        <w:rPr>
          <w:rFonts w:ascii="Times New Roman" w:hAnsi="Times New Roman" w:cs="Times New Roman"/>
          <w:sz w:val="24"/>
          <w:szCs w:val="24"/>
        </w:rPr>
        <w:t xml:space="preserve"> ASV un UK 1890-1913 (kas tiek pazīta kā 2 industriālā revolūcija)</w:t>
      </w:r>
      <w:r w:rsidR="001A7DFA">
        <w:rPr>
          <w:rFonts w:ascii="Times New Roman" w:hAnsi="Times New Roman" w:cs="Times New Roman"/>
          <w:sz w:val="24"/>
          <w:szCs w:val="24"/>
        </w:rPr>
        <w:t xml:space="preserve">. Līdzīgi kā </w:t>
      </w:r>
      <w:r w:rsidR="00E902E0" w:rsidRPr="001C3611">
        <w:rPr>
          <w:rFonts w:ascii="Times New Roman" w:hAnsi="Times New Roman" w:cs="Times New Roman"/>
          <w:sz w:val="24"/>
          <w:szCs w:val="24"/>
        </w:rPr>
        <w:t>1920. gados, apmēram četras desmitgades pēc tam, kad tika komercializēta elektrība un kompānijām bija jāpārveido savi biznesa modeļi, lai iegūtu jauno tehnoloģiju sniegtās iespējas.</w:t>
      </w:r>
      <w:r w:rsidR="00B32D77" w:rsidRPr="001C3611">
        <w:rPr>
          <w:rFonts w:ascii="Times New Roman" w:hAnsi="Times New Roman" w:cs="Times New Roman"/>
          <w:sz w:val="24"/>
          <w:szCs w:val="24"/>
        </w:rPr>
        <w:t xml:space="preserve"> Līdz ar to arī 4.0 industrializācija pieprasa biznesa modeļu izmaiņas un ne vienmēr mazajam/vidējam biznesam šādas kompetences ir pieejamas.</w:t>
      </w:r>
      <w:r w:rsidR="00CC1A29" w:rsidRPr="001C3611">
        <w:rPr>
          <w:rFonts w:ascii="Times New Roman" w:hAnsi="Times New Roman" w:cs="Times New Roman"/>
          <w:sz w:val="24"/>
          <w:szCs w:val="24"/>
        </w:rPr>
        <w:t xml:space="preserve"> Tieši tāpēc izšķiroša loma ir </w:t>
      </w:r>
      <w:r w:rsidR="00CC1A29" w:rsidRPr="001C3611">
        <w:rPr>
          <w:rFonts w:ascii="Times New Roman" w:hAnsi="Times New Roman" w:cs="Times New Roman"/>
          <w:i/>
          <w:sz w:val="24"/>
          <w:szCs w:val="24"/>
        </w:rPr>
        <w:t>starpniekinstitūcijām (</w:t>
      </w:r>
      <w:proofErr w:type="spellStart"/>
      <w:r w:rsidR="00CC1A29" w:rsidRPr="001C3611">
        <w:rPr>
          <w:rFonts w:ascii="Times New Roman" w:hAnsi="Times New Roman" w:cs="Times New Roman"/>
          <w:i/>
          <w:sz w:val="24"/>
          <w:szCs w:val="24"/>
        </w:rPr>
        <w:t>intermediary</w:t>
      </w:r>
      <w:proofErr w:type="spellEnd"/>
      <w:r w:rsidR="00CC1A29" w:rsidRPr="001C3611">
        <w:rPr>
          <w:rFonts w:ascii="Times New Roman" w:hAnsi="Times New Roman" w:cs="Times New Roman"/>
          <w:i/>
          <w:sz w:val="24"/>
          <w:szCs w:val="24"/>
        </w:rPr>
        <w:t xml:space="preserve"> </w:t>
      </w:r>
      <w:proofErr w:type="spellStart"/>
      <w:r w:rsidR="00CC1A29" w:rsidRPr="001C3611">
        <w:rPr>
          <w:rFonts w:ascii="Times New Roman" w:hAnsi="Times New Roman" w:cs="Times New Roman"/>
          <w:i/>
          <w:sz w:val="24"/>
          <w:szCs w:val="24"/>
        </w:rPr>
        <w:t>institutions</w:t>
      </w:r>
      <w:proofErr w:type="spellEnd"/>
      <w:r w:rsidR="009E750B" w:rsidRPr="001C3611">
        <w:rPr>
          <w:rFonts w:ascii="Times New Roman" w:hAnsi="Times New Roman" w:cs="Times New Roman"/>
          <w:i/>
          <w:sz w:val="24"/>
          <w:szCs w:val="24"/>
        </w:rPr>
        <w:t>)</w:t>
      </w:r>
      <w:r w:rsidR="00CC1A29" w:rsidRPr="001C3611">
        <w:rPr>
          <w:rFonts w:ascii="Times New Roman" w:hAnsi="Times New Roman" w:cs="Times New Roman"/>
          <w:i/>
          <w:sz w:val="24"/>
          <w:szCs w:val="24"/>
        </w:rPr>
        <w:t xml:space="preserve">, </w:t>
      </w:r>
      <w:r w:rsidR="00CC1A29" w:rsidRPr="001C3611">
        <w:rPr>
          <w:rFonts w:ascii="Times New Roman" w:hAnsi="Times New Roman" w:cs="Times New Roman"/>
          <w:sz w:val="24"/>
          <w:szCs w:val="24"/>
        </w:rPr>
        <w:t>kuras ir uzkrājušās dažāda veida zināšanas un kompetences par vietējā biznesa specifiku, vienlaikus spēj piesaistīt arī privātā biznesa finansējumu, lai kopā ar politikas veidotājiem spētu ietekmēt šo izaicinājumu ar kuru saskaras Latvijas kompānijas.</w:t>
      </w:r>
      <w:r w:rsidRPr="001C3611">
        <w:rPr>
          <w:rFonts w:ascii="Times New Roman" w:hAnsi="Times New Roman" w:cs="Times New Roman"/>
          <w:i/>
          <w:sz w:val="24"/>
          <w:szCs w:val="24"/>
        </w:rPr>
        <w:t xml:space="preserve"> </w:t>
      </w:r>
    </w:p>
    <w:p w14:paraId="1F4C5B9E" w14:textId="47E36189" w:rsidR="00237DC5" w:rsidRPr="001C3611" w:rsidRDefault="00237DC5" w:rsidP="001A7DFA">
      <w:pPr>
        <w:spacing w:line="276" w:lineRule="auto"/>
        <w:jc w:val="both"/>
        <w:rPr>
          <w:rFonts w:ascii="Times New Roman" w:hAnsi="Times New Roman" w:cs="Times New Roman"/>
          <w:sz w:val="24"/>
          <w:szCs w:val="24"/>
        </w:rPr>
      </w:pPr>
      <w:r w:rsidRPr="001C3611">
        <w:rPr>
          <w:rFonts w:ascii="Times New Roman" w:hAnsi="Times New Roman" w:cs="Times New Roman"/>
          <w:b/>
          <w:sz w:val="24"/>
          <w:szCs w:val="24"/>
        </w:rPr>
        <w:t>Biznesa modeļu izmaiņas ir tas, kas noteiks uzvarētājus un zaudētājus konkurences apstākļos un mainot šos modeļus var iegūt pavisam jaunas tirgus nišas un patērētāju potenciālu</w:t>
      </w:r>
      <w:r w:rsidRPr="001C3611">
        <w:rPr>
          <w:rFonts w:ascii="Times New Roman" w:hAnsi="Times New Roman" w:cs="Times New Roman"/>
          <w:sz w:val="24"/>
          <w:szCs w:val="24"/>
        </w:rPr>
        <w:t>:</w:t>
      </w:r>
      <w:r w:rsidR="009E750B" w:rsidRPr="001C3611">
        <w:rPr>
          <w:rFonts w:ascii="Times New Roman" w:hAnsi="Times New Roman" w:cs="Times New Roman"/>
          <w:sz w:val="24"/>
          <w:szCs w:val="24"/>
        </w:rPr>
        <w:t xml:space="preserve"> </w:t>
      </w:r>
      <w:r w:rsidR="009E750B" w:rsidRPr="001C3611">
        <w:rPr>
          <w:rFonts w:ascii="Times New Roman" w:hAnsi="Times New Roman" w:cs="Times New Roman"/>
          <w:i/>
          <w:sz w:val="24"/>
          <w:szCs w:val="24"/>
        </w:rPr>
        <w:t>(</w:t>
      </w:r>
      <w:r w:rsidRPr="001C3611">
        <w:rPr>
          <w:rFonts w:ascii="Times New Roman" w:hAnsi="Times New Roman" w:cs="Times New Roman"/>
          <w:i/>
          <w:sz w:val="24"/>
          <w:szCs w:val="24"/>
        </w:rPr>
        <w:t>Piemērs, kas labi raksturo biznesa modeļa miņu – lietu internets (</w:t>
      </w:r>
      <w:proofErr w:type="spellStart"/>
      <w:r w:rsidRPr="001C3611">
        <w:rPr>
          <w:rFonts w:ascii="Times New Roman" w:hAnsi="Times New Roman" w:cs="Times New Roman"/>
          <w:i/>
          <w:sz w:val="24"/>
          <w:szCs w:val="24"/>
        </w:rPr>
        <w:t>IoT</w:t>
      </w:r>
      <w:proofErr w:type="spellEnd"/>
      <w:r w:rsidRPr="001C3611">
        <w:rPr>
          <w:rFonts w:ascii="Times New Roman" w:hAnsi="Times New Roman" w:cs="Times New Roman"/>
          <w:i/>
          <w:sz w:val="24"/>
          <w:szCs w:val="24"/>
        </w:rPr>
        <w:t xml:space="preserve">) ražotājiem ļauj labāk </w:t>
      </w:r>
      <w:proofErr w:type="spellStart"/>
      <w:r w:rsidRPr="001C3611">
        <w:rPr>
          <w:rFonts w:ascii="Times New Roman" w:hAnsi="Times New Roman" w:cs="Times New Roman"/>
          <w:i/>
          <w:sz w:val="24"/>
          <w:szCs w:val="24"/>
        </w:rPr>
        <w:t>monitorēt</w:t>
      </w:r>
      <w:proofErr w:type="spellEnd"/>
      <w:r w:rsidRPr="001C3611">
        <w:rPr>
          <w:rFonts w:ascii="Times New Roman" w:hAnsi="Times New Roman" w:cs="Times New Roman"/>
          <w:i/>
          <w:sz w:val="24"/>
          <w:szCs w:val="24"/>
        </w:rPr>
        <w:t xml:space="preserve"> klientu apmierinātību ar piedāvāto produktu</w:t>
      </w:r>
      <w:r w:rsidR="009E750B" w:rsidRPr="001C3611">
        <w:rPr>
          <w:rFonts w:ascii="Times New Roman" w:hAnsi="Times New Roman" w:cs="Times New Roman"/>
          <w:i/>
          <w:sz w:val="24"/>
          <w:szCs w:val="24"/>
        </w:rPr>
        <w:t>, kas savukārt ļauj ražotājam piedāvāt klienta vēlmēm atbilstošu produkta risinājumu (</w:t>
      </w:r>
      <w:proofErr w:type="spellStart"/>
      <w:r w:rsidR="009E750B" w:rsidRPr="001C3611">
        <w:rPr>
          <w:rFonts w:ascii="Times New Roman" w:hAnsi="Times New Roman" w:cs="Times New Roman"/>
          <w:i/>
          <w:sz w:val="24"/>
          <w:szCs w:val="24"/>
        </w:rPr>
        <w:t>customised</w:t>
      </w:r>
      <w:proofErr w:type="spellEnd"/>
      <w:r w:rsidR="009E750B" w:rsidRPr="001C3611">
        <w:rPr>
          <w:rFonts w:ascii="Times New Roman" w:hAnsi="Times New Roman" w:cs="Times New Roman"/>
          <w:i/>
          <w:sz w:val="24"/>
          <w:szCs w:val="24"/>
        </w:rPr>
        <w:t xml:space="preserve"> </w:t>
      </w:r>
      <w:proofErr w:type="spellStart"/>
      <w:r w:rsidR="009E750B" w:rsidRPr="001C3611">
        <w:rPr>
          <w:rFonts w:ascii="Times New Roman" w:hAnsi="Times New Roman" w:cs="Times New Roman"/>
          <w:i/>
          <w:sz w:val="24"/>
          <w:szCs w:val="24"/>
        </w:rPr>
        <w:t>pay-as-you-go</w:t>
      </w:r>
      <w:proofErr w:type="spellEnd"/>
      <w:r w:rsidR="009E750B" w:rsidRPr="001C3611">
        <w:rPr>
          <w:rFonts w:ascii="Times New Roman" w:hAnsi="Times New Roman" w:cs="Times New Roman"/>
          <w:i/>
          <w:sz w:val="24"/>
          <w:szCs w:val="24"/>
        </w:rPr>
        <w:t xml:space="preserve"> </w:t>
      </w:r>
      <w:proofErr w:type="spellStart"/>
      <w:r w:rsidR="009E750B" w:rsidRPr="001C3611">
        <w:rPr>
          <w:rFonts w:ascii="Times New Roman" w:hAnsi="Times New Roman" w:cs="Times New Roman"/>
          <w:i/>
          <w:sz w:val="24"/>
          <w:szCs w:val="24"/>
        </w:rPr>
        <w:t>service</w:t>
      </w:r>
      <w:proofErr w:type="spellEnd"/>
      <w:r w:rsidR="009E750B" w:rsidRPr="001C3611">
        <w:rPr>
          <w:rFonts w:ascii="Times New Roman" w:hAnsi="Times New Roman" w:cs="Times New Roman"/>
          <w:i/>
          <w:sz w:val="24"/>
          <w:szCs w:val="24"/>
        </w:rPr>
        <w:t xml:space="preserve">), izmantojot reālā laika operacionālos datus. Kā potenciālu šādam biznesa modelim saskata daudzas kompānijas – piem., </w:t>
      </w:r>
      <w:proofErr w:type="spellStart"/>
      <w:r w:rsidR="009E750B" w:rsidRPr="001C3611">
        <w:rPr>
          <w:rFonts w:ascii="Times New Roman" w:hAnsi="Times New Roman" w:cs="Times New Roman"/>
          <w:i/>
          <w:sz w:val="24"/>
          <w:szCs w:val="24"/>
        </w:rPr>
        <w:t>Rolls-Royce</w:t>
      </w:r>
      <w:proofErr w:type="spellEnd"/>
      <w:r w:rsidR="009E750B" w:rsidRPr="001C3611">
        <w:rPr>
          <w:rFonts w:ascii="Times New Roman" w:hAnsi="Times New Roman" w:cs="Times New Roman"/>
          <w:i/>
          <w:sz w:val="24"/>
          <w:szCs w:val="24"/>
        </w:rPr>
        <w:t xml:space="preserve"> šobrīd pārdod </w:t>
      </w:r>
      <w:proofErr w:type="spellStart"/>
      <w:r w:rsidR="009E750B" w:rsidRPr="001C3611">
        <w:rPr>
          <w:rFonts w:ascii="Times New Roman" w:hAnsi="Times New Roman" w:cs="Times New Roman"/>
          <w:i/>
          <w:sz w:val="24"/>
          <w:szCs w:val="24"/>
        </w:rPr>
        <w:t>iekšdedzes</w:t>
      </w:r>
      <w:proofErr w:type="spellEnd"/>
      <w:r w:rsidR="009E750B" w:rsidRPr="001C3611">
        <w:rPr>
          <w:rFonts w:ascii="Times New Roman" w:hAnsi="Times New Roman" w:cs="Times New Roman"/>
          <w:i/>
          <w:sz w:val="24"/>
          <w:szCs w:val="24"/>
        </w:rPr>
        <w:t xml:space="preserve"> dzinējus kā pakalpojumu nevis kā produktu. </w:t>
      </w:r>
      <w:proofErr w:type="spellStart"/>
      <w:r w:rsidR="009E750B" w:rsidRPr="001C3611">
        <w:rPr>
          <w:rFonts w:ascii="Times New Roman" w:hAnsi="Times New Roman" w:cs="Times New Roman"/>
          <w:i/>
          <w:sz w:val="24"/>
          <w:szCs w:val="24"/>
        </w:rPr>
        <w:t>John</w:t>
      </w:r>
      <w:proofErr w:type="spellEnd"/>
      <w:r w:rsidR="009E750B" w:rsidRPr="001C3611">
        <w:rPr>
          <w:rFonts w:ascii="Times New Roman" w:hAnsi="Times New Roman" w:cs="Times New Roman"/>
          <w:i/>
          <w:sz w:val="24"/>
          <w:szCs w:val="24"/>
        </w:rPr>
        <w:t xml:space="preserve"> </w:t>
      </w:r>
      <w:proofErr w:type="spellStart"/>
      <w:r w:rsidR="009E750B" w:rsidRPr="001C3611">
        <w:rPr>
          <w:rFonts w:ascii="Times New Roman" w:hAnsi="Times New Roman" w:cs="Times New Roman"/>
          <w:i/>
          <w:sz w:val="24"/>
          <w:szCs w:val="24"/>
        </w:rPr>
        <w:t>Deer</w:t>
      </w:r>
      <w:proofErr w:type="spellEnd"/>
      <w:r w:rsidR="009E750B" w:rsidRPr="001C3611">
        <w:rPr>
          <w:rFonts w:ascii="Times New Roman" w:hAnsi="Times New Roman" w:cs="Times New Roman"/>
          <w:i/>
          <w:sz w:val="24"/>
          <w:szCs w:val="24"/>
        </w:rPr>
        <w:t xml:space="preserve"> izmanto datu analītiku, lai palīdzētu lauksaimniekiem optimizēt graudu ražas no savām sējumu platībām, vienlaikus autonomie risinājumi nodrošina </w:t>
      </w:r>
      <w:r w:rsidR="009E750B" w:rsidRPr="001C3611">
        <w:rPr>
          <w:rFonts w:ascii="Times New Roman" w:hAnsi="Times New Roman" w:cs="Times New Roman"/>
          <w:i/>
          <w:sz w:val="24"/>
          <w:szCs w:val="24"/>
        </w:rPr>
        <w:lastRenderedPageBreak/>
        <w:t>lauksaimniekam daudz lielāku ražību apstrādājot līdz pat 4 reizēm vairāk lauksaimniecības zemes</w:t>
      </w:r>
      <w:r w:rsidR="005B7A0E" w:rsidRPr="001C3611">
        <w:rPr>
          <w:rFonts w:ascii="Times New Roman" w:hAnsi="Times New Roman" w:cs="Times New Roman"/>
          <w:i/>
          <w:sz w:val="24"/>
          <w:szCs w:val="24"/>
        </w:rPr>
        <w:t xml:space="preserve"> ar tiem pašiem resursiem</w:t>
      </w:r>
      <w:r w:rsidR="009E750B" w:rsidRPr="001C3611">
        <w:rPr>
          <w:rFonts w:ascii="Times New Roman" w:hAnsi="Times New Roman" w:cs="Times New Roman"/>
          <w:i/>
          <w:sz w:val="24"/>
          <w:szCs w:val="24"/>
        </w:rPr>
        <w:t xml:space="preserve">. Vēl viens piemērs – mūsdienu 3D </w:t>
      </w:r>
      <w:proofErr w:type="spellStart"/>
      <w:r w:rsidR="009E750B" w:rsidRPr="001C3611">
        <w:rPr>
          <w:rFonts w:ascii="Times New Roman" w:hAnsi="Times New Roman" w:cs="Times New Roman"/>
          <w:i/>
          <w:sz w:val="24"/>
          <w:szCs w:val="24"/>
        </w:rPr>
        <w:t>printēšanas</w:t>
      </w:r>
      <w:proofErr w:type="spellEnd"/>
      <w:r w:rsidR="009E750B" w:rsidRPr="001C3611">
        <w:rPr>
          <w:rFonts w:ascii="Times New Roman" w:hAnsi="Times New Roman" w:cs="Times New Roman"/>
          <w:i/>
          <w:sz w:val="24"/>
          <w:szCs w:val="24"/>
        </w:rPr>
        <w:t xml:space="preserve"> piedāvātās iespējas, kas paver jaunas tirgus iespējas dažādās nišās.</w:t>
      </w:r>
      <w:r w:rsidR="00EE0A9C" w:rsidRPr="001C3611">
        <w:rPr>
          <w:rStyle w:val="FootnoteReference"/>
          <w:rFonts w:ascii="Times New Roman" w:hAnsi="Times New Roman" w:cs="Times New Roman"/>
          <w:i/>
          <w:sz w:val="24"/>
          <w:szCs w:val="24"/>
        </w:rPr>
        <w:footnoteReference w:id="5"/>
      </w:r>
      <w:r w:rsidR="009E750B" w:rsidRPr="001C3611">
        <w:rPr>
          <w:rFonts w:ascii="Times New Roman" w:hAnsi="Times New Roman" w:cs="Times New Roman"/>
          <w:i/>
          <w:sz w:val="24"/>
          <w:szCs w:val="24"/>
        </w:rPr>
        <w:t>)</w:t>
      </w:r>
    </w:p>
    <w:p w14:paraId="369CD0DB" w14:textId="2F993D03" w:rsidR="00957228" w:rsidRPr="001C3611" w:rsidRDefault="00A61BA8" w:rsidP="001A7DFA">
      <w:pPr>
        <w:spacing w:line="276" w:lineRule="auto"/>
        <w:jc w:val="both"/>
        <w:rPr>
          <w:rFonts w:ascii="Times New Roman" w:hAnsi="Times New Roman" w:cs="Times New Roman"/>
          <w:sz w:val="24"/>
          <w:szCs w:val="24"/>
        </w:rPr>
      </w:pPr>
      <w:r w:rsidRPr="001C3611">
        <w:rPr>
          <w:rFonts w:ascii="Times New Roman" w:hAnsi="Times New Roman" w:cs="Times New Roman"/>
          <w:sz w:val="24"/>
          <w:szCs w:val="24"/>
        </w:rPr>
        <w:t xml:space="preserve">Šajā ziņojumā tiks analizēta ārvalstu pieredze saistībā ar mainīgajiem biznesa modeļiem un inovāciju atbalsta formām dažādiem sektoriem, iesaistītajiem aktieriem – ieskaitot mazos un vidējos komersantus, </w:t>
      </w:r>
      <w:proofErr w:type="spellStart"/>
      <w:r w:rsidRPr="001C3611">
        <w:rPr>
          <w:rFonts w:ascii="Times New Roman" w:hAnsi="Times New Roman" w:cs="Times New Roman"/>
          <w:sz w:val="24"/>
          <w:szCs w:val="24"/>
        </w:rPr>
        <w:t>jaunuzņēmumus</w:t>
      </w:r>
      <w:proofErr w:type="spellEnd"/>
      <w:r w:rsidRPr="001C3611">
        <w:rPr>
          <w:rFonts w:ascii="Times New Roman" w:hAnsi="Times New Roman" w:cs="Times New Roman"/>
          <w:sz w:val="24"/>
          <w:szCs w:val="24"/>
        </w:rPr>
        <w:t xml:space="preserve"> un pētniecības institūcijas. Vienlaikus tiks a</w:t>
      </w:r>
      <w:r w:rsidR="006E3FF1" w:rsidRPr="001C3611">
        <w:rPr>
          <w:rFonts w:ascii="Times New Roman" w:hAnsi="Times New Roman" w:cs="Times New Roman"/>
          <w:sz w:val="24"/>
          <w:szCs w:val="24"/>
        </w:rPr>
        <w:t xml:space="preserve">pskatītas </w:t>
      </w:r>
      <w:r w:rsidRPr="001C3611">
        <w:rPr>
          <w:rFonts w:ascii="Times New Roman" w:hAnsi="Times New Roman" w:cs="Times New Roman"/>
          <w:sz w:val="24"/>
          <w:szCs w:val="24"/>
        </w:rPr>
        <w:t>veiksmīgākās sadarbības formas inovācijas r</w:t>
      </w:r>
      <w:r w:rsidR="006E3FF1" w:rsidRPr="001C3611">
        <w:rPr>
          <w:rFonts w:ascii="Times New Roman" w:hAnsi="Times New Roman" w:cs="Times New Roman"/>
          <w:sz w:val="24"/>
          <w:szCs w:val="24"/>
        </w:rPr>
        <w:t>o</w:t>
      </w:r>
      <w:r w:rsidRPr="001C3611">
        <w:rPr>
          <w:rFonts w:ascii="Times New Roman" w:hAnsi="Times New Roman" w:cs="Times New Roman"/>
          <w:sz w:val="24"/>
          <w:szCs w:val="24"/>
        </w:rPr>
        <w:t xml:space="preserve">sināšanai vietējā/nacionālā un starptautiskā līmeņa partneru iesaistei. </w:t>
      </w:r>
      <w:r w:rsidR="006E3FF1" w:rsidRPr="001C3611">
        <w:rPr>
          <w:rFonts w:ascii="Times New Roman" w:hAnsi="Times New Roman" w:cs="Times New Roman"/>
          <w:sz w:val="24"/>
          <w:szCs w:val="24"/>
        </w:rPr>
        <w:t>Šajā ziņojumā tiks sniegti arī piemēri kā digitālā transformācija maina inovācijas procesus un tā rezultātus, ieskicējot galvenos izaicinājumus un to dinamiku. Šajā ziņojumā arī tiks ietverti dažādu valstu digitālās transformācijas inovāciju atbalsta piemēri, kas sniedz iespēju tos izvērtēt un rast efektīvākos risinājumus Latvijas digitālās transformācijas atbalsta instrumentāriju izstrādei.</w:t>
      </w:r>
    </w:p>
    <w:p w14:paraId="6A0EFB01" w14:textId="77777777" w:rsidR="00077655" w:rsidRPr="001A7DFA" w:rsidRDefault="00077655" w:rsidP="00077655">
      <w:pPr>
        <w:rPr>
          <w:rFonts w:ascii="Times New Roman" w:hAnsi="Times New Roman" w:cs="Times New Roman"/>
          <w:b/>
          <w:i/>
          <w:sz w:val="28"/>
          <w:szCs w:val="28"/>
        </w:rPr>
      </w:pPr>
      <w:r w:rsidRPr="001A7DFA">
        <w:rPr>
          <w:rFonts w:ascii="Times New Roman" w:hAnsi="Times New Roman" w:cs="Times New Roman"/>
          <w:b/>
          <w:i/>
          <w:sz w:val="28"/>
          <w:szCs w:val="28"/>
        </w:rPr>
        <w:t xml:space="preserve">Digitālā transformācija ietekmē inovācijas procesus visos sektoros, bet dažādos veidos </w:t>
      </w:r>
    </w:p>
    <w:p w14:paraId="54ED6680" w14:textId="77777777" w:rsidR="00077655" w:rsidRPr="001C3611" w:rsidRDefault="00077655" w:rsidP="001A7DFA">
      <w:pPr>
        <w:spacing w:line="276" w:lineRule="auto"/>
        <w:jc w:val="both"/>
        <w:rPr>
          <w:rFonts w:ascii="Times New Roman" w:hAnsi="Times New Roman" w:cs="Times New Roman"/>
          <w:b/>
          <w:sz w:val="24"/>
          <w:szCs w:val="24"/>
        </w:rPr>
      </w:pPr>
      <w:r w:rsidRPr="001C3611">
        <w:rPr>
          <w:rFonts w:ascii="Times New Roman" w:hAnsi="Times New Roman" w:cs="Times New Roman"/>
          <w:sz w:val="24"/>
          <w:szCs w:val="24"/>
        </w:rPr>
        <w:t xml:space="preserve">Digitālā transformācija maina inovācijas jo būtiski samazina izmaksas, kas saistītas ar zināšanu un informācijas radīšanu un izplatīšanu – inovāciju svarīgāko komponenti – kas var tik </w:t>
      </w:r>
      <w:proofErr w:type="spellStart"/>
      <w:r w:rsidRPr="001C3611">
        <w:rPr>
          <w:rFonts w:ascii="Times New Roman" w:hAnsi="Times New Roman" w:cs="Times New Roman"/>
          <w:sz w:val="24"/>
          <w:szCs w:val="24"/>
        </w:rPr>
        <w:t>digitalizēta</w:t>
      </w:r>
      <w:proofErr w:type="spellEnd"/>
      <w:r w:rsidRPr="001C3611">
        <w:rPr>
          <w:rFonts w:ascii="Times New Roman" w:hAnsi="Times New Roman" w:cs="Times New Roman"/>
          <w:sz w:val="24"/>
          <w:szCs w:val="24"/>
        </w:rPr>
        <w:t xml:space="preserve">. “Gudrie un savienotie” </w:t>
      </w:r>
      <w:r w:rsidRPr="001C3611">
        <w:rPr>
          <w:rFonts w:ascii="Times New Roman" w:hAnsi="Times New Roman" w:cs="Times New Roman"/>
          <w:i/>
          <w:sz w:val="24"/>
          <w:szCs w:val="24"/>
        </w:rPr>
        <w:t>(</w:t>
      </w:r>
      <w:proofErr w:type="spellStart"/>
      <w:r w:rsidRPr="001C3611">
        <w:rPr>
          <w:rFonts w:ascii="Times New Roman" w:hAnsi="Times New Roman" w:cs="Times New Roman"/>
          <w:i/>
          <w:sz w:val="24"/>
          <w:szCs w:val="24"/>
        </w:rPr>
        <w:t>smart</w:t>
      </w:r>
      <w:proofErr w:type="spellEnd"/>
      <w:r w:rsidRPr="001C3611">
        <w:rPr>
          <w:rFonts w:ascii="Times New Roman" w:hAnsi="Times New Roman" w:cs="Times New Roman"/>
          <w:i/>
          <w:sz w:val="24"/>
          <w:szCs w:val="24"/>
        </w:rPr>
        <w:t xml:space="preserve"> </w:t>
      </w:r>
      <w:proofErr w:type="spellStart"/>
      <w:r w:rsidRPr="001C3611">
        <w:rPr>
          <w:rFonts w:ascii="Times New Roman" w:hAnsi="Times New Roman" w:cs="Times New Roman"/>
          <w:i/>
          <w:sz w:val="24"/>
          <w:szCs w:val="24"/>
        </w:rPr>
        <w:t>and</w:t>
      </w:r>
      <w:proofErr w:type="spellEnd"/>
      <w:r w:rsidRPr="001C3611">
        <w:rPr>
          <w:rFonts w:ascii="Times New Roman" w:hAnsi="Times New Roman" w:cs="Times New Roman"/>
          <w:i/>
          <w:sz w:val="24"/>
          <w:szCs w:val="24"/>
        </w:rPr>
        <w:t xml:space="preserve"> </w:t>
      </w:r>
      <w:proofErr w:type="spellStart"/>
      <w:r w:rsidRPr="001C3611">
        <w:rPr>
          <w:rFonts w:ascii="Times New Roman" w:hAnsi="Times New Roman" w:cs="Times New Roman"/>
          <w:i/>
          <w:sz w:val="24"/>
          <w:szCs w:val="24"/>
        </w:rPr>
        <w:t>connected</w:t>
      </w:r>
      <w:proofErr w:type="spellEnd"/>
      <w:r w:rsidRPr="001C3611">
        <w:rPr>
          <w:rFonts w:ascii="Times New Roman" w:hAnsi="Times New Roman" w:cs="Times New Roman"/>
          <w:i/>
          <w:sz w:val="24"/>
          <w:szCs w:val="24"/>
        </w:rPr>
        <w:t>)</w:t>
      </w:r>
      <w:r w:rsidRPr="001C3611">
        <w:rPr>
          <w:rFonts w:ascii="Times New Roman" w:hAnsi="Times New Roman" w:cs="Times New Roman"/>
          <w:sz w:val="24"/>
          <w:szCs w:val="24"/>
        </w:rPr>
        <w:t xml:space="preserve"> produkti - tie ir ļoti atšķirīgi no tiem materiālajiem produktiem, kas raksturoja nu jau aizejošās industrializācijas ēru. </w:t>
      </w:r>
      <w:r w:rsidRPr="001C3611">
        <w:rPr>
          <w:rFonts w:ascii="Times New Roman" w:hAnsi="Times New Roman" w:cs="Times New Roman"/>
          <w:b/>
          <w:sz w:val="24"/>
          <w:szCs w:val="24"/>
        </w:rPr>
        <w:t xml:space="preserve">Digitālā laikmeta inovācijas varētu raksturot četros galvenajos virzienos. </w:t>
      </w:r>
    </w:p>
    <w:p w14:paraId="46FB529C" w14:textId="77777777" w:rsidR="00077655" w:rsidRPr="001C3611" w:rsidRDefault="00077655" w:rsidP="001A7DFA">
      <w:pPr>
        <w:pStyle w:val="ListParagraph"/>
        <w:numPr>
          <w:ilvl w:val="0"/>
          <w:numId w:val="18"/>
        </w:numPr>
        <w:spacing w:line="276" w:lineRule="auto"/>
        <w:jc w:val="both"/>
        <w:rPr>
          <w:rFonts w:ascii="Times New Roman" w:hAnsi="Times New Roman" w:cs="Times New Roman"/>
          <w:sz w:val="24"/>
          <w:szCs w:val="24"/>
        </w:rPr>
      </w:pPr>
      <w:r w:rsidRPr="001C3611">
        <w:rPr>
          <w:rFonts w:ascii="Times New Roman" w:hAnsi="Times New Roman" w:cs="Times New Roman"/>
          <w:b/>
          <w:sz w:val="24"/>
          <w:szCs w:val="24"/>
        </w:rPr>
        <w:t>Pirmkārt</w:t>
      </w:r>
      <w:r w:rsidRPr="001C3611">
        <w:rPr>
          <w:rFonts w:ascii="Times New Roman" w:hAnsi="Times New Roman" w:cs="Times New Roman"/>
          <w:sz w:val="24"/>
          <w:szCs w:val="24"/>
        </w:rPr>
        <w:t xml:space="preserve"> – dati kļūst par galveno inovācijas sastāvdaļu. </w:t>
      </w:r>
    </w:p>
    <w:p w14:paraId="4C024FED" w14:textId="77777777" w:rsidR="00077655" w:rsidRPr="001C3611" w:rsidRDefault="00077655" w:rsidP="001A7DFA">
      <w:pPr>
        <w:pStyle w:val="ListParagraph"/>
        <w:numPr>
          <w:ilvl w:val="0"/>
          <w:numId w:val="18"/>
        </w:numPr>
        <w:spacing w:line="276" w:lineRule="auto"/>
        <w:jc w:val="both"/>
        <w:rPr>
          <w:rFonts w:ascii="Times New Roman" w:hAnsi="Times New Roman" w:cs="Times New Roman"/>
          <w:sz w:val="24"/>
          <w:szCs w:val="24"/>
        </w:rPr>
      </w:pPr>
      <w:r w:rsidRPr="001C3611">
        <w:rPr>
          <w:rFonts w:ascii="Times New Roman" w:hAnsi="Times New Roman" w:cs="Times New Roman"/>
          <w:b/>
          <w:sz w:val="24"/>
          <w:szCs w:val="24"/>
        </w:rPr>
        <w:t>Otrkārt</w:t>
      </w:r>
      <w:r w:rsidRPr="001C3611">
        <w:rPr>
          <w:rFonts w:ascii="Times New Roman" w:hAnsi="Times New Roman" w:cs="Times New Roman"/>
          <w:sz w:val="24"/>
          <w:szCs w:val="24"/>
        </w:rPr>
        <w:t xml:space="preserve">, inovāciju aktivitātes fokusējas galvenokārt uz pakalpojumu attīstību, ko ietekmē tehnoloģiju attīstība. </w:t>
      </w:r>
    </w:p>
    <w:p w14:paraId="70588D26" w14:textId="77777777" w:rsidR="00077655" w:rsidRPr="001C3611" w:rsidRDefault="00077655" w:rsidP="001A7DFA">
      <w:pPr>
        <w:pStyle w:val="ListParagraph"/>
        <w:numPr>
          <w:ilvl w:val="0"/>
          <w:numId w:val="18"/>
        </w:numPr>
        <w:spacing w:line="276" w:lineRule="auto"/>
        <w:jc w:val="both"/>
        <w:rPr>
          <w:rFonts w:ascii="Times New Roman" w:hAnsi="Times New Roman" w:cs="Times New Roman"/>
          <w:sz w:val="24"/>
          <w:szCs w:val="24"/>
        </w:rPr>
      </w:pPr>
      <w:r w:rsidRPr="001C3611">
        <w:rPr>
          <w:rFonts w:ascii="Times New Roman" w:hAnsi="Times New Roman" w:cs="Times New Roman"/>
          <w:b/>
          <w:sz w:val="24"/>
          <w:szCs w:val="24"/>
        </w:rPr>
        <w:t>Treškārt,</w:t>
      </w:r>
      <w:r w:rsidRPr="001C3611">
        <w:rPr>
          <w:rFonts w:ascii="Times New Roman" w:hAnsi="Times New Roman" w:cs="Times New Roman"/>
          <w:sz w:val="24"/>
          <w:szCs w:val="24"/>
        </w:rPr>
        <w:t xml:space="preserve"> inovāciju cikli paātrinās (kļūst īsāki), ar dažādu virtuālo simulāciju, 3D </w:t>
      </w:r>
      <w:proofErr w:type="spellStart"/>
      <w:r w:rsidRPr="001C3611">
        <w:rPr>
          <w:rFonts w:ascii="Times New Roman" w:hAnsi="Times New Roman" w:cs="Times New Roman"/>
          <w:sz w:val="24"/>
          <w:szCs w:val="24"/>
        </w:rPr>
        <w:t>printēšanu</w:t>
      </w:r>
      <w:proofErr w:type="spellEnd"/>
      <w:r w:rsidRPr="001C3611">
        <w:rPr>
          <w:rFonts w:ascii="Times New Roman" w:hAnsi="Times New Roman" w:cs="Times New Roman"/>
          <w:sz w:val="24"/>
          <w:szCs w:val="24"/>
        </w:rPr>
        <w:t xml:space="preserve"> un citām jaunākajām digitālajām tehnoloģijām, tas paver daudz plašākas eksperimentēšanas un testēšanas iespējas. </w:t>
      </w:r>
    </w:p>
    <w:p w14:paraId="5BC04DFF" w14:textId="72EDE2F1" w:rsidR="00077655" w:rsidRPr="001C3611" w:rsidRDefault="00077655" w:rsidP="001A7DFA">
      <w:pPr>
        <w:pStyle w:val="ListParagraph"/>
        <w:numPr>
          <w:ilvl w:val="0"/>
          <w:numId w:val="18"/>
        </w:numPr>
        <w:spacing w:line="276" w:lineRule="auto"/>
        <w:jc w:val="both"/>
        <w:rPr>
          <w:rFonts w:ascii="Times New Roman" w:hAnsi="Times New Roman" w:cs="Times New Roman"/>
          <w:sz w:val="24"/>
          <w:szCs w:val="24"/>
        </w:rPr>
      </w:pPr>
      <w:r w:rsidRPr="001C3611">
        <w:rPr>
          <w:rFonts w:ascii="Times New Roman" w:hAnsi="Times New Roman" w:cs="Times New Roman"/>
          <w:b/>
          <w:sz w:val="24"/>
          <w:szCs w:val="24"/>
        </w:rPr>
        <w:t>Ceturtkārt,</w:t>
      </w:r>
      <w:r w:rsidRPr="001C3611">
        <w:rPr>
          <w:rFonts w:ascii="Times New Roman" w:hAnsi="Times New Roman" w:cs="Times New Roman"/>
          <w:sz w:val="24"/>
          <w:szCs w:val="24"/>
        </w:rPr>
        <w:t xml:space="preserve"> inovācijas kļūst vairāk orientētas uz sadarbību, ņemot vērā pieaugošo sarežģītību un nepieciešamību pēc dažādu starpdisciplināru risinājumu izstrādes ar jaunāko</w:t>
      </w:r>
      <w:r w:rsidR="00FB4716" w:rsidRPr="001C3611">
        <w:rPr>
          <w:rFonts w:ascii="Times New Roman" w:hAnsi="Times New Roman" w:cs="Times New Roman"/>
          <w:sz w:val="24"/>
          <w:szCs w:val="24"/>
        </w:rPr>
        <w:t xml:space="preserve"> digitālo</w:t>
      </w:r>
      <w:r w:rsidRPr="001C3611">
        <w:rPr>
          <w:rFonts w:ascii="Times New Roman" w:hAnsi="Times New Roman" w:cs="Times New Roman"/>
          <w:sz w:val="24"/>
          <w:szCs w:val="24"/>
        </w:rPr>
        <w:t xml:space="preserve"> tehnoloģiju atbalstu. </w:t>
      </w:r>
    </w:p>
    <w:p w14:paraId="7B7D1A68" w14:textId="2B282579" w:rsidR="00077655" w:rsidRPr="001C3611" w:rsidRDefault="00077655" w:rsidP="001A7DFA">
      <w:pPr>
        <w:spacing w:line="276" w:lineRule="auto"/>
        <w:jc w:val="both"/>
        <w:rPr>
          <w:rFonts w:ascii="Times New Roman" w:hAnsi="Times New Roman" w:cs="Times New Roman"/>
          <w:sz w:val="24"/>
          <w:szCs w:val="24"/>
        </w:rPr>
      </w:pPr>
      <w:r w:rsidRPr="001C3611">
        <w:rPr>
          <w:rFonts w:ascii="Times New Roman" w:hAnsi="Times New Roman" w:cs="Times New Roman"/>
          <w:sz w:val="24"/>
          <w:szCs w:val="24"/>
        </w:rPr>
        <w:t>Protams, digitālās transformācijas procesi un to ietekmes uz dažādu sektoru un to iekšējiem pārmaiņu cikliem atšķiras, kas saistīts ar digitālo tehnoloģiju piedāvātajiem risinājumiem. Piemēram, robotika un tās risinājumi līdz šim ir plaši izmantoti autobūves industrijā, taču vienlaikus automatizācija ir agrīnā stadijā tādos sektoros kā lauksaimniecība un tirdzniecība</w:t>
      </w:r>
      <w:r w:rsidR="00FB4716" w:rsidRPr="001C3611">
        <w:rPr>
          <w:rFonts w:ascii="Times New Roman" w:hAnsi="Times New Roman" w:cs="Times New Roman"/>
          <w:sz w:val="24"/>
          <w:szCs w:val="24"/>
        </w:rPr>
        <w:t>.</w:t>
      </w:r>
      <w:r w:rsidRPr="001C3611">
        <w:rPr>
          <w:rFonts w:ascii="Times New Roman" w:hAnsi="Times New Roman" w:cs="Times New Roman"/>
          <w:sz w:val="24"/>
          <w:szCs w:val="24"/>
        </w:rPr>
        <w:t xml:space="preserve"> </w:t>
      </w:r>
    </w:p>
    <w:p w14:paraId="096B01C5" w14:textId="14424E11" w:rsidR="00077655" w:rsidRPr="001A7DFA" w:rsidRDefault="00077655" w:rsidP="00077655">
      <w:pPr>
        <w:rPr>
          <w:rFonts w:ascii="Times New Roman" w:hAnsi="Times New Roman" w:cs="Times New Roman"/>
          <w:i/>
          <w:sz w:val="28"/>
          <w:szCs w:val="28"/>
        </w:rPr>
      </w:pPr>
      <w:r w:rsidRPr="001A7DFA">
        <w:rPr>
          <w:rFonts w:ascii="Times New Roman" w:hAnsi="Times New Roman" w:cs="Times New Roman"/>
          <w:b/>
          <w:i/>
          <w:sz w:val="28"/>
          <w:szCs w:val="28"/>
        </w:rPr>
        <w:t>Digitālā transformācija ir būtiski atšķirīga no “tradicionālās” (ne-digitālās) inovācijas procesa ātruma</w:t>
      </w:r>
    </w:p>
    <w:p w14:paraId="692F8AF3" w14:textId="6C541024" w:rsidR="00077655" w:rsidRPr="001A7DFA" w:rsidRDefault="00077655" w:rsidP="001A7DFA">
      <w:pPr>
        <w:spacing w:line="276" w:lineRule="auto"/>
        <w:jc w:val="both"/>
        <w:rPr>
          <w:rFonts w:ascii="Times New Roman" w:hAnsi="Times New Roman" w:cs="Times New Roman"/>
          <w:sz w:val="24"/>
          <w:szCs w:val="24"/>
        </w:rPr>
      </w:pPr>
      <w:r w:rsidRPr="001A7DFA">
        <w:rPr>
          <w:rFonts w:ascii="Times New Roman" w:hAnsi="Times New Roman" w:cs="Times New Roman"/>
          <w:b/>
          <w:sz w:val="24"/>
          <w:szCs w:val="24"/>
        </w:rPr>
        <w:t>Tehnoloģisko izmaiņu ātrums</w:t>
      </w:r>
      <w:r w:rsidRPr="001A7DFA">
        <w:rPr>
          <w:rFonts w:ascii="Times New Roman" w:hAnsi="Times New Roman" w:cs="Times New Roman"/>
          <w:sz w:val="24"/>
          <w:szCs w:val="24"/>
        </w:rPr>
        <w:t xml:space="preserve"> šodien ir nesalīdzināmi straujāks kā tas bija pāris desmitgades atpakaļ. Piemēram, lai sasniegtu 50 miljonus radio klausītāju – tas aizņēma 38 gadus, 13 gadi pagāja televīzijai šādas auditorijas sasniegšanai, vienlaikus </w:t>
      </w:r>
      <w:proofErr w:type="spellStart"/>
      <w:r w:rsidRPr="001A7DFA">
        <w:rPr>
          <w:rFonts w:ascii="Times New Roman" w:hAnsi="Times New Roman" w:cs="Times New Roman"/>
          <w:sz w:val="24"/>
          <w:szCs w:val="24"/>
        </w:rPr>
        <w:t>Facebook</w:t>
      </w:r>
      <w:proofErr w:type="spellEnd"/>
      <w:r w:rsidRPr="001A7DFA">
        <w:rPr>
          <w:rFonts w:ascii="Times New Roman" w:hAnsi="Times New Roman" w:cs="Times New Roman"/>
          <w:sz w:val="24"/>
          <w:szCs w:val="24"/>
        </w:rPr>
        <w:t xml:space="preserve"> tas prasīja 1 gadu, savukārt </w:t>
      </w:r>
      <w:proofErr w:type="spellStart"/>
      <w:r w:rsidRPr="001A7DFA">
        <w:rPr>
          <w:rFonts w:ascii="Times New Roman" w:hAnsi="Times New Roman" w:cs="Times New Roman"/>
          <w:sz w:val="24"/>
          <w:szCs w:val="24"/>
        </w:rPr>
        <w:t>Twiter</w:t>
      </w:r>
      <w:proofErr w:type="spellEnd"/>
      <w:r w:rsidRPr="001A7DFA">
        <w:rPr>
          <w:rFonts w:ascii="Times New Roman" w:hAnsi="Times New Roman" w:cs="Times New Roman"/>
          <w:sz w:val="24"/>
          <w:szCs w:val="24"/>
        </w:rPr>
        <w:t xml:space="preserve"> 9 mēnešus.  40% no visiem pasaules </w:t>
      </w:r>
      <w:proofErr w:type="spellStart"/>
      <w:r w:rsidRPr="001A7DFA">
        <w:rPr>
          <w:rFonts w:ascii="Times New Roman" w:hAnsi="Times New Roman" w:cs="Times New Roman"/>
          <w:sz w:val="24"/>
          <w:szCs w:val="24"/>
        </w:rPr>
        <w:t>pieslēgumiem</w:t>
      </w:r>
      <w:proofErr w:type="spellEnd"/>
      <w:r w:rsidRPr="001A7DFA">
        <w:rPr>
          <w:rFonts w:ascii="Times New Roman" w:hAnsi="Times New Roman" w:cs="Times New Roman"/>
          <w:sz w:val="24"/>
          <w:szCs w:val="24"/>
        </w:rPr>
        <w:t xml:space="preserve"> 2019.gadā bija tieši M2M </w:t>
      </w:r>
      <w:r w:rsidRPr="001A7DFA">
        <w:rPr>
          <w:rFonts w:ascii="Times New Roman" w:hAnsi="Times New Roman" w:cs="Times New Roman"/>
          <w:sz w:val="24"/>
          <w:szCs w:val="24"/>
        </w:rPr>
        <w:lastRenderedPageBreak/>
        <w:t>(</w:t>
      </w:r>
      <w:proofErr w:type="spellStart"/>
      <w:r w:rsidRPr="001A7DFA">
        <w:rPr>
          <w:rFonts w:ascii="Times New Roman" w:hAnsi="Times New Roman" w:cs="Times New Roman"/>
          <w:sz w:val="24"/>
          <w:szCs w:val="24"/>
        </w:rPr>
        <w:t>Machine</w:t>
      </w:r>
      <w:proofErr w:type="spellEnd"/>
      <w:r w:rsidRPr="001A7DFA">
        <w:rPr>
          <w:rFonts w:ascii="Times New Roman" w:hAnsi="Times New Roman" w:cs="Times New Roman"/>
          <w:sz w:val="24"/>
          <w:szCs w:val="24"/>
        </w:rPr>
        <w:t>-to-</w:t>
      </w:r>
      <w:proofErr w:type="spellStart"/>
      <w:r w:rsidRPr="001A7DFA">
        <w:rPr>
          <w:rFonts w:ascii="Times New Roman" w:hAnsi="Times New Roman" w:cs="Times New Roman"/>
          <w:sz w:val="24"/>
          <w:szCs w:val="24"/>
        </w:rPr>
        <w:t>Machine</w:t>
      </w:r>
      <w:proofErr w:type="spellEnd"/>
      <w:r w:rsidRPr="001A7DFA">
        <w:rPr>
          <w:rFonts w:ascii="Times New Roman" w:hAnsi="Times New Roman" w:cs="Times New Roman"/>
          <w:sz w:val="24"/>
          <w:szCs w:val="24"/>
        </w:rPr>
        <w:t xml:space="preserve">) </w:t>
      </w:r>
      <w:proofErr w:type="spellStart"/>
      <w:r w:rsidRPr="001A7DFA">
        <w:rPr>
          <w:rFonts w:ascii="Times New Roman" w:hAnsi="Times New Roman" w:cs="Times New Roman"/>
          <w:sz w:val="24"/>
          <w:szCs w:val="24"/>
        </w:rPr>
        <w:t>pieslēgumi</w:t>
      </w:r>
      <w:proofErr w:type="spellEnd"/>
      <w:r w:rsidRPr="001A7DFA">
        <w:rPr>
          <w:rFonts w:ascii="Times New Roman" w:hAnsi="Times New Roman" w:cs="Times New Roman"/>
          <w:sz w:val="24"/>
          <w:szCs w:val="24"/>
        </w:rPr>
        <w:t xml:space="preserve">.  Šie piemēri raksturo pārmaiņu ātrumu, kas nozīmē, ka arī dažādām organizācijām ir jābūt spējīgām daudz ātrāk adaptīvi mainīties. Arī inteliģentā transporta risinājumi mainās ļoti strauji, izmantojot jaunākos tehnoloģiskos risinājumus (gan </w:t>
      </w:r>
      <w:proofErr w:type="spellStart"/>
      <w:r w:rsidRPr="001A7DFA">
        <w:rPr>
          <w:rFonts w:ascii="Times New Roman" w:hAnsi="Times New Roman" w:cs="Times New Roman"/>
          <w:sz w:val="24"/>
          <w:szCs w:val="24"/>
        </w:rPr>
        <w:t>IoT</w:t>
      </w:r>
      <w:proofErr w:type="spellEnd"/>
      <w:r w:rsidRPr="001A7DFA">
        <w:rPr>
          <w:rFonts w:ascii="Times New Roman" w:hAnsi="Times New Roman" w:cs="Times New Roman"/>
          <w:sz w:val="24"/>
          <w:szCs w:val="24"/>
        </w:rPr>
        <w:t xml:space="preserve">, mākslīgā intelekta un </w:t>
      </w:r>
      <w:proofErr w:type="spellStart"/>
      <w:r w:rsidRPr="001A7DFA">
        <w:rPr>
          <w:rFonts w:ascii="Times New Roman" w:hAnsi="Times New Roman" w:cs="Times New Roman"/>
          <w:sz w:val="24"/>
          <w:szCs w:val="24"/>
        </w:rPr>
        <w:t>blokķēžu</w:t>
      </w:r>
      <w:proofErr w:type="spellEnd"/>
      <w:r w:rsidRPr="001A7DFA">
        <w:rPr>
          <w:rFonts w:ascii="Times New Roman" w:hAnsi="Times New Roman" w:cs="Times New Roman"/>
          <w:sz w:val="24"/>
          <w:szCs w:val="24"/>
        </w:rPr>
        <w:t xml:space="preserve"> risinājums). Izmaiņas tradicionālajos risinājumos, tādi kā “Mobilitāte kā pakalpojums</w:t>
      </w:r>
      <w:r w:rsidR="00FB4716" w:rsidRPr="001A7DFA">
        <w:rPr>
          <w:rFonts w:ascii="Times New Roman" w:hAnsi="Times New Roman" w:cs="Times New Roman"/>
          <w:sz w:val="24"/>
          <w:szCs w:val="24"/>
        </w:rPr>
        <w:t>”</w:t>
      </w:r>
      <w:r w:rsidRPr="001A7DFA">
        <w:rPr>
          <w:rFonts w:ascii="Times New Roman" w:hAnsi="Times New Roman" w:cs="Times New Roman"/>
          <w:sz w:val="24"/>
          <w:szCs w:val="24"/>
        </w:rPr>
        <w:t xml:space="preserve"> (</w:t>
      </w:r>
      <w:proofErr w:type="spellStart"/>
      <w:r w:rsidRPr="001A7DFA">
        <w:rPr>
          <w:rFonts w:ascii="Times New Roman" w:hAnsi="Times New Roman" w:cs="Times New Roman"/>
          <w:sz w:val="24"/>
          <w:szCs w:val="24"/>
        </w:rPr>
        <w:t>Mobility</w:t>
      </w:r>
      <w:proofErr w:type="spellEnd"/>
      <w:r w:rsidRPr="001A7DFA">
        <w:rPr>
          <w:rFonts w:ascii="Times New Roman" w:hAnsi="Times New Roman" w:cs="Times New Roman"/>
          <w:sz w:val="24"/>
          <w:szCs w:val="24"/>
        </w:rPr>
        <w:t xml:space="preserve"> </w:t>
      </w:r>
      <w:proofErr w:type="spellStart"/>
      <w:r w:rsidRPr="001A7DFA">
        <w:rPr>
          <w:rFonts w:ascii="Times New Roman" w:hAnsi="Times New Roman" w:cs="Times New Roman"/>
          <w:sz w:val="24"/>
          <w:szCs w:val="24"/>
        </w:rPr>
        <w:t>as</w:t>
      </w:r>
      <w:proofErr w:type="spellEnd"/>
      <w:r w:rsidRPr="001A7DFA">
        <w:rPr>
          <w:rFonts w:ascii="Times New Roman" w:hAnsi="Times New Roman" w:cs="Times New Roman"/>
          <w:sz w:val="24"/>
          <w:szCs w:val="24"/>
        </w:rPr>
        <w:t xml:space="preserve"> a </w:t>
      </w:r>
      <w:proofErr w:type="spellStart"/>
      <w:r w:rsidRPr="001A7DFA">
        <w:rPr>
          <w:rFonts w:ascii="Times New Roman" w:hAnsi="Times New Roman" w:cs="Times New Roman"/>
          <w:sz w:val="24"/>
          <w:szCs w:val="24"/>
        </w:rPr>
        <w:t>Service</w:t>
      </w:r>
      <w:proofErr w:type="spellEnd"/>
      <w:r w:rsidRPr="001A7DFA">
        <w:rPr>
          <w:rFonts w:ascii="Times New Roman" w:hAnsi="Times New Roman" w:cs="Times New Roman"/>
          <w:sz w:val="24"/>
          <w:szCs w:val="24"/>
        </w:rPr>
        <w:t>) un “</w:t>
      </w:r>
      <w:r w:rsidR="00FB4716" w:rsidRPr="001A7DFA">
        <w:rPr>
          <w:rFonts w:ascii="Times New Roman" w:hAnsi="Times New Roman" w:cs="Times New Roman"/>
          <w:sz w:val="24"/>
          <w:szCs w:val="24"/>
        </w:rPr>
        <w:t>dalīšanās ekonomikas</w:t>
      </w:r>
      <w:r w:rsidRPr="001A7DFA">
        <w:rPr>
          <w:rFonts w:ascii="Times New Roman" w:hAnsi="Times New Roman" w:cs="Times New Roman"/>
          <w:sz w:val="24"/>
          <w:szCs w:val="24"/>
        </w:rPr>
        <w:t xml:space="preserve"> risinājumi” (</w:t>
      </w:r>
      <w:proofErr w:type="spellStart"/>
      <w:r w:rsidRPr="001A7DFA">
        <w:rPr>
          <w:rFonts w:ascii="Times New Roman" w:hAnsi="Times New Roman" w:cs="Times New Roman"/>
          <w:sz w:val="24"/>
          <w:szCs w:val="24"/>
        </w:rPr>
        <w:t>sharing</w:t>
      </w:r>
      <w:proofErr w:type="spellEnd"/>
      <w:r w:rsidRPr="001A7DFA">
        <w:rPr>
          <w:rFonts w:ascii="Times New Roman" w:hAnsi="Times New Roman" w:cs="Times New Roman"/>
          <w:sz w:val="24"/>
          <w:szCs w:val="24"/>
        </w:rPr>
        <w:t xml:space="preserve"> </w:t>
      </w:r>
      <w:proofErr w:type="spellStart"/>
      <w:r w:rsidRPr="001A7DFA">
        <w:rPr>
          <w:rFonts w:ascii="Times New Roman" w:hAnsi="Times New Roman" w:cs="Times New Roman"/>
          <w:sz w:val="24"/>
          <w:szCs w:val="24"/>
        </w:rPr>
        <w:t>economy</w:t>
      </w:r>
      <w:proofErr w:type="spellEnd"/>
      <w:r w:rsidRPr="001A7DFA">
        <w:rPr>
          <w:rFonts w:ascii="Times New Roman" w:hAnsi="Times New Roman" w:cs="Times New Roman"/>
          <w:sz w:val="24"/>
          <w:szCs w:val="24"/>
        </w:rPr>
        <w:t xml:space="preserve"> </w:t>
      </w:r>
      <w:proofErr w:type="spellStart"/>
      <w:r w:rsidRPr="001A7DFA">
        <w:rPr>
          <w:rFonts w:ascii="Times New Roman" w:hAnsi="Times New Roman" w:cs="Times New Roman"/>
          <w:sz w:val="24"/>
          <w:szCs w:val="24"/>
        </w:rPr>
        <w:t>models</w:t>
      </w:r>
      <w:proofErr w:type="spellEnd"/>
      <w:r w:rsidRPr="001A7DFA">
        <w:rPr>
          <w:rFonts w:ascii="Times New Roman" w:hAnsi="Times New Roman" w:cs="Times New Roman"/>
          <w:sz w:val="24"/>
          <w:szCs w:val="24"/>
        </w:rPr>
        <w:t xml:space="preserve">). Šīs ir pilnīgi jaunas pieejas kā cilvēki izmanto dažādus transporta risinājumus. Vienlaikus ir svarīgi valdībām atbildēt sev uz jautājumu par to </w:t>
      </w:r>
      <w:r w:rsidRPr="001A7DFA">
        <w:rPr>
          <w:rFonts w:ascii="Times New Roman" w:hAnsi="Times New Roman" w:cs="Times New Roman"/>
          <w:b/>
          <w:sz w:val="24"/>
          <w:szCs w:val="24"/>
        </w:rPr>
        <w:t>cik tālu politikas veidotājiem būtu jāiesaistās ar dažāda veida regulāciju šo platformu biznesa modeļos, jo šie ir būtiski datu turētāji</w:t>
      </w:r>
      <w:r w:rsidRPr="001A7DFA">
        <w:rPr>
          <w:rFonts w:ascii="Times New Roman" w:hAnsi="Times New Roman" w:cs="Times New Roman"/>
          <w:sz w:val="24"/>
          <w:szCs w:val="24"/>
        </w:rPr>
        <w:t>, kurus var izmantot dažādu citu mērķu sasniegšanai, lai uzlabotu arī citus pakalpojumus.</w:t>
      </w:r>
    </w:p>
    <w:p w14:paraId="2F5F0F94" w14:textId="20028F68" w:rsidR="00FB4716" w:rsidRPr="001A7DFA" w:rsidRDefault="00077655" w:rsidP="001A7DFA">
      <w:pPr>
        <w:spacing w:line="276" w:lineRule="auto"/>
        <w:jc w:val="both"/>
        <w:rPr>
          <w:rFonts w:ascii="Times New Roman" w:hAnsi="Times New Roman" w:cs="Times New Roman"/>
          <w:sz w:val="24"/>
          <w:szCs w:val="24"/>
        </w:rPr>
      </w:pPr>
      <w:r w:rsidRPr="001A7DFA">
        <w:rPr>
          <w:rFonts w:ascii="Times New Roman" w:hAnsi="Times New Roman" w:cs="Times New Roman"/>
          <w:b/>
          <w:sz w:val="24"/>
          <w:szCs w:val="24"/>
        </w:rPr>
        <w:t xml:space="preserve">Nemateriālie ieguldījumi, </w:t>
      </w:r>
      <w:r w:rsidRPr="001A7DFA">
        <w:rPr>
          <w:rFonts w:ascii="Times New Roman" w:hAnsi="Times New Roman" w:cs="Times New Roman"/>
          <w:sz w:val="24"/>
          <w:szCs w:val="24"/>
        </w:rPr>
        <w:t>ieskaitot datu, programmatūras (</w:t>
      </w:r>
      <w:proofErr w:type="spellStart"/>
      <w:r w:rsidRPr="001A7DFA">
        <w:rPr>
          <w:rFonts w:ascii="Times New Roman" w:hAnsi="Times New Roman" w:cs="Times New Roman"/>
          <w:sz w:val="24"/>
          <w:szCs w:val="24"/>
        </w:rPr>
        <w:t>software</w:t>
      </w:r>
      <w:proofErr w:type="spellEnd"/>
      <w:r w:rsidRPr="001A7DFA">
        <w:rPr>
          <w:rFonts w:ascii="Times New Roman" w:hAnsi="Times New Roman" w:cs="Times New Roman"/>
          <w:sz w:val="24"/>
          <w:szCs w:val="24"/>
        </w:rPr>
        <w:t>) un intelektuālajā īpašumā ir daudz būtiskāki ieguldījumi uzņēmumos konkurētspējas nodrošināšanai, salīdzinājumā ar materiālajiem ieguldījumiem. Šiem nemateriālajiem ieguldījumiem, salīdzinājumā ar materiālajiem, ir būtiski atšķirīga “daba”, piemēram, tos vieglāk ir mērogot (sasniedzot daudz lielāku potenciālo ekonomisko efektu) un panākt sinerģijas ar citiem ieguldījumiem un pat sadarbības partneriem platformu ietvaros.</w:t>
      </w:r>
    </w:p>
    <w:p w14:paraId="506A7C11" w14:textId="2026746A" w:rsidR="00FB4716" w:rsidRPr="001A7DFA" w:rsidRDefault="00077655" w:rsidP="001A7DFA">
      <w:pPr>
        <w:spacing w:line="276" w:lineRule="auto"/>
        <w:jc w:val="both"/>
        <w:rPr>
          <w:rFonts w:ascii="Times New Roman" w:hAnsi="Times New Roman" w:cs="Times New Roman"/>
          <w:sz w:val="24"/>
          <w:szCs w:val="24"/>
        </w:rPr>
      </w:pPr>
      <w:r w:rsidRPr="001A7DFA">
        <w:rPr>
          <w:rFonts w:ascii="Times New Roman" w:hAnsi="Times New Roman" w:cs="Times New Roman"/>
          <w:b/>
          <w:sz w:val="24"/>
          <w:szCs w:val="24"/>
        </w:rPr>
        <w:t xml:space="preserve">Pakalpojumi un citu ne-tehnoloģisko inovāciju ietekme uz industriju attīstību tikai un vienīgi pieaug. </w:t>
      </w:r>
      <w:r w:rsidRPr="001A7DFA">
        <w:rPr>
          <w:rFonts w:ascii="Times New Roman" w:hAnsi="Times New Roman" w:cs="Times New Roman"/>
          <w:sz w:val="24"/>
          <w:szCs w:val="24"/>
        </w:rPr>
        <w:t xml:space="preserve">Piemēram, lielie mašīnbūves spēlētāji kā </w:t>
      </w:r>
      <w:proofErr w:type="spellStart"/>
      <w:r w:rsidRPr="001A7DFA">
        <w:rPr>
          <w:rFonts w:ascii="Times New Roman" w:hAnsi="Times New Roman" w:cs="Times New Roman"/>
          <w:sz w:val="24"/>
          <w:szCs w:val="24"/>
        </w:rPr>
        <w:t>John</w:t>
      </w:r>
      <w:proofErr w:type="spellEnd"/>
      <w:r w:rsidRPr="001A7DFA">
        <w:rPr>
          <w:rFonts w:ascii="Times New Roman" w:hAnsi="Times New Roman" w:cs="Times New Roman"/>
          <w:sz w:val="24"/>
          <w:szCs w:val="24"/>
        </w:rPr>
        <w:t xml:space="preserve"> </w:t>
      </w:r>
      <w:proofErr w:type="spellStart"/>
      <w:r w:rsidRPr="001A7DFA">
        <w:rPr>
          <w:rFonts w:ascii="Times New Roman" w:hAnsi="Times New Roman" w:cs="Times New Roman"/>
          <w:sz w:val="24"/>
          <w:szCs w:val="24"/>
        </w:rPr>
        <w:t>Deer</w:t>
      </w:r>
      <w:proofErr w:type="spellEnd"/>
      <w:r w:rsidRPr="001A7DFA">
        <w:rPr>
          <w:rFonts w:ascii="Times New Roman" w:hAnsi="Times New Roman" w:cs="Times New Roman"/>
          <w:sz w:val="24"/>
          <w:szCs w:val="24"/>
        </w:rPr>
        <w:t xml:space="preserve"> investē datu analītikā, lai varētu piedāvāt saviem klientiem jaunus servisus, palīdzot saviem klientiem optimizēt graudaugu ražību.</w:t>
      </w:r>
      <w:r w:rsidRPr="001A7DFA">
        <w:rPr>
          <w:rFonts w:ascii="Times New Roman" w:hAnsi="Times New Roman" w:cs="Times New Roman"/>
          <w:b/>
          <w:sz w:val="24"/>
          <w:szCs w:val="24"/>
        </w:rPr>
        <w:t xml:space="preserve"> </w:t>
      </w:r>
      <w:r w:rsidRPr="001A7DFA">
        <w:rPr>
          <w:rFonts w:ascii="Times New Roman" w:hAnsi="Times New Roman" w:cs="Times New Roman"/>
          <w:sz w:val="24"/>
          <w:szCs w:val="24"/>
        </w:rPr>
        <w:t>Līdzīgas tendences notiek arī autobūves industrijā, fokusu vēršot uz servisu spektru palielināšanu klientam. Digitālās inovācij</w:t>
      </w:r>
      <w:r w:rsidR="00FB4716" w:rsidRPr="001A7DFA">
        <w:rPr>
          <w:rFonts w:ascii="Times New Roman" w:hAnsi="Times New Roman" w:cs="Times New Roman"/>
          <w:sz w:val="24"/>
          <w:szCs w:val="24"/>
        </w:rPr>
        <w:t>a</w:t>
      </w:r>
      <w:r w:rsidRPr="001A7DFA">
        <w:rPr>
          <w:rFonts w:ascii="Times New Roman" w:hAnsi="Times New Roman" w:cs="Times New Roman"/>
          <w:sz w:val="24"/>
          <w:szCs w:val="24"/>
        </w:rPr>
        <w:t>s maina gan tirgus struktūru gan arī dinamiku. Vienlaikus pieaug “platformu” loma  - internetā bāzētām struktūrām, kas var nodrošināt sadarbi ar dažādām iesaistītajām pusēm – piekļuvi zināšanām (patentiem vai publikāciju datu bāzēm), pētniecības iestādēm – tām zināšanām/datiem, ko tās ģenerē (augstas veiktspējas datu apstrādes centri, Pētniecības un attīstības infrastruktūras pieejamība) un caur to tiek nodrošināta ražotāju un patērētāju “virtuālā komunikācija” saistībā ar uzlabojumiem, kas nepieciešami konkrētam produktam/pakalpojumam. Vienlaikus šīm platformām ir arī efektivitāti veicinoša iezīme – tiek radīti noteikti “zināšanu/datu” standarti, kas stimulē inovāciju. Digitālās platformas arī var pozitīvi ietekmēt jaunu tirgus spēlētāju rašanos, neatkarīgi no ģeogrāfiskās atrašanās vietas un par salīdzinoši zemām izmaksām dēļ atvērtās datu pieejamības, tādējādi radot salīdzinoši vienlīdzīgus apstākļus biznesu radīšanai (ja nav citas barjeras), bet tajā pašā laikā lielajām kompānijām tas rada salīdzinošu priekšrocību konkurences cīņā dēļ viņu analītiskās spējas šos</w:t>
      </w:r>
      <w:r w:rsidRPr="001A7DFA">
        <w:rPr>
          <w:rFonts w:ascii="Times New Roman" w:hAnsi="Times New Roman" w:cs="Times New Roman"/>
          <w:i/>
          <w:sz w:val="24"/>
          <w:szCs w:val="24"/>
        </w:rPr>
        <w:t xml:space="preserve"> </w:t>
      </w:r>
      <w:proofErr w:type="spellStart"/>
      <w:r w:rsidRPr="001A7DFA">
        <w:rPr>
          <w:rFonts w:ascii="Times New Roman" w:hAnsi="Times New Roman" w:cs="Times New Roman"/>
          <w:i/>
          <w:sz w:val="24"/>
          <w:szCs w:val="24"/>
        </w:rPr>
        <w:t>input</w:t>
      </w:r>
      <w:proofErr w:type="spellEnd"/>
      <w:r w:rsidRPr="001A7DFA">
        <w:rPr>
          <w:rFonts w:ascii="Times New Roman" w:hAnsi="Times New Roman" w:cs="Times New Roman"/>
          <w:sz w:val="24"/>
          <w:szCs w:val="24"/>
        </w:rPr>
        <w:t xml:space="preserve"> datus apstrādāt un potenciāli radīt jaunus, pieprasītus risinājumu. Kompānija Ford 2017.gadā paziņoja par 1 miljarda investīciju </w:t>
      </w:r>
      <w:r w:rsidRPr="001A7DFA">
        <w:rPr>
          <w:rFonts w:ascii="Times New Roman" w:hAnsi="Times New Roman" w:cs="Times New Roman"/>
          <w:i/>
          <w:sz w:val="24"/>
          <w:szCs w:val="24"/>
        </w:rPr>
        <w:t>Agro AI</w:t>
      </w:r>
      <w:r w:rsidRPr="001A7DFA">
        <w:rPr>
          <w:rFonts w:ascii="Times New Roman" w:hAnsi="Times New Roman" w:cs="Times New Roman"/>
          <w:sz w:val="24"/>
          <w:szCs w:val="24"/>
        </w:rPr>
        <w:t xml:space="preserve">, tehnoloģiju </w:t>
      </w:r>
      <w:proofErr w:type="spellStart"/>
      <w:r w:rsidRPr="001A7DFA">
        <w:rPr>
          <w:rFonts w:ascii="Times New Roman" w:hAnsi="Times New Roman" w:cs="Times New Roman"/>
          <w:sz w:val="24"/>
          <w:szCs w:val="24"/>
        </w:rPr>
        <w:t>jaunuzņ</w:t>
      </w:r>
      <w:r w:rsidR="00FB4716" w:rsidRPr="001A7DFA">
        <w:rPr>
          <w:rFonts w:ascii="Times New Roman" w:hAnsi="Times New Roman" w:cs="Times New Roman"/>
          <w:sz w:val="24"/>
          <w:szCs w:val="24"/>
        </w:rPr>
        <w:t>ē</w:t>
      </w:r>
      <w:r w:rsidRPr="001A7DFA">
        <w:rPr>
          <w:rFonts w:ascii="Times New Roman" w:hAnsi="Times New Roman" w:cs="Times New Roman"/>
          <w:sz w:val="24"/>
          <w:szCs w:val="24"/>
        </w:rPr>
        <w:t>mumā</w:t>
      </w:r>
      <w:proofErr w:type="spellEnd"/>
      <w:r w:rsidRPr="001A7DFA">
        <w:rPr>
          <w:rFonts w:ascii="Times New Roman" w:hAnsi="Times New Roman" w:cs="Times New Roman"/>
          <w:sz w:val="24"/>
          <w:szCs w:val="24"/>
        </w:rPr>
        <w:t>, kura kompetences ir tieši saistītas ar robotikas un mākslīgā intelekta risinājumiem, skaidri norādot, ka šīs kompetences Ford kompānija vēlas iegūt caur atvērtu inovācijas sadarbību (</w:t>
      </w:r>
      <w:proofErr w:type="spellStart"/>
      <w:r w:rsidRPr="001A7DFA">
        <w:rPr>
          <w:rFonts w:ascii="Times New Roman" w:hAnsi="Times New Roman" w:cs="Times New Roman"/>
          <w:sz w:val="24"/>
          <w:szCs w:val="24"/>
        </w:rPr>
        <w:t>open</w:t>
      </w:r>
      <w:proofErr w:type="spellEnd"/>
      <w:r w:rsidRPr="001A7DFA">
        <w:rPr>
          <w:rFonts w:ascii="Times New Roman" w:hAnsi="Times New Roman" w:cs="Times New Roman"/>
          <w:sz w:val="24"/>
          <w:szCs w:val="24"/>
        </w:rPr>
        <w:t xml:space="preserve"> </w:t>
      </w:r>
      <w:proofErr w:type="spellStart"/>
      <w:r w:rsidRPr="001A7DFA">
        <w:rPr>
          <w:rFonts w:ascii="Times New Roman" w:hAnsi="Times New Roman" w:cs="Times New Roman"/>
          <w:sz w:val="24"/>
          <w:szCs w:val="24"/>
        </w:rPr>
        <w:t>innovation</w:t>
      </w:r>
      <w:proofErr w:type="spellEnd"/>
      <w:r w:rsidRPr="001A7DFA">
        <w:rPr>
          <w:rFonts w:ascii="Times New Roman" w:hAnsi="Times New Roman" w:cs="Times New Roman"/>
          <w:sz w:val="24"/>
          <w:szCs w:val="24"/>
        </w:rPr>
        <w:t xml:space="preserve"> </w:t>
      </w:r>
      <w:proofErr w:type="spellStart"/>
      <w:r w:rsidRPr="001A7DFA">
        <w:rPr>
          <w:rFonts w:ascii="Times New Roman" w:hAnsi="Times New Roman" w:cs="Times New Roman"/>
          <w:sz w:val="24"/>
          <w:szCs w:val="24"/>
        </w:rPr>
        <w:t>among</w:t>
      </w:r>
      <w:proofErr w:type="spellEnd"/>
      <w:r w:rsidRPr="001A7DFA">
        <w:rPr>
          <w:rFonts w:ascii="Times New Roman" w:hAnsi="Times New Roman" w:cs="Times New Roman"/>
          <w:sz w:val="24"/>
          <w:szCs w:val="24"/>
        </w:rPr>
        <w:t xml:space="preserve"> </w:t>
      </w:r>
      <w:proofErr w:type="spellStart"/>
      <w:r w:rsidRPr="001A7DFA">
        <w:rPr>
          <w:rFonts w:ascii="Times New Roman" w:hAnsi="Times New Roman" w:cs="Times New Roman"/>
          <w:sz w:val="24"/>
          <w:szCs w:val="24"/>
        </w:rPr>
        <w:t>actors</w:t>
      </w:r>
      <w:proofErr w:type="spellEnd"/>
      <w:r w:rsidRPr="001A7DFA">
        <w:rPr>
          <w:rFonts w:ascii="Times New Roman" w:hAnsi="Times New Roman" w:cs="Times New Roman"/>
          <w:sz w:val="24"/>
          <w:szCs w:val="24"/>
        </w:rPr>
        <w:t>).</w:t>
      </w:r>
    </w:p>
    <w:p w14:paraId="584663CE" w14:textId="28BC0722" w:rsidR="00077655" w:rsidRPr="001A7DFA" w:rsidRDefault="00077655" w:rsidP="001A7DFA">
      <w:pPr>
        <w:spacing w:line="276" w:lineRule="auto"/>
        <w:jc w:val="both"/>
        <w:rPr>
          <w:rFonts w:ascii="Times New Roman" w:hAnsi="Times New Roman" w:cs="Times New Roman"/>
          <w:sz w:val="24"/>
          <w:szCs w:val="24"/>
        </w:rPr>
      </w:pPr>
      <w:r w:rsidRPr="001A7DFA">
        <w:rPr>
          <w:rFonts w:ascii="Times New Roman" w:hAnsi="Times New Roman" w:cs="Times New Roman"/>
          <w:b/>
          <w:sz w:val="24"/>
          <w:szCs w:val="24"/>
        </w:rPr>
        <w:t>Jaunās ekonomikas apstākļos, izdzīvošana pieprasa biznesa modeļu maiņu</w:t>
      </w:r>
      <w:r w:rsidRPr="001A7DFA">
        <w:rPr>
          <w:rFonts w:ascii="Times New Roman" w:hAnsi="Times New Roman" w:cs="Times New Roman"/>
          <w:sz w:val="24"/>
          <w:szCs w:val="24"/>
        </w:rPr>
        <w:t>. Šis ir izaicinājums gan lieliem globāliem, gan maziem lokāliem biznesiem, jo ierastie biznesa modeļi vairs nesniedz plānotos rezultātus. Tā kontekstā politikas veidotājiem būtu jāizstrādā atbalsta instrumenti specifiski mazajiem, vidējiem uzņēmumiem ne tikai finansējuma un zināšanu pieejamībai, bet arī:</w:t>
      </w:r>
    </w:p>
    <w:p w14:paraId="1F6FB812" w14:textId="0CD44E65" w:rsidR="00077655" w:rsidRPr="001C3611" w:rsidRDefault="00077655" w:rsidP="001A7DFA">
      <w:pPr>
        <w:pStyle w:val="ListParagraph"/>
        <w:numPr>
          <w:ilvl w:val="0"/>
          <w:numId w:val="19"/>
        </w:numPr>
        <w:spacing w:line="276" w:lineRule="auto"/>
        <w:jc w:val="both"/>
        <w:rPr>
          <w:rFonts w:ascii="Times New Roman" w:hAnsi="Times New Roman" w:cs="Times New Roman"/>
          <w:sz w:val="24"/>
          <w:szCs w:val="24"/>
        </w:rPr>
      </w:pPr>
      <w:r w:rsidRPr="001C3611">
        <w:rPr>
          <w:rFonts w:ascii="Times New Roman" w:hAnsi="Times New Roman" w:cs="Times New Roman"/>
          <w:sz w:val="24"/>
          <w:szCs w:val="24"/>
        </w:rPr>
        <w:lastRenderedPageBreak/>
        <w:t>Mērķētus atbalsta pasākumus zināšanu paaugstināšanai jaunu biznesa modeļu identificēšanai un ieviešanai kompānij</w:t>
      </w:r>
      <w:r w:rsidR="00FB4716" w:rsidRPr="001C3611">
        <w:rPr>
          <w:rFonts w:ascii="Times New Roman" w:hAnsi="Times New Roman" w:cs="Times New Roman"/>
          <w:sz w:val="24"/>
          <w:szCs w:val="24"/>
        </w:rPr>
        <w:t>ās</w:t>
      </w:r>
    </w:p>
    <w:p w14:paraId="1BF5430A" w14:textId="77777777" w:rsidR="00077655" w:rsidRPr="001C3611" w:rsidRDefault="00077655" w:rsidP="001A7DFA">
      <w:pPr>
        <w:pStyle w:val="ListParagraph"/>
        <w:numPr>
          <w:ilvl w:val="1"/>
          <w:numId w:val="4"/>
        </w:numPr>
        <w:spacing w:line="276" w:lineRule="auto"/>
        <w:jc w:val="both"/>
        <w:rPr>
          <w:rFonts w:ascii="Times New Roman" w:hAnsi="Times New Roman" w:cs="Times New Roman"/>
          <w:sz w:val="24"/>
          <w:szCs w:val="24"/>
        </w:rPr>
      </w:pPr>
      <w:r w:rsidRPr="001C3611">
        <w:rPr>
          <w:rFonts w:ascii="Times New Roman" w:hAnsi="Times New Roman" w:cs="Times New Roman"/>
          <w:sz w:val="24"/>
          <w:szCs w:val="24"/>
        </w:rPr>
        <w:t>Atbalsta nodrošināšana zināšanu “starpniekiem”, kuri var nodrošināt nepieciešamo kompetenču pārnesi (lai uzņēmumi veiksmīgāk aprobētu jaunās tehnoloģijas un ieviestu jaunus inovatīvus biznesa modeļus)</w:t>
      </w:r>
    </w:p>
    <w:p w14:paraId="2B198876" w14:textId="77777777" w:rsidR="00077655" w:rsidRPr="001C3611" w:rsidRDefault="00077655" w:rsidP="001A7DFA">
      <w:pPr>
        <w:pStyle w:val="ListParagraph"/>
        <w:numPr>
          <w:ilvl w:val="1"/>
          <w:numId w:val="4"/>
        </w:numPr>
        <w:spacing w:line="276" w:lineRule="auto"/>
        <w:jc w:val="both"/>
        <w:rPr>
          <w:rFonts w:ascii="Times New Roman" w:hAnsi="Times New Roman" w:cs="Times New Roman"/>
          <w:sz w:val="24"/>
          <w:szCs w:val="24"/>
        </w:rPr>
      </w:pPr>
      <w:r w:rsidRPr="001C3611">
        <w:rPr>
          <w:rFonts w:ascii="Times New Roman" w:hAnsi="Times New Roman" w:cs="Times New Roman"/>
          <w:sz w:val="24"/>
          <w:szCs w:val="24"/>
        </w:rPr>
        <w:t>Datu pieejamības veicināšana</w:t>
      </w:r>
    </w:p>
    <w:p w14:paraId="0D94E8B1" w14:textId="760DC983" w:rsidR="00077655" w:rsidRPr="001C3611" w:rsidRDefault="00077655" w:rsidP="001A7DFA">
      <w:pPr>
        <w:pStyle w:val="ListParagraph"/>
        <w:numPr>
          <w:ilvl w:val="1"/>
          <w:numId w:val="4"/>
        </w:numPr>
        <w:spacing w:line="276" w:lineRule="auto"/>
        <w:jc w:val="both"/>
        <w:rPr>
          <w:rFonts w:ascii="Times New Roman" w:hAnsi="Times New Roman" w:cs="Times New Roman"/>
          <w:sz w:val="24"/>
          <w:szCs w:val="24"/>
        </w:rPr>
      </w:pPr>
      <w:r w:rsidRPr="001C3611">
        <w:rPr>
          <w:rFonts w:ascii="Times New Roman" w:hAnsi="Times New Roman" w:cs="Times New Roman"/>
          <w:sz w:val="24"/>
          <w:szCs w:val="24"/>
        </w:rPr>
        <w:t>Konkurences politikas pasākumu izstrāde, kas veido vienlīdzīgus spēles noteikumus visiem tirgus dalībniekiem (gan maziem/vidējiem gan starptautiskām korporācijām)</w:t>
      </w:r>
      <w:r w:rsidR="001A7DFA">
        <w:rPr>
          <w:rFonts w:ascii="Times New Roman" w:hAnsi="Times New Roman" w:cs="Times New Roman"/>
          <w:sz w:val="24"/>
          <w:szCs w:val="24"/>
        </w:rPr>
        <w:t>.</w:t>
      </w:r>
    </w:p>
    <w:p w14:paraId="24AF8F44" w14:textId="77777777" w:rsidR="00077655" w:rsidRPr="001A7DFA" w:rsidRDefault="00077655" w:rsidP="00077655">
      <w:pPr>
        <w:rPr>
          <w:rFonts w:ascii="Times New Roman" w:hAnsi="Times New Roman" w:cs="Times New Roman"/>
          <w:b/>
          <w:i/>
          <w:sz w:val="28"/>
          <w:szCs w:val="28"/>
        </w:rPr>
      </w:pPr>
      <w:r w:rsidRPr="001A7DFA">
        <w:rPr>
          <w:rFonts w:ascii="Times New Roman" w:hAnsi="Times New Roman" w:cs="Times New Roman"/>
          <w:b/>
          <w:i/>
          <w:sz w:val="28"/>
          <w:szCs w:val="28"/>
        </w:rPr>
        <w:t xml:space="preserve">Digitālās inovācijas pārsvarā tiek radītas un vadītas no </w:t>
      </w:r>
      <w:proofErr w:type="spellStart"/>
      <w:r w:rsidRPr="001A7DFA">
        <w:rPr>
          <w:rFonts w:ascii="Times New Roman" w:hAnsi="Times New Roman" w:cs="Times New Roman"/>
          <w:b/>
          <w:i/>
          <w:sz w:val="28"/>
          <w:szCs w:val="28"/>
        </w:rPr>
        <w:t>jaunuzņēmumiem</w:t>
      </w:r>
      <w:proofErr w:type="spellEnd"/>
      <w:r w:rsidRPr="001A7DFA">
        <w:rPr>
          <w:rFonts w:ascii="Times New Roman" w:hAnsi="Times New Roman" w:cs="Times New Roman"/>
          <w:b/>
          <w:i/>
          <w:sz w:val="28"/>
          <w:szCs w:val="28"/>
        </w:rPr>
        <w:t xml:space="preserve"> vai lielajām kompānijām</w:t>
      </w:r>
    </w:p>
    <w:p w14:paraId="766CD170" w14:textId="53A282B1" w:rsidR="00077655" w:rsidRDefault="00077655" w:rsidP="001A7DFA">
      <w:pPr>
        <w:spacing w:line="276" w:lineRule="auto"/>
        <w:jc w:val="both"/>
        <w:rPr>
          <w:rFonts w:ascii="Times New Roman" w:hAnsi="Times New Roman" w:cs="Times New Roman"/>
          <w:sz w:val="24"/>
          <w:szCs w:val="24"/>
        </w:rPr>
      </w:pPr>
      <w:r w:rsidRPr="001C3611">
        <w:rPr>
          <w:rFonts w:ascii="Times New Roman" w:hAnsi="Times New Roman" w:cs="Times New Roman"/>
          <w:sz w:val="24"/>
          <w:szCs w:val="24"/>
        </w:rPr>
        <w:t xml:space="preserve">Digitālo inovāciju daba ir atbalstoša </w:t>
      </w:r>
      <w:proofErr w:type="spellStart"/>
      <w:r w:rsidRPr="001C3611">
        <w:rPr>
          <w:rFonts w:ascii="Times New Roman" w:hAnsi="Times New Roman" w:cs="Times New Roman"/>
          <w:sz w:val="24"/>
          <w:szCs w:val="24"/>
        </w:rPr>
        <w:t>jaunuzņēmumu</w:t>
      </w:r>
      <w:proofErr w:type="spellEnd"/>
      <w:r w:rsidRPr="001C3611">
        <w:rPr>
          <w:rFonts w:ascii="Times New Roman" w:hAnsi="Times New Roman" w:cs="Times New Roman"/>
          <w:sz w:val="24"/>
          <w:szCs w:val="24"/>
        </w:rPr>
        <w:t xml:space="preserve"> ienākšanai tirgū, vienlaikus arī lielajām kompānijām ir priekšrocības  pret konkurentiem (piemēram, tiem ir priviliģēta pieeja lielajiem datiem, sadarbības tīkliem, platformām un resursiem investēšanai tehnoloģiju attīstībai). Lielās kompānijas investējot mākslīgā intelekta risinājumos, palielina savas priekšrocības un paplašina plaisu starp saviem konkurentiem tirgū. Protams, ne visiem </w:t>
      </w:r>
      <w:proofErr w:type="spellStart"/>
      <w:r w:rsidRPr="001C3611">
        <w:rPr>
          <w:rFonts w:ascii="Times New Roman" w:hAnsi="Times New Roman" w:cs="Times New Roman"/>
          <w:sz w:val="24"/>
          <w:szCs w:val="24"/>
        </w:rPr>
        <w:t>jaunuzņēmumiem</w:t>
      </w:r>
      <w:proofErr w:type="spellEnd"/>
      <w:r w:rsidRPr="001C3611">
        <w:rPr>
          <w:rFonts w:ascii="Times New Roman" w:hAnsi="Times New Roman" w:cs="Times New Roman"/>
          <w:sz w:val="24"/>
          <w:szCs w:val="24"/>
        </w:rPr>
        <w:t xml:space="preserve"> ir pieejamās kompetences un resursi, lai strauji attīstītu produktu tirgū un šeit izšķiroši svarīgi ir izveidot efektīvu sadarbības modeli ar lielajām nacionālajām un </w:t>
      </w:r>
      <w:proofErr w:type="spellStart"/>
      <w:r w:rsidR="00FB4716" w:rsidRPr="001C3611">
        <w:rPr>
          <w:rFonts w:ascii="Times New Roman" w:hAnsi="Times New Roman" w:cs="Times New Roman"/>
          <w:sz w:val="24"/>
          <w:szCs w:val="24"/>
        </w:rPr>
        <w:t>multinacionālajām</w:t>
      </w:r>
      <w:proofErr w:type="spellEnd"/>
      <w:r w:rsidRPr="001C3611">
        <w:rPr>
          <w:rFonts w:ascii="Times New Roman" w:hAnsi="Times New Roman" w:cs="Times New Roman"/>
          <w:sz w:val="24"/>
          <w:szCs w:val="24"/>
        </w:rPr>
        <w:t xml:space="preserve"> kompānijām. Pieaugoši globalizētie tirgi inovāciju attīstībai un paradigma “uzvarētājs savāc visu” (</w:t>
      </w:r>
      <w:proofErr w:type="spellStart"/>
      <w:r w:rsidRPr="001C3611">
        <w:rPr>
          <w:rFonts w:ascii="Times New Roman" w:hAnsi="Times New Roman" w:cs="Times New Roman"/>
          <w:sz w:val="24"/>
          <w:szCs w:val="24"/>
        </w:rPr>
        <w:t>winner-take-all</w:t>
      </w:r>
      <w:proofErr w:type="spellEnd"/>
      <w:r w:rsidRPr="001C3611">
        <w:rPr>
          <w:rFonts w:ascii="Times New Roman" w:hAnsi="Times New Roman" w:cs="Times New Roman"/>
          <w:sz w:val="24"/>
          <w:szCs w:val="24"/>
        </w:rPr>
        <w:t xml:space="preserve">) raksturo daudzus no šādiem </w:t>
      </w:r>
      <w:proofErr w:type="spellStart"/>
      <w:r w:rsidRPr="001C3611">
        <w:rPr>
          <w:rFonts w:ascii="Times New Roman" w:hAnsi="Times New Roman" w:cs="Times New Roman"/>
          <w:sz w:val="24"/>
          <w:szCs w:val="24"/>
        </w:rPr>
        <w:t>jaunuzņēmumiem</w:t>
      </w:r>
      <w:proofErr w:type="spellEnd"/>
      <w:r w:rsidRPr="001C3611">
        <w:rPr>
          <w:rFonts w:ascii="Times New Roman" w:hAnsi="Times New Roman" w:cs="Times New Roman"/>
          <w:sz w:val="24"/>
          <w:szCs w:val="24"/>
        </w:rPr>
        <w:t>, vienlaikus, tādējādi palielinot atšķirības starp “labākajiem” (</w:t>
      </w:r>
      <w:proofErr w:type="spellStart"/>
      <w:r w:rsidRPr="001C3611">
        <w:rPr>
          <w:rFonts w:ascii="Times New Roman" w:hAnsi="Times New Roman" w:cs="Times New Roman"/>
          <w:sz w:val="24"/>
          <w:szCs w:val="24"/>
        </w:rPr>
        <w:t>the</w:t>
      </w:r>
      <w:proofErr w:type="spellEnd"/>
      <w:r w:rsidRPr="001C3611">
        <w:rPr>
          <w:rFonts w:ascii="Times New Roman" w:hAnsi="Times New Roman" w:cs="Times New Roman"/>
          <w:sz w:val="24"/>
          <w:szCs w:val="24"/>
        </w:rPr>
        <w:t xml:space="preserve"> </w:t>
      </w:r>
      <w:proofErr w:type="spellStart"/>
      <w:r w:rsidRPr="001C3611">
        <w:rPr>
          <w:rFonts w:ascii="Times New Roman" w:hAnsi="Times New Roman" w:cs="Times New Roman"/>
          <w:sz w:val="24"/>
          <w:szCs w:val="24"/>
        </w:rPr>
        <w:t>best</w:t>
      </w:r>
      <w:proofErr w:type="spellEnd"/>
      <w:r w:rsidRPr="001C3611">
        <w:rPr>
          <w:rFonts w:ascii="Times New Roman" w:hAnsi="Times New Roman" w:cs="Times New Roman"/>
          <w:sz w:val="24"/>
          <w:szCs w:val="24"/>
        </w:rPr>
        <w:t>) un “pārējiem” (</w:t>
      </w:r>
      <w:proofErr w:type="spellStart"/>
      <w:r w:rsidRPr="001C3611">
        <w:rPr>
          <w:rFonts w:ascii="Times New Roman" w:hAnsi="Times New Roman" w:cs="Times New Roman"/>
          <w:sz w:val="24"/>
          <w:szCs w:val="24"/>
        </w:rPr>
        <w:t>the</w:t>
      </w:r>
      <w:proofErr w:type="spellEnd"/>
      <w:r w:rsidRPr="001C3611">
        <w:rPr>
          <w:rFonts w:ascii="Times New Roman" w:hAnsi="Times New Roman" w:cs="Times New Roman"/>
          <w:sz w:val="24"/>
          <w:szCs w:val="24"/>
        </w:rPr>
        <w:t xml:space="preserve"> </w:t>
      </w:r>
      <w:proofErr w:type="spellStart"/>
      <w:r w:rsidRPr="001C3611">
        <w:rPr>
          <w:rFonts w:ascii="Times New Roman" w:hAnsi="Times New Roman" w:cs="Times New Roman"/>
          <w:sz w:val="24"/>
          <w:szCs w:val="24"/>
        </w:rPr>
        <w:t>rest</w:t>
      </w:r>
      <w:proofErr w:type="spellEnd"/>
      <w:r w:rsidRPr="001C3611">
        <w:rPr>
          <w:rFonts w:ascii="Times New Roman" w:hAnsi="Times New Roman" w:cs="Times New Roman"/>
          <w:sz w:val="24"/>
          <w:szCs w:val="24"/>
        </w:rPr>
        <w:t xml:space="preserve">), jo izcila ideja var būt mērogojama globālajā produktu tirgū. Tai pašā laikā caur digitālajām platformām var notikt būtiska tirgus koncentrācija – šim platformām, kombinējot liela apjoma datu masīvus, sniedzot dažāda veida pakalpojumus tirgū, tie var robežoties arī ar monopola pazīmēm. Pie tirgus koncentrācijas var novest tieši nepieciešamo prasmju trūkums šo datu pielietošanai komersantu vidū kā arī veicināt talantu (vienlaikus inovāciju) koncentrāciju  ap šīm digitālajām platformām, radot potenciālu teritoriālu </w:t>
      </w:r>
      <w:proofErr w:type="spellStart"/>
      <w:r w:rsidRPr="001C3611">
        <w:rPr>
          <w:rFonts w:ascii="Times New Roman" w:hAnsi="Times New Roman" w:cs="Times New Roman"/>
          <w:sz w:val="24"/>
          <w:szCs w:val="24"/>
        </w:rPr>
        <w:t>disbalancu</w:t>
      </w:r>
      <w:proofErr w:type="spellEnd"/>
      <w:r w:rsidRPr="001C3611">
        <w:rPr>
          <w:rFonts w:ascii="Times New Roman" w:hAnsi="Times New Roman" w:cs="Times New Roman"/>
          <w:sz w:val="24"/>
          <w:szCs w:val="24"/>
        </w:rPr>
        <w:t>.</w:t>
      </w:r>
    </w:p>
    <w:p w14:paraId="1C7CA276" w14:textId="77777777" w:rsidR="001A7DFA" w:rsidRPr="001C3611" w:rsidRDefault="001A7DFA" w:rsidP="001A7DFA">
      <w:pPr>
        <w:spacing w:line="276" w:lineRule="auto"/>
        <w:jc w:val="both"/>
        <w:rPr>
          <w:rFonts w:ascii="Times New Roman" w:hAnsi="Times New Roman" w:cs="Times New Roman"/>
          <w:sz w:val="24"/>
          <w:szCs w:val="24"/>
        </w:rPr>
      </w:pPr>
    </w:p>
    <w:p w14:paraId="47ABA10F" w14:textId="77777777" w:rsidR="00077655" w:rsidRPr="001A7DFA" w:rsidRDefault="00077655" w:rsidP="00077655">
      <w:pPr>
        <w:jc w:val="both"/>
        <w:rPr>
          <w:rFonts w:ascii="Times New Roman" w:hAnsi="Times New Roman" w:cs="Times New Roman"/>
          <w:b/>
          <w:sz w:val="28"/>
          <w:szCs w:val="28"/>
        </w:rPr>
      </w:pPr>
      <w:r w:rsidRPr="001A7DFA">
        <w:rPr>
          <w:rFonts w:ascii="Times New Roman" w:hAnsi="Times New Roman" w:cs="Times New Roman"/>
          <w:b/>
          <w:sz w:val="28"/>
          <w:szCs w:val="28"/>
        </w:rPr>
        <w:t>Digitālās transformācijas laikmeta izaicinājumus kompānijām, kuras strādā tradicionālajās nozarēs, var palīdzēt risināt politikas veidotāji.</w:t>
      </w:r>
    </w:p>
    <w:p w14:paraId="24C6649F" w14:textId="4301DE18" w:rsidR="00077655" w:rsidRPr="001C3611" w:rsidRDefault="00077655" w:rsidP="001A7DFA">
      <w:pPr>
        <w:spacing w:line="276" w:lineRule="auto"/>
        <w:jc w:val="both"/>
        <w:rPr>
          <w:rFonts w:ascii="Times New Roman" w:hAnsi="Times New Roman" w:cs="Times New Roman"/>
          <w:sz w:val="24"/>
          <w:szCs w:val="24"/>
        </w:rPr>
      </w:pPr>
      <w:r w:rsidRPr="001C3611">
        <w:rPr>
          <w:rFonts w:ascii="Times New Roman" w:hAnsi="Times New Roman" w:cs="Times New Roman"/>
          <w:sz w:val="24"/>
          <w:szCs w:val="24"/>
        </w:rPr>
        <w:t>Nepietiekamas kompetences un neatbilstošs politikas ietvars attur daudzas kompānijas no visaptverošas digitālās transformācijas labumu apgūšanas. Pārsvarā kompānij</w:t>
      </w:r>
      <w:r w:rsidR="003108F1" w:rsidRPr="001C3611">
        <w:rPr>
          <w:rFonts w:ascii="Times New Roman" w:hAnsi="Times New Roman" w:cs="Times New Roman"/>
          <w:sz w:val="24"/>
          <w:szCs w:val="24"/>
        </w:rPr>
        <w:t>ām</w:t>
      </w:r>
      <w:r w:rsidRPr="001C3611">
        <w:rPr>
          <w:rFonts w:ascii="Times New Roman" w:hAnsi="Times New Roman" w:cs="Times New Roman"/>
          <w:sz w:val="24"/>
          <w:szCs w:val="24"/>
        </w:rPr>
        <w:t xml:space="preserve"> nav pietiekoša kapacitāte, lai attīstītu nepieciešamās prasmes iekšēji uzņēmumā. Daudzkārt pat šīs </w:t>
      </w:r>
      <w:proofErr w:type="spellStart"/>
      <w:r w:rsidRPr="001C3611">
        <w:rPr>
          <w:rFonts w:ascii="Times New Roman" w:hAnsi="Times New Roman" w:cs="Times New Roman"/>
          <w:sz w:val="24"/>
          <w:szCs w:val="24"/>
        </w:rPr>
        <w:t>kopmānijas</w:t>
      </w:r>
      <w:proofErr w:type="spellEnd"/>
      <w:r w:rsidRPr="001C3611">
        <w:rPr>
          <w:rFonts w:ascii="Times New Roman" w:hAnsi="Times New Roman" w:cs="Times New Roman"/>
          <w:sz w:val="24"/>
          <w:szCs w:val="24"/>
        </w:rPr>
        <w:t xml:space="preserve"> neapzinās tās iespējas, ko digitālā transformācija paver un piedāvā viņu biznesam. Zināšanu “starpnieki” (</w:t>
      </w:r>
      <w:proofErr w:type="spellStart"/>
      <w:r w:rsidRPr="001C3611">
        <w:rPr>
          <w:rFonts w:ascii="Times New Roman" w:hAnsi="Times New Roman" w:cs="Times New Roman"/>
          <w:sz w:val="24"/>
          <w:szCs w:val="24"/>
        </w:rPr>
        <w:t>Digital</w:t>
      </w:r>
      <w:proofErr w:type="spellEnd"/>
      <w:r w:rsidRPr="001C3611">
        <w:rPr>
          <w:rFonts w:ascii="Times New Roman" w:hAnsi="Times New Roman" w:cs="Times New Roman"/>
          <w:sz w:val="24"/>
          <w:szCs w:val="24"/>
        </w:rPr>
        <w:t xml:space="preserve"> </w:t>
      </w:r>
      <w:proofErr w:type="spellStart"/>
      <w:r w:rsidRPr="001C3611">
        <w:rPr>
          <w:rFonts w:ascii="Times New Roman" w:hAnsi="Times New Roman" w:cs="Times New Roman"/>
          <w:sz w:val="24"/>
          <w:szCs w:val="24"/>
        </w:rPr>
        <w:t>Catapults</w:t>
      </w:r>
      <w:proofErr w:type="spellEnd"/>
      <w:r w:rsidRPr="001C3611">
        <w:rPr>
          <w:rFonts w:ascii="Times New Roman" w:hAnsi="Times New Roman" w:cs="Times New Roman"/>
          <w:sz w:val="24"/>
          <w:szCs w:val="24"/>
        </w:rPr>
        <w:t xml:space="preserve"> </w:t>
      </w:r>
      <w:r w:rsidR="003108F1" w:rsidRPr="001C3611">
        <w:rPr>
          <w:rFonts w:ascii="Times New Roman" w:hAnsi="Times New Roman" w:cs="Times New Roman"/>
          <w:sz w:val="24"/>
          <w:szCs w:val="24"/>
        </w:rPr>
        <w:t>Lielbritānijā</w:t>
      </w:r>
      <w:r w:rsidRPr="001C3611">
        <w:rPr>
          <w:rFonts w:ascii="Times New Roman" w:hAnsi="Times New Roman" w:cs="Times New Roman"/>
          <w:sz w:val="24"/>
          <w:szCs w:val="24"/>
        </w:rPr>
        <w:t xml:space="preserve">, SME 4.0 </w:t>
      </w:r>
      <w:proofErr w:type="spellStart"/>
      <w:r w:rsidRPr="001C3611">
        <w:rPr>
          <w:rFonts w:ascii="Times New Roman" w:hAnsi="Times New Roman" w:cs="Times New Roman"/>
          <w:sz w:val="24"/>
          <w:szCs w:val="24"/>
        </w:rPr>
        <w:t>Competence</w:t>
      </w:r>
      <w:proofErr w:type="spellEnd"/>
      <w:r w:rsidRPr="001C3611">
        <w:rPr>
          <w:rFonts w:ascii="Times New Roman" w:hAnsi="Times New Roman" w:cs="Times New Roman"/>
          <w:sz w:val="24"/>
          <w:szCs w:val="24"/>
        </w:rPr>
        <w:t xml:space="preserve"> </w:t>
      </w:r>
      <w:proofErr w:type="spellStart"/>
      <w:r w:rsidRPr="001C3611">
        <w:rPr>
          <w:rFonts w:ascii="Times New Roman" w:hAnsi="Times New Roman" w:cs="Times New Roman"/>
          <w:sz w:val="24"/>
          <w:szCs w:val="24"/>
        </w:rPr>
        <w:t>Centres</w:t>
      </w:r>
      <w:proofErr w:type="spellEnd"/>
      <w:r w:rsidRPr="001C3611">
        <w:rPr>
          <w:rFonts w:ascii="Times New Roman" w:hAnsi="Times New Roman" w:cs="Times New Roman"/>
          <w:sz w:val="24"/>
          <w:szCs w:val="24"/>
        </w:rPr>
        <w:t xml:space="preserve"> </w:t>
      </w:r>
      <w:r w:rsidR="003108F1" w:rsidRPr="001C3611">
        <w:rPr>
          <w:rFonts w:ascii="Times New Roman" w:hAnsi="Times New Roman" w:cs="Times New Roman"/>
          <w:sz w:val="24"/>
          <w:szCs w:val="24"/>
        </w:rPr>
        <w:t>Vācijā</w:t>
      </w:r>
      <w:r w:rsidRPr="001C3611">
        <w:rPr>
          <w:rFonts w:ascii="Times New Roman" w:hAnsi="Times New Roman" w:cs="Times New Roman"/>
          <w:sz w:val="24"/>
          <w:szCs w:val="24"/>
        </w:rPr>
        <w:t xml:space="preserve">) ir piemēri kā šos izaicinājumus var mērķtiecīgi uzrunāt ar </w:t>
      </w:r>
      <w:proofErr w:type="spellStart"/>
      <w:r w:rsidRPr="001C3611">
        <w:rPr>
          <w:rFonts w:ascii="Times New Roman" w:hAnsi="Times New Roman" w:cs="Times New Roman"/>
          <w:sz w:val="24"/>
          <w:szCs w:val="24"/>
        </w:rPr>
        <w:t>atbasta</w:t>
      </w:r>
      <w:proofErr w:type="spellEnd"/>
      <w:r w:rsidRPr="001C3611">
        <w:rPr>
          <w:rFonts w:ascii="Times New Roman" w:hAnsi="Times New Roman" w:cs="Times New Roman"/>
          <w:sz w:val="24"/>
          <w:szCs w:val="24"/>
        </w:rPr>
        <w:t xml:space="preserve"> politikas risinājumiem. Galvenais uzdevums šādiem “starpniekiem” ir sniegt specifiski komersantam piemērotu padomu un atbalstu konkrētajām kompānijām. (Piemēram, inovāciju </w:t>
      </w:r>
      <w:proofErr w:type="spellStart"/>
      <w:r w:rsidRPr="001C3611">
        <w:rPr>
          <w:rFonts w:ascii="Times New Roman" w:hAnsi="Times New Roman" w:cs="Times New Roman"/>
          <w:sz w:val="24"/>
          <w:szCs w:val="24"/>
        </w:rPr>
        <w:t>vaučeri</w:t>
      </w:r>
      <w:proofErr w:type="spellEnd"/>
      <w:r w:rsidRPr="001C3611">
        <w:rPr>
          <w:rFonts w:ascii="Times New Roman" w:hAnsi="Times New Roman" w:cs="Times New Roman"/>
          <w:sz w:val="24"/>
          <w:szCs w:val="24"/>
        </w:rPr>
        <w:t xml:space="preserve"> un programmas, kuras atbalsta zinātnieku </w:t>
      </w:r>
      <w:proofErr w:type="spellStart"/>
      <w:r w:rsidRPr="001C3611">
        <w:rPr>
          <w:rFonts w:ascii="Times New Roman" w:hAnsi="Times New Roman" w:cs="Times New Roman"/>
          <w:sz w:val="24"/>
          <w:szCs w:val="24"/>
        </w:rPr>
        <w:t>rekrutēšanu</w:t>
      </w:r>
      <w:proofErr w:type="spellEnd"/>
      <w:r w:rsidRPr="001C3611">
        <w:rPr>
          <w:rFonts w:ascii="Times New Roman" w:hAnsi="Times New Roman" w:cs="Times New Roman"/>
          <w:sz w:val="24"/>
          <w:szCs w:val="24"/>
        </w:rPr>
        <w:t xml:space="preserve"> starp uzņēmumiem). Arī Ungārijas valdība ir apņēmusies aktīvi iesaistīties digitālās inovācijas procesu </w:t>
      </w:r>
      <w:proofErr w:type="spellStart"/>
      <w:r w:rsidRPr="001C3611">
        <w:rPr>
          <w:rFonts w:ascii="Times New Roman" w:hAnsi="Times New Roman" w:cs="Times New Roman"/>
          <w:sz w:val="24"/>
          <w:szCs w:val="24"/>
        </w:rPr>
        <w:t>inkubēšanā</w:t>
      </w:r>
      <w:proofErr w:type="spellEnd"/>
      <w:r w:rsidR="003108F1" w:rsidRPr="001C3611">
        <w:rPr>
          <w:rFonts w:ascii="Times New Roman" w:hAnsi="Times New Roman" w:cs="Times New Roman"/>
          <w:sz w:val="24"/>
          <w:szCs w:val="24"/>
        </w:rPr>
        <w:t>,</w:t>
      </w:r>
      <w:r w:rsidRPr="001C3611">
        <w:rPr>
          <w:rFonts w:ascii="Times New Roman" w:hAnsi="Times New Roman" w:cs="Times New Roman"/>
          <w:sz w:val="24"/>
          <w:szCs w:val="24"/>
        </w:rPr>
        <w:t xml:space="preserve"> atbalstot autobūves industrijas </w:t>
      </w:r>
      <w:r w:rsidRPr="001C3611">
        <w:rPr>
          <w:rFonts w:ascii="Times New Roman" w:hAnsi="Times New Roman" w:cs="Times New Roman"/>
          <w:sz w:val="24"/>
          <w:szCs w:val="24"/>
        </w:rPr>
        <w:lastRenderedPageBreak/>
        <w:t xml:space="preserve">centienus strādāt pie jauniem tehnoloģiskiem risinājumiem, izveidojot “Automotive </w:t>
      </w:r>
      <w:proofErr w:type="spellStart"/>
      <w:r w:rsidRPr="001C3611">
        <w:rPr>
          <w:rFonts w:ascii="Times New Roman" w:hAnsi="Times New Roman" w:cs="Times New Roman"/>
          <w:sz w:val="24"/>
          <w:szCs w:val="24"/>
        </w:rPr>
        <w:t>Proving</w:t>
      </w:r>
      <w:proofErr w:type="spellEnd"/>
      <w:r w:rsidRPr="001C3611">
        <w:rPr>
          <w:rFonts w:ascii="Times New Roman" w:hAnsi="Times New Roman" w:cs="Times New Roman"/>
          <w:sz w:val="24"/>
          <w:szCs w:val="24"/>
        </w:rPr>
        <w:t xml:space="preserve"> </w:t>
      </w:r>
      <w:proofErr w:type="spellStart"/>
      <w:r w:rsidRPr="001C3611">
        <w:rPr>
          <w:rFonts w:ascii="Times New Roman" w:hAnsi="Times New Roman" w:cs="Times New Roman"/>
          <w:sz w:val="24"/>
          <w:szCs w:val="24"/>
        </w:rPr>
        <w:t>Ground</w:t>
      </w:r>
      <w:proofErr w:type="spellEnd"/>
      <w:r w:rsidRPr="001C3611">
        <w:rPr>
          <w:rFonts w:ascii="Times New Roman" w:hAnsi="Times New Roman" w:cs="Times New Roman"/>
          <w:sz w:val="24"/>
          <w:szCs w:val="24"/>
        </w:rPr>
        <w:t xml:space="preserve">” ar </w:t>
      </w:r>
      <w:proofErr w:type="spellStart"/>
      <w:r w:rsidRPr="001C3611">
        <w:rPr>
          <w:rFonts w:ascii="Times New Roman" w:hAnsi="Times New Roman" w:cs="Times New Roman"/>
          <w:sz w:val="24"/>
          <w:szCs w:val="24"/>
        </w:rPr>
        <w:t>daudzlīmeņu</w:t>
      </w:r>
      <w:proofErr w:type="spellEnd"/>
      <w:r w:rsidRPr="001C3611">
        <w:rPr>
          <w:rFonts w:ascii="Times New Roman" w:hAnsi="Times New Roman" w:cs="Times New Roman"/>
          <w:sz w:val="24"/>
          <w:szCs w:val="24"/>
        </w:rPr>
        <w:t xml:space="preserve"> testēšanas vidi autonomajiem auto. Šī testēšana vide tiek veidota kā daudzpakāpju sistēmiska pieeja, kura ir vērsta risinājumu izstrādei sākot no koncepta izstrādes un </w:t>
      </w:r>
      <w:proofErr w:type="spellStart"/>
      <w:r w:rsidRPr="001C3611">
        <w:rPr>
          <w:rFonts w:ascii="Times New Roman" w:hAnsi="Times New Roman" w:cs="Times New Roman"/>
          <w:sz w:val="24"/>
          <w:szCs w:val="24"/>
        </w:rPr>
        <w:t>feasibility</w:t>
      </w:r>
      <w:proofErr w:type="spellEnd"/>
      <w:r w:rsidRPr="001C3611">
        <w:rPr>
          <w:rFonts w:ascii="Times New Roman" w:hAnsi="Times New Roman" w:cs="Times New Roman"/>
          <w:sz w:val="24"/>
          <w:szCs w:val="24"/>
        </w:rPr>
        <w:t xml:space="preserve"> </w:t>
      </w:r>
      <w:proofErr w:type="spellStart"/>
      <w:r w:rsidRPr="001C3611">
        <w:rPr>
          <w:rFonts w:ascii="Times New Roman" w:hAnsi="Times New Roman" w:cs="Times New Roman"/>
          <w:sz w:val="24"/>
          <w:szCs w:val="24"/>
        </w:rPr>
        <w:t>study</w:t>
      </w:r>
      <w:proofErr w:type="spellEnd"/>
      <w:r w:rsidRPr="001C3611">
        <w:rPr>
          <w:rFonts w:ascii="Times New Roman" w:hAnsi="Times New Roman" w:cs="Times New Roman"/>
          <w:sz w:val="24"/>
          <w:szCs w:val="24"/>
        </w:rPr>
        <w:t xml:space="preserve">, komponentu testēšanu, kontrolētai sistēmu testēšanai slēgtā vidē un šo risinājumu ieviešana reālā vidē. Šis testēšanas “poligons” tiek veidots </w:t>
      </w:r>
      <w:proofErr w:type="spellStart"/>
      <w:r w:rsidR="003108F1" w:rsidRPr="001C3611">
        <w:rPr>
          <w:rFonts w:ascii="Times New Roman" w:hAnsi="Times New Roman" w:cs="Times New Roman"/>
          <w:sz w:val="24"/>
          <w:szCs w:val="24"/>
        </w:rPr>
        <w:t>Zalagerscega</w:t>
      </w:r>
      <w:proofErr w:type="spellEnd"/>
      <w:r w:rsidRPr="001C3611">
        <w:rPr>
          <w:rFonts w:ascii="Times New Roman" w:hAnsi="Times New Roman" w:cs="Times New Roman"/>
          <w:sz w:val="24"/>
          <w:szCs w:val="24"/>
        </w:rPr>
        <w:t xml:space="preserve"> pilsētā, kur arī ir ambīcijas strādāt ne tikai pie “</w:t>
      </w:r>
      <w:proofErr w:type="spellStart"/>
      <w:r w:rsidRPr="001C3611">
        <w:rPr>
          <w:rFonts w:ascii="Times New Roman" w:hAnsi="Times New Roman" w:cs="Times New Roman"/>
          <w:sz w:val="24"/>
          <w:szCs w:val="24"/>
        </w:rPr>
        <w:t>autonomous</w:t>
      </w:r>
      <w:proofErr w:type="spellEnd"/>
      <w:r w:rsidRPr="001C3611">
        <w:rPr>
          <w:rFonts w:ascii="Times New Roman" w:hAnsi="Times New Roman" w:cs="Times New Roman"/>
          <w:sz w:val="24"/>
          <w:szCs w:val="24"/>
        </w:rPr>
        <w:t xml:space="preserve"> </w:t>
      </w:r>
      <w:proofErr w:type="spellStart"/>
      <w:r w:rsidRPr="001C3611">
        <w:rPr>
          <w:rFonts w:ascii="Times New Roman" w:hAnsi="Times New Roman" w:cs="Times New Roman"/>
          <w:sz w:val="24"/>
          <w:szCs w:val="24"/>
        </w:rPr>
        <w:t>vehicle</w:t>
      </w:r>
      <w:proofErr w:type="spellEnd"/>
      <w:r w:rsidRPr="001C3611">
        <w:rPr>
          <w:rFonts w:ascii="Times New Roman" w:hAnsi="Times New Roman" w:cs="Times New Roman"/>
          <w:sz w:val="24"/>
          <w:szCs w:val="24"/>
        </w:rPr>
        <w:t>” risinājumiem, bet arī piedāvāt testēšanas vidi jauno tehnoloģiju izstrādei (piem. 5G).</w:t>
      </w:r>
    </w:p>
    <w:p w14:paraId="5F09B52E" w14:textId="06FABF16" w:rsidR="00BD0E49" w:rsidRPr="001C3611" w:rsidRDefault="00BD0E49" w:rsidP="001A7DFA">
      <w:pPr>
        <w:spacing w:line="276" w:lineRule="auto"/>
        <w:jc w:val="both"/>
        <w:rPr>
          <w:rFonts w:ascii="Times New Roman" w:hAnsi="Times New Roman" w:cs="Times New Roman"/>
          <w:sz w:val="24"/>
          <w:szCs w:val="24"/>
        </w:rPr>
      </w:pPr>
      <w:r w:rsidRPr="001C3611">
        <w:rPr>
          <w:rFonts w:ascii="Times New Roman" w:hAnsi="Times New Roman" w:cs="Times New Roman"/>
          <w:sz w:val="24"/>
          <w:szCs w:val="24"/>
        </w:rPr>
        <w:t xml:space="preserve">Ņemot vērā izmaiņas inovāciju procesos, ko nes sev līdzi digitālā ērā, tas pieprasa arī politikas veidotājiem kļūt </w:t>
      </w:r>
      <w:proofErr w:type="spellStart"/>
      <w:r w:rsidRPr="001C3611">
        <w:rPr>
          <w:rFonts w:ascii="Times New Roman" w:hAnsi="Times New Roman" w:cs="Times New Roman"/>
          <w:sz w:val="24"/>
          <w:szCs w:val="24"/>
        </w:rPr>
        <w:t>flek</w:t>
      </w:r>
      <w:r w:rsidR="00F01DA3" w:rsidRPr="001C3611">
        <w:rPr>
          <w:rFonts w:ascii="Times New Roman" w:hAnsi="Times New Roman" w:cs="Times New Roman"/>
          <w:sz w:val="24"/>
          <w:szCs w:val="24"/>
        </w:rPr>
        <w:t>siblākiem</w:t>
      </w:r>
      <w:proofErr w:type="spellEnd"/>
      <w:r w:rsidR="00F01DA3" w:rsidRPr="001C3611">
        <w:rPr>
          <w:rFonts w:ascii="Times New Roman" w:hAnsi="Times New Roman" w:cs="Times New Roman"/>
          <w:sz w:val="24"/>
          <w:szCs w:val="24"/>
        </w:rPr>
        <w:t xml:space="preserve"> un nodrošināt dažādus integrētus inovāciju atbalsta instrumentus. Šos </w:t>
      </w:r>
      <w:r w:rsidR="00F01DA3" w:rsidRPr="001A7DFA">
        <w:rPr>
          <w:rFonts w:ascii="Times New Roman" w:hAnsi="Times New Roman" w:cs="Times New Roman"/>
          <w:b/>
          <w:sz w:val="24"/>
          <w:szCs w:val="24"/>
        </w:rPr>
        <w:t>izaicinājumus politikas veidotājiem</w:t>
      </w:r>
      <w:r w:rsidR="00F01DA3" w:rsidRPr="001C3611">
        <w:rPr>
          <w:rFonts w:ascii="Times New Roman" w:hAnsi="Times New Roman" w:cs="Times New Roman"/>
          <w:sz w:val="24"/>
          <w:szCs w:val="24"/>
        </w:rPr>
        <w:t xml:space="preserve"> varētu sadalīt četros blokos:</w:t>
      </w:r>
    </w:p>
    <w:p w14:paraId="5C816F47" w14:textId="39D00D59" w:rsidR="00F01DA3" w:rsidRPr="001C3611" w:rsidRDefault="00F01DA3" w:rsidP="001A7DFA">
      <w:pPr>
        <w:pStyle w:val="ListParagraph"/>
        <w:numPr>
          <w:ilvl w:val="0"/>
          <w:numId w:val="9"/>
        </w:numPr>
        <w:spacing w:line="276" w:lineRule="auto"/>
        <w:jc w:val="both"/>
        <w:rPr>
          <w:rFonts w:ascii="Times New Roman" w:hAnsi="Times New Roman" w:cs="Times New Roman"/>
          <w:sz w:val="24"/>
          <w:szCs w:val="24"/>
        </w:rPr>
      </w:pPr>
      <w:r w:rsidRPr="001C3611">
        <w:rPr>
          <w:rFonts w:ascii="Times New Roman" w:hAnsi="Times New Roman" w:cs="Times New Roman"/>
          <w:b/>
          <w:sz w:val="24"/>
          <w:szCs w:val="24"/>
        </w:rPr>
        <w:t>Attīstīt politiku ietvarus, kas vērsti uz datu pieejamību</w:t>
      </w:r>
      <w:r w:rsidRPr="001C3611">
        <w:rPr>
          <w:rFonts w:ascii="Times New Roman" w:hAnsi="Times New Roman" w:cs="Times New Roman"/>
          <w:sz w:val="24"/>
          <w:szCs w:val="24"/>
        </w:rPr>
        <w:t>. Ņemot vērā datu izšķirošo lomu digitālās transformācijas kontekstā, datu pieejamība tiešā veidā ietekmē inovāciju procesus</w:t>
      </w:r>
      <w:r w:rsidR="004B6681" w:rsidRPr="001C3611">
        <w:rPr>
          <w:rStyle w:val="FootnoteReference"/>
          <w:rFonts w:ascii="Times New Roman" w:hAnsi="Times New Roman" w:cs="Times New Roman"/>
          <w:sz w:val="24"/>
          <w:szCs w:val="24"/>
        </w:rPr>
        <w:footnoteReference w:id="6"/>
      </w:r>
      <w:r w:rsidRPr="001C3611">
        <w:rPr>
          <w:rFonts w:ascii="Times New Roman" w:hAnsi="Times New Roman" w:cs="Times New Roman"/>
          <w:sz w:val="24"/>
          <w:szCs w:val="24"/>
        </w:rPr>
        <w:t>, vienlaikus nav izstrādāta viena unificējam pieeja kā panākt efektīvākos risinājumus datu pieejamības nodrošināšanai.</w:t>
      </w:r>
      <w:r w:rsidR="00E458C0" w:rsidRPr="001C3611">
        <w:rPr>
          <w:rFonts w:ascii="Times New Roman" w:hAnsi="Times New Roman" w:cs="Times New Roman"/>
          <w:sz w:val="24"/>
          <w:szCs w:val="24"/>
        </w:rPr>
        <w:t xml:space="preserve"> Kopējais, vispārējais princips attiecībā uz datu pieejamības politiku ir – maksimāli plaša pieejamība datiem</w:t>
      </w:r>
      <w:r w:rsidR="005F43CA" w:rsidRPr="001C3611">
        <w:rPr>
          <w:rFonts w:ascii="Times New Roman" w:hAnsi="Times New Roman" w:cs="Times New Roman"/>
          <w:sz w:val="24"/>
          <w:szCs w:val="24"/>
        </w:rPr>
        <w:t>/</w:t>
      </w:r>
      <w:r w:rsidR="00E458C0" w:rsidRPr="001C3611">
        <w:rPr>
          <w:rFonts w:ascii="Times New Roman" w:hAnsi="Times New Roman" w:cs="Times New Roman"/>
          <w:sz w:val="24"/>
          <w:szCs w:val="24"/>
        </w:rPr>
        <w:t>zināšanām, kas veicina gan konkurenci un inovāciju, vienlaikus ievērojot datu privātuma aspektus, ētiskos apsvērumus, izmaksu/ieguvumu novērtējumu un intelektuālā īpašuma aspektus. Politikām arī ir jāņem vērā</w:t>
      </w:r>
      <w:r w:rsidR="00DE7EE2" w:rsidRPr="001C3611">
        <w:rPr>
          <w:rFonts w:ascii="Times New Roman" w:hAnsi="Times New Roman" w:cs="Times New Roman"/>
          <w:sz w:val="24"/>
          <w:szCs w:val="24"/>
        </w:rPr>
        <w:t xml:space="preserve"> </w:t>
      </w:r>
      <w:r w:rsidR="00E458C0" w:rsidRPr="001C3611">
        <w:rPr>
          <w:rFonts w:ascii="Times New Roman" w:hAnsi="Times New Roman" w:cs="Times New Roman"/>
          <w:sz w:val="24"/>
          <w:szCs w:val="24"/>
        </w:rPr>
        <w:t>dažādo datu tipi kā arī apsvērumus dažādu interešu un mērķu kontekstus.</w:t>
      </w:r>
      <w:r w:rsidR="005F43CA" w:rsidRPr="001C3611">
        <w:rPr>
          <w:rFonts w:ascii="Times New Roman" w:hAnsi="Times New Roman" w:cs="Times New Roman"/>
          <w:sz w:val="24"/>
          <w:szCs w:val="24"/>
        </w:rPr>
        <w:t xml:space="preserve"> Piemēram, precīzās lauksaimniecības risinājumi tiek veidoti galvenokārt uz sensoru un satelīta datiem, kamēr mazumtirdzniecības digitālo risinājumu attīstībai īpaši ir nepieciešami patērētāju un sociālo mediju dati, lai personalizētu sniegtos pakalpojumus klientam. Lauksaimniecības kontekstā galvenie izaicinājumi parasti ir saistīti ar datu integrāciju un dalīšanos ar tiem kamēr mazumtirdzniecībā datu privātums</w:t>
      </w:r>
      <w:r w:rsidR="00FE23A1" w:rsidRPr="001C3611">
        <w:rPr>
          <w:rFonts w:ascii="Times New Roman" w:hAnsi="Times New Roman" w:cs="Times New Roman"/>
          <w:sz w:val="24"/>
          <w:szCs w:val="24"/>
        </w:rPr>
        <w:t xml:space="preserve"> (kurš un kā izmanto privātos datus un vai persona vispār nojauš, ka viņa personiskie dati tiek izmantoti)</w:t>
      </w:r>
      <w:r w:rsidR="005F43CA" w:rsidRPr="001C3611">
        <w:rPr>
          <w:rFonts w:ascii="Times New Roman" w:hAnsi="Times New Roman" w:cs="Times New Roman"/>
          <w:sz w:val="24"/>
          <w:szCs w:val="24"/>
        </w:rPr>
        <w:t xml:space="preserve"> ir lielākais nākotnes izaicinājums.</w:t>
      </w:r>
    </w:p>
    <w:p w14:paraId="073ADBA0" w14:textId="6FE82E68" w:rsidR="00DE7EE2" w:rsidRPr="001C3611" w:rsidRDefault="00DE7EE2" w:rsidP="001A7DFA">
      <w:pPr>
        <w:pStyle w:val="ListParagraph"/>
        <w:numPr>
          <w:ilvl w:val="0"/>
          <w:numId w:val="9"/>
        </w:numPr>
        <w:spacing w:line="276" w:lineRule="auto"/>
        <w:jc w:val="both"/>
        <w:rPr>
          <w:rFonts w:ascii="Times New Roman" w:hAnsi="Times New Roman" w:cs="Times New Roman"/>
          <w:sz w:val="24"/>
          <w:szCs w:val="24"/>
        </w:rPr>
      </w:pPr>
      <w:r w:rsidRPr="001C3611">
        <w:rPr>
          <w:rFonts w:ascii="Times New Roman" w:hAnsi="Times New Roman" w:cs="Times New Roman"/>
          <w:b/>
          <w:sz w:val="24"/>
          <w:szCs w:val="24"/>
        </w:rPr>
        <w:t xml:space="preserve">Spēja veidot </w:t>
      </w:r>
      <w:proofErr w:type="spellStart"/>
      <w:r w:rsidRPr="001C3611">
        <w:rPr>
          <w:rFonts w:ascii="Times New Roman" w:hAnsi="Times New Roman" w:cs="Times New Roman"/>
          <w:b/>
          <w:sz w:val="24"/>
          <w:szCs w:val="24"/>
        </w:rPr>
        <w:t>proaktīvu</w:t>
      </w:r>
      <w:proofErr w:type="spellEnd"/>
      <w:r w:rsidRPr="001C3611">
        <w:rPr>
          <w:rFonts w:ascii="Times New Roman" w:hAnsi="Times New Roman" w:cs="Times New Roman"/>
          <w:b/>
          <w:sz w:val="24"/>
          <w:szCs w:val="24"/>
        </w:rPr>
        <w:t xml:space="preserve"> politikas ietvaru ātri mainīgajos apstākļos</w:t>
      </w:r>
      <w:r w:rsidRPr="001C3611">
        <w:rPr>
          <w:rFonts w:ascii="Times New Roman" w:hAnsi="Times New Roman" w:cs="Times New Roman"/>
          <w:sz w:val="24"/>
          <w:szCs w:val="24"/>
        </w:rPr>
        <w:t xml:space="preserve">. Tas ir panākams, piemēram, ar maza mēroga politikas atbalsta instrumentu eksperimentiem, kurus atkarībā no rezultātā var tālāk vai nu ātri izbeigt vai mērogot. Vēl viens aspekts, kas politikas veidotājus var padarīt par </w:t>
      </w:r>
      <w:proofErr w:type="spellStart"/>
      <w:r w:rsidRPr="001C3611">
        <w:rPr>
          <w:rFonts w:ascii="Times New Roman" w:hAnsi="Times New Roman" w:cs="Times New Roman"/>
          <w:sz w:val="24"/>
          <w:szCs w:val="24"/>
        </w:rPr>
        <w:t>proaktīviem</w:t>
      </w:r>
      <w:proofErr w:type="spellEnd"/>
      <w:r w:rsidRPr="001C3611">
        <w:rPr>
          <w:rFonts w:ascii="Times New Roman" w:hAnsi="Times New Roman" w:cs="Times New Roman"/>
          <w:sz w:val="24"/>
          <w:szCs w:val="24"/>
        </w:rPr>
        <w:t xml:space="preserve"> sadarbības partneriem - jaunāko digitālo rīku izmantošana politikas veidošanas un uzraudzības rezultātu novērtēšanai</w:t>
      </w:r>
      <w:r w:rsidR="005B7A0E" w:rsidRPr="001C3611">
        <w:rPr>
          <w:rFonts w:ascii="Times New Roman" w:hAnsi="Times New Roman" w:cs="Times New Roman"/>
          <w:sz w:val="24"/>
          <w:szCs w:val="24"/>
        </w:rPr>
        <w:t xml:space="preserve"> kā arī </w:t>
      </w:r>
      <w:r w:rsidRPr="001C3611">
        <w:rPr>
          <w:rFonts w:ascii="Times New Roman" w:hAnsi="Times New Roman" w:cs="Times New Roman"/>
          <w:sz w:val="24"/>
          <w:szCs w:val="24"/>
        </w:rPr>
        <w:t>programmu izstrāde, kas ir misiju orientētas, nosakot sasniedzamo mērķi, bet ne veidus kā šis mērķis var tikt sasniegts.</w:t>
      </w:r>
    </w:p>
    <w:p w14:paraId="4B514990" w14:textId="3816E8D2" w:rsidR="00DE7EE2" w:rsidRPr="001C3611" w:rsidRDefault="00DE7EE2" w:rsidP="001A7DFA">
      <w:pPr>
        <w:pStyle w:val="ListParagraph"/>
        <w:numPr>
          <w:ilvl w:val="0"/>
          <w:numId w:val="9"/>
        </w:numPr>
        <w:spacing w:line="276" w:lineRule="auto"/>
        <w:jc w:val="both"/>
        <w:rPr>
          <w:rFonts w:ascii="Times New Roman" w:hAnsi="Times New Roman" w:cs="Times New Roman"/>
          <w:sz w:val="24"/>
          <w:szCs w:val="24"/>
        </w:rPr>
      </w:pPr>
      <w:r w:rsidRPr="001C3611">
        <w:rPr>
          <w:rFonts w:ascii="Times New Roman" w:hAnsi="Times New Roman" w:cs="Times New Roman"/>
          <w:b/>
          <w:sz w:val="24"/>
          <w:szCs w:val="24"/>
        </w:rPr>
        <w:t xml:space="preserve">Atbalsts tādu tehnoloģiju attīstībai, kas uzrunā kopējus sabiedrības izaicinājumus </w:t>
      </w:r>
      <w:r w:rsidR="007E71AB" w:rsidRPr="001C3611">
        <w:rPr>
          <w:rFonts w:ascii="Times New Roman" w:hAnsi="Times New Roman" w:cs="Times New Roman"/>
          <w:b/>
          <w:sz w:val="24"/>
          <w:szCs w:val="24"/>
        </w:rPr>
        <w:t>un iesaista sabiedrību</w:t>
      </w:r>
      <w:r w:rsidR="007E71AB" w:rsidRPr="001C3611">
        <w:rPr>
          <w:rFonts w:ascii="Times New Roman" w:hAnsi="Times New Roman" w:cs="Times New Roman"/>
          <w:sz w:val="24"/>
          <w:szCs w:val="24"/>
        </w:rPr>
        <w:t>. Šāda pieeja nodrošina uzticības līmeņa paaugstināšanos, vienlaikus mazina sabiedrības</w:t>
      </w:r>
      <w:r w:rsidR="00FB25E3" w:rsidRPr="001C3611">
        <w:rPr>
          <w:rFonts w:ascii="Times New Roman" w:hAnsi="Times New Roman" w:cs="Times New Roman"/>
          <w:sz w:val="24"/>
          <w:szCs w:val="24"/>
        </w:rPr>
        <w:t xml:space="preserve"> negatīvo</w:t>
      </w:r>
      <w:r w:rsidR="007E71AB" w:rsidRPr="001C3611">
        <w:rPr>
          <w:rFonts w:ascii="Times New Roman" w:hAnsi="Times New Roman" w:cs="Times New Roman"/>
          <w:sz w:val="24"/>
          <w:szCs w:val="24"/>
        </w:rPr>
        <w:t xml:space="preserve"> viedokli par jaunākajām tehnoloģijām</w:t>
      </w:r>
      <w:r w:rsidR="00DB0AD4" w:rsidRPr="001C3611">
        <w:rPr>
          <w:rFonts w:ascii="Times New Roman" w:hAnsi="Times New Roman" w:cs="Times New Roman"/>
          <w:sz w:val="24"/>
          <w:szCs w:val="24"/>
        </w:rPr>
        <w:t xml:space="preserve">. Šādas darbības no publiskās pārvaldes puses stiprina sadarbību starp industriju (kopā radīšanas procesam ir arī vairāki ieguvumi – kopēja redzējuma izveidošana par valsts </w:t>
      </w:r>
      <w:r w:rsidR="00DB0AD4" w:rsidRPr="001C3611">
        <w:rPr>
          <w:rFonts w:ascii="Times New Roman" w:hAnsi="Times New Roman" w:cs="Times New Roman"/>
          <w:sz w:val="24"/>
          <w:szCs w:val="24"/>
        </w:rPr>
        <w:lastRenderedPageBreak/>
        <w:t>ekonomikas attīstības virzieniem, ētiskie apsvērumi – kā tehnoloģija būtu izmantojama sabiedrības kopējam labumam, juridiskās un nozaru politiku konsekvences u.c.)</w:t>
      </w:r>
      <w:r w:rsidR="007E71AB" w:rsidRPr="001C3611">
        <w:rPr>
          <w:rFonts w:ascii="Times New Roman" w:hAnsi="Times New Roman" w:cs="Times New Roman"/>
          <w:sz w:val="24"/>
          <w:szCs w:val="24"/>
        </w:rPr>
        <w:t xml:space="preserve"> kā arī </w:t>
      </w:r>
      <w:r w:rsidR="00DB0AD4" w:rsidRPr="001C3611">
        <w:rPr>
          <w:rFonts w:ascii="Times New Roman" w:hAnsi="Times New Roman" w:cs="Times New Roman"/>
          <w:sz w:val="24"/>
          <w:szCs w:val="24"/>
        </w:rPr>
        <w:t xml:space="preserve">tiek </w:t>
      </w:r>
      <w:r w:rsidR="007E71AB" w:rsidRPr="001C3611">
        <w:rPr>
          <w:rFonts w:ascii="Times New Roman" w:hAnsi="Times New Roman" w:cs="Times New Roman"/>
          <w:sz w:val="24"/>
          <w:szCs w:val="24"/>
        </w:rPr>
        <w:t>rad</w:t>
      </w:r>
      <w:r w:rsidR="00DB0AD4" w:rsidRPr="001C3611">
        <w:rPr>
          <w:rFonts w:ascii="Times New Roman" w:hAnsi="Times New Roman" w:cs="Times New Roman"/>
          <w:sz w:val="24"/>
          <w:szCs w:val="24"/>
        </w:rPr>
        <w:t>īts</w:t>
      </w:r>
      <w:r w:rsidR="007E71AB" w:rsidRPr="001C3611">
        <w:rPr>
          <w:rFonts w:ascii="Times New Roman" w:hAnsi="Times New Roman" w:cs="Times New Roman"/>
          <w:sz w:val="24"/>
          <w:szCs w:val="24"/>
        </w:rPr>
        <w:t xml:space="preserve"> nepieciešam</w:t>
      </w:r>
      <w:r w:rsidR="00DB0AD4" w:rsidRPr="001C3611">
        <w:rPr>
          <w:rFonts w:ascii="Times New Roman" w:hAnsi="Times New Roman" w:cs="Times New Roman"/>
          <w:sz w:val="24"/>
          <w:szCs w:val="24"/>
        </w:rPr>
        <w:t xml:space="preserve">ais </w:t>
      </w:r>
      <w:r w:rsidR="007E71AB" w:rsidRPr="001C3611">
        <w:rPr>
          <w:rFonts w:ascii="Times New Roman" w:hAnsi="Times New Roman" w:cs="Times New Roman"/>
          <w:sz w:val="24"/>
          <w:szCs w:val="24"/>
        </w:rPr>
        <w:t>regulējumu</w:t>
      </w:r>
      <w:r w:rsidR="00DB0AD4" w:rsidRPr="001C3611">
        <w:rPr>
          <w:rFonts w:ascii="Times New Roman" w:hAnsi="Times New Roman" w:cs="Times New Roman"/>
          <w:sz w:val="24"/>
          <w:szCs w:val="24"/>
        </w:rPr>
        <w:t>s</w:t>
      </w:r>
      <w:r w:rsidR="007E71AB" w:rsidRPr="001C3611">
        <w:rPr>
          <w:rFonts w:ascii="Times New Roman" w:hAnsi="Times New Roman" w:cs="Times New Roman"/>
          <w:sz w:val="24"/>
          <w:szCs w:val="24"/>
        </w:rPr>
        <w:t xml:space="preserve">, kas pozitīvi ietekmē </w:t>
      </w:r>
      <w:r w:rsidR="00DB0AD4" w:rsidRPr="001C3611">
        <w:rPr>
          <w:rFonts w:ascii="Times New Roman" w:hAnsi="Times New Roman" w:cs="Times New Roman"/>
          <w:sz w:val="24"/>
          <w:szCs w:val="24"/>
        </w:rPr>
        <w:t xml:space="preserve">kopējās </w:t>
      </w:r>
      <w:r w:rsidR="007E71AB" w:rsidRPr="001C3611">
        <w:rPr>
          <w:rFonts w:ascii="Times New Roman" w:hAnsi="Times New Roman" w:cs="Times New Roman"/>
          <w:sz w:val="24"/>
          <w:szCs w:val="24"/>
        </w:rPr>
        <w:t>sabiedrības intereses.</w:t>
      </w:r>
    </w:p>
    <w:p w14:paraId="31C7F4BD" w14:textId="3949361B" w:rsidR="007E71AB" w:rsidRPr="001C3611" w:rsidRDefault="007E71AB" w:rsidP="001A7DFA">
      <w:pPr>
        <w:pStyle w:val="ListParagraph"/>
        <w:numPr>
          <w:ilvl w:val="0"/>
          <w:numId w:val="9"/>
        </w:numPr>
        <w:spacing w:line="276" w:lineRule="auto"/>
        <w:jc w:val="both"/>
        <w:rPr>
          <w:rFonts w:ascii="Times New Roman" w:hAnsi="Times New Roman" w:cs="Times New Roman"/>
          <w:sz w:val="24"/>
          <w:szCs w:val="24"/>
        </w:rPr>
      </w:pPr>
      <w:r w:rsidRPr="001C3611">
        <w:rPr>
          <w:rFonts w:ascii="Times New Roman" w:hAnsi="Times New Roman" w:cs="Times New Roman"/>
          <w:b/>
          <w:sz w:val="24"/>
          <w:szCs w:val="24"/>
        </w:rPr>
        <w:t>Ņemt vērā globālo “dabu” dažādiem izaicinājumiem, kuri ietekmē inovācijas</w:t>
      </w:r>
      <w:r w:rsidR="00DB0AD4" w:rsidRPr="001C3611">
        <w:rPr>
          <w:rFonts w:ascii="Times New Roman" w:hAnsi="Times New Roman" w:cs="Times New Roman"/>
          <w:b/>
          <w:sz w:val="24"/>
          <w:szCs w:val="24"/>
        </w:rPr>
        <w:t xml:space="preserve"> un izejot no šiem izaicinājumiem izstrādāt nacionālās </w:t>
      </w:r>
      <w:proofErr w:type="spellStart"/>
      <w:r w:rsidR="00DB0AD4" w:rsidRPr="001C3611">
        <w:rPr>
          <w:rFonts w:ascii="Times New Roman" w:hAnsi="Times New Roman" w:cs="Times New Roman"/>
          <w:b/>
          <w:sz w:val="24"/>
          <w:szCs w:val="24"/>
        </w:rPr>
        <w:t>rīcībpolitikas</w:t>
      </w:r>
      <w:proofErr w:type="spellEnd"/>
      <w:r w:rsidRPr="001C3611">
        <w:rPr>
          <w:rFonts w:ascii="Times New Roman" w:hAnsi="Times New Roman" w:cs="Times New Roman"/>
          <w:b/>
          <w:sz w:val="24"/>
          <w:szCs w:val="24"/>
        </w:rPr>
        <w:t xml:space="preserve"> </w:t>
      </w:r>
      <w:r w:rsidRPr="001C3611">
        <w:rPr>
          <w:rFonts w:ascii="Times New Roman" w:hAnsi="Times New Roman" w:cs="Times New Roman"/>
          <w:i/>
          <w:sz w:val="24"/>
          <w:szCs w:val="24"/>
        </w:rPr>
        <w:t>(piem., datu pieejamība)</w:t>
      </w:r>
      <w:r w:rsidRPr="001C3611">
        <w:rPr>
          <w:rFonts w:ascii="Times New Roman" w:hAnsi="Times New Roman" w:cs="Times New Roman"/>
          <w:sz w:val="24"/>
          <w:szCs w:val="24"/>
        </w:rPr>
        <w:t xml:space="preserve"> brīd</w:t>
      </w:r>
      <w:r w:rsidR="00973C5A" w:rsidRPr="001C3611">
        <w:rPr>
          <w:rFonts w:ascii="Times New Roman" w:hAnsi="Times New Roman" w:cs="Times New Roman"/>
          <w:sz w:val="24"/>
          <w:szCs w:val="24"/>
        </w:rPr>
        <w:t>ī</w:t>
      </w:r>
      <w:r w:rsidRPr="001C3611">
        <w:rPr>
          <w:rFonts w:ascii="Times New Roman" w:hAnsi="Times New Roman" w:cs="Times New Roman"/>
          <w:sz w:val="24"/>
          <w:szCs w:val="24"/>
        </w:rPr>
        <w:t>, kad tiek veidotas nacionālās nozaru politikas</w:t>
      </w:r>
      <w:r w:rsidR="00DB0AD4" w:rsidRPr="001C3611">
        <w:rPr>
          <w:rFonts w:ascii="Times New Roman" w:hAnsi="Times New Roman" w:cs="Times New Roman"/>
          <w:sz w:val="24"/>
          <w:szCs w:val="24"/>
        </w:rPr>
        <w:t xml:space="preserve"> vai arī tiek veidotas stratēģiskas partnerības ar </w:t>
      </w:r>
      <w:proofErr w:type="spellStart"/>
      <w:r w:rsidR="00DB0AD4" w:rsidRPr="001C3611">
        <w:rPr>
          <w:rFonts w:ascii="Times New Roman" w:hAnsi="Times New Roman" w:cs="Times New Roman"/>
          <w:sz w:val="24"/>
          <w:szCs w:val="24"/>
        </w:rPr>
        <w:t>multinacionālām</w:t>
      </w:r>
      <w:proofErr w:type="spellEnd"/>
      <w:r w:rsidR="00DB0AD4" w:rsidRPr="001C3611">
        <w:rPr>
          <w:rFonts w:ascii="Times New Roman" w:hAnsi="Times New Roman" w:cs="Times New Roman"/>
          <w:sz w:val="24"/>
          <w:szCs w:val="24"/>
        </w:rPr>
        <w:t xml:space="preserve"> korporācijām</w:t>
      </w:r>
      <w:r w:rsidR="003D7281" w:rsidRPr="001C3611">
        <w:rPr>
          <w:rFonts w:ascii="Times New Roman" w:hAnsi="Times New Roman" w:cs="Times New Roman"/>
          <w:sz w:val="24"/>
          <w:szCs w:val="24"/>
        </w:rPr>
        <w:t xml:space="preserve"> – ir jāizveido risinājumus, kas nodrošina leģitīma veida kooperāciju starp dažādiem tirgus spēlētājiem (piem., nodrošināt leģitīmu veidu, ka datus var dalīties starp valstīm un korporācijām noteiktam mērķim un kādus veidot šos sadarbības modeļu jau dalot kopējos ienākumus)</w:t>
      </w:r>
      <w:r w:rsidR="005B7A0E" w:rsidRPr="001C3611">
        <w:rPr>
          <w:rFonts w:ascii="Times New Roman" w:hAnsi="Times New Roman" w:cs="Times New Roman"/>
          <w:sz w:val="24"/>
          <w:szCs w:val="24"/>
        </w:rPr>
        <w:t>.</w:t>
      </w:r>
    </w:p>
    <w:p w14:paraId="53E5453D" w14:textId="4B70D185" w:rsidR="006E3FF1" w:rsidRPr="001C3611" w:rsidRDefault="00D6255B">
      <w:pPr>
        <w:rPr>
          <w:rFonts w:ascii="Times New Roman" w:hAnsi="Times New Roman" w:cs="Times New Roman"/>
          <w:sz w:val="24"/>
          <w:szCs w:val="24"/>
        </w:rPr>
      </w:pPr>
      <w:r w:rsidRPr="001C3611">
        <w:rPr>
          <w:rFonts w:ascii="Times New Roman" w:hAnsi="Times New Roman" w:cs="Times New Roman"/>
          <w:sz w:val="24"/>
          <w:szCs w:val="24"/>
        </w:rPr>
        <w:t xml:space="preserve">Ne mazāk svarīgi aspekti, kur ņemami vērā politikas veidotājiem, strādājot pie </w:t>
      </w:r>
      <w:proofErr w:type="spellStart"/>
      <w:r w:rsidRPr="001C3611">
        <w:rPr>
          <w:rFonts w:ascii="Times New Roman" w:hAnsi="Times New Roman" w:cs="Times New Roman"/>
          <w:sz w:val="24"/>
          <w:szCs w:val="24"/>
        </w:rPr>
        <w:t>fleksibliem</w:t>
      </w:r>
      <w:proofErr w:type="spellEnd"/>
      <w:r w:rsidRPr="001C3611">
        <w:rPr>
          <w:rFonts w:ascii="Times New Roman" w:hAnsi="Times New Roman" w:cs="Times New Roman"/>
          <w:sz w:val="24"/>
          <w:szCs w:val="24"/>
        </w:rPr>
        <w:t xml:space="preserve"> un </w:t>
      </w:r>
      <w:proofErr w:type="spellStart"/>
      <w:r w:rsidRPr="001C3611">
        <w:rPr>
          <w:rFonts w:ascii="Times New Roman" w:hAnsi="Times New Roman" w:cs="Times New Roman"/>
          <w:sz w:val="24"/>
          <w:szCs w:val="24"/>
        </w:rPr>
        <w:t>proaktīviem</w:t>
      </w:r>
      <w:proofErr w:type="spellEnd"/>
      <w:r w:rsidRPr="001C3611">
        <w:rPr>
          <w:rFonts w:ascii="Times New Roman" w:hAnsi="Times New Roman" w:cs="Times New Roman"/>
          <w:sz w:val="24"/>
          <w:szCs w:val="24"/>
        </w:rPr>
        <w:t xml:space="preserve"> atbalsta politiku risinājumiem:</w:t>
      </w:r>
    </w:p>
    <w:p w14:paraId="4222A8B8" w14:textId="56B42FB9" w:rsidR="00D6255B" w:rsidRPr="001A7DFA" w:rsidRDefault="00D6255B" w:rsidP="0052321A">
      <w:pPr>
        <w:spacing w:line="276" w:lineRule="auto"/>
        <w:ind w:left="360"/>
        <w:jc w:val="both"/>
        <w:rPr>
          <w:rFonts w:ascii="Times New Roman" w:hAnsi="Times New Roman" w:cs="Times New Roman"/>
          <w:sz w:val="24"/>
          <w:szCs w:val="24"/>
        </w:rPr>
      </w:pPr>
      <w:r w:rsidRPr="001A7DFA">
        <w:rPr>
          <w:rFonts w:ascii="Times New Roman" w:hAnsi="Times New Roman" w:cs="Times New Roman"/>
          <w:b/>
          <w:sz w:val="24"/>
          <w:szCs w:val="24"/>
        </w:rPr>
        <w:t>Atbalstīt digitālo tehnoloģiju izplatību ar būtisku uzsvaru uz iekļaujošas vides veidošanu dažādiem “spēlētājiem”</w:t>
      </w:r>
      <w:r w:rsidRPr="001A7DFA">
        <w:rPr>
          <w:rFonts w:ascii="Times New Roman" w:hAnsi="Times New Roman" w:cs="Times New Roman"/>
          <w:sz w:val="24"/>
          <w:szCs w:val="24"/>
        </w:rPr>
        <w:t xml:space="preserve"> – demonstrācijas telpas, </w:t>
      </w:r>
      <w:r w:rsidRPr="001A7DFA">
        <w:rPr>
          <w:rFonts w:ascii="Times New Roman" w:hAnsi="Times New Roman" w:cs="Times New Roman"/>
          <w:i/>
          <w:sz w:val="24"/>
          <w:szCs w:val="24"/>
        </w:rPr>
        <w:t xml:space="preserve">test </w:t>
      </w:r>
      <w:proofErr w:type="spellStart"/>
      <w:r w:rsidRPr="001A7DFA">
        <w:rPr>
          <w:rFonts w:ascii="Times New Roman" w:hAnsi="Times New Roman" w:cs="Times New Roman"/>
          <w:i/>
          <w:sz w:val="24"/>
          <w:szCs w:val="24"/>
        </w:rPr>
        <w:t>beds</w:t>
      </w:r>
      <w:proofErr w:type="spellEnd"/>
      <w:r w:rsidRPr="001A7DFA">
        <w:rPr>
          <w:rFonts w:ascii="Times New Roman" w:hAnsi="Times New Roman" w:cs="Times New Roman"/>
          <w:sz w:val="24"/>
          <w:szCs w:val="24"/>
        </w:rPr>
        <w:t xml:space="preserve"> un normatīvās “smilškastes” (mehānismi jaunu produktu un biznesa modeļu testēšanai ar adaptētu/samazinātu </w:t>
      </w:r>
      <w:proofErr w:type="spellStart"/>
      <w:r w:rsidRPr="001A7DFA">
        <w:rPr>
          <w:rFonts w:ascii="Times New Roman" w:hAnsi="Times New Roman" w:cs="Times New Roman"/>
          <w:sz w:val="24"/>
          <w:szCs w:val="24"/>
        </w:rPr>
        <w:t>normatīvisma</w:t>
      </w:r>
      <w:proofErr w:type="spellEnd"/>
      <w:r w:rsidRPr="001A7DFA">
        <w:rPr>
          <w:rFonts w:ascii="Times New Roman" w:hAnsi="Times New Roman" w:cs="Times New Roman"/>
          <w:sz w:val="24"/>
          <w:szCs w:val="24"/>
        </w:rPr>
        <w:t xml:space="preserve"> prasību līmeni), inovatīvas pieejas, kuras var izmantot, lai stiprinātu </w:t>
      </w:r>
      <w:r w:rsidR="00DD756D" w:rsidRPr="001A7DFA">
        <w:rPr>
          <w:rFonts w:ascii="Times New Roman" w:hAnsi="Times New Roman" w:cs="Times New Roman"/>
          <w:sz w:val="24"/>
          <w:szCs w:val="24"/>
        </w:rPr>
        <w:t>eksperimentēšanu un digitālo tehnoloģiju ieviešanu reālos produktos/pakalpojumos.</w:t>
      </w:r>
    </w:p>
    <w:p w14:paraId="647FE419" w14:textId="4E0437A7" w:rsidR="00DD756D" w:rsidRPr="001A7DFA" w:rsidRDefault="00DD756D" w:rsidP="0052321A">
      <w:pPr>
        <w:spacing w:line="276" w:lineRule="auto"/>
        <w:ind w:left="360"/>
        <w:jc w:val="both"/>
        <w:rPr>
          <w:rFonts w:ascii="Times New Roman" w:hAnsi="Times New Roman" w:cs="Times New Roman"/>
          <w:sz w:val="24"/>
          <w:szCs w:val="24"/>
        </w:rPr>
      </w:pPr>
      <w:r w:rsidRPr="001A7DFA">
        <w:rPr>
          <w:rFonts w:ascii="Times New Roman" w:hAnsi="Times New Roman" w:cs="Times New Roman"/>
          <w:b/>
          <w:sz w:val="24"/>
          <w:szCs w:val="24"/>
        </w:rPr>
        <w:t>Atbalsts arī pakalpojumu inovācijām</w:t>
      </w:r>
      <w:r w:rsidRPr="001A7DFA">
        <w:rPr>
          <w:rFonts w:ascii="Times New Roman" w:hAnsi="Times New Roman" w:cs="Times New Roman"/>
          <w:sz w:val="24"/>
          <w:szCs w:val="24"/>
        </w:rPr>
        <w:t xml:space="preserve"> – pārskatīt esošos atbalsta instrumentus, kas </w:t>
      </w:r>
      <w:proofErr w:type="spellStart"/>
      <w:r w:rsidRPr="001A7DFA">
        <w:rPr>
          <w:rFonts w:ascii="Times New Roman" w:hAnsi="Times New Roman" w:cs="Times New Roman"/>
          <w:sz w:val="24"/>
          <w:szCs w:val="24"/>
        </w:rPr>
        <w:t>de-facto</w:t>
      </w:r>
      <w:proofErr w:type="spellEnd"/>
      <w:r w:rsidRPr="001A7DFA">
        <w:rPr>
          <w:rFonts w:ascii="Times New Roman" w:hAnsi="Times New Roman" w:cs="Times New Roman"/>
          <w:sz w:val="24"/>
          <w:szCs w:val="24"/>
        </w:rPr>
        <w:t xml:space="preserve"> izslēdz tieši pakalpojumu inovācijas no atbalsta aktivitātēm un </w:t>
      </w:r>
      <w:proofErr w:type="spellStart"/>
      <w:r w:rsidRPr="001A7DFA">
        <w:rPr>
          <w:rFonts w:ascii="Times New Roman" w:hAnsi="Times New Roman" w:cs="Times New Roman"/>
          <w:sz w:val="24"/>
          <w:szCs w:val="24"/>
        </w:rPr>
        <w:t>dizainēt</w:t>
      </w:r>
      <w:proofErr w:type="spellEnd"/>
      <w:r w:rsidRPr="001A7DFA">
        <w:rPr>
          <w:rFonts w:ascii="Times New Roman" w:hAnsi="Times New Roman" w:cs="Times New Roman"/>
          <w:sz w:val="24"/>
          <w:szCs w:val="24"/>
        </w:rPr>
        <w:t xml:space="preserve"> jaunās aktivitātes tā, lai tās būtu vērstas uz konkrētu vajadzību risināšanu</w:t>
      </w:r>
      <w:r w:rsidR="003D7281" w:rsidRPr="001A7DFA">
        <w:rPr>
          <w:rFonts w:ascii="Times New Roman" w:hAnsi="Times New Roman" w:cs="Times New Roman"/>
          <w:sz w:val="24"/>
          <w:szCs w:val="24"/>
        </w:rPr>
        <w:t xml:space="preserve"> (piem., </w:t>
      </w:r>
      <w:r w:rsidR="00D069EB" w:rsidRPr="001A7DFA">
        <w:rPr>
          <w:rFonts w:ascii="Times New Roman" w:hAnsi="Times New Roman" w:cs="Times New Roman"/>
          <w:sz w:val="24"/>
          <w:szCs w:val="24"/>
        </w:rPr>
        <w:t xml:space="preserve">pakalpojuma dizaina </w:t>
      </w:r>
      <w:proofErr w:type="spellStart"/>
      <w:r w:rsidR="00D069EB" w:rsidRPr="001A7DFA">
        <w:rPr>
          <w:rFonts w:ascii="Times New Roman" w:hAnsi="Times New Roman" w:cs="Times New Roman"/>
          <w:sz w:val="24"/>
          <w:szCs w:val="24"/>
        </w:rPr>
        <w:t>vaučeri</w:t>
      </w:r>
      <w:proofErr w:type="spellEnd"/>
      <w:r w:rsidR="00D069EB" w:rsidRPr="001A7DFA">
        <w:rPr>
          <w:rFonts w:ascii="Times New Roman" w:hAnsi="Times New Roman" w:cs="Times New Roman"/>
          <w:sz w:val="24"/>
          <w:szCs w:val="24"/>
        </w:rPr>
        <w:t xml:space="preserve"> darbojas Nīderlandē, lai atbalstītu apstrādes rūpniecības </w:t>
      </w:r>
      <w:proofErr w:type="spellStart"/>
      <w:r w:rsidR="00D069EB" w:rsidRPr="001A7DFA">
        <w:rPr>
          <w:rFonts w:ascii="Times New Roman" w:hAnsi="Times New Roman" w:cs="Times New Roman"/>
          <w:sz w:val="24"/>
          <w:szCs w:val="24"/>
        </w:rPr>
        <w:t>digitalizācijas</w:t>
      </w:r>
      <w:proofErr w:type="spellEnd"/>
      <w:r w:rsidR="00D069EB" w:rsidRPr="001A7DFA">
        <w:rPr>
          <w:rFonts w:ascii="Times New Roman" w:hAnsi="Times New Roman" w:cs="Times New Roman"/>
          <w:sz w:val="24"/>
          <w:szCs w:val="24"/>
        </w:rPr>
        <w:t xml:space="preserve"> procesus</w:t>
      </w:r>
      <w:r w:rsidR="003D7281" w:rsidRPr="001A7DFA">
        <w:rPr>
          <w:rFonts w:ascii="Times New Roman" w:hAnsi="Times New Roman" w:cs="Times New Roman"/>
          <w:sz w:val="24"/>
          <w:szCs w:val="24"/>
        </w:rPr>
        <w:t>)</w:t>
      </w:r>
      <w:r w:rsidRPr="001A7DFA">
        <w:rPr>
          <w:rFonts w:ascii="Times New Roman" w:hAnsi="Times New Roman" w:cs="Times New Roman"/>
          <w:sz w:val="24"/>
          <w:szCs w:val="24"/>
        </w:rPr>
        <w:t>.</w:t>
      </w:r>
    </w:p>
    <w:p w14:paraId="2001FBA0" w14:textId="6563EFCB" w:rsidR="00DD756D" w:rsidRPr="001A7DFA" w:rsidRDefault="00DD756D" w:rsidP="0052321A">
      <w:pPr>
        <w:spacing w:line="276" w:lineRule="auto"/>
        <w:ind w:left="360"/>
        <w:jc w:val="both"/>
        <w:rPr>
          <w:rFonts w:ascii="Times New Roman" w:hAnsi="Times New Roman" w:cs="Times New Roman"/>
          <w:sz w:val="24"/>
          <w:szCs w:val="24"/>
        </w:rPr>
      </w:pPr>
      <w:r w:rsidRPr="001A7DFA">
        <w:rPr>
          <w:rFonts w:ascii="Times New Roman" w:hAnsi="Times New Roman" w:cs="Times New Roman"/>
          <w:b/>
          <w:sz w:val="24"/>
          <w:szCs w:val="24"/>
        </w:rPr>
        <w:t>Stiprināt sadarbību inovācijas procesā</w:t>
      </w:r>
      <w:r w:rsidRPr="001A7DFA">
        <w:rPr>
          <w:rFonts w:ascii="Times New Roman" w:hAnsi="Times New Roman" w:cs="Times New Roman"/>
          <w:sz w:val="24"/>
          <w:szCs w:val="24"/>
        </w:rPr>
        <w:t xml:space="preserve"> – stiprināt zināšanu </w:t>
      </w:r>
      <w:proofErr w:type="spellStart"/>
      <w:r w:rsidRPr="001A7DFA">
        <w:rPr>
          <w:rFonts w:ascii="Times New Roman" w:hAnsi="Times New Roman" w:cs="Times New Roman"/>
          <w:sz w:val="24"/>
          <w:szCs w:val="24"/>
        </w:rPr>
        <w:t>pārneses</w:t>
      </w:r>
      <w:proofErr w:type="spellEnd"/>
      <w:r w:rsidRPr="001A7DFA">
        <w:rPr>
          <w:rFonts w:ascii="Times New Roman" w:hAnsi="Times New Roman" w:cs="Times New Roman"/>
          <w:sz w:val="24"/>
          <w:szCs w:val="24"/>
        </w:rPr>
        <w:t xml:space="preserve"> </w:t>
      </w:r>
      <w:r w:rsidR="00077655" w:rsidRPr="001A7DFA">
        <w:rPr>
          <w:rFonts w:ascii="Times New Roman" w:hAnsi="Times New Roman" w:cs="Times New Roman"/>
          <w:sz w:val="24"/>
          <w:szCs w:val="24"/>
        </w:rPr>
        <w:t>“</w:t>
      </w:r>
      <w:r w:rsidRPr="001A7DFA">
        <w:rPr>
          <w:rFonts w:ascii="Times New Roman" w:hAnsi="Times New Roman" w:cs="Times New Roman"/>
          <w:sz w:val="24"/>
          <w:szCs w:val="24"/>
        </w:rPr>
        <w:t>starpnieku lomu</w:t>
      </w:r>
      <w:r w:rsidR="00077655" w:rsidRPr="001A7DFA">
        <w:rPr>
          <w:rFonts w:ascii="Times New Roman" w:hAnsi="Times New Roman" w:cs="Times New Roman"/>
          <w:sz w:val="24"/>
          <w:szCs w:val="24"/>
        </w:rPr>
        <w:t>”</w:t>
      </w:r>
      <w:r w:rsidRPr="001A7DFA">
        <w:rPr>
          <w:rFonts w:ascii="Times New Roman" w:hAnsi="Times New Roman" w:cs="Times New Roman"/>
          <w:sz w:val="24"/>
          <w:szCs w:val="24"/>
        </w:rPr>
        <w:t xml:space="preserve"> un sadarbību starp dažādiem ekosistēmu partneriem. Jauni sadarbības veidi var tikt izmantoti mērķu sasniegšanai – datu dalīšanās </w:t>
      </w:r>
      <w:r w:rsidRPr="001A7DFA">
        <w:rPr>
          <w:rFonts w:ascii="Times New Roman" w:hAnsi="Times New Roman" w:cs="Times New Roman"/>
          <w:i/>
          <w:sz w:val="24"/>
          <w:szCs w:val="24"/>
        </w:rPr>
        <w:t>(</w:t>
      </w:r>
      <w:proofErr w:type="spellStart"/>
      <w:r w:rsidRPr="001A7DFA">
        <w:rPr>
          <w:rFonts w:ascii="Times New Roman" w:hAnsi="Times New Roman" w:cs="Times New Roman"/>
          <w:i/>
          <w:sz w:val="24"/>
          <w:szCs w:val="24"/>
        </w:rPr>
        <w:t>data</w:t>
      </w:r>
      <w:proofErr w:type="spellEnd"/>
      <w:r w:rsidRPr="001A7DFA">
        <w:rPr>
          <w:rFonts w:ascii="Times New Roman" w:hAnsi="Times New Roman" w:cs="Times New Roman"/>
          <w:i/>
          <w:sz w:val="24"/>
          <w:szCs w:val="24"/>
        </w:rPr>
        <w:t xml:space="preserve"> </w:t>
      </w:r>
      <w:proofErr w:type="spellStart"/>
      <w:r w:rsidRPr="001A7DFA">
        <w:rPr>
          <w:rFonts w:ascii="Times New Roman" w:hAnsi="Times New Roman" w:cs="Times New Roman"/>
          <w:i/>
          <w:sz w:val="24"/>
          <w:szCs w:val="24"/>
        </w:rPr>
        <w:t>sharing</w:t>
      </w:r>
      <w:proofErr w:type="spellEnd"/>
      <w:r w:rsidRPr="001A7DFA">
        <w:rPr>
          <w:rFonts w:ascii="Times New Roman" w:hAnsi="Times New Roman" w:cs="Times New Roman"/>
          <w:i/>
          <w:sz w:val="24"/>
          <w:szCs w:val="24"/>
        </w:rPr>
        <w:t xml:space="preserve">), </w:t>
      </w:r>
      <w:r w:rsidR="00607E9E" w:rsidRPr="001A7DFA">
        <w:rPr>
          <w:rFonts w:ascii="Times New Roman" w:hAnsi="Times New Roman" w:cs="Times New Roman"/>
          <w:sz w:val="24"/>
          <w:szCs w:val="24"/>
        </w:rPr>
        <w:t>iesaistot dažādus dalībniekus</w:t>
      </w:r>
      <w:r w:rsidR="004462FB" w:rsidRPr="001A7DFA">
        <w:rPr>
          <w:rFonts w:ascii="Times New Roman" w:hAnsi="Times New Roman" w:cs="Times New Roman"/>
          <w:sz w:val="24"/>
          <w:szCs w:val="24"/>
        </w:rPr>
        <w:t>, t.sk. pētniecības institūcijas,</w:t>
      </w:r>
      <w:r w:rsidR="00607E9E" w:rsidRPr="001A7DFA">
        <w:rPr>
          <w:rFonts w:ascii="Times New Roman" w:hAnsi="Times New Roman" w:cs="Times New Roman"/>
          <w:sz w:val="24"/>
          <w:szCs w:val="24"/>
        </w:rPr>
        <w:t xml:space="preserve"> </w:t>
      </w:r>
      <w:r w:rsidR="00607E9E" w:rsidRPr="001A7DFA">
        <w:rPr>
          <w:rFonts w:ascii="Times New Roman" w:hAnsi="Times New Roman" w:cs="Times New Roman"/>
          <w:i/>
          <w:sz w:val="24"/>
          <w:szCs w:val="24"/>
        </w:rPr>
        <w:t>(</w:t>
      </w:r>
      <w:proofErr w:type="spellStart"/>
      <w:r w:rsidR="00607E9E" w:rsidRPr="001A7DFA">
        <w:rPr>
          <w:rFonts w:ascii="Times New Roman" w:hAnsi="Times New Roman" w:cs="Times New Roman"/>
          <w:i/>
          <w:sz w:val="24"/>
          <w:szCs w:val="24"/>
        </w:rPr>
        <w:t>crowdsourcing</w:t>
      </w:r>
      <w:proofErr w:type="spellEnd"/>
      <w:r w:rsidR="004462FB" w:rsidRPr="001A7DFA">
        <w:rPr>
          <w:rFonts w:ascii="Times New Roman" w:hAnsi="Times New Roman" w:cs="Times New Roman"/>
          <w:i/>
          <w:sz w:val="24"/>
          <w:szCs w:val="24"/>
        </w:rPr>
        <w:t>)</w:t>
      </w:r>
      <w:r w:rsidR="00607E9E" w:rsidRPr="001A7DFA">
        <w:rPr>
          <w:rFonts w:ascii="Times New Roman" w:hAnsi="Times New Roman" w:cs="Times New Roman"/>
          <w:sz w:val="24"/>
          <w:szCs w:val="24"/>
        </w:rPr>
        <w:t xml:space="preserve"> platform</w:t>
      </w:r>
      <w:r w:rsidR="007315C8" w:rsidRPr="001A7DFA">
        <w:rPr>
          <w:rFonts w:ascii="Times New Roman" w:hAnsi="Times New Roman" w:cs="Times New Roman"/>
          <w:sz w:val="24"/>
          <w:szCs w:val="24"/>
        </w:rPr>
        <w:t xml:space="preserve">u ietvaros veidojot </w:t>
      </w:r>
      <w:r w:rsidR="004462FB" w:rsidRPr="001A7DFA">
        <w:rPr>
          <w:rFonts w:ascii="Times New Roman" w:hAnsi="Times New Roman" w:cs="Times New Roman"/>
          <w:sz w:val="24"/>
          <w:szCs w:val="24"/>
        </w:rPr>
        <w:t>stratēģiskās</w:t>
      </w:r>
      <w:r w:rsidR="007315C8" w:rsidRPr="001A7DFA">
        <w:rPr>
          <w:rFonts w:ascii="Times New Roman" w:hAnsi="Times New Roman" w:cs="Times New Roman"/>
          <w:sz w:val="24"/>
          <w:szCs w:val="24"/>
        </w:rPr>
        <w:t xml:space="preserve"> partnerības</w:t>
      </w:r>
      <w:r w:rsidR="004462FB" w:rsidRPr="001A7DFA">
        <w:rPr>
          <w:rFonts w:ascii="Times New Roman" w:hAnsi="Times New Roman" w:cs="Times New Roman"/>
          <w:sz w:val="24"/>
          <w:szCs w:val="24"/>
        </w:rPr>
        <w:t xml:space="preserve"> </w:t>
      </w:r>
      <w:r w:rsidR="00607E9E" w:rsidRPr="001A7DFA">
        <w:rPr>
          <w:rFonts w:ascii="Times New Roman" w:hAnsi="Times New Roman" w:cs="Times New Roman"/>
          <w:sz w:val="24"/>
          <w:szCs w:val="24"/>
        </w:rPr>
        <w:t xml:space="preserve"> u.c. risinājumi.</w:t>
      </w:r>
    </w:p>
    <w:p w14:paraId="3EA07289" w14:textId="6D3E1CE1" w:rsidR="00607E9E" w:rsidRPr="001A7DFA" w:rsidRDefault="00607E9E" w:rsidP="0052321A">
      <w:pPr>
        <w:spacing w:line="276" w:lineRule="auto"/>
        <w:ind w:left="360"/>
        <w:jc w:val="both"/>
        <w:rPr>
          <w:rFonts w:ascii="Times New Roman" w:hAnsi="Times New Roman" w:cs="Times New Roman"/>
          <w:sz w:val="24"/>
          <w:szCs w:val="24"/>
        </w:rPr>
      </w:pPr>
      <w:r w:rsidRPr="001A7DFA">
        <w:rPr>
          <w:rFonts w:ascii="Times New Roman" w:hAnsi="Times New Roman" w:cs="Times New Roman"/>
          <w:b/>
          <w:sz w:val="24"/>
          <w:szCs w:val="24"/>
        </w:rPr>
        <w:t xml:space="preserve">Veicināt pētījumu </w:t>
      </w:r>
      <w:proofErr w:type="spellStart"/>
      <w:r w:rsidRPr="001A7DFA">
        <w:rPr>
          <w:rFonts w:ascii="Times New Roman" w:hAnsi="Times New Roman" w:cs="Times New Roman"/>
          <w:b/>
          <w:sz w:val="24"/>
          <w:szCs w:val="24"/>
        </w:rPr>
        <w:t>digitalizāciju</w:t>
      </w:r>
      <w:proofErr w:type="spellEnd"/>
      <w:r w:rsidRPr="001A7DFA">
        <w:rPr>
          <w:rFonts w:ascii="Times New Roman" w:hAnsi="Times New Roman" w:cs="Times New Roman"/>
          <w:b/>
          <w:sz w:val="24"/>
          <w:szCs w:val="24"/>
        </w:rPr>
        <w:t xml:space="preserve"> </w:t>
      </w:r>
      <w:r w:rsidR="00E14720" w:rsidRPr="001A7DFA">
        <w:rPr>
          <w:rFonts w:ascii="Times New Roman" w:hAnsi="Times New Roman" w:cs="Times New Roman"/>
          <w:sz w:val="24"/>
          <w:szCs w:val="24"/>
        </w:rPr>
        <w:t>–</w:t>
      </w:r>
      <w:r w:rsidRPr="001A7DFA">
        <w:rPr>
          <w:rFonts w:ascii="Times New Roman" w:hAnsi="Times New Roman" w:cs="Times New Roman"/>
          <w:sz w:val="24"/>
          <w:szCs w:val="24"/>
        </w:rPr>
        <w:t xml:space="preserve"> </w:t>
      </w:r>
      <w:r w:rsidR="00E14720" w:rsidRPr="001A7DFA">
        <w:rPr>
          <w:rFonts w:ascii="Times New Roman" w:hAnsi="Times New Roman" w:cs="Times New Roman"/>
          <w:sz w:val="24"/>
          <w:szCs w:val="24"/>
        </w:rPr>
        <w:t>tas ietver pētnieku digitālās prasmes pilnveidošanas pasākumus, investīcijas pētniekiem pieejamo digitālo instrumentu un infrastruktūras pielietošanā</w:t>
      </w:r>
      <w:r w:rsidR="00D069EB" w:rsidRPr="001A7DFA">
        <w:rPr>
          <w:rFonts w:ascii="Times New Roman" w:hAnsi="Times New Roman" w:cs="Times New Roman"/>
          <w:sz w:val="24"/>
          <w:szCs w:val="24"/>
        </w:rPr>
        <w:t xml:space="preserve"> (piem., pētījumos integrējot </w:t>
      </w:r>
      <w:proofErr w:type="spellStart"/>
      <w:r w:rsidR="00D069EB" w:rsidRPr="001A7DFA">
        <w:rPr>
          <w:rFonts w:ascii="Times New Roman" w:hAnsi="Times New Roman" w:cs="Times New Roman"/>
          <w:sz w:val="24"/>
          <w:szCs w:val="24"/>
        </w:rPr>
        <w:t>mašīnmācīšanās</w:t>
      </w:r>
      <w:proofErr w:type="spellEnd"/>
      <w:r w:rsidR="00D069EB" w:rsidRPr="001A7DFA">
        <w:rPr>
          <w:rFonts w:ascii="Times New Roman" w:hAnsi="Times New Roman" w:cs="Times New Roman"/>
          <w:sz w:val="24"/>
          <w:szCs w:val="24"/>
        </w:rPr>
        <w:t xml:space="preserve"> tehnikas/pieejas)</w:t>
      </w:r>
      <w:r w:rsidR="00E14720" w:rsidRPr="001A7DFA">
        <w:rPr>
          <w:rFonts w:ascii="Times New Roman" w:hAnsi="Times New Roman" w:cs="Times New Roman"/>
          <w:sz w:val="24"/>
          <w:szCs w:val="24"/>
        </w:rPr>
        <w:t xml:space="preserve"> un atbalstot starpdisciplināras pētījumu iniciatīvas</w:t>
      </w:r>
      <w:r w:rsidR="00077655" w:rsidRPr="001A7DFA">
        <w:rPr>
          <w:rFonts w:ascii="Times New Roman" w:hAnsi="Times New Roman" w:cs="Times New Roman"/>
          <w:sz w:val="24"/>
          <w:szCs w:val="24"/>
        </w:rPr>
        <w:t>, kuras vēlāk ir iespējams komercializēt ar daudz lielāku iespējamību</w:t>
      </w:r>
      <w:r w:rsidR="00E14720" w:rsidRPr="001A7DFA">
        <w:rPr>
          <w:rFonts w:ascii="Times New Roman" w:hAnsi="Times New Roman" w:cs="Times New Roman"/>
          <w:sz w:val="24"/>
          <w:szCs w:val="24"/>
        </w:rPr>
        <w:t>.</w:t>
      </w:r>
    </w:p>
    <w:p w14:paraId="399491F3" w14:textId="77777777" w:rsidR="0052321A" w:rsidRDefault="00E14720" w:rsidP="0052321A">
      <w:pPr>
        <w:spacing w:line="276" w:lineRule="auto"/>
        <w:ind w:left="360"/>
        <w:jc w:val="both"/>
        <w:rPr>
          <w:rFonts w:ascii="Times New Roman" w:hAnsi="Times New Roman" w:cs="Times New Roman"/>
          <w:sz w:val="24"/>
          <w:szCs w:val="24"/>
        </w:rPr>
      </w:pPr>
      <w:r w:rsidRPr="001A7DFA">
        <w:rPr>
          <w:rFonts w:ascii="Times New Roman" w:hAnsi="Times New Roman" w:cs="Times New Roman"/>
          <w:b/>
          <w:sz w:val="24"/>
          <w:szCs w:val="24"/>
        </w:rPr>
        <w:t>Digitāl</w:t>
      </w:r>
      <w:r w:rsidR="009749E2" w:rsidRPr="001A7DFA">
        <w:rPr>
          <w:rFonts w:ascii="Times New Roman" w:hAnsi="Times New Roman" w:cs="Times New Roman"/>
          <w:b/>
          <w:sz w:val="24"/>
          <w:szCs w:val="24"/>
        </w:rPr>
        <w:t>o</w:t>
      </w:r>
      <w:r w:rsidRPr="001A7DFA">
        <w:rPr>
          <w:rFonts w:ascii="Times New Roman" w:hAnsi="Times New Roman" w:cs="Times New Roman"/>
          <w:b/>
          <w:sz w:val="24"/>
          <w:szCs w:val="24"/>
        </w:rPr>
        <w:t xml:space="preserve"> prasmju uzlabošana, uzsverot datu analītikas virzienu </w:t>
      </w:r>
      <w:r w:rsidRPr="001A7DFA">
        <w:rPr>
          <w:rFonts w:ascii="Times New Roman" w:hAnsi="Times New Roman" w:cs="Times New Roman"/>
          <w:sz w:val="24"/>
          <w:szCs w:val="24"/>
        </w:rPr>
        <w:t>– inovāciju pārvaldības institūcijām vajadzētu sadarboties ar pētniecības institūcijām ar mērķi identificēt jaunas prasmes, kas nepieciešamas digitālās transformācijas atbalstīšanai.</w:t>
      </w:r>
      <w:r w:rsidR="00D069EB" w:rsidRPr="001A7DFA">
        <w:rPr>
          <w:rFonts w:ascii="Times New Roman" w:hAnsi="Times New Roman" w:cs="Times New Roman"/>
          <w:sz w:val="24"/>
          <w:szCs w:val="24"/>
        </w:rPr>
        <w:t xml:space="preserve"> Tas ietver arī augstskolu un citu akadēmisko institūciju iesaisti, piemēram, izveidojot apmācības programmas, kas var būt vērstas gan uz kompāniju darbaspēka, gan arī publiskās pārvaldes darbinieku zināšanu un prasmju apguvei. Kā arī specifisku programmu izstrāde – vērsta uz sabiedrības grupām ar zemām digitālajām prasmēm.</w:t>
      </w:r>
    </w:p>
    <w:p w14:paraId="7251AF52" w14:textId="0147C671" w:rsidR="00E227EE" w:rsidRPr="0052321A" w:rsidRDefault="004640FE" w:rsidP="0052321A">
      <w:pPr>
        <w:spacing w:line="276" w:lineRule="auto"/>
        <w:jc w:val="both"/>
        <w:rPr>
          <w:rFonts w:ascii="Times New Roman" w:hAnsi="Times New Roman" w:cs="Times New Roman"/>
          <w:i/>
          <w:sz w:val="28"/>
          <w:szCs w:val="28"/>
        </w:rPr>
      </w:pPr>
      <w:r w:rsidRPr="0052321A">
        <w:rPr>
          <w:rFonts w:ascii="Times New Roman" w:hAnsi="Times New Roman" w:cs="Times New Roman"/>
          <w:b/>
          <w:i/>
          <w:sz w:val="28"/>
          <w:szCs w:val="28"/>
        </w:rPr>
        <w:lastRenderedPageBreak/>
        <w:t>Koncentrācija uz d</w:t>
      </w:r>
      <w:r w:rsidR="00E227EE" w:rsidRPr="0052321A">
        <w:rPr>
          <w:rFonts w:ascii="Times New Roman" w:hAnsi="Times New Roman" w:cs="Times New Roman"/>
          <w:b/>
          <w:i/>
          <w:sz w:val="28"/>
          <w:szCs w:val="28"/>
        </w:rPr>
        <w:t>igitālo spēju stiprināšan</w:t>
      </w:r>
      <w:r w:rsidRPr="0052321A">
        <w:rPr>
          <w:rFonts w:ascii="Times New Roman" w:hAnsi="Times New Roman" w:cs="Times New Roman"/>
          <w:b/>
          <w:i/>
          <w:sz w:val="28"/>
          <w:szCs w:val="28"/>
        </w:rPr>
        <w:t>u – digitālās kultūras attīstīšana organizāciju iekšienē – gan publiskajā gan privātajā sektorā.</w:t>
      </w:r>
    </w:p>
    <w:p w14:paraId="62C7F761" w14:textId="40DC6D1C" w:rsidR="00045E84" w:rsidRPr="0052321A" w:rsidRDefault="00045E84" w:rsidP="0052321A">
      <w:pPr>
        <w:spacing w:line="276" w:lineRule="auto"/>
        <w:ind w:left="360"/>
        <w:jc w:val="both"/>
        <w:rPr>
          <w:rFonts w:ascii="Times New Roman" w:hAnsi="Times New Roman" w:cs="Times New Roman"/>
          <w:sz w:val="24"/>
          <w:szCs w:val="24"/>
        </w:rPr>
      </w:pPr>
      <w:r w:rsidRPr="0052321A">
        <w:rPr>
          <w:rFonts w:ascii="Times New Roman" w:hAnsi="Times New Roman" w:cs="Times New Roman"/>
          <w:b/>
          <w:sz w:val="24"/>
          <w:szCs w:val="24"/>
        </w:rPr>
        <w:t xml:space="preserve">Papildus tradicionālajam fokusam uz STEM izglītības virzienu un iegūto prasmju stiprināšanu, jo īpaši ar digitālo ekonomiku saistītu prasmju kā programmēšana un datu analītikas attīstīšana, </w:t>
      </w:r>
      <w:r w:rsidRPr="0052321A">
        <w:rPr>
          <w:rFonts w:ascii="Times New Roman" w:hAnsi="Times New Roman" w:cs="Times New Roman"/>
          <w:sz w:val="24"/>
          <w:szCs w:val="24"/>
        </w:rPr>
        <w:t xml:space="preserve">noteikti uzmanība ir jāfokusē arī uz indivīdu spēju stiprināšanu darboties dažādās </w:t>
      </w:r>
      <w:proofErr w:type="spellStart"/>
      <w:r w:rsidRPr="0052321A">
        <w:rPr>
          <w:rFonts w:ascii="Times New Roman" w:hAnsi="Times New Roman" w:cs="Times New Roman"/>
          <w:sz w:val="24"/>
          <w:szCs w:val="24"/>
        </w:rPr>
        <w:t>multidisciplinārās</w:t>
      </w:r>
      <w:proofErr w:type="spellEnd"/>
      <w:r w:rsidRPr="0052321A">
        <w:rPr>
          <w:rFonts w:ascii="Times New Roman" w:hAnsi="Times New Roman" w:cs="Times New Roman"/>
          <w:sz w:val="24"/>
          <w:szCs w:val="24"/>
        </w:rPr>
        <w:t xml:space="preserve"> vidēs, kur </w:t>
      </w:r>
      <w:r w:rsidR="0076348C" w:rsidRPr="0052321A">
        <w:rPr>
          <w:rFonts w:ascii="Times New Roman" w:hAnsi="Times New Roman" w:cs="Times New Roman"/>
          <w:sz w:val="24"/>
          <w:szCs w:val="24"/>
        </w:rPr>
        <w:t>tiek kombinētas dažādas prasmes no sociālo zinātņu, inženieru, biologu, datu zinātnieku – tādējādi iegūstot priekšrocības nākotnes profesiju veiksmīgākai adoptēšanai ekonomikā.</w:t>
      </w:r>
    </w:p>
    <w:p w14:paraId="6352A921" w14:textId="6451B2B3" w:rsidR="0076348C" w:rsidRPr="0052321A" w:rsidRDefault="0076348C" w:rsidP="0052321A">
      <w:pPr>
        <w:spacing w:line="276" w:lineRule="auto"/>
        <w:ind w:left="360"/>
        <w:jc w:val="both"/>
        <w:rPr>
          <w:rFonts w:ascii="Times New Roman" w:hAnsi="Times New Roman" w:cs="Times New Roman"/>
          <w:b/>
          <w:sz w:val="24"/>
          <w:szCs w:val="24"/>
        </w:rPr>
      </w:pPr>
      <w:r w:rsidRPr="0052321A">
        <w:rPr>
          <w:rFonts w:ascii="Times New Roman" w:hAnsi="Times New Roman" w:cs="Times New Roman"/>
          <w:b/>
          <w:sz w:val="24"/>
          <w:szCs w:val="24"/>
        </w:rPr>
        <w:t xml:space="preserve">Biznesa un publiskās pārvaldes vadītājiem nepieciešamas prasmes atpazīt un vadīt digitālos procesus un produktus, tādējādi stiprinot viņu vadīto organizāciju veiktspēju strauji mainīgajā vidē. </w:t>
      </w:r>
      <w:r w:rsidRPr="0052321A">
        <w:rPr>
          <w:rFonts w:ascii="Times New Roman" w:hAnsi="Times New Roman" w:cs="Times New Roman"/>
          <w:sz w:val="24"/>
          <w:szCs w:val="24"/>
        </w:rPr>
        <w:t xml:space="preserve">Organizācijās, kur tās vadītāji nav vērsti (atvērti) pret jaunāko tehnoloģiju aprobēšanu, visticamāk viņi neveicinās organizācijā izmaiņas, kas varētu paaugstināt organizācijas veiktspēju, tādējādi bremzējot attīstības progresu, arī pat ja šajās organizācijās ir darbaspēks ar atbilstošām prasmēm. Apmācības, dažādi kursi </w:t>
      </w:r>
      <w:r w:rsidR="00047571" w:rsidRPr="0052321A">
        <w:rPr>
          <w:rFonts w:ascii="Times New Roman" w:hAnsi="Times New Roman" w:cs="Times New Roman"/>
          <w:sz w:val="24"/>
          <w:szCs w:val="24"/>
        </w:rPr>
        <w:t>un piemēru demonstrēšana ir labākais veids kā stimulēt šādu vadītāju izpratnes līmeņa celšanu. Šis vistiešākā veidā arī attiecas uz publisko sektoru (piem., veselības aprūpe), kur digitālā transformācija var nest fundamentālus uzlabojumus gan procesu vadībā, gan arī pacientu ārstēšanas metodēs un procesos.</w:t>
      </w:r>
    </w:p>
    <w:p w14:paraId="770AD5D3" w14:textId="7648C6E3" w:rsidR="000C039F" w:rsidRPr="0052321A" w:rsidRDefault="002F72E6" w:rsidP="0052321A">
      <w:pPr>
        <w:spacing w:line="276" w:lineRule="auto"/>
        <w:ind w:left="360"/>
        <w:jc w:val="both"/>
        <w:rPr>
          <w:rFonts w:ascii="Times New Roman" w:hAnsi="Times New Roman" w:cs="Times New Roman"/>
          <w:sz w:val="24"/>
          <w:szCs w:val="24"/>
        </w:rPr>
      </w:pPr>
      <w:r w:rsidRPr="0052321A">
        <w:rPr>
          <w:rFonts w:ascii="Times New Roman" w:hAnsi="Times New Roman" w:cs="Times New Roman"/>
          <w:b/>
          <w:sz w:val="24"/>
          <w:szCs w:val="24"/>
        </w:rPr>
        <w:t xml:space="preserve">Publiskā pārvalde kā piemērs digitālās transformācijas procesā – </w:t>
      </w:r>
      <w:r w:rsidRPr="0052321A">
        <w:rPr>
          <w:rFonts w:ascii="Times New Roman" w:hAnsi="Times New Roman" w:cs="Times New Roman"/>
          <w:sz w:val="24"/>
          <w:szCs w:val="24"/>
        </w:rPr>
        <w:t xml:space="preserve">viens no veiksmīgiem ārvalstu piemēriem, kur publiskais sektors ir kā vadošais dzinējs, ir vairāku principu integrēšana – </w:t>
      </w:r>
      <w:r w:rsidR="000C039F" w:rsidRPr="0052321A">
        <w:rPr>
          <w:rFonts w:ascii="Times New Roman" w:hAnsi="Times New Roman" w:cs="Times New Roman"/>
          <w:sz w:val="24"/>
          <w:szCs w:val="24"/>
        </w:rPr>
        <w:t>kopējas vīzijas izstrāde (sadarbībā ar iesaistītajiem partneriem) par prioritārajiem sektoriem/industrijām, kurās līdzdarboties digitālās transformācijas stiprināšanai (ceļa kartes (</w:t>
      </w:r>
      <w:proofErr w:type="spellStart"/>
      <w:r w:rsidR="000C039F" w:rsidRPr="0052321A">
        <w:rPr>
          <w:rFonts w:ascii="Times New Roman" w:hAnsi="Times New Roman" w:cs="Times New Roman"/>
          <w:sz w:val="24"/>
          <w:szCs w:val="24"/>
        </w:rPr>
        <w:t>road</w:t>
      </w:r>
      <w:proofErr w:type="spellEnd"/>
      <w:r w:rsidR="000C039F" w:rsidRPr="0052321A">
        <w:rPr>
          <w:rFonts w:ascii="Times New Roman" w:hAnsi="Times New Roman" w:cs="Times New Roman"/>
          <w:sz w:val="24"/>
          <w:szCs w:val="24"/>
        </w:rPr>
        <w:t xml:space="preserve"> </w:t>
      </w:r>
      <w:proofErr w:type="spellStart"/>
      <w:r w:rsidR="000C039F" w:rsidRPr="0052321A">
        <w:rPr>
          <w:rFonts w:ascii="Times New Roman" w:hAnsi="Times New Roman" w:cs="Times New Roman"/>
          <w:sz w:val="24"/>
          <w:szCs w:val="24"/>
        </w:rPr>
        <w:t>maps</w:t>
      </w:r>
      <w:proofErr w:type="spellEnd"/>
      <w:r w:rsidR="000C039F" w:rsidRPr="0052321A">
        <w:rPr>
          <w:rFonts w:ascii="Times New Roman" w:hAnsi="Times New Roman" w:cs="Times New Roman"/>
          <w:sz w:val="24"/>
          <w:szCs w:val="24"/>
        </w:rPr>
        <w:t xml:space="preserve">), sektoru plāni un </w:t>
      </w:r>
      <w:proofErr w:type="spellStart"/>
      <w:r w:rsidR="000C039F" w:rsidRPr="0052321A">
        <w:rPr>
          <w:rFonts w:ascii="Times New Roman" w:hAnsi="Times New Roman" w:cs="Times New Roman"/>
          <w:i/>
          <w:sz w:val="24"/>
          <w:szCs w:val="24"/>
        </w:rPr>
        <w:t>foresight</w:t>
      </w:r>
      <w:proofErr w:type="spellEnd"/>
      <w:r w:rsidR="000C039F" w:rsidRPr="0052321A">
        <w:rPr>
          <w:rFonts w:ascii="Times New Roman" w:hAnsi="Times New Roman" w:cs="Times New Roman"/>
          <w:sz w:val="24"/>
          <w:szCs w:val="24"/>
        </w:rPr>
        <w:t xml:space="preserve"> pasākumi ir būtiski, lai stiprinātu </w:t>
      </w:r>
      <w:proofErr w:type="spellStart"/>
      <w:r w:rsidR="000C039F" w:rsidRPr="0052321A">
        <w:rPr>
          <w:rFonts w:ascii="Times New Roman" w:hAnsi="Times New Roman" w:cs="Times New Roman"/>
          <w:sz w:val="24"/>
          <w:szCs w:val="24"/>
        </w:rPr>
        <w:t>rīcībpolitiku</w:t>
      </w:r>
      <w:proofErr w:type="spellEnd"/>
      <w:r w:rsidR="000C039F" w:rsidRPr="0052321A">
        <w:rPr>
          <w:rFonts w:ascii="Times New Roman" w:hAnsi="Times New Roman" w:cs="Times New Roman"/>
          <w:sz w:val="24"/>
          <w:szCs w:val="24"/>
        </w:rPr>
        <w:t xml:space="preserve"> inteliģenci un palīdzētu saskaņot politikas veidotāju un industriju aktivitātes ilgtermiņā, vienlaikus stiprinot publisko-privāto sadarbības kultūru)</w:t>
      </w:r>
      <w:r w:rsidR="0052321A">
        <w:rPr>
          <w:rFonts w:ascii="Times New Roman" w:hAnsi="Times New Roman" w:cs="Times New Roman"/>
          <w:sz w:val="24"/>
          <w:szCs w:val="24"/>
        </w:rPr>
        <w:t>.</w:t>
      </w:r>
    </w:p>
    <w:p w14:paraId="1CDF2EB3" w14:textId="181F1B73" w:rsidR="00047571" w:rsidRPr="0052321A" w:rsidRDefault="00047571" w:rsidP="00047571">
      <w:pPr>
        <w:jc w:val="both"/>
        <w:rPr>
          <w:rFonts w:ascii="Times New Roman" w:hAnsi="Times New Roman" w:cs="Times New Roman"/>
          <w:b/>
          <w:i/>
          <w:sz w:val="28"/>
          <w:szCs w:val="28"/>
        </w:rPr>
      </w:pPr>
      <w:r w:rsidRPr="0052321A">
        <w:rPr>
          <w:rFonts w:ascii="Times New Roman" w:hAnsi="Times New Roman" w:cs="Times New Roman"/>
          <w:b/>
          <w:i/>
          <w:sz w:val="28"/>
          <w:szCs w:val="28"/>
        </w:rPr>
        <w:t>Publiskais sektors un publiskās pētniecības institūcijas ir nozīmīgs digitālo inovāciju virzītājs</w:t>
      </w:r>
    </w:p>
    <w:p w14:paraId="35BF604A" w14:textId="77777777" w:rsidR="003108F1" w:rsidRPr="001C3611" w:rsidRDefault="00047571" w:rsidP="0052321A">
      <w:pPr>
        <w:spacing w:line="276" w:lineRule="auto"/>
        <w:jc w:val="both"/>
        <w:rPr>
          <w:rFonts w:ascii="Times New Roman" w:hAnsi="Times New Roman" w:cs="Times New Roman"/>
          <w:b/>
          <w:sz w:val="24"/>
          <w:szCs w:val="24"/>
        </w:rPr>
      </w:pPr>
      <w:r w:rsidRPr="001C3611">
        <w:rPr>
          <w:rFonts w:ascii="Times New Roman" w:hAnsi="Times New Roman" w:cs="Times New Roman"/>
          <w:sz w:val="24"/>
          <w:szCs w:val="24"/>
        </w:rPr>
        <w:t>“</w:t>
      </w:r>
      <w:proofErr w:type="spellStart"/>
      <w:r w:rsidRPr="001C3611">
        <w:rPr>
          <w:rFonts w:ascii="Times New Roman" w:hAnsi="Times New Roman" w:cs="Times New Roman"/>
          <w:sz w:val="24"/>
          <w:szCs w:val="24"/>
        </w:rPr>
        <w:t>CSIRO`s</w:t>
      </w:r>
      <w:proofErr w:type="spellEnd"/>
      <w:r w:rsidRPr="001C3611">
        <w:rPr>
          <w:rFonts w:ascii="Times New Roman" w:hAnsi="Times New Roman" w:cs="Times New Roman"/>
          <w:sz w:val="24"/>
          <w:szCs w:val="24"/>
        </w:rPr>
        <w:t xml:space="preserve"> </w:t>
      </w:r>
      <w:proofErr w:type="spellStart"/>
      <w:r w:rsidRPr="001C3611">
        <w:rPr>
          <w:rFonts w:ascii="Times New Roman" w:hAnsi="Times New Roman" w:cs="Times New Roman"/>
          <w:sz w:val="24"/>
          <w:szCs w:val="24"/>
        </w:rPr>
        <w:t>Data</w:t>
      </w:r>
      <w:proofErr w:type="spellEnd"/>
      <w:r w:rsidRPr="001C3611">
        <w:rPr>
          <w:rFonts w:ascii="Times New Roman" w:hAnsi="Times New Roman" w:cs="Times New Roman"/>
          <w:sz w:val="24"/>
          <w:szCs w:val="24"/>
        </w:rPr>
        <w:t xml:space="preserve"> 61” Austrālijas publiskais</w:t>
      </w:r>
      <w:r w:rsidR="005C7248" w:rsidRPr="001C3611">
        <w:rPr>
          <w:rFonts w:ascii="Times New Roman" w:hAnsi="Times New Roman" w:cs="Times New Roman"/>
          <w:sz w:val="24"/>
          <w:szCs w:val="24"/>
        </w:rPr>
        <w:t xml:space="preserve"> (federālajai valdībai piederoša)</w:t>
      </w:r>
      <w:r w:rsidRPr="001C3611">
        <w:rPr>
          <w:rFonts w:ascii="Times New Roman" w:hAnsi="Times New Roman" w:cs="Times New Roman"/>
          <w:sz w:val="24"/>
          <w:szCs w:val="24"/>
        </w:rPr>
        <w:t xml:space="preserve"> digitālais pētniecības centrs</w:t>
      </w:r>
      <w:r w:rsidR="005C7248" w:rsidRPr="001C3611">
        <w:rPr>
          <w:rFonts w:ascii="Times New Roman" w:hAnsi="Times New Roman" w:cs="Times New Roman"/>
          <w:sz w:val="24"/>
          <w:szCs w:val="24"/>
        </w:rPr>
        <w:t xml:space="preserve"> (šobrīd realizē 193 </w:t>
      </w:r>
      <w:proofErr w:type="spellStart"/>
      <w:r w:rsidR="005C7248" w:rsidRPr="001C3611">
        <w:rPr>
          <w:rFonts w:ascii="Times New Roman" w:hAnsi="Times New Roman" w:cs="Times New Roman"/>
          <w:i/>
          <w:sz w:val="24"/>
          <w:szCs w:val="24"/>
        </w:rPr>
        <w:t>data-driven</w:t>
      </w:r>
      <w:proofErr w:type="spellEnd"/>
      <w:r w:rsidR="005C7248" w:rsidRPr="001C3611">
        <w:rPr>
          <w:rFonts w:ascii="Times New Roman" w:hAnsi="Times New Roman" w:cs="Times New Roman"/>
          <w:sz w:val="24"/>
          <w:szCs w:val="24"/>
        </w:rPr>
        <w:t xml:space="preserve"> projektus un tai pieder 172 patenti)</w:t>
      </w:r>
      <w:r w:rsidRPr="001C3611">
        <w:rPr>
          <w:rFonts w:ascii="Times New Roman" w:hAnsi="Times New Roman" w:cs="Times New Roman"/>
          <w:sz w:val="24"/>
          <w:szCs w:val="24"/>
        </w:rPr>
        <w:t xml:space="preserve"> ir attīstījis atvērtu platformu, kura sniedz iespēju iegūt gan likumus, gan visus normatīvos aktus digitālā formātā, sniedzot iespēju jebkuram ieinteresētajam biznesa pārstāvim attīstīt jaunus rīkus vai pakalpojumus, samazinot administratīvos šķēršļus (</w:t>
      </w:r>
      <w:r w:rsidR="009A078F" w:rsidRPr="001C3611">
        <w:rPr>
          <w:rFonts w:ascii="Times New Roman" w:hAnsi="Times New Roman" w:cs="Times New Roman"/>
          <w:sz w:val="24"/>
          <w:szCs w:val="24"/>
        </w:rPr>
        <w:t>radot priekšnoteikumus, lai rastos “</w:t>
      </w:r>
      <w:proofErr w:type="spellStart"/>
      <w:r w:rsidR="009A078F" w:rsidRPr="001C3611">
        <w:rPr>
          <w:rFonts w:ascii="Times New Roman" w:hAnsi="Times New Roman" w:cs="Times New Roman"/>
          <w:sz w:val="24"/>
          <w:szCs w:val="24"/>
        </w:rPr>
        <w:t>RegTech</w:t>
      </w:r>
      <w:proofErr w:type="spellEnd"/>
      <w:r w:rsidR="009A078F" w:rsidRPr="001C3611">
        <w:rPr>
          <w:rFonts w:ascii="Times New Roman" w:hAnsi="Times New Roman" w:cs="Times New Roman"/>
          <w:sz w:val="24"/>
          <w:szCs w:val="24"/>
        </w:rPr>
        <w:t>” industrija</w:t>
      </w:r>
      <w:r w:rsidRPr="001C3611">
        <w:rPr>
          <w:rFonts w:ascii="Times New Roman" w:hAnsi="Times New Roman" w:cs="Times New Roman"/>
          <w:sz w:val="24"/>
          <w:szCs w:val="24"/>
        </w:rPr>
        <w:t>)</w:t>
      </w:r>
      <w:r w:rsidR="009A078F" w:rsidRPr="001C3611">
        <w:rPr>
          <w:rFonts w:ascii="Times New Roman" w:hAnsi="Times New Roman" w:cs="Times New Roman"/>
          <w:sz w:val="24"/>
          <w:szCs w:val="24"/>
        </w:rPr>
        <w:t xml:space="preserve">. </w:t>
      </w:r>
      <w:r w:rsidR="005C7248" w:rsidRPr="001C3611">
        <w:rPr>
          <w:rFonts w:ascii="Times New Roman" w:hAnsi="Times New Roman" w:cs="Times New Roman"/>
          <w:sz w:val="24"/>
          <w:szCs w:val="24"/>
        </w:rPr>
        <w:t>Šis pētniecības centrs darbojas četros virzienos – sadarbība ar akadēmisko sektoru (partnerība ar 29 universitātēm); sadarbība ar valdību (digitālo pakalpojumu transformācija</w:t>
      </w:r>
      <w:r w:rsidR="004F678B" w:rsidRPr="001C3611">
        <w:rPr>
          <w:rFonts w:ascii="Times New Roman" w:hAnsi="Times New Roman" w:cs="Times New Roman"/>
          <w:sz w:val="24"/>
          <w:szCs w:val="24"/>
        </w:rPr>
        <w:t xml:space="preserve"> un politikas analīze</w:t>
      </w:r>
      <w:r w:rsidR="005C7248" w:rsidRPr="001C3611">
        <w:rPr>
          <w:rFonts w:ascii="Times New Roman" w:hAnsi="Times New Roman" w:cs="Times New Roman"/>
          <w:sz w:val="24"/>
          <w:szCs w:val="24"/>
        </w:rPr>
        <w:t>)</w:t>
      </w:r>
      <w:r w:rsidR="004F678B" w:rsidRPr="001C3611">
        <w:rPr>
          <w:rFonts w:ascii="Times New Roman" w:hAnsi="Times New Roman" w:cs="Times New Roman"/>
          <w:sz w:val="24"/>
          <w:szCs w:val="24"/>
        </w:rPr>
        <w:t xml:space="preserve">; </w:t>
      </w:r>
      <w:proofErr w:type="spellStart"/>
      <w:r w:rsidR="004F678B" w:rsidRPr="001C3611">
        <w:rPr>
          <w:rFonts w:ascii="Times New Roman" w:hAnsi="Times New Roman" w:cs="Times New Roman"/>
          <w:sz w:val="24"/>
          <w:szCs w:val="24"/>
        </w:rPr>
        <w:t>SMEs</w:t>
      </w:r>
      <w:proofErr w:type="spellEnd"/>
      <w:r w:rsidR="004F678B" w:rsidRPr="001C3611">
        <w:rPr>
          <w:rFonts w:ascii="Times New Roman" w:hAnsi="Times New Roman" w:cs="Times New Roman"/>
          <w:sz w:val="24"/>
          <w:szCs w:val="24"/>
        </w:rPr>
        <w:t xml:space="preserve"> un </w:t>
      </w:r>
      <w:proofErr w:type="spellStart"/>
      <w:r w:rsidR="004F678B" w:rsidRPr="001C3611">
        <w:rPr>
          <w:rFonts w:ascii="Times New Roman" w:hAnsi="Times New Roman" w:cs="Times New Roman"/>
          <w:sz w:val="24"/>
          <w:szCs w:val="24"/>
        </w:rPr>
        <w:t>jaunuzņēmumi</w:t>
      </w:r>
      <w:proofErr w:type="spellEnd"/>
      <w:r w:rsidR="004F678B" w:rsidRPr="001C3611">
        <w:rPr>
          <w:rFonts w:ascii="Times New Roman" w:hAnsi="Times New Roman" w:cs="Times New Roman"/>
          <w:sz w:val="24"/>
          <w:szCs w:val="24"/>
        </w:rPr>
        <w:t xml:space="preserve"> (tehnoloģiju licencēšana, R&amp;D partnerība, inovācijas </w:t>
      </w:r>
      <w:proofErr w:type="spellStart"/>
      <w:r w:rsidR="004F678B" w:rsidRPr="001C3611">
        <w:rPr>
          <w:rFonts w:ascii="Times New Roman" w:hAnsi="Times New Roman" w:cs="Times New Roman"/>
          <w:sz w:val="24"/>
          <w:szCs w:val="24"/>
        </w:rPr>
        <w:t>akselerācija</w:t>
      </w:r>
      <w:proofErr w:type="spellEnd"/>
      <w:r w:rsidR="004F678B" w:rsidRPr="001C3611">
        <w:rPr>
          <w:rFonts w:ascii="Times New Roman" w:hAnsi="Times New Roman" w:cs="Times New Roman"/>
          <w:sz w:val="24"/>
          <w:szCs w:val="24"/>
        </w:rPr>
        <w:t xml:space="preserve">, pieeja ekspertīzei); un sadarbība ar industriju (pārvērst idejas datos balstīta biznesa risinājumos). </w:t>
      </w:r>
      <w:r w:rsidR="009A078F" w:rsidRPr="001C3611">
        <w:rPr>
          <w:rFonts w:ascii="Times New Roman" w:hAnsi="Times New Roman" w:cs="Times New Roman"/>
          <w:b/>
          <w:sz w:val="24"/>
          <w:szCs w:val="24"/>
        </w:rPr>
        <w:t xml:space="preserve">Publiskais sektors ar spēcīgām digitālajām prasmēm daudz labāk spēj atbalstīt digitālo transformāciju: </w:t>
      </w:r>
    </w:p>
    <w:p w14:paraId="3850083B" w14:textId="77777777" w:rsidR="003108F1" w:rsidRPr="001C3611" w:rsidRDefault="009A078F" w:rsidP="0052321A">
      <w:pPr>
        <w:pStyle w:val="ListParagraph"/>
        <w:numPr>
          <w:ilvl w:val="0"/>
          <w:numId w:val="21"/>
        </w:numPr>
        <w:spacing w:line="276" w:lineRule="auto"/>
        <w:jc w:val="both"/>
        <w:rPr>
          <w:rFonts w:ascii="Times New Roman" w:hAnsi="Times New Roman" w:cs="Times New Roman"/>
          <w:sz w:val="24"/>
          <w:szCs w:val="24"/>
        </w:rPr>
      </w:pPr>
      <w:proofErr w:type="spellStart"/>
      <w:r w:rsidRPr="001C3611">
        <w:rPr>
          <w:rFonts w:ascii="Times New Roman" w:hAnsi="Times New Roman" w:cs="Times New Roman"/>
          <w:sz w:val="24"/>
          <w:szCs w:val="24"/>
        </w:rPr>
        <w:t>primkārt</w:t>
      </w:r>
      <w:proofErr w:type="spellEnd"/>
      <w:r w:rsidRPr="001C3611">
        <w:rPr>
          <w:rFonts w:ascii="Times New Roman" w:hAnsi="Times New Roman" w:cs="Times New Roman"/>
          <w:sz w:val="24"/>
          <w:szCs w:val="24"/>
        </w:rPr>
        <w:t>, tas spēj daudz efektīvāk vadīt programmas, kuras vērstas uz digitālo transformācijas veicināšanu (digitālie klasteri,</w:t>
      </w:r>
      <w:r w:rsidRPr="001C3611">
        <w:rPr>
          <w:rFonts w:ascii="Times New Roman" w:hAnsi="Times New Roman" w:cs="Times New Roman"/>
          <w:i/>
          <w:sz w:val="24"/>
          <w:szCs w:val="24"/>
        </w:rPr>
        <w:t xml:space="preserve"> </w:t>
      </w:r>
      <w:proofErr w:type="spellStart"/>
      <w:r w:rsidRPr="001C3611">
        <w:rPr>
          <w:rFonts w:ascii="Times New Roman" w:hAnsi="Times New Roman" w:cs="Times New Roman"/>
          <w:i/>
          <w:sz w:val="24"/>
          <w:szCs w:val="24"/>
        </w:rPr>
        <w:t>testbeds</w:t>
      </w:r>
      <w:proofErr w:type="spellEnd"/>
      <w:r w:rsidRPr="001C3611">
        <w:rPr>
          <w:rFonts w:ascii="Times New Roman" w:hAnsi="Times New Roman" w:cs="Times New Roman"/>
          <w:sz w:val="24"/>
          <w:szCs w:val="24"/>
        </w:rPr>
        <w:t xml:space="preserve"> u.c.); </w:t>
      </w:r>
    </w:p>
    <w:p w14:paraId="54139D11" w14:textId="0D881310" w:rsidR="009A078F" w:rsidRPr="001C3611" w:rsidRDefault="009A078F" w:rsidP="0052321A">
      <w:pPr>
        <w:pStyle w:val="ListParagraph"/>
        <w:numPr>
          <w:ilvl w:val="0"/>
          <w:numId w:val="21"/>
        </w:numPr>
        <w:spacing w:line="276" w:lineRule="auto"/>
        <w:jc w:val="both"/>
        <w:rPr>
          <w:rFonts w:ascii="Times New Roman" w:hAnsi="Times New Roman" w:cs="Times New Roman"/>
          <w:sz w:val="24"/>
          <w:szCs w:val="24"/>
        </w:rPr>
      </w:pPr>
      <w:r w:rsidRPr="001C3611">
        <w:rPr>
          <w:rFonts w:ascii="Times New Roman" w:hAnsi="Times New Roman" w:cs="Times New Roman"/>
          <w:sz w:val="24"/>
          <w:szCs w:val="24"/>
        </w:rPr>
        <w:lastRenderedPageBreak/>
        <w:t>otrkārt, tas var darboties kā vadošais jaunāko tehnoloģiju un pakalpojumu ieviesējs, izmantojot inovatīva iepirkumu sniegtās metodes, vienlaikus dodot skaidru signālu visām industrijām (t.sk. arī tiem, kuri ir lēnāki tehnoloģiju ieviesēji savos procesos) par jaunāko tehnoloģiju sniegtajām priekšrocībām.</w:t>
      </w:r>
    </w:p>
    <w:p w14:paraId="2E34DBC9" w14:textId="0F6E95A4" w:rsidR="009A078F" w:rsidRPr="0052321A" w:rsidRDefault="009A078F" w:rsidP="0052321A">
      <w:pPr>
        <w:spacing w:line="276" w:lineRule="auto"/>
        <w:jc w:val="both"/>
        <w:rPr>
          <w:rFonts w:ascii="Times New Roman" w:hAnsi="Times New Roman" w:cs="Times New Roman"/>
          <w:b/>
          <w:i/>
          <w:sz w:val="28"/>
          <w:szCs w:val="28"/>
        </w:rPr>
      </w:pPr>
      <w:r w:rsidRPr="0052321A">
        <w:rPr>
          <w:rFonts w:ascii="Times New Roman" w:hAnsi="Times New Roman" w:cs="Times New Roman"/>
          <w:b/>
          <w:i/>
          <w:sz w:val="28"/>
          <w:szCs w:val="28"/>
        </w:rPr>
        <w:t>Datu privātums un aizsardzība var mest izaicinājumu datu vadītam inovācijas procesam</w:t>
      </w:r>
    </w:p>
    <w:p w14:paraId="206F7851" w14:textId="56F0F3FD" w:rsidR="009A078F" w:rsidRPr="001C3611" w:rsidRDefault="009A078F" w:rsidP="0052321A">
      <w:pPr>
        <w:spacing w:line="276" w:lineRule="auto"/>
        <w:jc w:val="both"/>
        <w:rPr>
          <w:rFonts w:ascii="Times New Roman" w:hAnsi="Times New Roman" w:cs="Times New Roman"/>
          <w:sz w:val="24"/>
          <w:szCs w:val="24"/>
        </w:rPr>
      </w:pPr>
      <w:r w:rsidRPr="001C3611">
        <w:rPr>
          <w:rFonts w:ascii="Times New Roman" w:hAnsi="Times New Roman" w:cs="Times New Roman"/>
          <w:sz w:val="24"/>
          <w:szCs w:val="24"/>
        </w:rPr>
        <w:t>Datu pieejamība ir centrālais (</w:t>
      </w:r>
      <w:proofErr w:type="spellStart"/>
      <w:r w:rsidRPr="001C3611">
        <w:rPr>
          <w:rFonts w:ascii="Times New Roman" w:hAnsi="Times New Roman" w:cs="Times New Roman"/>
          <w:sz w:val="24"/>
          <w:szCs w:val="24"/>
        </w:rPr>
        <w:t>key</w:t>
      </w:r>
      <w:proofErr w:type="spellEnd"/>
      <w:r w:rsidRPr="001C3611">
        <w:rPr>
          <w:rFonts w:ascii="Times New Roman" w:hAnsi="Times New Roman" w:cs="Times New Roman"/>
          <w:sz w:val="24"/>
          <w:szCs w:val="24"/>
        </w:rPr>
        <w:t>) elements daudzām inovācijām, kuras vērstas uz</w:t>
      </w:r>
      <w:r w:rsidRPr="001C3611">
        <w:rPr>
          <w:rFonts w:ascii="Times New Roman" w:hAnsi="Times New Roman" w:cs="Times New Roman"/>
          <w:b/>
          <w:sz w:val="24"/>
          <w:szCs w:val="24"/>
        </w:rPr>
        <w:t xml:space="preserve"> </w:t>
      </w:r>
      <w:r w:rsidR="005F43CA" w:rsidRPr="001C3611">
        <w:rPr>
          <w:rFonts w:ascii="Times New Roman" w:hAnsi="Times New Roman" w:cs="Times New Roman"/>
          <w:b/>
          <w:sz w:val="24"/>
          <w:szCs w:val="24"/>
        </w:rPr>
        <w:t>sabiedrības</w:t>
      </w:r>
      <w:r w:rsidRPr="001C3611">
        <w:rPr>
          <w:rFonts w:ascii="Times New Roman" w:hAnsi="Times New Roman" w:cs="Times New Roman"/>
          <w:b/>
          <w:sz w:val="24"/>
          <w:szCs w:val="24"/>
        </w:rPr>
        <w:t xml:space="preserve"> dzīves kvalitātes uzlabošanu. </w:t>
      </w:r>
      <w:r w:rsidRPr="001C3611">
        <w:rPr>
          <w:rFonts w:ascii="Times New Roman" w:hAnsi="Times New Roman" w:cs="Times New Roman"/>
          <w:sz w:val="24"/>
          <w:szCs w:val="24"/>
        </w:rPr>
        <w:t xml:space="preserve">Piemēram, </w:t>
      </w:r>
      <w:r w:rsidR="00160A52" w:rsidRPr="001C3611">
        <w:rPr>
          <w:rFonts w:ascii="Times New Roman" w:hAnsi="Times New Roman" w:cs="Times New Roman"/>
          <w:sz w:val="24"/>
          <w:szCs w:val="24"/>
        </w:rPr>
        <w:t>Lielbritānijas “</w:t>
      </w:r>
      <w:proofErr w:type="spellStart"/>
      <w:r w:rsidR="00160A52" w:rsidRPr="001C3611">
        <w:rPr>
          <w:rFonts w:ascii="Times New Roman" w:hAnsi="Times New Roman" w:cs="Times New Roman"/>
          <w:sz w:val="24"/>
          <w:szCs w:val="24"/>
        </w:rPr>
        <w:t>Future</w:t>
      </w:r>
      <w:proofErr w:type="spellEnd"/>
      <w:r w:rsidR="00160A52" w:rsidRPr="001C3611">
        <w:rPr>
          <w:rFonts w:ascii="Times New Roman" w:hAnsi="Times New Roman" w:cs="Times New Roman"/>
          <w:sz w:val="24"/>
          <w:szCs w:val="24"/>
        </w:rPr>
        <w:t xml:space="preserve"> </w:t>
      </w:r>
      <w:proofErr w:type="spellStart"/>
      <w:r w:rsidR="00160A52" w:rsidRPr="001C3611">
        <w:rPr>
          <w:rFonts w:ascii="Times New Roman" w:hAnsi="Times New Roman" w:cs="Times New Roman"/>
          <w:sz w:val="24"/>
          <w:szCs w:val="24"/>
        </w:rPr>
        <w:t>Cities</w:t>
      </w:r>
      <w:proofErr w:type="spellEnd"/>
      <w:r w:rsidR="00160A52" w:rsidRPr="001C3611">
        <w:rPr>
          <w:rFonts w:ascii="Times New Roman" w:hAnsi="Times New Roman" w:cs="Times New Roman"/>
          <w:sz w:val="24"/>
          <w:szCs w:val="24"/>
        </w:rPr>
        <w:t xml:space="preserve"> </w:t>
      </w:r>
      <w:proofErr w:type="spellStart"/>
      <w:r w:rsidR="00160A52" w:rsidRPr="001C3611">
        <w:rPr>
          <w:rFonts w:ascii="Times New Roman" w:hAnsi="Times New Roman" w:cs="Times New Roman"/>
          <w:sz w:val="24"/>
          <w:szCs w:val="24"/>
        </w:rPr>
        <w:t>Catapult</w:t>
      </w:r>
      <w:proofErr w:type="spellEnd"/>
      <w:r w:rsidR="00160A52" w:rsidRPr="001C3611">
        <w:rPr>
          <w:rFonts w:ascii="Times New Roman" w:hAnsi="Times New Roman" w:cs="Times New Roman"/>
          <w:sz w:val="24"/>
          <w:szCs w:val="24"/>
        </w:rPr>
        <w:t>” programmas “</w:t>
      </w:r>
      <w:proofErr w:type="spellStart"/>
      <w:r w:rsidR="00160A52" w:rsidRPr="001C3611">
        <w:rPr>
          <w:rFonts w:ascii="Times New Roman" w:hAnsi="Times New Roman" w:cs="Times New Roman"/>
          <w:sz w:val="24"/>
          <w:szCs w:val="24"/>
        </w:rPr>
        <w:t>Future</w:t>
      </w:r>
      <w:proofErr w:type="spellEnd"/>
      <w:r w:rsidR="00160A52" w:rsidRPr="001C3611">
        <w:rPr>
          <w:rFonts w:ascii="Times New Roman" w:hAnsi="Times New Roman" w:cs="Times New Roman"/>
          <w:sz w:val="24"/>
          <w:szCs w:val="24"/>
        </w:rPr>
        <w:t xml:space="preserve"> of </w:t>
      </w:r>
      <w:proofErr w:type="spellStart"/>
      <w:r w:rsidR="00160A52" w:rsidRPr="001C3611">
        <w:rPr>
          <w:rFonts w:ascii="Times New Roman" w:hAnsi="Times New Roman" w:cs="Times New Roman"/>
          <w:sz w:val="24"/>
          <w:szCs w:val="24"/>
        </w:rPr>
        <w:t>Planning</w:t>
      </w:r>
      <w:proofErr w:type="spellEnd"/>
      <w:r w:rsidR="00160A52" w:rsidRPr="001C3611">
        <w:rPr>
          <w:rFonts w:ascii="Times New Roman" w:hAnsi="Times New Roman" w:cs="Times New Roman"/>
          <w:sz w:val="24"/>
          <w:szCs w:val="24"/>
        </w:rPr>
        <w:t xml:space="preserve"> </w:t>
      </w:r>
      <w:proofErr w:type="spellStart"/>
      <w:r w:rsidR="00160A52" w:rsidRPr="001C3611">
        <w:rPr>
          <w:rFonts w:ascii="Times New Roman" w:hAnsi="Times New Roman" w:cs="Times New Roman"/>
          <w:sz w:val="24"/>
          <w:szCs w:val="24"/>
        </w:rPr>
        <w:t>programme</w:t>
      </w:r>
      <w:proofErr w:type="spellEnd"/>
      <w:r w:rsidR="00160A52" w:rsidRPr="001C3611">
        <w:rPr>
          <w:rFonts w:ascii="Times New Roman" w:hAnsi="Times New Roman" w:cs="Times New Roman"/>
          <w:sz w:val="24"/>
          <w:szCs w:val="24"/>
        </w:rPr>
        <w:t xml:space="preserve">”, kura atbalsta datos balstītu un digitāli </w:t>
      </w:r>
      <w:proofErr w:type="spellStart"/>
      <w:r w:rsidR="00160A52" w:rsidRPr="001C3611">
        <w:rPr>
          <w:rFonts w:ascii="Times New Roman" w:hAnsi="Times New Roman" w:cs="Times New Roman"/>
          <w:sz w:val="24"/>
          <w:szCs w:val="24"/>
        </w:rPr>
        <w:t>iespējotu</w:t>
      </w:r>
      <w:proofErr w:type="spellEnd"/>
      <w:r w:rsidR="00160A52" w:rsidRPr="001C3611">
        <w:rPr>
          <w:rFonts w:ascii="Times New Roman" w:hAnsi="Times New Roman" w:cs="Times New Roman"/>
          <w:sz w:val="24"/>
          <w:szCs w:val="24"/>
        </w:rPr>
        <w:t xml:space="preserve"> produktu un pakalpojumu izstrādi, kas uzlabo pilsētvides plānošanu, ir atkarīga no </w:t>
      </w:r>
      <w:proofErr w:type="spellStart"/>
      <w:r w:rsidR="00160A52" w:rsidRPr="001C3611">
        <w:rPr>
          <w:rFonts w:ascii="Times New Roman" w:hAnsi="Times New Roman" w:cs="Times New Roman"/>
          <w:sz w:val="24"/>
          <w:szCs w:val="24"/>
        </w:rPr>
        <w:t>inovatoriem</w:t>
      </w:r>
      <w:proofErr w:type="spellEnd"/>
      <w:r w:rsidR="00160A52" w:rsidRPr="001C3611">
        <w:rPr>
          <w:rFonts w:ascii="Times New Roman" w:hAnsi="Times New Roman" w:cs="Times New Roman"/>
          <w:sz w:val="24"/>
          <w:szCs w:val="24"/>
        </w:rPr>
        <w:t xml:space="preserve"> (kompānijām, indivīdiem, plānošanas institūcijām) pieejamās informācijas/datu apjoma par pilsētvidi (piem., dati saistībā ar zemes izmantošanu, ēku </w:t>
      </w:r>
      <w:proofErr w:type="spellStart"/>
      <w:r w:rsidR="00160A52" w:rsidRPr="001C3611">
        <w:rPr>
          <w:rFonts w:ascii="Times New Roman" w:hAnsi="Times New Roman" w:cs="Times New Roman"/>
          <w:sz w:val="24"/>
          <w:szCs w:val="24"/>
        </w:rPr>
        <w:t>energopatēriņa</w:t>
      </w:r>
      <w:proofErr w:type="spellEnd"/>
      <w:r w:rsidR="00160A52" w:rsidRPr="001C3611">
        <w:rPr>
          <w:rFonts w:ascii="Times New Roman" w:hAnsi="Times New Roman" w:cs="Times New Roman"/>
          <w:sz w:val="24"/>
          <w:szCs w:val="24"/>
        </w:rPr>
        <w:t xml:space="preserve"> dati, satiksmes plūsmas dati, gaisa piesārņojuma līmeņa u.c. veida dati).</w:t>
      </w:r>
      <w:r w:rsidR="00F66621" w:rsidRPr="001C3611">
        <w:rPr>
          <w:rFonts w:ascii="Times New Roman" w:hAnsi="Times New Roman" w:cs="Times New Roman"/>
          <w:sz w:val="24"/>
          <w:szCs w:val="24"/>
        </w:rPr>
        <w:t xml:space="preserve"> Veidojot šādu pieeju – tas nodrošina arī vienlīdzīgas iespējas visiem tirgus dalībniekiem.</w:t>
      </w:r>
      <w:r w:rsidR="00160A52" w:rsidRPr="001C3611">
        <w:rPr>
          <w:rFonts w:ascii="Times New Roman" w:hAnsi="Times New Roman" w:cs="Times New Roman"/>
          <w:sz w:val="24"/>
          <w:szCs w:val="24"/>
        </w:rPr>
        <w:t xml:space="preserve"> </w:t>
      </w:r>
      <w:r w:rsidR="00160A52" w:rsidRPr="001C3611">
        <w:rPr>
          <w:rFonts w:ascii="Times New Roman" w:hAnsi="Times New Roman" w:cs="Times New Roman"/>
          <w:b/>
          <w:sz w:val="24"/>
          <w:szCs w:val="24"/>
        </w:rPr>
        <w:t>Atrast pareizo līdzsvaru starp privātumu, personas tiesībām uz drošību</w:t>
      </w:r>
      <w:r w:rsidR="00F66621" w:rsidRPr="001C3611">
        <w:rPr>
          <w:rFonts w:ascii="Times New Roman" w:hAnsi="Times New Roman" w:cs="Times New Roman"/>
          <w:b/>
          <w:sz w:val="24"/>
          <w:szCs w:val="24"/>
        </w:rPr>
        <w:t xml:space="preserve"> un datu pieejamību</w:t>
      </w:r>
      <w:r w:rsidR="00F66621" w:rsidRPr="001C3611">
        <w:rPr>
          <w:rFonts w:ascii="Times New Roman" w:hAnsi="Times New Roman" w:cs="Times New Roman"/>
          <w:sz w:val="24"/>
          <w:szCs w:val="24"/>
        </w:rPr>
        <w:t xml:space="preserve"> ir kritiski svarīgi un viens no lielākajiem izaicinājumiem publiskajai pārvaldei. Izmaksu līmeni šādai datu pieejamībai (ietekmei uz drošības un privātuma līmeni</w:t>
      </w:r>
      <w:r w:rsidR="004B6681" w:rsidRPr="001C3611">
        <w:rPr>
          <w:rFonts w:ascii="Times New Roman" w:hAnsi="Times New Roman" w:cs="Times New Roman"/>
          <w:sz w:val="24"/>
          <w:szCs w:val="24"/>
        </w:rPr>
        <w:t xml:space="preserve"> – piem., pacientu dati veselības aprūpes inovāciju nodrošināšanai</w:t>
      </w:r>
      <w:r w:rsidR="00F66621" w:rsidRPr="001C3611">
        <w:rPr>
          <w:rFonts w:ascii="Times New Roman" w:hAnsi="Times New Roman" w:cs="Times New Roman"/>
          <w:sz w:val="24"/>
          <w:szCs w:val="24"/>
        </w:rPr>
        <w:t>) ir jāvērtē pret ieguvumiem, kas tiek sniegti no radītās inovācijas un tās ietekmi uz sabiedrību.</w:t>
      </w:r>
    </w:p>
    <w:p w14:paraId="67D78D25" w14:textId="2A9EBCF1" w:rsidR="00F66621" w:rsidRPr="0052321A" w:rsidRDefault="00F66621" w:rsidP="009A078F">
      <w:pPr>
        <w:jc w:val="both"/>
        <w:rPr>
          <w:rFonts w:ascii="Times New Roman" w:hAnsi="Times New Roman" w:cs="Times New Roman"/>
          <w:b/>
          <w:i/>
          <w:sz w:val="28"/>
          <w:szCs w:val="28"/>
        </w:rPr>
      </w:pPr>
      <w:r w:rsidRPr="0052321A">
        <w:rPr>
          <w:rFonts w:ascii="Times New Roman" w:hAnsi="Times New Roman" w:cs="Times New Roman"/>
          <w:b/>
          <w:i/>
          <w:sz w:val="28"/>
          <w:szCs w:val="28"/>
        </w:rPr>
        <w:t>Pilsētās aizvien koncentrējas inovāciju aktivitātes un visbiežāk tās ir kā “dzīvas” datu laboratorijas datos balstītām inovācijām, kuras risina neatliekamas pilsētu problēmas</w:t>
      </w:r>
    </w:p>
    <w:p w14:paraId="6B8B8F89" w14:textId="088650B5" w:rsidR="00694FBB" w:rsidRPr="001C3611" w:rsidRDefault="00244BEF" w:rsidP="0052321A">
      <w:pPr>
        <w:spacing w:line="276" w:lineRule="auto"/>
        <w:jc w:val="both"/>
        <w:rPr>
          <w:rFonts w:ascii="Times New Roman" w:hAnsi="Times New Roman" w:cs="Times New Roman"/>
          <w:sz w:val="24"/>
          <w:szCs w:val="24"/>
        </w:rPr>
      </w:pPr>
      <w:r w:rsidRPr="001C3611">
        <w:rPr>
          <w:rFonts w:ascii="Times New Roman" w:hAnsi="Times New Roman" w:cs="Times New Roman"/>
          <w:sz w:val="24"/>
          <w:szCs w:val="24"/>
        </w:rPr>
        <w:t xml:space="preserve">Jauno tehnoloģiju izmantošana </w:t>
      </w:r>
      <w:r w:rsidR="00694FBB" w:rsidRPr="001C3611">
        <w:rPr>
          <w:rFonts w:ascii="Times New Roman" w:hAnsi="Times New Roman" w:cs="Times New Roman"/>
          <w:sz w:val="24"/>
          <w:szCs w:val="24"/>
        </w:rPr>
        <w:t xml:space="preserve">viennozīmīgi uzlabo politikas procesu un tā kvalitāti. </w:t>
      </w:r>
      <w:proofErr w:type="spellStart"/>
      <w:r w:rsidR="00694FBB" w:rsidRPr="001C3611">
        <w:rPr>
          <w:rFonts w:ascii="Times New Roman" w:hAnsi="Times New Roman" w:cs="Times New Roman"/>
          <w:b/>
          <w:sz w:val="24"/>
          <w:szCs w:val="24"/>
        </w:rPr>
        <w:t>Digitalizācija</w:t>
      </w:r>
      <w:proofErr w:type="spellEnd"/>
      <w:r w:rsidR="00694FBB" w:rsidRPr="001C3611">
        <w:rPr>
          <w:rFonts w:ascii="Times New Roman" w:hAnsi="Times New Roman" w:cs="Times New Roman"/>
          <w:b/>
          <w:sz w:val="24"/>
          <w:szCs w:val="24"/>
        </w:rPr>
        <w:t xml:space="preserve"> sniedz unikālu iespēju paaugstināt sabiedrības līdzdalību un ietekmi politikas veidošanas procesos, vienlaikus paaugstinot arī politiskās sistēmas caurspīdīgumu.</w:t>
      </w:r>
      <w:r w:rsidR="00BB49EC" w:rsidRPr="001C3611">
        <w:rPr>
          <w:rFonts w:ascii="Times New Roman" w:hAnsi="Times New Roman" w:cs="Times New Roman"/>
          <w:b/>
          <w:sz w:val="24"/>
          <w:szCs w:val="24"/>
        </w:rPr>
        <w:t xml:space="preserve"> Atvērta pieeja pilsētu datiem ir izšķiroši svarīgi </w:t>
      </w:r>
      <w:proofErr w:type="spellStart"/>
      <w:r w:rsidR="00BB49EC" w:rsidRPr="001C3611">
        <w:rPr>
          <w:rFonts w:ascii="Times New Roman" w:hAnsi="Times New Roman" w:cs="Times New Roman"/>
          <w:b/>
          <w:sz w:val="24"/>
          <w:szCs w:val="24"/>
        </w:rPr>
        <w:t>inovatoriem</w:t>
      </w:r>
      <w:proofErr w:type="spellEnd"/>
      <w:r w:rsidR="00BB49EC" w:rsidRPr="001C3611">
        <w:rPr>
          <w:rFonts w:ascii="Times New Roman" w:hAnsi="Times New Roman" w:cs="Times New Roman"/>
          <w:sz w:val="24"/>
          <w:szCs w:val="24"/>
        </w:rPr>
        <w:t>, lai radītu pilnīgi jaunus un unikālus risinājumus pilsētvides kā dzīves telpas uzlabošanai.</w:t>
      </w:r>
      <w:r w:rsidR="00694FBB" w:rsidRPr="001C3611">
        <w:rPr>
          <w:rFonts w:ascii="Times New Roman" w:hAnsi="Times New Roman" w:cs="Times New Roman"/>
          <w:sz w:val="24"/>
          <w:szCs w:val="24"/>
        </w:rPr>
        <w:t xml:space="preserve"> Lielbritānijas piemērs par “</w:t>
      </w:r>
      <w:proofErr w:type="spellStart"/>
      <w:r w:rsidR="00694FBB" w:rsidRPr="001C3611">
        <w:rPr>
          <w:rFonts w:ascii="Times New Roman" w:hAnsi="Times New Roman" w:cs="Times New Roman"/>
          <w:sz w:val="24"/>
          <w:szCs w:val="24"/>
        </w:rPr>
        <w:t>Future</w:t>
      </w:r>
      <w:proofErr w:type="spellEnd"/>
      <w:r w:rsidR="00694FBB" w:rsidRPr="001C3611">
        <w:rPr>
          <w:rFonts w:ascii="Times New Roman" w:hAnsi="Times New Roman" w:cs="Times New Roman"/>
          <w:sz w:val="24"/>
          <w:szCs w:val="24"/>
        </w:rPr>
        <w:t xml:space="preserve"> of </w:t>
      </w:r>
      <w:proofErr w:type="spellStart"/>
      <w:r w:rsidR="00694FBB" w:rsidRPr="001C3611">
        <w:rPr>
          <w:rFonts w:ascii="Times New Roman" w:hAnsi="Times New Roman" w:cs="Times New Roman"/>
          <w:sz w:val="24"/>
          <w:szCs w:val="24"/>
        </w:rPr>
        <w:t>Planning</w:t>
      </w:r>
      <w:proofErr w:type="spellEnd"/>
      <w:r w:rsidR="00694FBB" w:rsidRPr="001C3611">
        <w:rPr>
          <w:rFonts w:ascii="Times New Roman" w:hAnsi="Times New Roman" w:cs="Times New Roman"/>
          <w:sz w:val="24"/>
          <w:szCs w:val="24"/>
        </w:rPr>
        <w:t xml:space="preserve">” programmas realizāciju, kuras ietvaros tiek izmantotas jaunākās tehnoloģijas, pilsētvides dati un uz lietotāju orientētas pakalpojuma dizaina pieeja, kas sniedz būtisku pienesumu arī nacionāla līmeņa dažādu nozaru politiku plānošanai.  </w:t>
      </w:r>
      <w:r w:rsidR="00CA3E2C" w:rsidRPr="001C3611">
        <w:rPr>
          <w:rFonts w:ascii="Times New Roman" w:hAnsi="Times New Roman" w:cs="Times New Roman"/>
          <w:sz w:val="24"/>
          <w:szCs w:val="24"/>
        </w:rPr>
        <w:t>Datu pieejamība (piem., GPS dat</w:t>
      </w:r>
      <w:r w:rsidR="006B286C" w:rsidRPr="001C3611">
        <w:rPr>
          <w:rFonts w:ascii="Times New Roman" w:hAnsi="Times New Roman" w:cs="Times New Roman"/>
          <w:sz w:val="24"/>
          <w:szCs w:val="24"/>
        </w:rPr>
        <w:t>i</w:t>
      </w:r>
      <w:r w:rsidR="00CA3E2C" w:rsidRPr="001C3611">
        <w:rPr>
          <w:rFonts w:ascii="Times New Roman" w:hAnsi="Times New Roman" w:cs="Times New Roman"/>
          <w:sz w:val="24"/>
          <w:szCs w:val="24"/>
        </w:rPr>
        <w:t xml:space="preserve">, </w:t>
      </w:r>
      <w:proofErr w:type="spellStart"/>
      <w:r w:rsidR="006B286C" w:rsidRPr="001C3611">
        <w:rPr>
          <w:rFonts w:ascii="Times New Roman" w:hAnsi="Times New Roman" w:cs="Times New Roman"/>
          <w:sz w:val="24"/>
          <w:szCs w:val="24"/>
        </w:rPr>
        <w:t>Twiter</w:t>
      </w:r>
      <w:proofErr w:type="spellEnd"/>
      <w:r w:rsidR="00CA3E2C" w:rsidRPr="001C3611">
        <w:rPr>
          <w:rFonts w:ascii="Times New Roman" w:hAnsi="Times New Roman" w:cs="Times New Roman"/>
          <w:sz w:val="24"/>
          <w:szCs w:val="24"/>
        </w:rPr>
        <w:t xml:space="preserve">, pilsētvides sensori) un jaunas analītikas pieejas (piem., </w:t>
      </w:r>
      <w:proofErr w:type="spellStart"/>
      <w:r w:rsidR="00CA3E2C" w:rsidRPr="001C3611">
        <w:rPr>
          <w:rFonts w:ascii="Times New Roman" w:hAnsi="Times New Roman" w:cs="Times New Roman"/>
          <w:i/>
          <w:sz w:val="24"/>
          <w:szCs w:val="24"/>
        </w:rPr>
        <w:t>data</w:t>
      </w:r>
      <w:proofErr w:type="spellEnd"/>
      <w:r w:rsidR="00CA3E2C" w:rsidRPr="001C3611">
        <w:rPr>
          <w:rFonts w:ascii="Times New Roman" w:hAnsi="Times New Roman" w:cs="Times New Roman"/>
          <w:i/>
          <w:sz w:val="24"/>
          <w:szCs w:val="24"/>
        </w:rPr>
        <w:t xml:space="preserve"> </w:t>
      </w:r>
      <w:proofErr w:type="spellStart"/>
      <w:r w:rsidR="00CA3E2C" w:rsidRPr="001C3611">
        <w:rPr>
          <w:rFonts w:ascii="Times New Roman" w:hAnsi="Times New Roman" w:cs="Times New Roman"/>
          <w:i/>
          <w:sz w:val="24"/>
          <w:szCs w:val="24"/>
        </w:rPr>
        <w:t>mining</w:t>
      </w:r>
      <w:proofErr w:type="spellEnd"/>
      <w:r w:rsidR="00CA3E2C" w:rsidRPr="001C3611">
        <w:rPr>
          <w:rFonts w:ascii="Times New Roman" w:hAnsi="Times New Roman" w:cs="Times New Roman"/>
          <w:sz w:val="24"/>
          <w:szCs w:val="24"/>
        </w:rPr>
        <w:t>, scen</w:t>
      </w:r>
      <w:r w:rsidR="0027133D" w:rsidRPr="001C3611">
        <w:rPr>
          <w:rFonts w:ascii="Times New Roman" w:hAnsi="Times New Roman" w:cs="Times New Roman"/>
          <w:sz w:val="24"/>
          <w:szCs w:val="24"/>
        </w:rPr>
        <w:t>āriju testēšana</w:t>
      </w:r>
      <w:r w:rsidR="00CA3E2C" w:rsidRPr="001C3611">
        <w:rPr>
          <w:rFonts w:ascii="Times New Roman" w:hAnsi="Times New Roman" w:cs="Times New Roman"/>
          <w:sz w:val="24"/>
          <w:szCs w:val="24"/>
        </w:rPr>
        <w:t xml:space="preserve">, </w:t>
      </w:r>
      <w:proofErr w:type="spellStart"/>
      <w:r w:rsidR="00CA3E2C" w:rsidRPr="001C3611">
        <w:rPr>
          <w:rFonts w:ascii="Times New Roman" w:hAnsi="Times New Roman" w:cs="Times New Roman"/>
          <w:sz w:val="24"/>
          <w:szCs w:val="24"/>
        </w:rPr>
        <w:t>vizualizācija</w:t>
      </w:r>
      <w:proofErr w:type="spellEnd"/>
      <w:r w:rsidR="00CA3E2C" w:rsidRPr="001C3611">
        <w:rPr>
          <w:rFonts w:ascii="Times New Roman" w:hAnsi="Times New Roman" w:cs="Times New Roman"/>
          <w:sz w:val="24"/>
          <w:szCs w:val="24"/>
        </w:rPr>
        <w:t>) sniedz iespēju iegūt informatīvi daudz bagātīgāku ainu par to, kas notiek pilsētās.</w:t>
      </w:r>
      <w:r w:rsidR="0027133D" w:rsidRPr="001C3611">
        <w:rPr>
          <w:rFonts w:ascii="Times New Roman" w:hAnsi="Times New Roman" w:cs="Times New Roman"/>
          <w:sz w:val="24"/>
          <w:szCs w:val="24"/>
        </w:rPr>
        <w:t xml:space="preserve"> </w:t>
      </w:r>
      <w:r w:rsidR="0027133D" w:rsidRPr="001C3611">
        <w:rPr>
          <w:rFonts w:ascii="Times New Roman" w:hAnsi="Times New Roman" w:cs="Times New Roman"/>
          <w:b/>
          <w:sz w:val="24"/>
          <w:szCs w:val="24"/>
        </w:rPr>
        <w:t>Lai nodrošinātu šāda veida datu savākšanu, apstrādi, analīzi un secinājumu izstrādi ir nepieciešama speciālistu apmācība.</w:t>
      </w:r>
      <w:r w:rsidR="0027133D" w:rsidRPr="001C3611">
        <w:rPr>
          <w:rFonts w:ascii="Times New Roman" w:hAnsi="Times New Roman" w:cs="Times New Roman"/>
          <w:sz w:val="24"/>
          <w:szCs w:val="24"/>
        </w:rPr>
        <w:t xml:space="preserve"> Šād</w:t>
      </w:r>
      <w:r w:rsidR="003F73F4" w:rsidRPr="001C3611">
        <w:rPr>
          <w:rFonts w:ascii="Times New Roman" w:hAnsi="Times New Roman" w:cs="Times New Roman"/>
          <w:sz w:val="24"/>
          <w:szCs w:val="24"/>
        </w:rPr>
        <w:t>u</w:t>
      </w:r>
      <w:r w:rsidR="0027133D" w:rsidRPr="001C3611">
        <w:rPr>
          <w:rFonts w:ascii="Times New Roman" w:hAnsi="Times New Roman" w:cs="Times New Roman"/>
          <w:sz w:val="24"/>
          <w:szCs w:val="24"/>
        </w:rPr>
        <w:t xml:space="preserve"> specifisk</w:t>
      </w:r>
      <w:r w:rsidR="003F73F4" w:rsidRPr="001C3611">
        <w:rPr>
          <w:rFonts w:ascii="Times New Roman" w:hAnsi="Times New Roman" w:cs="Times New Roman"/>
          <w:sz w:val="24"/>
          <w:szCs w:val="24"/>
        </w:rPr>
        <w:t>u</w:t>
      </w:r>
      <w:r w:rsidR="0027133D" w:rsidRPr="001C3611">
        <w:rPr>
          <w:rFonts w:ascii="Times New Roman" w:hAnsi="Times New Roman" w:cs="Times New Roman"/>
          <w:sz w:val="24"/>
          <w:szCs w:val="24"/>
        </w:rPr>
        <w:t xml:space="preserve"> zināšan</w:t>
      </w:r>
      <w:r w:rsidR="003F73F4" w:rsidRPr="001C3611">
        <w:rPr>
          <w:rFonts w:ascii="Times New Roman" w:hAnsi="Times New Roman" w:cs="Times New Roman"/>
          <w:sz w:val="24"/>
          <w:szCs w:val="24"/>
        </w:rPr>
        <w:t xml:space="preserve">u nodrošināšana ir universitāšu nākotnes izaicinājums. Piemēram, </w:t>
      </w:r>
      <w:proofErr w:type="spellStart"/>
      <w:r w:rsidR="003F73F4" w:rsidRPr="001C3611">
        <w:rPr>
          <w:rFonts w:ascii="Times New Roman" w:hAnsi="Times New Roman" w:cs="Times New Roman"/>
          <w:i/>
          <w:sz w:val="24"/>
          <w:szCs w:val="24"/>
        </w:rPr>
        <w:t>University</w:t>
      </w:r>
      <w:proofErr w:type="spellEnd"/>
      <w:r w:rsidR="003F73F4" w:rsidRPr="001C3611">
        <w:rPr>
          <w:rFonts w:ascii="Times New Roman" w:hAnsi="Times New Roman" w:cs="Times New Roman"/>
          <w:i/>
          <w:sz w:val="24"/>
          <w:szCs w:val="24"/>
        </w:rPr>
        <w:t xml:space="preserve"> </w:t>
      </w:r>
      <w:proofErr w:type="spellStart"/>
      <w:r w:rsidR="003F73F4" w:rsidRPr="001C3611">
        <w:rPr>
          <w:rFonts w:ascii="Times New Roman" w:hAnsi="Times New Roman" w:cs="Times New Roman"/>
          <w:i/>
          <w:sz w:val="24"/>
          <w:szCs w:val="24"/>
        </w:rPr>
        <w:t>College</w:t>
      </w:r>
      <w:proofErr w:type="spellEnd"/>
      <w:r w:rsidR="003F73F4" w:rsidRPr="001C3611">
        <w:rPr>
          <w:rFonts w:ascii="Times New Roman" w:hAnsi="Times New Roman" w:cs="Times New Roman"/>
          <w:i/>
          <w:sz w:val="24"/>
          <w:szCs w:val="24"/>
        </w:rPr>
        <w:t xml:space="preserve"> </w:t>
      </w:r>
      <w:proofErr w:type="spellStart"/>
      <w:r w:rsidR="003F73F4" w:rsidRPr="001C3611">
        <w:rPr>
          <w:rFonts w:ascii="Times New Roman" w:hAnsi="Times New Roman" w:cs="Times New Roman"/>
          <w:i/>
          <w:sz w:val="24"/>
          <w:szCs w:val="24"/>
        </w:rPr>
        <w:t>London</w:t>
      </w:r>
      <w:proofErr w:type="spellEnd"/>
      <w:r w:rsidR="003F73F4" w:rsidRPr="001C3611">
        <w:rPr>
          <w:rFonts w:ascii="Times New Roman" w:hAnsi="Times New Roman" w:cs="Times New Roman"/>
          <w:i/>
          <w:sz w:val="24"/>
          <w:szCs w:val="24"/>
        </w:rPr>
        <w:t xml:space="preserve"> piedāvā divas maģistru studiju programmas ar specializāciju pilsētvides datu analītikas zināšanas kā arī </w:t>
      </w:r>
      <w:proofErr w:type="spellStart"/>
      <w:r w:rsidR="003F73F4" w:rsidRPr="001C3611">
        <w:rPr>
          <w:rFonts w:ascii="Times New Roman" w:hAnsi="Times New Roman" w:cs="Times New Roman"/>
          <w:i/>
          <w:sz w:val="24"/>
          <w:szCs w:val="24"/>
        </w:rPr>
        <w:t>viedpilsētu</w:t>
      </w:r>
      <w:proofErr w:type="spellEnd"/>
      <w:r w:rsidR="003F73F4" w:rsidRPr="001C3611">
        <w:rPr>
          <w:rFonts w:ascii="Times New Roman" w:hAnsi="Times New Roman" w:cs="Times New Roman"/>
          <w:i/>
          <w:sz w:val="24"/>
          <w:szCs w:val="24"/>
        </w:rPr>
        <w:t xml:space="preserve"> un pilsētvides analītiku un telpisko datu zinātne un </w:t>
      </w:r>
      <w:proofErr w:type="spellStart"/>
      <w:r w:rsidR="003F73F4" w:rsidRPr="001C3611">
        <w:rPr>
          <w:rFonts w:ascii="Times New Roman" w:hAnsi="Times New Roman" w:cs="Times New Roman"/>
          <w:i/>
          <w:sz w:val="24"/>
          <w:szCs w:val="24"/>
        </w:rPr>
        <w:t>vizualizācija</w:t>
      </w:r>
      <w:proofErr w:type="spellEnd"/>
      <w:r w:rsidR="003F73F4" w:rsidRPr="001C3611">
        <w:rPr>
          <w:rFonts w:ascii="Times New Roman" w:hAnsi="Times New Roman" w:cs="Times New Roman"/>
          <w:i/>
          <w:sz w:val="24"/>
          <w:szCs w:val="24"/>
        </w:rPr>
        <w:t>.</w:t>
      </w:r>
      <w:r w:rsidR="003F73F4" w:rsidRPr="001C3611">
        <w:rPr>
          <w:rFonts w:ascii="Times New Roman" w:hAnsi="Times New Roman" w:cs="Times New Roman"/>
          <w:sz w:val="24"/>
          <w:szCs w:val="24"/>
        </w:rPr>
        <w:t xml:space="preserve"> </w:t>
      </w:r>
      <w:r w:rsidR="00BB49EC" w:rsidRPr="001C3611">
        <w:rPr>
          <w:rFonts w:ascii="Times New Roman" w:hAnsi="Times New Roman" w:cs="Times New Roman"/>
          <w:sz w:val="24"/>
          <w:szCs w:val="24"/>
        </w:rPr>
        <w:t>Vietējās pašvaldības ir vieni no potenciālajiem digitālā biznesa atbalstītājiem</w:t>
      </w:r>
      <w:r w:rsidR="006C5E1E" w:rsidRPr="001C3611">
        <w:rPr>
          <w:rFonts w:ascii="Times New Roman" w:hAnsi="Times New Roman" w:cs="Times New Roman"/>
          <w:sz w:val="24"/>
          <w:szCs w:val="24"/>
        </w:rPr>
        <w:t xml:space="preserve"> ar pieņēmumu, ka pašvaldības </w:t>
      </w:r>
      <w:proofErr w:type="spellStart"/>
      <w:r w:rsidR="006C5E1E" w:rsidRPr="001C3611">
        <w:rPr>
          <w:rFonts w:ascii="Times New Roman" w:hAnsi="Times New Roman" w:cs="Times New Roman"/>
          <w:sz w:val="24"/>
          <w:szCs w:val="24"/>
        </w:rPr>
        <w:t>proaktīvi</w:t>
      </w:r>
      <w:proofErr w:type="spellEnd"/>
      <w:r w:rsidR="006C5E1E" w:rsidRPr="001C3611">
        <w:rPr>
          <w:rFonts w:ascii="Times New Roman" w:hAnsi="Times New Roman" w:cs="Times New Roman"/>
          <w:sz w:val="24"/>
          <w:szCs w:val="24"/>
        </w:rPr>
        <w:t xml:space="preserve"> attīsta digitālās prasmes un servisus, kas rezultātā nodrošinātu arī dažādu digitālo programmu ieviešanu (piem., </w:t>
      </w:r>
      <w:proofErr w:type="spellStart"/>
      <w:r w:rsidR="006C5E1E" w:rsidRPr="001C3611">
        <w:rPr>
          <w:rFonts w:ascii="Times New Roman" w:hAnsi="Times New Roman" w:cs="Times New Roman"/>
          <w:sz w:val="24"/>
          <w:szCs w:val="24"/>
        </w:rPr>
        <w:t>testbeds</w:t>
      </w:r>
      <w:proofErr w:type="spellEnd"/>
      <w:r w:rsidR="006C5E1E" w:rsidRPr="001C3611">
        <w:rPr>
          <w:rFonts w:ascii="Times New Roman" w:hAnsi="Times New Roman" w:cs="Times New Roman"/>
          <w:sz w:val="24"/>
          <w:szCs w:val="24"/>
        </w:rPr>
        <w:t xml:space="preserve"> 5G ieviešanai, vietējie digitālie klasteri u.c.) kā arī šādos apstākļos, ar augstu zināšanu un izpratnes līmeni par digitālo </w:t>
      </w:r>
      <w:r w:rsidR="006C5E1E" w:rsidRPr="001C3611">
        <w:rPr>
          <w:rFonts w:ascii="Times New Roman" w:hAnsi="Times New Roman" w:cs="Times New Roman"/>
          <w:sz w:val="24"/>
          <w:szCs w:val="24"/>
        </w:rPr>
        <w:lastRenderedPageBreak/>
        <w:t xml:space="preserve">tehnoloģiju lomu un ietekmi, tās var būt labi informēts klients vietējai digitālo produktu/pakalpojumu industrijai. </w:t>
      </w:r>
    </w:p>
    <w:p w14:paraId="26C33B26" w14:textId="6AB348FE" w:rsidR="00F66621" w:rsidRPr="001C3611" w:rsidRDefault="003F73F4" w:rsidP="0052321A">
      <w:pPr>
        <w:spacing w:line="276" w:lineRule="auto"/>
        <w:jc w:val="both"/>
        <w:rPr>
          <w:rFonts w:ascii="Times New Roman" w:hAnsi="Times New Roman" w:cs="Times New Roman"/>
          <w:sz w:val="24"/>
          <w:szCs w:val="24"/>
        </w:rPr>
      </w:pPr>
      <w:r w:rsidRPr="001C3611">
        <w:rPr>
          <w:rFonts w:ascii="Times New Roman" w:hAnsi="Times New Roman" w:cs="Times New Roman"/>
          <w:sz w:val="24"/>
          <w:szCs w:val="24"/>
        </w:rPr>
        <w:t>Lielbritānijā realizētais</w:t>
      </w:r>
      <w:r w:rsidR="00694FBB" w:rsidRPr="001C3611">
        <w:rPr>
          <w:rFonts w:ascii="Times New Roman" w:hAnsi="Times New Roman" w:cs="Times New Roman"/>
          <w:sz w:val="24"/>
          <w:szCs w:val="24"/>
        </w:rPr>
        <w:t xml:space="preserve"> </w:t>
      </w:r>
      <w:r w:rsidR="00F66621" w:rsidRPr="001C3611">
        <w:rPr>
          <w:rFonts w:ascii="Times New Roman" w:hAnsi="Times New Roman" w:cs="Times New Roman"/>
          <w:sz w:val="24"/>
          <w:szCs w:val="24"/>
        </w:rPr>
        <w:t xml:space="preserve">“Red </w:t>
      </w:r>
      <w:proofErr w:type="spellStart"/>
      <w:r w:rsidR="00F66621" w:rsidRPr="001C3611">
        <w:rPr>
          <w:rFonts w:ascii="Times New Roman" w:hAnsi="Times New Roman" w:cs="Times New Roman"/>
          <w:sz w:val="24"/>
          <w:szCs w:val="24"/>
        </w:rPr>
        <w:t>Ninja`s</w:t>
      </w:r>
      <w:proofErr w:type="spellEnd"/>
      <w:r w:rsidR="00F66621" w:rsidRPr="001C3611">
        <w:rPr>
          <w:rFonts w:ascii="Times New Roman" w:hAnsi="Times New Roman" w:cs="Times New Roman"/>
          <w:sz w:val="24"/>
          <w:szCs w:val="24"/>
        </w:rPr>
        <w:t xml:space="preserve"> </w:t>
      </w:r>
      <w:proofErr w:type="spellStart"/>
      <w:r w:rsidR="00F66621" w:rsidRPr="001C3611">
        <w:rPr>
          <w:rFonts w:ascii="Times New Roman" w:hAnsi="Times New Roman" w:cs="Times New Roman"/>
          <w:sz w:val="24"/>
          <w:szCs w:val="24"/>
        </w:rPr>
        <w:t>LiFE</w:t>
      </w:r>
      <w:proofErr w:type="spellEnd"/>
      <w:r w:rsidR="00F66621" w:rsidRPr="001C3611">
        <w:rPr>
          <w:rFonts w:ascii="Times New Roman" w:hAnsi="Times New Roman" w:cs="Times New Roman"/>
          <w:sz w:val="24"/>
          <w:szCs w:val="24"/>
        </w:rPr>
        <w:t xml:space="preserve">” projekts ilustrē vienu šādu uzlabojumu, kas tika veikts projekta ietvaros </w:t>
      </w:r>
      <w:r w:rsidR="00D4280E" w:rsidRPr="001C3611">
        <w:rPr>
          <w:rFonts w:ascii="Times New Roman" w:hAnsi="Times New Roman" w:cs="Times New Roman"/>
          <w:sz w:val="24"/>
          <w:szCs w:val="24"/>
        </w:rPr>
        <w:t>–</w:t>
      </w:r>
      <w:r w:rsidR="00F66621" w:rsidRPr="001C3611">
        <w:rPr>
          <w:rFonts w:ascii="Times New Roman" w:hAnsi="Times New Roman" w:cs="Times New Roman"/>
          <w:sz w:val="24"/>
          <w:szCs w:val="24"/>
        </w:rPr>
        <w:t xml:space="preserve"> </w:t>
      </w:r>
      <w:r w:rsidR="00D4280E" w:rsidRPr="001C3611">
        <w:rPr>
          <w:rFonts w:ascii="Times New Roman" w:hAnsi="Times New Roman" w:cs="Times New Roman"/>
          <w:sz w:val="24"/>
          <w:szCs w:val="24"/>
        </w:rPr>
        <w:t xml:space="preserve">tika integrēti Neatliekamās medicīniskās palīdzības ekipāžu maršrutu aplikācijas ar pilsētas transporta pārvaldības </w:t>
      </w:r>
      <w:r w:rsidRPr="001C3611">
        <w:rPr>
          <w:rFonts w:ascii="Times New Roman" w:hAnsi="Times New Roman" w:cs="Times New Roman"/>
          <w:sz w:val="24"/>
          <w:szCs w:val="24"/>
        </w:rPr>
        <w:t xml:space="preserve">(primāri </w:t>
      </w:r>
      <w:proofErr w:type="spellStart"/>
      <w:r w:rsidRPr="001C3611">
        <w:rPr>
          <w:rFonts w:ascii="Times New Roman" w:hAnsi="Times New Roman" w:cs="Times New Roman"/>
          <w:sz w:val="24"/>
          <w:szCs w:val="24"/>
        </w:rPr>
        <w:t>luskaforu</w:t>
      </w:r>
      <w:proofErr w:type="spellEnd"/>
      <w:r w:rsidRPr="001C3611">
        <w:rPr>
          <w:rFonts w:ascii="Times New Roman" w:hAnsi="Times New Roman" w:cs="Times New Roman"/>
          <w:sz w:val="24"/>
          <w:szCs w:val="24"/>
        </w:rPr>
        <w:t xml:space="preserve">) </w:t>
      </w:r>
      <w:r w:rsidR="00D4280E" w:rsidRPr="001C3611">
        <w:rPr>
          <w:rFonts w:ascii="Times New Roman" w:hAnsi="Times New Roman" w:cs="Times New Roman"/>
          <w:sz w:val="24"/>
          <w:szCs w:val="24"/>
        </w:rPr>
        <w:t>sistēmu, iegūstot iespēju, nepieciešamības gadījumos nodrošināt pašus optimālākos maršrutus</w:t>
      </w:r>
      <w:r w:rsidRPr="001C3611">
        <w:rPr>
          <w:rFonts w:ascii="Times New Roman" w:hAnsi="Times New Roman" w:cs="Times New Roman"/>
          <w:sz w:val="24"/>
          <w:szCs w:val="24"/>
        </w:rPr>
        <w:t xml:space="preserve"> un transporta plūsmu korekcijas reālā laikā</w:t>
      </w:r>
      <w:r w:rsidR="00D4280E" w:rsidRPr="001C3611">
        <w:rPr>
          <w:rFonts w:ascii="Times New Roman" w:hAnsi="Times New Roman" w:cs="Times New Roman"/>
          <w:sz w:val="24"/>
          <w:szCs w:val="24"/>
        </w:rPr>
        <w:t>, lai nodrošinātu maksimāli ātru mediķu palīdzības sniegšanu pacientam. Izstrādātie digitālo risinājumu algoritmi tika testēti Liverpūlē – apdzīvotas pilsētvides apstākļos.</w:t>
      </w:r>
      <w:r w:rsidR="004B7123" w:rsidRPr="001C3611">
        <w:rPr>
          <w:rFonts w:ascii="Times New Roman" w:hAnsi="Times New Roman" w:cs="Times New Roman"/>
          <w:sz w:val="24"/>
          <w:szCs w:val="24"/>
        </w:rPr>
        <w:t xml:space="preserve"> </w:t>
      </w:r>
    </w:p>
    <w:p w14:paraId="66014497" w14:textId="7BA529C2" w:rsidR="00D4280E" w:rsidRPr="001C3611" w:rsidRDefault="00D4280E" w:rsidP="009A078F">
      <w:pPr>
        <w:jc w:val="both"/>
        <w:rPr>
          <w:rFonts w:ascii="Times New Roman" w:hAnsi="Times New Roman" w:cs="Times New Roman"/>
          <w:sz w:val="24"/>
          <w:szCs w:val="24"/>
        </w:rPr>
      </w:pPr>
    </w:p>
    <w:p w14:paraId="0A40047F" w14:textId="7213C578" w:rsidR="00D4280E" w:rsidRPr="0052321A" w:rsidRDefault="00D4280E" w:rsidP="0052321A">
      <w:pPr>
        <w:spacing w:line="276" w:lineRule="auto"/>
        <w:jc w:val="both"/>
        <w:rPr>
          <w:rFonts w:ascii="Times New Roman" w:hAnsi="Times New Roman" w:cs="Times New Roman"/>
          <w:b/>
          <w:i/>
          <w:sz w:val="28"/>
          <w:szCs w:val="28"/>
        </w:rPr>
      </w:pPr>
      <w:r w:rsidRPr="0052321A">
        <w:rPr>
          <w:rFonts w:ascii="Times New Roman" w:hAnsi="Times New Roman" w:cs="Times New Roman"/>
          <w:b/>
          <w:i/>
          <w:sz w:val="28"/>
          <w:szCs w:val="28"/>
        </w:rPr>
        <w:t>Eiropas valstis jau ir īstenojušās dažādas pasākumus, lai atbalstītu digitālo transformāciju</w:t>
      </w:r>
    </w:p>
    <w:p w14:paraId="24856798" w14:textId="1CAF54BB" w:rsidR="00D4280E" w:rsidRPr="001C3611" w:rsidRDefault="00D4280E" w:rsidP="0052321A">
      <w:pPr>
        <w:spacing w:line="276" w:lineRule="auto"/>
        <w:jc w:val="both"/>
        <w:rPr>
          <w:rFonts w:ascii="Times New Roman" w:hAnsi="Times New Roman" w:cs="Times New Roman"/>
          <w:b/>
          <w:i/>
          <w:sz w:val="24"/>
          <w:szCs w:val="24"/>
        </w:rPr>
      </w:pPr>
      <w:r w:rsidRPr="001C3611">
        <w:rPr>
          <w:rFonts w:ascii="Times New Roman" w:hAnsi="Times New Roman" w:cs="Times New Roman"/>
          <w:b/>
          <w:sz w:val="24"/>
          <w:szCs w:val="24"/>
        </w:rPr>
        <w:t xml:space="preserve">Dažas atziņas – ir nepieciešamība pēc vēl aktīvākas eksperimentēšanas un testēšanas politiku ietvaros (piem., </w:t>
      </w:r>
      <w:proofErr w:type="spellStart"/>
      <w:r w:rsidRPr="001C3611">
        <w:rPr>
          <w:rFonts w:ascii="Times New Roman" w:hAnsi="Times New Roman" w:cs="Times New Roman"/>
          <w:b/>
          <w:sz w:val="24"/>
          <w:szCs w:val="24"/>
        </w:rPr>
        <w:t>pilotprogrammu</w:t>
      </w:r>
      <w:proofErr w:type="spellEnd"/>
      <w:r w:rsidRPr="001C3611">
        <w:rPr>
          <w:rFonts w:ascii="Times New Roman" w:hAnsi="Times New Roman" w:cs="Times New Roman"/>
          <w:b/>
          <w:sz w:val="24"/>
          <w:szCs w:val="24"/>
        </w:rPr>
        <w:t xml:space="preserve"> veidā), lai spētu efektīvi pielāgoties ātri mainīgajiem apstākļiem. </w:t>
      </w:r>
      <w:r w:rsidRPr="001C3611">
        <w:rPr>
          <w:rFonts w:ascii="Times New Roman" w:hAnsi="Times New Roman" w:cs="Times New Roman"/>
          <w:sz w:val="24"/>
          <w:szCs w:val="24"/>
        </w:rPr>
        <w:t>Lai gūtu izpratni un paaugstinātu zināšanu līmeni par digitālo inovāciju atbalsta iniciatīvām, viens no veidiem kā t</w:t>
      </w:r>
      <w:r w:rsidR="006B286C" w:rsidRPr="001C3611">
        <w:rPr>
          <w:rFonts w:ascii="Times New Roman" w:hAnsi="Times New Roman" w:cs="Times New Roman"/>
          <w:sz w:val="24"/>
          <w:szCs w:val="24"/>
        </w:rPr>
        <w:t>o</w:t>
      </w:r>
      <w:r w:rsidRPr="001C3611">
        <w:rPr>
          <w:rFonts w:ascii="Times New Roman" w:hAnsi="Times New Roman" w:cs="Times New Roman"/>
          <w:sz w:val="24"/>
          <w:szCs w:val="24"/>
        </w:rPr>
        <w:t xml:space="preserve"> darīt ir dažādu valstu politikas iniciatīvu, kuras vērstas uz digitālo transformāciju, salīdzināšana</w:t>
      </w:r>
      <w:r w:rsidR="00F90C67" w:rsidRPr="001C3611">
        <w:rPr>
          <w:rFonts w:ascii="Times New Roman" w:hAnsi="Times New Roman" w:cs="Times New Roman"/>
          <w:sz w:val="24"/>
          <w:szCs w:val="24"/>
        </w:rPr>
        <w:t xml:space="preserve"> </w:t>
      </w:r>
      <w:r w:rsidR="00F90C67" w:rsidRPr="001C3611">
        <w:rPr>
          <w:rFonts w:ascii="Times New Roman" w:hAnsi="Times New Roman" w:cs="Times New Roman"/>
          <w:i/>
          <w:sz w:val="24"/>
          <w:szCs w:val="24"/>
        </w:rPr>
        <w:t xml:space="preserve">(piem., </w:t>
      </w:r>
      <w:proofErr w:type="spellStart"/>
      <w:r w:rsidR="0021674D" w:rsidRPr="001C3611">
        <w:rPr>
          <w:rFonts w:ascii="Times New Roman" w:hAnsi="Times New Roman" w:cs="Times New Roman"/>
          <w:i/>
          <w:sz w:val="24"/>
          <w:szCs w:val="24"/>
        </w:rPr>
        <w:t>Digital</w:t>
      </w:r>
      <w:proofErr w:type="spellEnd"/>
      <w:r w:rsidR="0021674D" w:rsidRPr="001C3611">
        <w:rPr>
          <w:rFonts w:ascii="Times New Roman" w:hAnsi="Times New Roman" w:cs="Times New Roman"/>
          <w:i/>
          <w:sz w:val="24"/>
          <w:szCs w:val="24"/>
        </w:rPr>
        <w:t xml:space="preserve"> </w:t>
      </w:r>
      <w:proofErr w:type="spellStart"/>
      <w:r w:rsidR="00F90C67" w:rsidRPr="001C3611">
        <w:rPr>
          <w:rFonts w:ascii="Times New Roman" w:hAnsi="Times New Roman" w:cs="Times New Roman"/>
          <w:i/>
          <w:sz w:val="24"/>
          <w:szCs w:val="24"/>
        </w:rPr>
        <w:t>Catapult</w:t>
      </w:r>
      <w:proofErr w:type="spellEnd"/>
      <w:r w:rsidR="00F90C67" w:rsidRPr="001C3611">
        <w:rPr>
          <w:rFonts w:ascii="Times New Roman" w:hAnsi="Times New Roman" w:cs="Times New Roman"/>
          <w:i/>
          <w:sz w:val="24"/>
          <w:szCs w:val="24"/>
        </w:rPr>
        <w:t xml:space="preserve"> </w:t>
      </w:r>
      <w:proofErr w:type="spellStart"/>
      <w:r w:rsidR="00F90C67" w:rsidRPr="001C3611">
        <w:rPr>
          <w:rFonts w:ascii="Times New Roman" w:hAnsi="Times New Roman" w:cs="Times New Roman"/>
          <w:i/>
          <w:sz w:val="24"/>
          <w:szCs w:val="24"/>
        </w:rPr>
        <w:t>Centres</w:t>
      </w:r>
      <w:proofErr w:type="spellEnd"/>
      <w:r w:rsidR="0021674D" w:rsidRPr="001C3611">
        <w:rPr>
          <w:rFonts w:ascii="Times New Roman" w:hAnsi="Times New Roman" w:cs="Times New Roman"/>
          <w:i/>
          <w:sz w:val="24"/>
          <w:szCs w:val="24"/>
        </w:rPr>
        <w:t xml:space="preserve"> (organizācijas mērķis ir samazināt plaisu starp pētniekiem un industriju, </w:t>
      </w:r>
      <w:proofErr w:type="spellStart"/>
      <w:r w:rsidR="0021674D" w:rsidRPr="001C3611">
        <w:rPr>
          <w:rFonts w:ascii="Times New Roman" w:hAnsi="Times New Roman" w:cs="Times New Roman"/>
          <w:i/>
          <w:sz w:val="24"/>
          <w:szCs w:val="24"/>
        </w:rPr>
        <w:t>atbaltīt</w:t>
      </w:r>
      <w:proofErr w:type="spellEnd"/>
      <w:r w:rsidR="0021674D" w:rsidRPr="001C3611">
        <w:rPr>
          <w:rFonts w:ascii="Times New Roman" w:hAnsi="Times New Roman" w:cs="Times New Roman"/>
          <w:i/>
          <w:sz w:val="24"/>
          <w:szCs w:val="24"/>
        </w:rPr>
        <w:t xml:space="preserve"> jaunu ideju un tehnoloģiju ātrāku nokļūšanu tirgū. </w:t>
      </w:r>
      <w:proofErr w:type="spellStart"/>
      <w:r w:rsidR="0021674D" w:rsidRPr="001C3611">
        <w:rPr>
          <w:rFonts w:ascii="Times New Roman" w:hAnsi="Times New Roman" w:cs="Times New Roman"/>
          <w:i/>
          <w:sz w:val="24"/>
          <w:szCs w:val="24"/>
        </w:rPr>
        <w:t>Digital</w:t>
      </w:r>
      <w:proofErr w:type="spellEnd"/>
      <w:r w:rsidR="0021674D" w:rsidRPr="001C3611">
        <w:rPr>
          <w:rFonts w:ascii="Times New Roman" w:hAnsi="Times New Roman" w:cs="Times New Roman"/>
          <w:i/>
          <w:sz w:val="24"/>
          <w:szCs w:val="24"/>
        </w:rPr>
        <w:t xml:space="preserve"> </w:t>
      </w:r>
      <w:proofErr w:type="spellStart"/>
      <w:r w:rsidR="0021674D" w:rsidRPr="001C3611">
        <w:rPr>
          <w:rFonts w:ascii="Times New Roman" w:hAnsi="Times New Roman" w:cs="Times New Roman"/>
          <w:i/>
          <w:sz w:val="24"/>
          <w:szCs w:val="24"/>
        </w:rPr>
        <w:t>Catapult</w:t>
      </w:r>
      <w:proofErr w:type="spellEnd"/>
      <w:r w:rsidR="0021674D" w:rsidRPr="001C3611">
        <w:rPr>
          <w:rFonts w:ascii="Times New Roman" w:hAnsi="Times New Roman" w:cs="Times New Roman"/>
          <w:i/>
          <w:sz w:val="24"/>
          <w:szCs w:val="24"/>
        </w:rPr>
        <w:t xml:space="preserve"> centrs strādā uz inovāciju barjeru identificēšanu, vienlaikus veido/koordinē un nodrošina pieeju sadarbībai ar lielām “test </w:t>
      </w:r>
      <w:proofErr w:type="spellStart"/>
      <w:r w:rsidR="0021674D" w:rsidRPr="001C3611">
        <w:rPr>
          <w:rFonts w:ascii="Times New Roman" w:hAnsi="Times New Roman" w:cs="Times New Roman"/>
          <w:i/>
          <w:sz w:val="24"/>
          <w:szCs w:val="24"/>
        </w:rPr>
        <w:t>beds</w:t>
      </w:r>
      <w:proofErr w:type="spellEnd"/>
      <w:r w:rsidR="0021674D" w:rsidRPr="001C3611">
        <w:rPr>
          <w:rFonts w:ascii="Times New Roman" w:hAnsi="Times New Roman" w:cs="Times New Roman"/>
          <w:i/>
          <w:sz w:val="24"/>
          <w:szCs w:val="24"/>
        </w:rPr>
        <w:t xml:space="preserve">”, organizē un motivē mazo/vidējo uzņēmumu sadarbību; iesaistās dažādos </w:t>
      </w:r>
      <w:proofErr w:type="spellStart"/>
      <w:r w:rsidR="0021674D" w:rsidRPr="001C3611">
        <w:rPr>
          <w:rFonts w:ascii="Times New Roman" w:hAnsi="Times New Roman" w:cs="Times New Roman"/>
          <w:i/>
          <w:sz w:val="24"/>
          <w:szCs w:val="24"/>
        </w:rPr>
        <w:t>starpdiciplināros</w:t>
      </w:r>
      <w:proofErr w:type="spellEnd"/>
      <w:r w:rsidR="0021674D" w:rsidRPr="001C3611">
        <w:rPr>
          <w:rFonts w:ascii="Times New Roman" w:hAnsi="Times New Roman" w:cs="Times New Roman"/>
          <w:i/>
          <w:sz w:val="24"/>
          <w:szCs w:val="24"/>
        </w:rPr>
        <w:t xml:space="preserve"> pētījumos</w:t>
      </w:r>
      <w:r w:rsidR="007E0684" w:rsidRPr="001C3611">
        <w:rPr>
          <w:rFonts w:ascii="Times New Roman" w:hAnsi="Times New Roman" w:cs="Times New Roman"/>
          <w:i/>
          <w:sz w:val="24"/>
          <w:szCs w:val="24"/>
        </w:rPr>
        <w:t xml:space="preserve"> un attīstības projektos; nodrošina </w:t>
      </w:r>
      <w:proofErr w:type="spellStart"/>
      <w:r w:rsidR="007E0684" w:rsidRPr="001C3611">
        <w:rPr>
          <w:rFonts w:ascii="Times New Roman" w:hAnsi="Times New Roman" w:cs="Times New Roman"/>
          <w:i/>
          <w:sz w:val="24"/>
          <w:szCs w:val="24"/>
        </w:rPr>
        <w:t>akselerācijas</w:t>
      </w:r>
      <w:proofErr w:type="spellEnd"/>
      <w:r w:rsidR="007E0684" w:rsidRPr="001C3611">
        <w:rPr>
          <w:rFonts w:ascii="Times New Roman" w:hAnsi="Times New Roman" w:cs="Times New Roman"/>
          <w:i/>
          <w:sz w:val="24"/>
          <w:szCs w:val="24"/>
        </w:rPr>
        <w:t xml:space="preserve"> un izaugsmes atbalstu dažādiem ekosistēmu dalībniekiem, t.sk. eksporta tirgu pieejamību; attīsta un testē prototipus un veic tehnoloģiju dzīvotspējas novērtējumu; palīdz lielajām kompānijām kļūt efektīgākām, iepazīstinot ar digitālajām inovācijām un nodrošina pieeju telpām un prasmēm projektu īstenošanai. </w:t>
      </w:r>
      <w:proofErr w:type="spellStart"/>
      <w:r w:rsidR="00F7437C" w:rsidRPr="001C3611">
        <w:rPr>
          <w:rFonts w:ascii="Times New Roman" w:hAnsi="Times New Roman" w:cs="Times New Roman"/>
          <w:i/>
          <w:sz w:val="24"/>
          <w:szCs w:val="24"/>
        </w:rPr>
        <w:t>Pamatkompetences</w:t>
      </w:r>
      <w:proofErr w:type="spellEnd"/>
      <w:r w:rsidR="00F7437C" w:rsidRPr="001C3611">
        <w:rPr>
          <w:rFonts w:ascii="Times New Roman" w:hAnsi="Times New Roman" w:cs="Times New Roman"/>
          <w:i/>
          <w:sz w:val="24"/>
          <w:szCs w:val="24"/>
        </w:rPr>
        <w:t xml:space="preserve"> un ekspertīze tiek piedāvāta če</w:t>
      </w:r>
      <w:r w:rsidR="006B286C" w:rsidRPr="001C3611">
        <w:rPr>
          <w:rFonts w:ascii="Times New Roman" w:hAnsi="Times New Roman" w:cs="Times New Roman"/>
          <w:i/>
          <w:sz w:val="24"/>
          <w:szCs w:val="24"/>
        </w:rPr>
        <w:t>tro</w:t>
      </w:r>
      <w:r w:rsidR="00F7437C" w:rsidRPr="001C3611">
        <w:rPr>
          <w:rFonts w:ascii="Times New Roman" w:hAnsi="Times New Roman" w:cs="Times New Roman"/>
          <w:i/>
          <w:sz w:val="24"/>
          <w:szCs w:val="24"/>
        </w:rPr>
        <w:t xml:space="preserve">s galvenajos tehnoloģiju virzienos: </w:t>
      </w:r>
      <w:proofErr w:type="spellStart"/>
      <w:r w:rsidR="00F7437C" w:rsidRPr="001C3611">
        <w:rPr>
          <w:rFonts w:ascii="Times New Roman" w:hAnsi="Times New Roman" w:cs="Times New Roman"/>
          <w:i/>
          <w:sz w:val="24"/>
          <w:szCs w:val="24"/>
        </w:rPr>
        <w:t>Data</w:t>
      </w:r>
      <w:proofErr w:type="spellEnd"/>
      <w:r w:rsidR="00F7437C" w:rsidRPr="001C3611">
        <w:rPr>
          <w:rFonts w:ascii="Times New Roman" w:hAnsi="Times New Roman" w:cs="Times New Roman"/>
          <w:i/>
          <w:sz w:val="24"/>
          <w:szCs w:val="24"/>
        </w:rPr>
        <w:t xml:space="preserve"> </w:t>
      </w:r>
      <w:proofErr w:type="spellStart"/>
      <w:r w:rsidR="00F7437C" w:rsidRPr="001C3611">
        <w:rPr>
          <w:rFonts w:ascii="Times New Roman" w:hAnsi="Times New Roman" w:cs="Times New Roman"/>
          <w:i/>
          <w:sz w:val="24"/>
          <w:szCs w:val="24"/>
        </w:rPr>
        <w:t>Driven</w:t>
      </w:r>
      <w:proofErr w:type="spellEnd"/>
      <w:r w:rsidR="00F7437C" w:rsidRPr="001C3611">
        <w:rPr>
          <w:rFonts w:ascii="Times New Roman" w:hAnsi="Times New Roman" w:cs="Times New Roman"/>
          <w:i/>
          <w:sz w:val="24"/>
          <w:szCs w:val="24"/>
        </w:rPr>
        <w:t xml:space="preserve">; </w:t>
      </w:r>
      <w:proofErr w:type="spellStart"/>
      <w:r w:rsidR="00F7437C" w:rsidRPr="001C3611">
        <w:rPr>
          <w:rFonts w:ascii="Times New Roman" w:hAnsi="Times New Roman" w:cs="Times New Roman"/>
          <w:i/>
          <w:sz w:val="24"/>
          <w:szCs w:val="24"/>
        </w:rPr>
        <w:t>Connected</w:t>
      </w:r>
      <w:proofErr w:type="spellEnd"/>
      <w:r w:rsidR="00F7437C" w:rsidRPr="001C3611">
        <w:rPr>
          <w:rFonts w:ascii="Times New Roman" w:hAnsi="Times New Roman" w:cs="Times New Roman"/>
          <w:i/>
          <w:sz w:val="24"/>
          <w:szCs w:val="24"/>
        </w:rPr>
        <w:t xml:space="preserve">; </w:t>
      </w:r>
      <w:proofErr w:type="spellStart"/>
      <w:r w:rsidR="00F7437C" w:rsidRPr="001C3611">
        <w:rPr>
          <w:rFonts w:ascii="Times New Roman" w:hAnsi="Times New Roman" w:cs="Times New Roman"/>
          <w:i/>
          <w:sz w:val="24"/>
          <w:szCs w:val="24"/>
        </w:rPr>
        <w:t>Intelligent</w:t>
      </w:r>
      <w:proofErr w:type="spellEnd"/>
      <w:r w:rsidR="00F7437C" w:rsidRPr="001C3611">
        <w:rPr>
          <w:rFonts w:ascii="Times New Roman" w:hAnsi="Times New Roman" w:cs="Times New Roman"/>
          <w:i/>
          <w:sz w:val="24"/>
          <w:szCs w:val="24"/>
        </w:rPr>
        <w:t xml:space="preserve">; </w:t>
      </w:r>
      <w:proofErr w:type="spellStart"/>
      <w:r w:rsidR="00F7437C" w:rsidRPr="001C3611">
        <w:rPr>
          <w:rFonts w:ascii="Times New Roman" w:hAnsi="Times New Roman" w:cs="Times New Roman"/>
          <w:i/>
          <w:sz w:val="24"/>
          <w:szCs w:val="24"/>
        </w:rPr>
        <w:t>Immersive</w:t>
      </w:r>
      <w:proofErr w:type="spellEnd"/>
      <w:r w:rsidR="00F7437C" w:rsidRPr="001C3611">
        <w:rPr>
          <w:rFonts w:ascii="Times New Roman" w:hAnsi="Times New Roman" w:cs="Times New Roman"/>
          <w:i/>
          <w:sz w:val="24"/>
          <w:szCs w:val="24"/>
        </w:rPr>
        <w:t xml:space="preserve"> – šie virzieni tiek uzskatīt</w:t>
      </w:r>
      <w:r w:rsidR="006B286C" w:rsidRPr="001C3611">
        <w:rPr>
          <w:rFonts w:ascii="Times New Roman" w:hAnsi="Times New Roman" w:cs="Times New Roman"/>
          <w:i/>
          <w:sz w:val="24"/>
          <w:szCs w:val="24"/>
        </w:rPr>
        <w:t>i</w:t>
      </w:r>
      <w:r w:rsidR="00F7437C" w:rsidRPr="001C3611">
        <w:rPr>
          <w:rFonts w:ascii="Times New Roman" w:hAnsi="Times New Roman" w:cs="Times New Roman"/>
          <w:i/>
          <w:sz w:val="24"/>
          <w:szCs w:val="24"/>
        </w:rPr>
        <w:t xml:space="preserve"> par sava veida tehnoloģiju virzītājiem, kuri pozitīvā veidā var ietekmēt biznesa modeļus, radīt konkurētspējas priekšrocības un nodrošināt aizraujošu pieredzi klientam. Šobrīd fokuss ir uz apstrādes rūpniecības </w:t>
      </w:r>
      <w:proofErr w:type="spellStart"/>
      <w:r w:rsidR="00F7437C" w:rsidRPr="001C3611">
        <w:rPr>
          <w:rFonts w:ascii="Times New Roman" w:hAnsi="Times New Roman" w:cs="Times New Roman"/>
          <w:i/>
          <w:sz w:val="24"/>
          <w:szCs w:val="24"/>
        </w:rPr>
        <w:t>digitalizāciju</w:t>
      </w:r>
      <w:proofErr w:type="spellEnd"/>
      <w:r w:rsidR="004F678B" w:rsidRPr="001C3611">
        <w:rPr>
          <w:rFonts w:ascii="Times New Roman" w:hAnsi="Times New Roman" w:cs="Times New Roman"/>
          <w:i/>
          <w:sz w:val="24"/>
          <w:szCs w:val="24"/>
        </w:rPr>
        <w:t xml:space="preserve">, </w:t>
      </w:r>
      <w:r w:rsidR="00F7437C" w:rsidRPr="001C3611">
        <w:rPr>
          <w:rFonts w:ascii="Times New Roman" w:hAnsi="Times New Roman" w:cs="Times New Roman"/>
          <w:i/>
          <w:sz w:val="24"/>
          <w:szCs w:val="24"/>
        </w:rPr>
        <w:t xml:space="preserve">radošo industriju </w:t>
      </w:r>
      <w:proofErr w:type="spellStart"/>
      <w:r w:rsidR="00F7437C" w:rsidRPr="001C3611">
        <w:rPr>
          <w:rFonts w:ascii="Times New Roman" w:hAnsi="Times New Roman" w:cs="Times New Roman"/>
          <w:i/>
          <w:sz w:val="24"/>
          <w:szCs w:val="24"/>
        </w:rPr>
        <w:t>digitalizāciju</w:t>
      </w:r>
      <w:proofErr w:type="spellEnd"/>
      <w:r w:rsidR="00F7437C" w:rsidRPr="001C3611">
        <w:rPr>
          <w:rFonts w:ascii="Times New Roman" w:hAnsi="Times New Roman" w:cs="Times New Roman"/>
          <w:i/>
          <w:sz w:val="24"/>
          <w:szCs w:val="24"/>
        </w:rPr>
        <w:t xml:space="preserve"> un veselības un aprūpes </w:t>
      </w:r>
      <w:proofErr w:type="spellStart"/>
      <w:r w:rsidR="00F7437C" w:rsidRPr="001C3611">
        <w:rPr>
          <w:rFonts w:ascii="Times New Roman" w:hAnsi="Times New Roman" w:cs="Times New Roman"/>
          <w:i/>
          <w:sz w:val="24"/>
          <w:szCs w:val="24"/>
        </w:rPr>
        <w:t>digitalizāciju</w:t>
      </w:r>
      <w:proofErr w:type="spellEnd"/>
      <w:r w:rsidR="00F7437C" w:rsidRPr="001C3611">
        <w:rPr>
          <w:rFonts w:ascii="Times New Roman" w:hAnsi="Times New Roman" w:cs="Times New Roman"/>
          <w:i/>
          <w:sz w:val="24"/>
          <w:szCs w:val="24"/>
        </w:rPr>
        <w:t xml:space="preserve">. Centra darbība ir </w:t>
      </w:r>
      <w:proofErr w:type="spellStart"/>
      <w:r w:rsidR="00F7437C" w:rsidRPr="001C3611">
        <w:rPr>
          <w:rFonts w:ascii="Times New Roman" w:hAnsi="Times New Roman" w:cs="Times New Roman"/>
          <w:i/>
          <w:sz w:val="24"/>
          <w:szCs w:val="24"/>
        </w:rPr>
        <w:t>decentralizāta</w:t>
      </w:r>
      <w:proofErr w:type="spellEnd"/>
      <w:r w:rsidR="00F7437C" w:rsidRPr="001C3611">
        <w:rPr>
          <w:rFonts w:ascii="Times New Roman" w:hAnsi="Times New Roman" w:cs="Times New Roman"/>
          <w:i/>
          <w:sz w:val="24"/>
          <w:szCs w:val="24"/>
        </w:rPr>
        <w:t xml:space="preserve"> un darbojas ar inovāciju atbalsta pasākumiem vairākās Lielbritānijas pilsētās. Šīs organizācijas finansēšana ir no vairākiem avotiem </w:t>
      </w:r>
      <w:r w:rsidR="00D75A75" w:rsidRPr="001C3611">
        <w:rPr>
          <w:rFonts w:ascii="Times New Roman" w:hAnsi="Times New Roman" w:cs="Times New Roman"/>
          <w:i/>
          <w:sz w:val="24"/>
          <w:szCs w:val="24"/>
        </w:rPr>
        <w:t xml:space="preserve">– </w:t>
      </w:r>
      <w:proofErr w:type="spellStart"/>
      <w:r w:rsidR="00D75A75" w:rsidRPr="001C3611">
        <w:rPr>
          <w:rFonts w:ascii="Times New Roman" w:hAnsi="Times New Roman" w:cs="Times New Roman"/>
          <w:i/>
          <w:sz w:val="24"/>
          <w:szCs w:val="24"/>
        </w:rPr>
        <w:t>pamatgrants</w:t>
      </w:r>
      <w:proofErr w:type="spellEnd"/>
      <w:r w:rsidR="00D75A75" w:rsidRPr="001C3611">
        <w:rPr>
          <w:rFonts w:ascii="Times New Roman" w:hAnsi="Times New Roman" w:cs="Times New Roman"/>
          <w:i/>
          <w:sz w:val="24"/>
          <w:szCs w:val="24"/>
        </w:rPr>
        <w:t xml:space="preserve"> no </w:t>
      </w:r>
      <w:proofErr w:type="spellStart"/>
      <w:r w:rsidR="00D75A75" w:rsidRPr="001C3611">
        <w:rPr>
          <w:rFonts w:ascii="Times New Roman" w:hAnsi="Times New Roman" w:cs="Times New Roman"/>
          <w:i/>
          <w:sz w:val="24"/>
          <w:szCs w:val="24"/>
        </w:rPr>
        <w:t>Innovate</w:t>
      </w:r>
      <w:proofErr w:type="spellEnd"/>
      <w:r w:rsidR="00D75A75" w:rsidRPr="001C3611">
        <w:rPr>
          <w:rFonts w:ascii="Times New Roman" w:hAnsi="Times New Roman" w:cs="Times New Roman"/>
          <w:i/>
          <w:sz w:val="24"/>
          <w:szCs w:val="24"/>
        </w:rPr>
        <w:t xml:space="preserve"> UK, sadarbības projekti </w:t>
      </w:r>
      <w:r w:rsidR="006B286C" w:rsidRPr="001C3611">
        <w:rPr>
          <w:rFonts w:ascii="Times New Roman" w:hAnsi="Times New Roman" w:cs="Times New Roman"/>
          <w:i/>
          <w:sz w:val="24"/>
          <w:szCs w:val="24"/>
        </w:rPr>
        <w:t>P</w:t>
      </w:r>
      <w:r w:rsidR="00D75A75" w:rsidRPr="001C3611">
        <w:rPr>
          <w:rFonts w:ascii="Times New Roman" w:hAnsi="Times New Roman" w:cs="Times New Roman"/>
          <w:i/>
          <w:sz w:val="24"/>
          <w:szCs w:val="24"/>
        </w:rPr>
        <w:t>&amp;</w:t>
      </w:r>
      <w:r w:rsidR="006B286C" w:rsidRPr="001C3611">
        <w:rPr>
          <w:rFonts w:ascii="Times New Roman" w:hAnsi="Times New Roman" w:cs="Times New Roman"/>
          <w:i/>
          <w:sz w:val="24"/>
          <w:szCs w:val="24"/>
        </w:rPr>
        <w:t>A</w:t>
      </w:r>
      <w:r w:rsidR="00D75A75" w:rsidRPr="001C3611">
        <w:rPr>
          <w:rFonts w:ascii="Times New Roman" w:hAnsi="Times New Roman" w:cs="Times New Roman"/>
          <w:i/>
          <w:sz w:val="24"/>
          <w:szCs w:val="24"/>
        </w:rPr>
        <w:t xml:space="preserve"> jomā, un komerciālie ienākumi un tā stratēģija ir nodrošināt sabalansētu šo finanšu avotu </w:t>
      </w:r>
      <w:proofErr w:type="spellStart"/>
      <w:r w:rsidR="00D75A75" w:rsidRPr="001C3611">
        <w:rPr>
          <w:rFonts w:ascii="Times New Roman" w:hAnsi="Times New Roman" w:cs="Times New Roman"/>
          <w:i/>
          <w:sz w:val="24"/>
          <w:szCs w:val="24"/>
        </w:rPr>
        <w:t>porfolio</w:t>
      </w:r>
      <w:proofErr w:type="spellEnd"/>
      <w:r w:rsidR="006B286C" w:rsidRPr="001C3611">
        <w:rPr>
          <w:rFonts w:ascii="Times New Roman" w:hAnsi="Times New Roman" w:cs="Times New Roman"/>
          <w:i/>
          <w:sz w:val="24"/>
          <w:szCs w:val="24"/>
        </w:rPr>
        <w:t xml:space="preserve"> </w:t>
      </w:r>
      <w:r w:rsidR="00F90C67" w:rsidRPr="001C3611">
        <w:rPr>
          <w:rFonts w:ascii="Times New Roman" w:hAnsi="Times New Roman" w:cs="Times New Roman"/>
          <w:i/>
          <w:sz w:val="24"/>
          <w:szCs w:val="24"/>
        </w:rPr>
        <w:t>Lielbritānijā</w:t>
      </w:r>
      <w:r w:rsidR="007E0684" w:rsidRPr="001C3611">
        <w:rPr>
          <w:rStyle w:val="FootnoteReference"/>
          <w:rFonts w:ascii="Times New Roman" w:hAnsi="Times New Roman" w:cs="Times New Roman"/>
          <w:i/>
          <w:sz w:val="24"/>
          <w:szCs w:val="24"/>
        </w:rPr>
        <w:footnoteReference w:id="7"/>
      </w:r>
      <w:r w:rsidR="00F90C67" w:rsidRPr="001C3611">
        <w:rPr>
          <w:rFonts w:ascii="Times New Roman" w:hAnsi="Times New Roman" w:cs="Times New Roman"/>
          <w:i/>
          <w:sz w:val="24"/>
          <w:szCs w:val="24"/>
        </w:rPr>
        <w:t xml:space="preserve">, SME 4.0 </w:t>
      </w:r>
      <w:proofErr w:type="spellStart"/>
      <w:r w:rsidR="00F90C67" w:rsidRPr="001C3611">
        <w:rPr>
          <w:rFonts w:ascii="Times New Roman" w:hAnsi="Times New Roman" w:cs="Times New Roman"/>
          <w:i/>
          <w:sz w:val="24"/>
          <w:szCs w:val="24"/>
        </w:rPr>
        <w:t>Competence</w:t>
      </w:r>
      <w:proofErr w:type="spellEnd"/>
      <w:r w:rsidR="00F90C67" w:rsidRPr="001C3611">
        <w:rPr>
          <w:rFonts w:ascii="Times New Roman" w:hAnsi="Times New Roman" w:cs="Times New Roman"/>
          <w:i/>
          <w:sz w:val="24"/>
          <w:szCs w:val="24"/>
        </w:rPr>
        <w:t xml:space="preserve"> </w:t>
      </w:r>
      <w:proofErr w:type="spellStart"/>
      <w:r w:rsidR="00F90C67" w:rsidRPr="001C3611">
        <w:rPr>
          <w:rFonts w:ascii="Times New Roman" w:hAnsi="Times New Roman" w:cs="Times New Roman"/>
          <w:i/>
          <w:sz w:val="24"/>
          <w:szCs w:val="24"/>
        </w:rPr>
        <w:t>Centres</w:t>
      </w:r>
      <w:proofErr w:type="spellEnd"/>
      <w:r w:rsidR="00F90C67" w:rsidRPr="001C3611">
        <w:rPr>
          <w:rFonts w:ascii="Times New Roman" w:hAnsi="Times New Roman" w:cs="Times New Roman"/>
          <w:i/>
          <w:sz w:val="24"/>
          <w:szCs w:val="24"/>
        </w:rPr>
        <w:t xml:space="preserve"> Vācijā</w:t>
      </w:r>
      <w:r w:rsidR="00184ED0" w:rsidRPr="001C3611">
        <w:rPr>
          <w:rFonts w:ascii="Times New Roman" w:hAnsi="Times New Roman" w:cs="Times New Roman"/>
          <w:i/>
          <w:sz w:val="24"/>
          <w:szCs w:val="24"/>
        </w:rPr>
        <w:t>, kur viena no programmām “</w:t>
      </w:r>
      <w:proofErr w:type="spellStart"/>
      <w:r w:rsidR="0086611D" w:rsidRPr="001C3611">
        <w:rPr>
          <w:rFonts w:ascii="Times New Roman" w:hAnsi="Times New Roman" w:cs="Times New Roman"/>
          <w:i/>
          <w:sz w:val="24"/>
          <w:szCs w:val="24"/>
        </w:rPr>
        <w:t>Go-Digital</w:t>
      </w:r>
      <w:proofErr w:type="spellEnd"/>
      <w:r w:rsidR="0086611D" w:rsidRPr="001C3611">
        <w:rPr>
          <w:rFonts w:ascii="Times New Roman" w:hAnsi="Times New Roman" w:cs="Times New Roman"/>
          <w:i/>
          <w:sz w:val="24"/>
          <w:szCs w:val="24"/>
        </w:rPr>
        <w:t xml:space="preserve">”  sniedz atbalstu </w:t>
      </w:r>
      <w:proofErr w:type="spellStart"/>
      <w:r w:rsidR="0086611D" w:rsidRPr="001C3611">
        <w:rPr>
          <w:rFonts w:ascii="Times New Roman" w:hAnsi="Times New Roman" w:cs="Times New Roman"/>
          <w:i/>
          <w:sz w:val="24"/>
          <w:szCs w:val="24"/>
        </w:rPr>
        <w:t>SMEs</w:t>
      </w:r>
      <w:proofErr w:type="spellEnd"/>
      <w:r w:rsidR="0086611D" w:rsidRPr="001C3611">
        <w:rPr>
          <w:rFonts w:ascii="Times New Roman" w:hAnsi="Times New Roman" w:cs="Times New Roman"/>
          <w:i/>
          <w:sz w:val="24"/>
          <w:szCs w:val="24"/>
        </w:rPr>
        <w:t xml:space="preserve">, līdz pat 50% no izmaksām </w:t>
      </w:r>
      <w:proofErr w:type="spellStart"/>
      <w:r w:rsidR="0086611D" w:rsidRPr="001C3611">
        <w:rPr>
          <w:rFonts w:ascii="Times New Roman" w:hAnsi="Times New Roman" w:cs="Times New Roman"/>
          <w:i/>
          <w:sz w:val="24"/>
          <w:szCs w:val="24"/>
        </w:rPr>
        <w:t>grantu</w:t>
      </w:r>
      <w:proofErr w:type="spellEnd"/>
      <w:r w:rsidR="0086611D" w:rsidRPr="001C3611">
        <w:rPr>
          <w:rFonts w:ascii="Times New Roman" w:hAnsi="Times New Roman" w:cs="Times New Roman"/>
          <w:i/>
          <w:sz w:val="24"/>
          <w:szCs w:val="24"/>
        </w:rPr>
        <w:t xml:space="preserve"> veidā tiek segtas pasākumiem, kas saistīti ar konsultācijām digitālajai </w:t>
      </w:r>
      <w:r w:rsidR="006B286C" w:rsidRPr="001C3611">
        <w:rPr>
          <w:rFonts w:ascii="Times New Roman" w:hAnsi="Times New Roman" w:cs="Times New Roman"/>
          <w:i/>
          <w:sz w:val="24"/>
          <w:szCs w:val="24"/>
        </w:rPr>
        <w:t>drošībai</w:t>
      </w:r>
      <w:r w:rsidR="0086611D" w:rsidRPr="001C3611">
        <w:rPr>
          <w:rFonts w:ascii="Times New Roman" w:hAnsi="Times New Roman" w:cs="Times New Roman"/>
          <w:i/>
          <w:sz w:val="24"/>
          <w:szCs w:val="24"/>
        </w:rPr>
        <w:t xml:space="preserve">, tirgu iekarošanai ar jaunākajām metodēm kā arī digitālo procesu sakārtošanai kompānijas iekšienē </w:t>
      </w:r>
      <w:r w:rsidR="00F90C67" w:rsidRPr="001C3611">
        <w:rPr>
          <w:rFonts w:ascii="Times New Roman" w:hAnsi="Times New Roman" w:cs="Times New Roman"/>
          <w:i/>
          <w:sz w:val="24"/>
          <w:szCs w:val="24"/>
        </w:rPr>
        <w:t>u.c.)</w:t>
      </w:r>
    </w:p>
    <w:p w14:paraId="5104D092" w14:textId="0575972D" w:rsidR="00F90C67" w:rsidRPr="001C3611" w:rsidRDefault="00F90C67" w:rsidP="0052321A">
      <w:pPr>
        <w:spacing w:line="276" w:lineRule="auto"/>
        <w:jc w:val="both"/>
        <w:rPr>
          <w:rFonts w:ascii="Times New Roman" w:hAnsi="Times New Roman" w:cs="Times New Roman"/>
          <w:sz w:val="24"/>
          <w:szCs w:val="24"/>
        </w:rPr>
      </w:pPr>
      <w:r w:rsidRPr="001C3611">
        <w:rPr>
          <w:rFonts w:ascii="Times New Roman" w:hAnsi="Times New Roman" w:cs="Times New Roman"/>
          <w:b/>
          <w:sz w:val="24"/>
          <w:szCs w:val="24"/>
        </w:rPr>
        <w:lastRenderedPageBreak/>
        <w:t xml:space="preserve">Izaicinājumi attiecībā uz digitālo transformāciju ir dažādi ja salīdzinām </w:t>
      </w:r>
      <w:proofErr w:type="spellStart"/>
      <w:r w:rsidRPr="001C3611">
        <w:rPr>
          <w:rFonts w:ascii="Times New Roman" w:hAnsi="Times New Roman" w:cs="Times New Roman"/>
          <w:b/>
          <w:sz w:val="24"/>
          <w:szCs w:val="24"/>
        </w:rPr>
        <w:t>jaunuzņēmumus</w:t>
      </w:r>
      <w:proofErr w:type="spellEnd"/>
      <w:r w:rsidRPr="001C3611">
        <w:rPr>
          <w:rFonts w:ascii="Times New Roman" w:hAnsi="Times New Roman" w:cs="Times New Roman"/>
          <w:b/>
          <w:sz w:val="24"/>
          <w:szCs w:val="24"/>
        </w:rPr>
        <w:t xml:space="preserve"> un lielās biznesa korporācijas, bet ne vienmēr politikas plānotāji to ņem vērā. Inovācijas stiprināšanai, kas tieši fokusēta uz </w:t>
      </w:r>
      <w:proofErr w:type="spellStart"/>
      <w:r w:rsidRPr="001C3611">
        <w:rPr>
          <w:rFonts w:ascii="Times New Roman" w:hAnsi="Times New Roman" w:cs="Times New Roman"/>
          <w:b/>
          <w:sz w:val="24"/>
          <w:szCs w:val="24"/>
        </w:rPr>
        <w:t>jaunuzņēmumu</w:t>
      </w:r>
      <w:proofErr w:type="spellEnd"/>
      <w:r w:rsidRPr="001C3611">
        <w:rPr>
          <w:rFonts w:ascii="Times New Roman" w:hAnsi="Times New Roman" w:cs="Times New Roman"/>
          <w:b/>
          <w:sz w:val="24"/>
          <w:szCs w:val="24"/>
        </w:rPr>
        <w:t xml:space="preserve"> atbalsu, viens no labākajiem atbalsta veidiem ir reālas vides radīšana eksperimentālai darbībai. </w:t>
      </w:r>
      <w:r w:rsidRPr="001C3611">
        <w:rPr>
          <w:rFonts w:ascii="Times New Roman" w:hAnsi="Times New Roman" w:cs="Times New Roman"/>
          <w:sz w:val="24"/>
          <w:szCs w:val="24"/>
        </w:rPr>
        <w:t xml:space="preserve">(Latvijas gadījumā šeit ir jāskatās Valsts kapitālsabiedrību virzienā kā izveidot sinerģijas pa konkrētiem tematiskiem virzieniem – specializāciju, panākot gan politikas veidotāju fokusu, gan arī kompāniju resursu efektīvāku izlietojumu). </w:t>
      </w:r>
      <w:r w:rsidRPr="001C3611">
        <w:rPr>
          <w:rFonts w:ascii="Times New Roman" w:hAnsi="Times New Roman" w:cs="Times New Roman"/>
          <w:b/>
          <w:sz w:val="24"/>
          <w:szCs w:val="24"/>
        </w:rPr>
        <w:t>Normatīvās “smilškastes”</w:t>
      </w:r>
      <w:r w:rsidRPr="001C3611">
        <w:rPr>
          <w:rFonts w:ascii="Times New Roman" w:hAnsi="Times New Roman" w:cs="Times New Roman"/>
          <w:sz w:val="24"/>
          <w:szCs w:val="24"/>
        </w:rPr>
        <w:t xml:space="preserve"> </w:t>
      </w:r>
      <w:r w:rsidRPr="001C3611">
        <w:rPr>
          <w:rFonts w:ascii="Times New Roman" w:hAnsi="Times New Roman" w:cs="Times New Roman"/>
          <w:i/>
          <w:sz w:val="24"/>
          <w:szCs w:val="24"/>
        </w:rPr>
        <w:t>(</w:t>
      </w:r>
      <w:proofErr w:type="spellStart"/>
      <w:r w:rsidRPr="001C3611">
        <w:rPr>
          <w:rFonts w:ascii="Times New Roman" w:hAnsi="Times New Roman" w:cs="Times New Roman"/>
          <w:i/>
          <w:sz w:val="24"/>
          <w:szCs w:val="24"/>
        </w:rPr>
        <w:t>sandboxes</w:t>
      </w:r>
      <w:proofErr w:type="spellEnd"/>
      <w:r w:rsidRPr="001C3611">
        <w:rPr>
          <w:rFonts w:ascii="Times New Roman" w:hAnsi="Times New Roman" w:cs="Times New Roman"/>
          <w:i/>
          <w:sz w:val="24"/>
          <w:szCs w:val="24"/>
        </w:rPr>
        <w:t xml:space="preserve">), </w:t>
      </w:r>
      <w:r w:rsidRPr="001C3611">
        <w:rPr>
          <w:rFonts w:ascii="Times New Roman" w:hAnsi="Times New Roman" w:cs="Times New Roman"/>
          <w:sz w:val="24"/>
          <w:szCs w:val="24"/>
        </w:rPr>
        <w:t xml:space="preserve">radīt normatīvo vidi, kur </w:t>
      </w:r>
      <w:proofErr w:type="spellStart"/>
      <w:r w:rsidRPr="001C3611">
        <w:rPr>
          <w:rFonts w:ascii="Times New Roman" w:hAnsi="Times New Roman" w:cs="Times New Roman"/>
          <w:sz w:val="24"/>
          <w:szCs w:val="24"/>
        </w:rPr>
        <w:t>jaunuzņēmumi</w:t>
      </w:r>
      <w:proofErr w:type="spellEnd"/>
      <w:r w:rsidRPr="001C3611">
        <w:rPr>
          <w:rFonts w:ascii="Times New Roman" w:hAnsi="Times New Roman" w:cs="Times New Roman"/>
          <w:sz w:val="24"/>
          <w:szCs w:val="24"/>
        </w:rPr>
        <w:t xml:space="preserve"> var testēt savus produktus, pakalpojumus un biznesa modeļus “reālā vidē”, ne vienmēr ievērojot visus formālos iepriekšdefinētos nosacījumus</w:t>
      </w:r>
      <w:r w:rsidR="0034557A" w:rsidRPr="001C3611">
        <w:rPr>
          <w:rFonts w:ascii="Times New Roman" w:hAnsi="Times New Roman" w:cs="Times New Roman"/>
          <w:sz w:val="24"/>
          <w:szCs w:val="24"/>
        </w:rPr>
        <w:t xml:space="preserve"> – vieta, kur kompānijas var sistemātiski testēt jaunus produktus un pakalpojumus ar atbilstošu lietotāju kopu, kas nozīmīgi palīdz kompānijām attīstīties to pirmajos dzīves ciklos.</w:t>
      </w:r>
      <w:r w:rsidR="00184ED0" w:rsidRPr="001C3611">
        <w:rPr>
          <w:rFonts w:ascii="Times New Roman" w:hAnsi="Times New Roman" w:cs="Times New Roman"/>
          <w:sz w:val="24"/>
          <w:szCs w:val="24"/>
        </w:rPr>
        <w:t xml:space="preserve"> Politikas veidotājiem ir jāapgūst zināšanas par tehnoloģiju ietekmi uz industrijām un jāveido </w:t>
      </w:r>
      <w:proofErr w:type="spellStart"/>
      <w:r w:rsidR="00184ED0" w:rsidRPr="001C3611">
        <w:rPr>
          <w:rFonts w:ascii="Times New Roman" w:hAnsi="Times New Roman" w:cs="Times New Roman"/>
          <w:sz w:val="24"/>
          <w:szCs w:val="24"/>
        </w:rPr>
        <w:t>proaktīva</w:t>
      </w:r>
      <w:proofErr w:type="spellEnd"/>
      <w:r w:rsidR="00184ED0" w:rsidRPr="001C3611">
        <w:rPr>
          <w:rFonts w:ascii="Times New Roman" w:hAnsi="Times New Roman" w:cs="Times New Roman"/>
          <w:sz w:val="24"/>
          <w:szCs w:val="24"/>
        </w:rPr>
        <w:t xml:space="preserve"> politika, nevis nepārtraukta reaģēšana uz strauji mainīgo vidi.</w:t>
      </w:r>
    </w:p>
    <w:p w14:paraId="367D2BAF" w14:textId="02F05988" w:rsidR="004640FE" w:rsidRPr="001C3611" w:rsidRDefault="0034557A" w:rsidP="0052321A">
      <w:pPr>
        <w:spacing w:line="276" w:lineRule="auto"/>
        <w:jc w:val="both"/>
        <w:rPr>
          <w:rFonts w:ascii="Times New Roman" w:hAnsi="Times New Roman" w:cs="Times New Roman"/>
          <w:sz w:val="24"/>
          <w:szCs w:val="24"/>
        </w:rPr>
      </w:pPr>
      <w:r w:rsidRPr="001C3611">
        <w:rPr>
          <w:rFonts w:ascii="Times New Roman" w:hAnsi="Times New Roman" w:cs="Times New Roman"/>
          <w:b/>
          <w:sz w:val="24"/>
          <w:szCs w:val="24"/>
        </w:rPr>
        <w:t>Inovāciju politikai ir jābūt vairāk koncentrētai uz cilvēku</w:t>
      </w:r>
      <w:r w:rsidRPr="001C3611">
        <w:rPr>
          <w:rFonts w:ascii="Times New Roman" w:hAnsi="Times New Roman" w:cs="Times New Roman"/>
          <w:sz w:val="24"/>
          <w:szCs w:val="24"/>
        </w:rPr>
        <w:t xml:space="preserve"> – vairāk ņemt vērā digitālās transformācijas ietekmi uz cilvēka labklājību. Galvenais politikas veidotāju izaicinājums ir nodrošināt, ka darbaspēks arī ir ieguvējs no produktivitātes pieauguma, kas ietekmēts ar </w:t>
      </w:r>
      <w:proofErr w:type="spellStart"/>
      <w:r w:rsidRPr="001C3611">
        <w:rPr>
          <w:rFonts w:ascii="Times New Roman" w:hAnsi="Times New Roman" w:cs="Times New Roman"/>
          <w:sz w:val="24"/>
          <w:szCs w:val="24"/>
        </w:rPr>
        <w:t>digitalizācijas</w:t>
      </w:r>
      <w:proofErr w:type="spellEnd"/>
      <w:r w:rsidRPr="001C3611">
        <w:rPr>
          <w:rFonts w:ascii="Times New Roman" w:hAnsi="Times New Roman" w:cs="Times New Roman"/>
          <w:sz w:val="24"/>
          <w:szCs w:val="24"/>
        </w:rPr>
        <w:t xml:space="preserve"> palīdzību, kā arī samazināt plaisu starp tiem, kuru darba vietas tuvākajā nākotnē varētu izzust un tiem, kuru prasmes ir arvien pieprasītākas darba tirgū. </w:t>
      </w:r>
      <w:r w:rsidR="002F72E6" w:rsidRPr="001C3611">
        <w:rPr>
          <w:rFonts w:ascii="Times New Roman" w:hAnsi="Times New Roman" w:cs="Times New Roman"/>
          <w:sz w:val="24"/>
          <w:szCs w:val="24"/>
        </w:rPr>
        <w:t>Iz</w:t>
      </w:r>
      <w:r w:rsidRPr="001C3611">
        <w:rPr>
          <w:rFonts w:ascii="Times New Roman" w:hAnsi="Times New Roman" w:cs="Times New Roman"/>
          <w:sz w:val="24"/>
          <w:szCs w:val="24"/>
        </w:rPr>
        <w:t>šķiroši svarīgi ir nodrošināt apmācības un kompetenču celšanas iespējas gan darba vidē, gan ārpus darba</w:t>
      </w:r>
      <w:r w:rsidR="002F72E6" w:rsidRPr="001C3611">
        <w:rPr>
          <w:rFonts w:ascii="Times New Roman" w:hAnsi="Times New Roman" w:cs="Times New Roman"/>
          <w:sz w:val="24"/>
          <w:szCs w:val="24"/>
        </w:rPr>
        <w:t>.</w:t>
      </w:r>
    </w:p>
    <w:p w14:paraId="59A76383" w14:textId="05A17FC6" w:rsidR="001C3611" w:rsidRPr="001C3611" w:rsidRDefault="001C3611" w:rsidP="00D67134">
      <w:pPr>
        <w:jc w:val="both"/>
        <w:rPr>
          <w:rFonts w:ascii="Times New Roman" w:hAnsi="Times New Roman" w:cs="Times New Roman"/>
          <w:sz w:val="24"/>
          <w:szCs w:val="24"/>
        </w:rPr>
      </w:pPr>
    </w:p>
    <w:p w14:paraId="1FAF779E" w14:textId="298CB414" w:rsidR="001C3611" w:rsidRPr="001C3611" w:rsidRDefault="001C3611" w:rsidP="00D67134">
      <w:pPr>
        <w:jc w:val="both"/>
        <w:rPr>
          <w:rFonts w:ascii="Times New Roman" w:hAnsi="Times New Roman" w:cs="Times New Roman"/>
          <w:sz w:val="24"/>
          <w:szCs w:val="24"/>
        </w:rPr>
      </w:pPr>
    </w:p>
    <w:p w14:paraId="15E52847" w14:textId="1346EA70" w:rsidR="001C3611" w:rsidRPr="001C3611" w:rsidRDefault="001C3611" w:rsidP="00D67134">
      <w:pPr>
        <w:jc w:val="both"/>
        <w:rPr>
          <w:rFonts w:ascii="Times New Roman" w:hAnsi="Times New Roman" w:cs="Times New Roman"/>
          <w:sz w:val="24"/>
          <w:szCs w:val="24"/>
        </w:rPr>
      </w:pPr>
    </w:p>
    <w:p w14:paraId="229C7879" w14:textId="67C66CC2" w:rsidR="001C3611" w:rsidRPr="001C3611" w:rsidRDefault="001C3611" w:rsidP="00D67134">
      <w:pPr>
        <w:jc w:val="both"/>
        <w:rPr>
          <w:rFonts w:ascii="Times New Roman" w:hAnsi="Times New Roman" w:cs="Times New Roman"/>
          <w:sz w:val="24"/>
          <w:szCs w:val="24"/>
        </w:rPr>
      </w:pPr>
    </w:p>
    <w:p w14:paraId="42472E29" w14:textId="3FC2B303" w:rsidR="001C3611" w:rsidRPr="001C3611" w:rsidRDefault="001C3611" w:rsidP="00D67134">
      <w:pPr>
        <w:jc w:val="both"/>
        <w:rPr>
          <w:rFonts w:ascii="Times New Roman" w:hAnsi="Times New Roman" w:cs="Times New Roman"/>
          <w:sz w:val="24"/>
          <w:szCs w:val="24"/>
        </w:rPr>
      </w:pPr>
    </w:p>
    <w:p w14:paraId="2B5A44F2" w14:textId="4113BD00" w:rsidR="001C3611" w:rsidRPr="001C3611" w:rsidRDefault="001C3611" w:rsidP="00D67134">
      <w:pPr>
        <w:jc w:val="both"/>
        <w:rPr>
          <w:rFonts w:ascii="Times New Roman" w:hAnsi="Times New Roman" w:cs="Times New Roman"/>
          <w:sz w:val="24"/>
          <w:szCs w:val="24"/>
        </w:rPr>
      </w:pPr>
    </w:p>
    <w:p w14:paraId="2D466E9C" w14:textId="020E26B3" w:rsidR="001C3611" w:rsidRPr="001C3611" w:rsidRDefault="001C3611" w:rsidP="00D67134">
      <w:pPr>
        <w:jc w:val="both"/>
        <w:rPr>
          <w:rFonts w:ascii="Times New Roman" w:hAnsi="Times New Roman" w:cs="Times New Roman"/>
          <w:sz w:val="24"/>
          <w:szCs w:val="24"/>
        </w:rPr>
      </w:pPr>
    </w:p>
    <w:p w14:paraId="73EF5433" w14:textId="3F7E2B0E" w:rsidR="001C3611" w:rsidRPr="001C3611" w:rsidRDefault="001C3611" w:rsidP="00D67134">
      <w:pPr>
        <w:jc w:val="both"/>
        <w:rPr>
          <w:rFonts w:ascii="Times New Roman" w:hAnsi="Times New Roman" w:cs="Times New Roman"/>
          <w:sz w:val="24"/>
          <w:szCs w:val="24"/>
        </w:rPr>
      </w:pPr>
    </w:p>
    <w:p w14:paraId="664692AC" w14:textId="3C75C17A" w:rsidR="001C3611" w:rsidRPr="001C3611" w:rsidRDefault="001C3611" w:rsidP="00D67134">
      <w:pPr>
        <w:jc w:val="both"/>
        <w:rPr>
          <w:rFonts w:ascii="Times New Roman" w:hAnsi="Times New Roman" w:cs="Times New Roman"/>
          <w:sz w:val="24"/>
          <w:szCs w:val="24"/>
        </w:rPr>
      </w:pPr>
    </w:p>
    <w:p w14:paraId="0C8C3BDE" w14:textId="7AE15F41" w:rsidR="001C3611" w:rsidRPr="001C3611" w:rsidRDefault="001C3611" w:rsidP="00D67134">
      <w:pPr>
        <w:jc w:val="both"/>
        <w:rPr>
          <w:rFonts w:ascii="Times New Roman" w:hAnsi="Times New Roman" w:cs="Times New Roman"/>
          <w:sz w:val="24"/>
          <w:szCs w:val="24"/>
        </w:rPr>
      </w:pPr>
    </w:p>
    <w:p w14:paraId="331035E1" w14:textId="0FEFB68F" w:rsidR="001C3611" w:rsidRPr="001C3611" w:rsidRDefault="001C3611" w:rsidP="00D67134">
      <w:pPr>
        <w:jc w:val="both"/>
        <w:rPr>
          <w:rFonts w:ascii="Times New Roman" w:hAnsi="Times New Roman" w:cs="Times New Roman"/>
          <w:sz w:val="24"/>
          <w:szCs w:val="24"/>
        </w:rPr>
      </w:pPr>
    </w:p>
    <w:p w14:paraId="7A3B39CD" w14:textId="4D2573F8" w:rsidR="001C3611" w:rsidRPr="001C3611" w:rsidRDefault="001C3611" w:rsidP="00D67134">
      <w:pPr>
        <w:jc w:val="both"/>
        <w:rPr>
          <w:rFonts w:ascii="Times New Roman" w:hAnsi="Times New Roman" w:cs="Times New Roman"/>
          <w:sz w:val="24"/>
          <w:szCs w:val="24"/>
        </w:rPr>
      </w:pPr>
    </w:p>
    <w:p w14:paraId="30DECCBB" w14:textId="6E610164" w:rsidR="001C3611" w:rsidRPr="001C3611" w:rsidRDefault="001C3611" w:rsidP="00D67134">
      <w:pPr>
        <w:jc w:val="both"/>
        <w:rPr>
          <w:rFonts w:ascii="Times New Roman" w:hAnsi="Times New Roman" w:cs="Times New Roman"/>
          <w:sz w:val="24"/>
          <w:szCs w:val="24"/>
        </w:rPr>
      </w:pPr>
    </w:p>
    <w:p w14:paraId="1A7F42E8" w14:textId="1F366F36" w:rsidR="001C3611" w:rsidRPr="001C3611" w:rsidRDefault="001C3611" w:rsidP="00D67134">
      <w:pPr>
        <w:jc w:val="both"/>
        <w:rPr>
          <w:rFonts w:ascii="Times New Roman" w:hAnsi="Times New Roman" w:cs="Times New Roman"/>
          <w:sz w:val="24"/>
          <w:szCs w:val="24"/>
        </w:rPr>
      </w:pPr>
    </w:p>
    <w:p w14:paraId="0655358D" w14:textId="0DF407EA" w:rsidR="001C3611" w:rsidRPr="001C3611" w:rsidRDefault="001C3611" w:rsidP="00D67134">
      <w:pPr>
        <w:jc w:val="both"/>
        <w:rPr>
          <w:rFonts w:ascii="Times New Roman" w:hAnsi="Times New Roman" w:cs="Times New Roman"/>
          <w:sz w:val="24"/>
          <w:szCs w:val="24"/>
        </w:rPr>
      </w:pPr>
    </w:p>
    <w:p w14:paraId="65E05D7E" w14:textId="6B6FA188" w:rsidR="001C3611" w:rsidRPr="001C3611" w:rsidRDefault="001C3611" w:rsidP="00D67134">
      <w:pPr>
        <w:jc w:val="both"/>
        <w:rPr>
          <w:rFonts w:ascii="Times New Roman" w:hAnsi="Times New Roman" w:cs="Times New Roman"/>
          <w:sz w:val="24"/>
          <w:szCs w:val="24"/>
        </w:rPr>
      </w:pPr>
    </w:p>
    <w:p w14:paraId="4D1E3EA5" w14:textId="1C562266" w:rsidR="00F73BB7" w:rsidRPr="001C3611" w:rsidRDefault="00F73BB7" w:rsidP="00D67134">
      <w:pPr>
        <w:jc w:val="both"/>
        <w:rPr>
          <w:rFonts w:ascii="Times New Roman" w:hAnsi="Times New Roman" w:cs="Times New Roman"/>
          <w:b/>
          <w:sz w:val="24"/>
          <w:szCs w:val="24"/>
        </w:rPr>
      </w:pPr>
    </w:p>
    <w:p w14:paraId="2325D230" w14:textId="77777777" w:rsidR="002426C9" w:rsidRPr="001C3611" w:rsidRDefault="00F73BB7" w:rsidP="002426C9">
      <w:pPr>
        <w:jc w:val="both"/>
        <w:rPr>
          <w:rFonts w:ascii="Times New Roman" w:hAnsi="Times New Roman" w:cs="Times New Roman"/>
          <w:b/>
          <w:sz w:val="24"/>
          <w:szCs w:val="24"/>
        </w:rPr>
      </w:pPr>
      <w:r w:rsidRPr="001C3611">
        <w:rPr>
          <w:rFonts w:ascii="Times New Roman" w:hAnsi="Times New Roman" w:cs="Times New Roman"/>
          <w:b/>
          <w:sz w:val="24"/>
          <w:szCs w:val="24"/>
        </w:rPr>
        <w:lastRenderedPageBreak/>
        <w:t>Izmantoto un analizēto resursu saraksts:</w:t>
      </w:r>
    </w:p>
    <w:p w14:paraId="7C4CB0A4" w14:textId="21BCD02F" w:rsidR="002426C9" w:rsidRPr="001C3611" w:rsidRDefault="002426C9" w:rsidP="00D67134">
      <w:pPr>
        <w:jc w:val="both"/>
        <w:rPr>
          <w:rFonts w:ascii="Times New Roman" w:eastAsia="Times New Roman" w:hAnsi="Times New Roman" w:cs="Times New Roman"/>
          <w:bCs/>
          <w:kern w:val="28"/>
          <w:sz w:val="24"/>
          <w:szCs w:val="24"/>
        </w:rPr>
      </w:pPr>
      <w:r w:rsidRPr="001C3611">
        <w:rPr>
          <w:rFonts w:ascii="Times New Roman" w:hAnsi="Times New Roman" w:cs="Times New Roman"/>
          <w:sz w:val="24"/>
          <w:szCs w:val="24"/>
        </w:rPr>
        <w:t xml:space="preserve">OECD </w:t>
      </w:r>
      <w:proofErr w:type="spellStart"/>
      <w:r w:rsidRPr="001C3611">
        <w:rPr>
          <w:rFonts w:ascii="Times New Roman" w:hAnsi="Times New Roman" w:cs="Times New Roman"/>
          <w:sz w:val="24"/>
          <w:szCs w:val="24"/>
        </w:rPr>
        <w:t>Review</w:t>
      </w:r>
      <w:proofErr w:type="spellEnd"/>
      <w:r w:rsidRPr="001C3611">
        <w:rPr>
          <w:rFonts w:ascii="Times New Roman" w:hAnsi="Times New Roman" w:cs="Times New Roman"/>
          <w:sz w:val="24"/>
          <w:szCs w:val="24"/>
        </w:rPr>
        <w:t xml:space="preserve"> of </w:t>
      </w:r>
      <w:proofErr w:type="spellStart"/>
      <w:r w:rsidRPr="001C3611">
        <w:rPr>
          <w:rFonts w:ascii="Times New Roman" w:hAnsi="Times New Roman" w:cs="Times New Roman"/>
          <w:sz w:val="24"/>
          <w:szCs w:val="24"/>
        </w:rPr>
        <w:t>Digital</w:t>
      </w:r>
      <w:proofErr w:type="spellEnd"/>
      <w:r w:rsidRPr="001C3611">
        <w:rPr>
          <w:rFonts w:ascii="Times New Roman" w:hAnsi="Times New Roman" w:cs="Times New Roman"/>
          <w:sz w:val="24"/>
          <w:szCs w:val="24"/>
        </w:rPr>
        <w:t xml:space="preserve"> </w:t>
      </w:r>
      <w:proofErr w:type="spellStart"/>
      <w:r w:rsidRPr="001C3611">
        <w:rPr>
          <w:rFonts w:ascii="Times New Roman" w:hAnsi="Times New Roman" w:cs="Times New Roman"/>
          <w:sz w:val="24"/>
          <w:szCs w:val="24"/>
        </w:rPr>
        <w:t>Transformation</w:t>
      </w:r>
      <w:proofErr w:type="spellEnd"/>
      <w:r w:rsidRPr="001C3611">
        <w:rPr>
          <w:rFonts w:ascii="Times New Roman" w:hAnsi="Times New Roman" w:cs="Times New Roman"/>
          <w:sz w:val="24"/>
          <w:szCs w:val="24"/>
        </w:rPr>
        <w:t xml:space="preserve"> </w:t>
      </w:r>
      <w:proofErr w:type="spellStart"/>
      <w:r w:rsidRPr="001C3611">
        <w:rPr>
          <w:rFonts w:ascii="Times New Roman" w:hAnsi="Times New Roman" w:cs="Times New Roman"/>
          <w:sz w:val="24"/>
          <w:szCs w:val="24"/>
        </w:rPr>
        <w:t>Going</w:t>
      </w:r>
      <w:proofErr w:type="spellEnd"/>
      <w:r w:rsidRPr="001C3611">
        <w:rPr>
          <w:rFonts w:ascii="Times New Roman" w:hAnsi="Times New Roman" w:cs="Times New Roman"/>
          <w:sz w:val="24"/>
          <w:szCs w:val="24"/>
        </w:rPr>
        <w:t xml:space="preserve"> </w:t>
      </w:r>
      <w:proofErr w:type="spellStart"/>
      <w:r w:rsidRPr="001C3611">
        <w:rPr>
          <w:rFonts w:ascii="Times New Roman" w:hAnsi="Times New Roman" w:cs="Times New Roman"/>
          <w:sz w:val="24"/>
          <w:szCs w:val="24"/>
        </w:rPr>
        <w:t>Digital</w:t>
      </w:r>
      <w:proofErr w:type="spellEnd"/>
      <w:r w:rsidRPr="001C3611">
        <w:rPr>
          <w:rFonts w:ascii="Times New Roman" w:hAnsi="Times New Roman" w:cs="Times New Roman"/>
          <w:sz w:val="24"/>
          <w:szCs w:val="24"/>
        </w:rPr>
        <w:t xml:space="preserve"> </w:t>
      </w:r>
      <w:proofErr w:type="spellStart"/>
      <w:r w:rsidRPr="001C3611">
        <w:rPr>
          <w:rFonts w:ascii="Times New Roman" w:hAnsi="Times New Roman" w:cs="Times New Roman"/>
          <w:sz w:val="24"/>
          <w:szCs w:val="24"/>
        </w:rPr>
        <w:t>in</w:t>
      </w:r>
      <w:proofErr w:type="spellEnd"/>
      <w:r w:rsidRPr="001C3611">
        <w:rPr>
          <w:rFonts w:ascii="Times New Roman" w:hAnsi="Times New Roman" w:cs="Times New Roman"/>
          <w:sz w:val="24"/>
          <w:szCs w:val="24"/>
        </w:rPr>
        <w:t xml:space="preserve"> Latvia, </w:t>
      </w:r>
      <w:r w:rsidRPr="001C3611">
        <w:rPr>
          <w:rFonts w:ascii="Times New Roman" w:eastAsia="Times New Roman" w:hAnsi="Times New Roman" w:cs="Times New Roman"/>
          <w:bCs/>
          <w:kern w:val="28"/>
          <w:sz w:val="24"/>
          <w:szCs w:val="24"/>
        </w:rPr>
        <w:t>Terms of reference 2018, (EM sniegtā informācija)</w:t>
      </w:r>
    </w:p>
    <w:p w14:paraId="638B507F" w14:textId="42E9184F" w:rsidR="00495F51" w:rsidRPr="001C3611" w:rsidRDefault="006E5ABE" w:rsidP="00D67134">
      <w:pPr>
        <w:jc w:val="both"/>
        <w:rPr>
          <w:rFonts w:ascii="Times New Roman" w:eastAsia="Times New Roman" w:hAnsi="Times New Roman" w:cs="Times New Roman"/>
          <w:bCs/>
          <w:kern w:val="28"/>
          <w:sz w:val="24"/>
          <w:szCs w:val="24"/>
        </w:rPr>
      </w:pPr>
      <w:hyperlink r:id="rId8" w:history="1">
        <w:r w:rsidR="00495F51" w:rsidRPr="001C3611">
          <w:rPr>
            <w:rStyle w:val="Hyperlink"/>
            <w:rFonts w:ascii="Times New Roman" w:hAnsi="Times New Roman" w:cs="Times New Roman"/>
            <w:color w:val="auto"/>
            <w:sz w:val="24"/>
            <w:szCs w:val="24"/>
          </w:rPr>
          <w:t>https://www.izm.gov.lv/images/zinatne/RIS3_pirmais-monitoringa-ziojums_2018.pdf</w:t>
        </w:r>
      </w:hyperlink>
    </w:p>
    <w:p w14:paraId="5EB70ACB" w14:textId="6F76DE99" w:rsidR="00E77EBA" w:rsidRPr="001C3611" w:rsidRDefault="006E5ABE" w:rsidP="00D67134">
      <w:pPr>
        <w:jc w:val="both"/>
        <w:rPr>
          <w:rFonts w:ascii="Times New Roman" w:hAnsi="Times New Roman" w:cs="Times New Roman"/>
          <w:sz w:val="24"/>
          <w:szCs w:val="24"/>
          <w:lang w:val="en-GB"/>
        </w:rPr>
      </w:pPr>
      <w:hyperlink r:id="rId9" w:history="1">
        <w:r w:rsidR="00E77EBA" w:rsidRPr="001C3611">
          <w:rPr>
            <w:rStyle w:val="Hyperlink"/>
            <w:rFonts w:ascii="Times New Roman" w:hAnsi="Times New Roman" w:cs="Times New Roman"/>
            <w:color w:val="auto"/>
            <w:sz w:val="24"/>
            <w:szCs w:val="24"/>
          </w:rPr>
          <w:t>https://ec.europa.eu/digital-single-market/en/desi</w:t>
        </w:r>
      </w:hyperlink>
      <w:r w:rsidR="00E77EBA" w:rsidRPr="001C3611">
        <w:rPr>
          <w:rFonts w:ascii="Times New Roman" w:hAnsi="Times New Roman" w:cs="Times New Roman"/>
          <w:sz w:val="24"/>
          <w:szCs w:val="24"/>
        </w:rPr>
        <w:t xml:space="preserve"> , </w:t>
      </w:r>
      <w:r w:rsidR="00E77EBA" w:rsidRPr="001C3611">
        <w:rPr>
          <w:rFonts w:ascii="Times New Roman" w:hAnsi="Times New Roman" w:cs="Times New Roman"/>
          <w:sz w:val="24"/>
          <w:szCs w:val="24"/>
          <w:lang w:val="en-GB"/>
        </w:rPr>
        <w:t>European Commission 2019</w:t>
      </w:r>
    </w:p>
    <w:p w14:paraId="3E46894B" w14:textId="1E4CAFC4" w:rsidR="00107BC2" w:rsidRPr="001C3611" w:rsidRDefault="006E5ABE" w:rsidP="00D67134">
      <w:pPr>
        <w:jc w:val="both"/>
        <w:rPr>
          <w:rFonts w:ascii="Times New Roman" w:hAnsi="Times New Roman" w:cs="Times New Roman"/>
          <w:sz w:val="24"/>
          <w:szCs w:val="24"/>
        </w:rPr>
      </w:pPr>
      <w:hyperlink r:id="rId10" w:history="1">
        <w:r w:rsidR="00107BC2" w:rsidRPr="001C3611">
          <w:rPr>
            <w:rStyle w:val="Hyperlink"/>
            <w:rFonts w:ascii="Times New Roman" w:hAnsi="Times New Roman" w:cs="Times New Roman"/>
            <w:color w:val="auto"/>
            <w:sz w:val="24"/>
            <w:szCs w:val="24"/>
          </w:rPr>
          <w:t>https://ec.europa.eu/digital-single-market/en/news/international-digital-economy-and-society-index-2018</w:t>
        </w:r>
      </w:hyperlink>
    </w:p>
    <w:p w14:paraId="759AB6D6" w14:textId="7145D0F6" w:rsidR="001C3611" w:rsidRPr="001C3611" w:rsidRDefault="006E5ABE" w:rsidP="00D67134">
      <w:pPr>
        <w:jc w:val="both"/>
        <w:rPr>
          <w:rFonts w:ascii="Times New Roman" w:hAnsi="Times New Roman" w:cs="Times New Roman"/>
          <w:sz w:val="24"/>
          <w:szCs w:val="24"/>
        </w:rPr>
      </w:pPr>
      <w:hyperlink r:id="rId11" w:history="1">
        <w:r w:rsidR="001C3611" w:rsidRPr="001C3611">
          <w:rPr>
            <w:rStyle w:val="Hyperlink"/>
            <w:color w:val="auto"/>
          </w:rPr>
          <w:t>https://www.csb.gov.lv/</w:t>
        </w:r>
      </w:hyperlink>
    </w:p>
    <w:p w14:paraId="410CD0E1" w14:textId="439DB64A" w:rsidR="001C3611" w:rsidRPr="0052321A" w:rsidRDefault="006E5ABE" w:rsidP="00D67134">
      <w:pPr>
        <w:jc w:val="both"/>
        <w:rPr>
          <w:rFonts w:ascii="Times New Roman" w:hAnsi="Times New Roman" w:cs="Times New Roman"/>
          <w:sz w:val="24"/>
          <w:szCs w:val="24"/>
          <w:lang w:val="en-GB"/>
        </w:rPr>
      </w:pPr>
      <w:hyperlink r:id="rId12" w:history="1">
        <w:r w:rsidR="0052321A" w:rsidRPr="0052321A">
          <w:rPr>
            <w:rStyle w:val="Hyperlink"/>
            <w:rFonts w:ascii="Times New Roman" w:hAnsi="Times New Roman" w:cs="Times New Roman"/>
            <w:color w:val="auto"/>
            <w:sz w:val="24"/>
            <w:szCs w:val="24"/>
            <w:lang w:val="en-GB"/>
          </w:rPr>
          <w:t>https://www.mckinsey.com/featured-insights/innovation-and-growth/superstars-the-dynamics-of-firms-sectors-and-cities-leading-the-global-economy</w:t>
        </w:r>
      </w:hyperlink>
      <w:r w:rsidR="0052321A" w:rsidRPr="0052321A">
        <w:rPr>
          <w:rFonts w:ascii="Times New Roman" w:hAnsi="Times New Roman" w:cs="Times New Roman"/>
          <w:sz w:val="24"/>
          <w:szCs w:val="24"/>
          <w:lang w:val="en-GB"/>
        </w:rPr>
        <w:t xml:space="preserve"> </w:t>
      </w:r>
    </w:p>
    <w:p w14:paraId="0CF7B123" w14:textId="24C31862" w:rsidR="00DC7785" w:rsidRPr="001C3611" w:rsidRDefault="006E5ABE" w:rsidP="00D67134">
      <w:pPr>
        <w:jc w:val="both"/>
        <w:rPr>
          <w:rFonts w:ascii="Times New Roman" w:hAnsi="Times New Roman" w:cs="Times New Roman"/>
          <w:sz w:val="24"/>
          <w:szCs w:val="24"/>
        </w:rPr>
      </w:pPr>
      <w:hyperlink r:id="rId13" w:history="1">
        <w:r w:rsidR="00DC7785" w:rsidRPr="001C3611">
          <w:rPr>
            <w:rStyle w:val="Hyperlink"/>
            <w:rFonts w:ascii="Times New Roman" w:hAnsi="Times New Roman" w:cs="Times New Roman"/>
            <w:color w:val="auto"/>
            <w:sz w:val="24"/>
            <w:szCs w:val="24"/>
          </w:rPr>
          <w:t>https://www.mckinsey.com/business-functions/digital-mckinsey/our-insights/digital-globalization-the-new-era-of-global-flows</w:t>
        </w:r>
      </w:hyperlink>
      <w:r w:rsidR="00DC7785" w:rsidRPr="001C3611">
        <w:rPr>
          <w:rFonts w:ascii="Times New Roman" w:hAnsi="Times New Roman" w:cs="Times New Roman"/>
          <w:sz w:val="24"/>
          <w:szCs w:val="24"/>
        </w:rPr>
        <w:t xml:space="preserve"> </w:t>
      </w:r>
    </w:p>
    <w:p w14:paraId="5386B466" w14:textId="6DEF6CCE" w:rsidR="00DC7785" w:rsidRPr="001C3611" w:rsidRDefault="006E5ABE" w:rsidP="00D67134">
      <w:pPr>
        <w:jc w:val="both"/>
        <w:rPr>
          <w:rFonts w:ascii="Times New Roman" w:hAnsi="Times New Roman" w:cs="Times New Roman"/>
          <w:sz w:val="24"/>
          <w:szCs w:val="24"/>
        </w:rPr>
      </w:pPr>
      <w:hyperlink r:id="rId14" w:history="1">
        <w:r w:rsidR="00DC7785" w:rsidRPr="001C3611">
          <w:rPr>
            <w:rStyle w:val="Hyperlink"/>
            <w:rFonts w:ascii="Times New Roman" w:hAnsi="Times New Roman" w:cs="Times New Roman"/>
            <w:color w:val="auto"/>
            <w:sz w:val="24"/>
            <w:szCs w:val="24"/>
            <w:shd w:val="clear" w:color="auto" w:fill="FFFFFF"/>
          </w:rPr>
          <w:t>http://www.oecd.org/going-digital/</w:t>
        </w:r>
      </w:hyperlink>
      <w:r w:rsidR="00DC7785" w:rsidRPr="001C3611">
        <w:rPr>
          <w:rFonts w:ascii="Times New Roman" w:hAnsi="Times New Roman" w:cs="Times New Roman"/>
          <w:sz w:val="24"/>
          <w:szCs w:val="24"/>
        </w:rPr>
        <w:t>, OECD 2019</w:t>
      </w:r>
    </w:p>
    <w:p w14:paraId="605D3303" w14:textId="3D00AC21" w:rsidR="00F73BB7" w:rsidRPr="001C3611" w:rsidRDefault="006E5ABE" w:rsidP="00D67134">
      <w:pPr>
        <w:jc w:val="both"/>
        <w:rPr>
          <w:rFonts w:ascii="Times New Roman" w:hAnsi="Times New Roman" w:cs="Times New Roman"/>
          <w:sz w:val="24"/>
          <w:szCs w:val="24"/>
        </w:rPr>
      </w:pPr>
      <w:hyperlink r:id="rId15" w:anchor="page1" w:history="1">
        <w:r w:rsidR="00DC7785" w:rsidRPr="001C3611">
          <w:rPr>
            <w:rStyle w:val="Hyperlink"/>
            <w:rFonts w:ascii="Times New Roman" w:hAnsi="Times New Roman" w:cs="Times New Roman"/>
            <w:color w:val="auto"/>
            <w:sz w:val="24"/>
            <w:szCs w:val="24"/>
          </w:rPr>
          <w:t>https://read.oecd-ilibrary.org/science-and-technology/digital-innovation_a298dc87-en#page1</w:t>
        </w:r>
      </w:hyperlink>
      <w:r w:rsidR="00DC7785" w:rsidRPr="001C3611">
        <w:rPr>
          <w:rFonts w:ascii="Times New Roman" w:hAnsi="Times New Roman" w:cs="Times New Roman"/>
          <w:sz w:val="24"/>
          <w:szCs w:val="24"/>
        </w:rPr>
        <w:t xml:space="preserve"> – OECD </w:t>
      </w:r>
      <w:proofErr w:type="spellStart"/>
      <w:r w:rsidR="00DC7785" w:rsidRPr="001C3611">
        <w:rPr>
          <w:rFonts w:ascii="Times New Roman" w:hAnsi="Times New Roman" w:cs="Times New Roman"/>
          <w:sz w:val="24"/>
          <w:szCs w:val="24"/>
        </w:rPr>
        <w:t>Digital</w:t>
      </w:r>
      <w:proofErr w:type="spellEnd"/>
      <w:r w:rsidR="00DC7785" w:rsidRPr="001C3611">
        <w:rPr>
          <w:rFonts w:ascii="Times New Roman" w:hAnsi="Times New Roman" w:cs="Times New Roman"/>
          <w:sz w:val="24"/>
          <w:szCs w:val="24"/>
        </w:rPr>
        <w:t xml:space="preserve"> </w:t>
      </w:r>
      <w:proofErr w:type="spellStart"/>
      <w:r w:rsidR="00DC7785" w:rsidRPr="001C3611">
        <w:rPr>
          <w:rFonts w:ascii="Times New Roman" w:hAnsi="Times New Roman" w:cs="Times New Roman"/>
          <w:sz w:val="24"/>
          <w:szCs w:val="24"/>
        </w:rPr>
        <w:t>innovation</w:t>
      </w:r>
      <w:proofErr w:type="spellEnd"/>
      <w:r w:rsidR="00DC7785" w:rsidRPr="001C3611">
        <w:rPr>
          <w:rFonts w:ascii="Times New Roman" w:hAnsi="Times New Roman" w:cs="Times New Roman"/>
          <w:sz w:val="24"/>
          <w:szCs w:val="24"/>
        </w:rPr>
        <w:t xml:space="preserve"> </w:t>
      </w:r>
      <w:proofErr w:type="spellStart"/>
      <w:r w:rsidR="00DC7785" w:rsidRPr="001C3611">
        <w:rPr>
          <w:rFonts w:ascii="Times New Roman" w:hAnsi="Times New Roman" w:cs="Times New Roman"/>
          <w:sz w:val="24"/>
          <w:szCs w:val="24"/>
        </w:rPr>
        <w:t>report</w:t>
      </w:r>
      <w:proofErr w:type="spellEnd"/>
      <w:r w:rsidR="00DC7785" w:rsidRPr="001C3611">
        <w:rPr>
          <w:rFonts w:ascii="Times New Roman" w:hAnsi="Times New Roman" w:cs="Times New Roman"/>
          <w:sz w:val="24"/>
          <w:szCs w:val="24"/>
        </w:rPr>
        <w:t xml:space="preserve"> 2019</w:t>
      </w:r>
    </w:p>
    <w:p w14:paraId="398E8940" w14:textId="77777777" w:rsidR="00DC7785" w:rsidRPr="00DC7785" w:rsidRDefault="00DC7785" w:rsidP="00DC7785">
      <w:pPr>
        <w:spacing w:after="0" w:line="240" w:lineRule="auto"/>
        <w:rPr>
          <w:rFonts w:ascii="Times New Roman" w:eastAsia="Times New Roman" w:hAnsi="Times New Roman" w:cs="Times New Roman"/>
          <w:sz w:val="24"/>
          <w:szCs w:val="24"/>
          <w:lang w:val="en-GB" w:eastAsia="en-GB"/>
        </w:rPr>
      </w:pPr>
      <w:r w:rsidRPr="00DC7785">
        <w:rPr>
          <w:rFonts w:ascii="Times New Roman" w:eastAsia="Times New Roman" w:hAnsi="Times New Roman" w:cs="Times New Roman"/>
          <w:sz w:val="24"/>
          <w:szCs w:val="24"/>
          <w:lang w:eastAsia="en-GB"/>
        </w:rPr>
        <w:t xml:space="preserve">OECD </w:t>
      </w:r>
      <w:proofErr w:type="spellStart"/>
      <w:r w:rsidRPr="00DC7785">
        <w:rPr>
          <w:rFonts w:ascii="Times New Roman" w:eastAsia="Times New Roman" w:hAnsi="Times New Roman" w:cs="Times New Roman"/>
          <w:sz w:val="24"/>
          <w:szCs w:val="24"/>
          <w:lang w:eastAsia="en-GB"/>
        </w:rPr>
        <w:t>Going</w:t>
      </w:r>
      <w:proofErr w:type="spellEnd"/>
      <w:r w:rsidRPr="00DC7785">
        <w:rPr>
          <w:rFonts w:ascii="Times New Roman" w:eastAsia="Times New Roman" w:hAnsi="Times New Roman" w:cs="Times New Roman"/>
          <w:sz w:val="24"/>
          <w:szCs w:val="24"/>
          <w:lang w:eastAsia="en-GB"/>
        </w:rPr>
        <w:t xml:space="preserve"> </w:t>
      </w:r>
      <w:proofErr w:type="spellStart"/>
      <w:r w:rsidRPr="00DC7785">
        <w:rPr>
          <w:rFonts w:ascii="Times New Roman" w:eastAsia="Times New Roman" w:hAnsi="Times New Roman" w:cs="Times New Roman"/>
          <w:sz w:val="24"/>
          <w:szCs w:val="24"/>
          <w:lang w:eastAsia="en-GB"/>
        </w:rPr>
        <w:t>Digital</w:t>
      </w:r>
      <w:proofErr w:type="spellEnd"/>
      <w:r w:rsidRPr="00DC7785">
        <w:rPr>
          <w:rFonts w:ascii="Times New Roman" w:eastAsia="Times New Roman" w:hAnsi="Times New Roman" w:cs="Times New Roman"/>
          <w:sz w:val="24"/>
          <w:szCs w:val="24"/>
          <w:lang w:eastAsia="en-GB"/>
        </w:rPr>
        <w:t xml:space="preserve">: </w:t>
      </w:r>
      <w:proofErr w:type="spellStart"/>
      <w:r w:rsidRPr="00DC7785">
        <w:rPr>
          <w:rFonts w:ascii="Times New Roman" w:eastAsia="Times New Roman" w:hAnsi="Times New Roman" w:cs="Times New Roman"/>
          <w:sz w:val="24"/>
          <w:szCs w:val="24"/>
          <w:lang w:eastAsia="en-GB"/>
        </w:rPr>
        <w:t>Making</w:t>
      </w:r>
      <w:proofErr w:type="spellEnd"/>
      <w:r w:rsidRPr="00DC7785">
        <w:rPr>
          <w:rFonts w:ascii="Times New Roman" w:eastAsia="Times New Roman" w:hAnsi="Times New Roman" w:cs="Times New Roman"/>
          <w:sz w:val="24"/>
          <w:szCs w:val="24"/>
          <w:lang w:eastAsia="en-GB"/>
        </w:rPr>
        <w:t xml:space="preserve"> </w:t>
      </w:r>
      <w:proofErr w:type="spellStart"/>
      <w:r w:rsidRPr="00DC7785">
        <w:rPr>
          <w:rFonts w:ascii="Times New Roman" w:eastAsia="Times New Roman" w:hAnsi="Times New Roman" w:cs="Times New Roman"/>
          <w:sz w:val="24"/>
          <w:szCs w:val="24"/>
          <w:lang w:eastAsia="en-GB"/>
        </w:rPr>
        <w:t>the</w:t>
      </w:r>
      <w:proofErr w:type="spellEnd"/>
      <w:r w:rsidRPr="00DC7785">
        <w:rPr>
          <w:rFonts w:ascii="Times New Roman" w:eastAsia="Times New Roman" w:hAnsi="Times New Roman" w:cs="Times New Roman"/>
          <w:sz w:val="24"/>
          <w:szCs w:val="24"/>
          <w:lang w:eastAsia="en-GB"/>
        </w:rPr>
        <w:t xml:space="preserve"> </w:t>
      </w:r>
      <w:proofErr w:type="spellStart"/>
      <w:r w:rsidRPr="00DC7785">
        <w:rPr>
          <w:rFonts w:ascii="Times New Roman" w:eastAsia="Times New Roman" w:hAnsi="Times New Roman" w:cs="Times New Roman"/>
          <w:sz w:val="24"/>
          <w:szCs w:val="24"/>
          <w:lang w:eastAsia="en-GB"/>
        </w:rPr>
        <w:t>Transformation</w:t>
      </w:r>
      <w:proofErr w:type="spellEnd"/>
      <w:r w:rsidRPr="00DC7785">
        <w:rPr>
          <w:rFonts w:ascii="Times New Roman" w:eastAsia="Times New Roman" w:hAnsi="Times New Roman" w:cs="Times New Roman"/>
          <w:sz w:val="24"/>
          <w:szCs w:val="24"/>
          <w:lang w:eastAsia="en-GB"/>
        </w:rPr>
        <w:t xml:space="preserve"> </w:t>
      </w:r>
      <w:proofErr w:type="spellStart"/>
      <w:r w:rsidRPr="00DC7785">
        <w:rPr>
          <w:rFonts w:ascii="Times New Roman" w:eastAsia="Times New Roman" w:hAnsi="Times New Roman" w:cs="Times New Roman"/>
          <w:sz w:val="24"/>
          <w:szCs w:val="24"/>
          <w:lang w:eastAsia="en-GB"/>
        </w:rPr>
        <w:t>Work</w:t>
      </w:r>
      <w:proofErr w:type="spellEnd"/>
      <w:r w:rsidRPr="00DC7785">
        <w:rPr>
          <w:rFonts w:ascii="Times New Roman" w:eastAsia="Times New Roman" w:hAnsi="Times New Roman" w:cs="Times New Roman"/>
          <w:sz w:val="24"/>
          <w:szCs w:val="24"/>
          <w:lang w:eastAsia="en-GB"/>
        </w:rPr>
        <w:t xml:space="preserve"> </w:t>
      </w:r>
      <w:proofErr w:type="spellStart"/>
      <w:r w:rsidRPr="00DC7785">
        <w:rPr>
          <w:rFonts w:ascii="Times New Roman" w:eastAsia="Times New Roman" w:hAnsi="Times New Roman" w:cs="Times New Roman"/>
          <w:sz w:val="24"/>
          <w:szCs w:val="24"/>
          <w:lang w:eastAsia="en-GB"/>
        </w:rPr>
        <w:t>for</w:t>
      </w:r>
      <w:proofErr w:type="spellEnd"/>
      <w:r w:rsidRPr="00DC7785">
        <w:rPr>
          <w:rFonts w:ascii="Times New Roman" w:eastAsia="Times New Roman" w:hAnsi="Times New Roman" w:cs="Times New Roman"/>
          <w:sz w:val="24"/>
          <w:szCs w:val="24"/>
          <w:lang w:eastAsia="en-GB"/>
        </w:rPr>
        <w:t xml:space="preserve"> </w:t>
      </w:r>
      <w:proofErr w:type="spellStart"/>
      <w:r w:rsidRPr="00DC7785">
        <w:rPr>
          <w:rFonts w:ascii="Times New Roman" w:eastAsia="Times New Roman" w:hAnsi="Times New Roman" w:cs="Times New Roman"/>
          <w:sz w:val="24"/>
          <w:szCs w:val="24"/>
          <w:lang w:eastAsia="en-GB"/>
        </w:rPr>
        <w:t>Growth</w:t>
      </w:r>
      <w:proofErr w:type="spellEnd"/>
      <w:r w:rsidRPr="00DC7785">
        <w:rPr>
          <w:rFonts w:ascii="Times New Roman" w:eastAsia="Times New Roman" w:hAnsi="Times New Roman" w:cs="Times New Roman"/>
          <w:sz w:val="24"/>
          <w:szCs w:val="24"/>
          <w:lang w:eastAsia="en-GB"/>
        </w:rPr>
        <w:t xml:space="preserve"> </w:t>
      </w:r>
      <w:proofErr w:type="spellStart"/>
      <w:r w:rsidRPr="00DC7785">
        <w:rPr>
          <w:rFonts w:ascii="Times New Roman" w:eastAsia="Times New Roman" w:hAnsi="Times New Roman" w:cs="Times New Roman"/>
          <w:sz w:val="24"/>
          <w:szCs w:val="24"/>
          <w:lang w:eastAsia="en-GB"/>
        </w:rPr>
        <w:t>and</w:t>
      </w:r>
      <w:proofErr w:type="spellEnd"/>
      <w:r w:rsidRPr="00DC7785">
        <w:rPr>
          <w:rFonts w:ascii="Times New Roman" w:eastAsia="Times New Roman" w:hAnsi="Times New Roman" w:cs="Times New Roman"/>
          <w:sz w:val="24"/>
          <w:szCs w:val="24"/>
          <w:lang w:eastAsia="en-GB"/>
        </w:rPr>
        <w:t xml:space="preserve"> </w:t>
      </w:r>
      <w:proofErr w:type="spellStart"/>
      <w:r w:rsidRPr="00DC7785">
        <w:rPr>
          <w:rFonts w:ascii="Times New Roman" w:eastAsia="Times New Roman" w:hAnsi="Times New Roman" w:cs="Times New Roman"/>
          <w:sz w:val="24"/>
          <w:szCs w:val="24"/>
          <w:lang w:eastAsia="en-GB"/>
        </w:rPr>
        <w:t>Well-Being</w:t>
      </w:r>
      <w:proofErr w:type="spellEnd"/>
    </w:p>
    <w:p w14:paraId="2C3431F8" w14:textId="77777777" w:rsidR="00DC7785" w:rsidRPr="00DC7785" w:rsidRDefault="006E5ABE" w:rsidP="00DC7785">
      <w:pPr>
        <w:spacing w:after="0" w:line="240" w:lineRule="auto"/>
        <w:rPr>
          <w:rFonts w:ascii="Times New Roman" w:eastAsia="Times New Roman" w:hAnsi="Times New Roman" w:cs="Times New Roman"/>
          <w:sz w:val="24"/>
          <w:szCs w:val="24"/>
          <w:lang w:val="en-GB" w:eastAsia="en-GB"/>
        </w:rPr>
      </w:pPr>
      <w:hyperlink r:id="rId16" w:tgtFrame="_blank" w:history="1">
        <w:r w:rsidR="00DC7785" w:rsidRPr="00DC7785">
          <w:rPr>
            <w:rFonts w:ascii="Times New Roman" w:eastAsia="Times New Roman" w:hAnsi="Times New Roman" w:cs="Times New Roman"/>
            <w:sz w:val="24"/>
            <w:szCs w:val="24"/>
            <w:u w:val="single"/>
            <w:lang w:eastAsia="en-GB"/>
          </w:rPr>
          <w:t>https://www.oecd.org/mcm/documents/C-MIN-2017-4%20EN.pdf</w:t>
        </w:r>
      </w:hyperlink>
    </w:p>
    <w:p w14:paraId="5DD8479A" w14:textId="710406E5" w:rsidR="00DC7785" w:rsidRPr="001C3611" w:rsidRDefault="00DC7785" w:rsidP="00D67134">
      <w:pPr>
        <w:jc w:val="both"/>
        <w:rPr>
          <w:rFonts w:ascii="Times New Roman" w:hAnsi="Times New Roman" w:cs="Times New Roman"/>
          <w:b/>
          <w:sz w:val="24"/>
          <w:szCs w:val="24"/>
        </w:rPr>
      </w:pPr>
    </w:p>
    <w:p w14:paraId="520CB139" w14:textId="77777777" w:rsidR="00DC7785" w:rsidRPr="00DC7785" w:rsidRDefault="00DC7785" w:rsidP="00DC7785">
      <w:pPr>
        <w:spacing w:after="0" w:line="240" w:lineRule="auto"/>
        <w:rPr>
          <w:rFonts w:ascii="Times New Roman" w:eastAsia="Times New Roman" w:hAnsi="Times New Roman" w:cs="Times New Roman"/>
          <w:sz w:val="24"/>
          <w:szCs w:val="24"/>
          <w:lang w:val="en-GB" w:eastAsia="en-GB"/>
        </w:rPr>
      </w:pPr>
      <w:proofErr w:type="spellStart"/>
      <w:r w:rsidRPr="00DC7785">
        <w:rPr>
          <w:rFonts w:ascii="Times New Roman" w:eastAsia="Times New Roman" w:hAnsi="Times New Roman" w:cs="Times New Roman"/>
          <w:sz w:val="24"/>
          <w:szCs w:val="24"/>
          <w:lang w:eastAsia="en-GB"/>
        </w:rPr>
        <w:t>How</w:t>
      </w:r>
      <w:proofErr w:type="spellEnd"/>
      <w:r w:rsidRPr="00DC7785">
        <w:rPr>
          <w:rFonts w:ascii="Times New Roman" w:eastAsia="Times New Roman" w:hAnsi="Times New Roman" w:cs="Times New Roman"/>
          <w:sz w:val="24"/>
          <w:szCs w:val="24"/>
          <w:lang w:eastAsia="en-GB"/>
        </w:rPr>
        <w:t xml:space="preserve"> </w:t>
      </w:r>
      <w:proofErr w:type="spellStart"/>
      <w:r w:rsidRPr="00DC7785">
        <w:rPr>
          <w:rFonts w:ascii="Times New Roman" w:eastAsia="Times New Roman" w:hAnsi="Times New Roman" w:cs="Times New Roman"/>
          <w:sz w:val="24"/>
          <w:szCs w:val="24"/>
          <w:lang w:eastAsia="en-GB"/>
        </w:rPr>
        <w:t>digitization</w:t>
      </w:r>
      <w:proofErr w:type="spellEnd"/>
      <w:r w:rsidRPr="00DC7785">
        <w:rPr>
          <w:rFonts w:ascii="Times New Roman" w:eastAsia="Times New Roman" w:hAnsi="Times New Roman" w:cs="Times New Roman"/>
          <w:sz w:val="24"/>
          <w:szCs w:val="24"/>
          <w:lang w:eastAsia="en-GB"/>
        </w:rPr>
        <w:t xml:space="preserve"> </w:t>
      </w:r>
      <w:proofErr w:type="spellStart"/>
      <w:r w:rsidRPr="00DC7785">
        <w:rPr>
          <w:rFonts w:ascii="Times New Roman" w:eastAsia="Times New Roman" w:hAnsi="Times New Roman" w:cs="Times New Roman"/>
          <w:sz w:val="24"/>
          <w:szCs w:val="24"/>
          <w:lang w:eastAsia="en-GB"/>
        </w:rPr>
        <w:t>can</w:t>
      </w:r>
      <w:proofErr w:type="spellEnd"/>
      <w:r w:rsidRPr="00DC7785">
        <w:rPr>
          <w:rFonts w:ascii="Times New Roman" w:eastAsia="Times New Roman" w:hAnsi="Times New Roman" w:cs="Times New Roman"/>
          <w:sz w:val="24"/>
          <w:szCs w:val="24"/>
          <w:lang w:eastAsia="en-GB"/>
        </w:rPr>
        <w:t xml:space="preserve"> </w:t>
      </w:r>
      <w:proofErr w:type="spellStart"/>
      <w:r w:rsidRPr="00DC7785">
        <w:rPr>
          <w:rFonts w:ascii="Times New Roman" w:eastAsia="Times New Roman" w:hAnsi="Times New Roman" w:cs="Times New Roman"/>
          <w:sz w:val="24"/>
          <w:szCs w:val="24"/>
          <w:lang w:eastAsia="en-GB"/>
        </w:rPr>
        <w:t>become</w:t>
      </w:r>
      <w:proofErr w:type="spellEnd"/>
      <w:r w:rsidRPr="00DC7785">
        <w:rPr>
          <w:rFonts w:ascii="Times New Roman" w:eastAsia="Times New Roman" w:hAnsi="Times New Roman" w:cs="Times New Roman"/>
          <w:sz w:val="24"/>
          <w:szCs w:val="24"/>
          <w:lang w:eastAsia="en-GB"/>
        </w:rPr>
        <w:t xml:space="preserve"> </w:t>
      </w:r>
      <w:proofErr w:type="spellStart"/>
      <w:r w:rsidRPr="00DC7785">
        <w:rPr>
          <w:rFonts w:ascii="Times New Roman" w:eastAsia="Times New Roman" w:hAnsi="Times New Roman" w:cs="Times New Roman"/>
          <w:sz w:val="24"/>
          <w:szCs w:val="24"/>
          <w:lang w:eastAsia="en-GB"/>
        </w:rPr>
        <w:t>the</w:t>
      </w:r>
      <w:proofErr w:type="spellEnd"/>
      <w:r w:rsidRPr="00DC7785">
        <w:rPr>
          <w:rFonts w:ascii="Times New Roman" w:eastAsia="Times New Roman" w:hAnsi="Times New Roman" w:cs="Times New Roman"/>
          <w:sz w:val="24"/>
          <w:szCs w:val="24"/>
          <w:lang w:eastAsia="en-GB"/>
        </w:rPr>
        <w:t xml:space="preserve"> </w:t>
      </w:r>
      <w:proofErr w:type="spellStart"/>
      <w:r w:rsidRPr="00DC7785">
        <w:rPr>
          <w:rFonts w:ascii="Times New Roman" w:eastAsia="Times New Roman" w:hAnsi="Times New Roman" w:cs="Times New Roman"/>
          <w:sz w:val="24"/>
          <w:szCs w:val="24"/>
          <w:lang w:eastAsia="en-GB"/>
        </w:rPr>
        <w:t>next</w:t>
      </w:r>
      <w:proofErr w:type="spellEnd"/>
      <w:r w:rsidRPr="00DC7785">
        <w:rPr>
          <w:rFonts w:ascii="Times New Roman" w:eastAsia="Times New Roman" w:hAnsi="Times New Roman" w:cs="Times New Roman"/>
          <w:sz w:val="24"/>
          <w:szCs w:val="24"/>
          <w:lang w:eastAsia="en-GB"/>
        </w:rPr>
        <w:t xml:space="preserve"> </w:t>
      </w:r>
      <w:proofErr w:type="spellStart"/>
      <w:r w:rsidRPr="00DC7785">
        <w:rPr>
          <w:rFonts w:ascii="Times New Roman" w:eastAsia="Times New Roman" w:hAnsi="Times New Roman" w:cs="Times New Roman"/>
          <w:sz w:val="24"/>
          <w:szCs w:val="24"/>
          <w:lang w:eastAsia="en-GB"/>
        </w:rPr>
        <w:t>growth</w:t>
      </w:r>
      <w:proofErr w:type="spellEnd"/>
      <w:r w:rsidRPr="00DC7785">
        <w:rPr>
          <w:rFonts w:ascii="Times New Roman" w:eastAsia="Times New Roman" w:hAnsi="Times New Roman" w:cs="Times New Roman"/>
          <w:sz w:val="24"/>
          <w:szCs w:val="24"/>
          <w:lang w:eastAsia="en-GB"/>
        </w:rPr>
        <w:t xml:space="preserve"> </w:t>
      </w:r>
      <w:proofErr w:type="spellStart"/>
      <w:r w:rsidRPr="00DC7785">
        <w:rPr>
          <w:rFonts w:ascii="Times New Roman" w:eastAsia="Times New Roman" w:hAnsi="Times New Roman" w:cs="Times New Roman"/>
          <w:sz w:val="24"/>
          <w:szCs w:val="24"/>
          <w:lang w:eastAsia="en-GB"/>
        </w:rPr>
        <w:t>engine</w:t>
      </w:r>
      <w:proofErr w:type="spellEnd"/>
      <w:r w:rsidRPr="00DC7785">
        <w:rPr>
          <w:rFonts w:ascii="Times New Roman" w:eastAsia="Times New Roman" w:hAnsi="Times New Roman" w:cs="Times New Roman"/>
          <w:sz w:val="24"/>
          <w:szCs w:val="24"/>
          <w:lang w:eastAsia="en-GB"/>
        </w:rPr>
        <w:t xml:space="preserve"> </w:t>
      </w:r>
      <w:proofErr w:type="spellStart"/>
      <w:r w:rsidRPr="00DC7785">
        <w:rPr>
          <w:rFonts w:ascii="Times New Roman" w:eastAsia="Times New Roman" w:hAnsi="Times New Roman" w:cs="Times New Roman"/>
          <w:sz w:val="24"/>
          <w:szCs w:val="24"/>
          <w:lang w:eastAsia="en-GB"/>
        </w:rPr>
        <w:t>for</w:t>
      </w:r>
      <w:proofErr w:type="spellEnd"/>
      <w:r w:rsidRPr="00DC7785">
        <w:rPr>
          <w:rFonts w:ascii="Times New Roman" w:eastAsia="Times New Roman" w:hAnsi="Times New Roman" w:cs="Times New Roman"/>
          <w:sz w:val="24"/>
          <w:szCs w:val="24"/>
          <w:lang w:eastAsia="en-GB"/>
        </w:rPr>
        <w:t xml:space="preserve"> </w:t>
      </w:r>
      <w:proofErr w:type="spellStart"/>
      <w:r w:rsidRPr="00DC7785">
        <w:rPr>
          <w:rFonts w:ascii="Times New Roman" w:eastAsia="Times New Roman" w:hAnsi="Times New Roman" w:cs="Times New Roman"/>
          <w:sz w:val="24"/>
          <w:szCs w:val="24"/>
          <w:lang w:eastAsia="en-GB"/>
        </w:rPr>
        <w:t>Central</w:t>
      </w:r>
      <w:proofErr w:type="spellEnd"/>
      <w:r w:rsidRPr="00DC7785">
        <w:rPr>
          <w:rFonts w:ascii="Times New Roman" w:eastAsia="Times New Roman" w:hAnsi="Times New Roman" w:cs="Times New Roman"/>
          <w:sz w:val="24"/>
          <w:szCs w:val="24"/>
          <w:lang w:eastAsia="en-GB"/>
        </w:rPr>
        <w:t xml:space="preserve"> </w:t>
      </w:r>
      <w:proofErr w:type="spellStart"/>
      <w:r w:rsidRPr="00DC7785">
        <w:rPr>
          <w:rFonts w:ascii="Times New Roman" w:eastAsia="Times New Roman" w:hAnsi="Times New Roman" w:cs="Times New Roman"/>
          <w:sz w:val="24"/>
          <w:szCs w:val="24"/>
          <w:lang w:eastAsia="en-GB"/>
        </w:rPr>
        <w:t>and</w:t>
      </w:r>
      <w:proofErr w:type="spellEnd"/>
      <w:r w:rsidRPr="00DC7785">
        <w:rPr>
          <w:rFonts w:ascii="Times New Roman" w:eastAsia="Times New Roman" w:hAnsi="Times New Roman" w:cs="Times New Roman"/>
          <w:sz w:val="24"/>
          <w:szCs w:val="24"/>
          <w:lang w:eastAsia="en-GB"/>
        </w:rPr>
        <w:t xml:space="preserve"> </w:t>
      </w:r>
      <w:proofErr w:type="spellStart"/>
      <w:r w:rsidRPr="00DC7785">
        <w:rPr>
          <w:rFonts w:ascii="Times New Roman" w:eastAsia="Times New Roman" w:hAnsi="Times New Roman" w:cs="Times New Roman"/>
          <w:sz w:val="24"/>
          <w:szCs w:val="24"/>
          <w:lang w:eastAsia="en-GB"/>
        </w:rPr>
        <w:t>Eastern</w:t>
      </w:r>
      <w:proofErr w:type="spellEnd"/>
      <w:r w:rsidRPr="00DC7785">
        <w:rPr>
          <w:rFonts w:ascii="Times New Roman" w:eastAsia="Times New Roman" w:hAnsi="Times New Roman" w:cs="Times New Roman"/>
          <w:sz w:val="24"/>
          <w:szCs w:val="24"/>
          <w:lang w:eastAsia="en-GB"/>
        </w:rPr>
        <w:t xml:space="preserve"> </w:t>
      </w:r>
      <w:proofErr w:type="spellStart"/>
      <w:r w:rsidRPr="00DC7785">
        <w:rPr>
          <w:rFonts w:ascii="Times New Roman" w:eastAsia="Times New Roman" w:hAnsi="Times New Roman" w:cs="Times New Roman"/>
          <w:sz w:val="24"/>
          <w:szCs w:val="24"/>
          <w:lang w:eastAsia="en-GB"/>
        </w:rPr>
        <w:t>Europe</w:t>
      </w:r>
      <w:proofErr w:type="spellEnd"/>
    </w:p>
    <w:p w14:paraId="4BF7C9E6" w14:textId="3CEC4336" w:rsidR="00DC7785" w:rsidRPr="00DC7785" w:rsidRDefault="006E5ABE" w:rsidP="00DC7785">
      <w:pPr>
        <w:spacing w:after="0" w:line="240" w:lineRule="auto"/>
        <w:rPr>
          <w:rFonts w:ascii="Times New Roman" w:eastAsia="Times New Roman" w:hAnsi="Times New Roman" w:cs="Times New Roman"/>
          <w:sz w:val="24"/>
          <w:szCs w:val="24"/>
          <w:lang w:val="en-GB" w:eastAsia="en-GB"/>
        </w:rPr>
      </w:pPr>
      <w:hyperlink r:id="rId17" w:tgtFrame="_blank" w:history="1">
        <w:r w:rsidR="00DC7785" w:rsidRPr="00DC7785">
          <w:rPr>
            <w:rFonts w:ascii="Times New Roman" w:eastAsia="Times New Roman" w:hAnsi="Times New Roman" w:cs="Times New Roman"/>
            <w:spacing w:val="-14"/>
            <w:sz w:val="24"/>
            <w:szCs w:val="24"/>
            <w:u w:val="single"/>
            <w:lang w:eastAsia="en-GB"/>
          </w:rPr>
          <w:t>https://www.mckinsey.com/hu/~/media/mckinsey/featured%20insights/europe/the%20rise%20of%20digital%20challengers%20in%20hungary/rise-of-digital-challengers-perspective-on-hungary.ashx</w:t>
        </w:r>
      </w:hyperlink>
    </w:p>
    <w:p w14:paraId="4289732E" w14:textId="6AFEE562" w:rsidR="00DC7785" w:rsidRPr="001C3611" w:rsidRDefault="00DC7785" w:rsidP="00D67134">
      <w:pPr>
        <w:jc w:val="both"/>
        <w:rPr>
          <w:rFonts w:ascii="Times New Roman" w:hAnsi="Times New Roman" w:cs="Times New Roman"/>
          <w:b/>
          <w:sz w:val="24"/>
          <w:szCs w:val="24"/>
        </w:rPr>
      </w:pPr>
    </w:p>
    <w:p w14:paraId="1A73A2B3" w14:textId="77777777" w:rsidR="00DC7785" w:rsidRPr="00DC7785" w:rsidRDefault="00DC7785" w:rsidP="00DC7785">
      <w:pPr>
        <w:spacing w:after="0" w:line="240" w:lineRule="auto"/>
        <w:rPr>
          <w:rFonts w:ascii="Times New Roman" w:eastAsia="Times New Roman" w:hAnsi="Times New Roman" w:cs="Times New Roman"/>
          <w:sz w:val="24"/>
          <w:szCs w:val="24"/>
          <w:lang w:val="en-GB" w:eastAsia="en-GB"/>
        </w:rPr>
      </w:pPr>
      <w:proofErr w:type="spellStart"/>
      <w:r w:rsidRPr="00DC7785">
        <w:rPr>
          <w:rFonts w:ascii="Times New Roman" w:eastAsia="Times New Roman" w:hAnsi="Times New Roman" w:cs="Times New Roman"/>
          <w:sz w:val="24"/>
          <w:szCs w:val="24"/>
          <w:lang w:eastAsia="en-GB"/>
        </w:rPr>
        <w:t>The</w:t>
      </w:r>
      <w:proofErr w:type="spellEnd"/>
      <w:r w:rsidRPr="00DC7785">
        <w:rPr>
          <w:rFonts w:ascii="Times New Roman" w:eastAsia="Times New Roman" w:hAnsi="Times New Roman" w:cs="Times New Roman"/>
          <w:sz w:val="24"/>
          <w:szCs w:val="24"/>
          <w:lang w:eastAsia="en-GB"/>
        </w:rPr>
        <w:t xml:space="preserve"> </w:t>
      </w:r>
      <w:proofErr w:type="spellStart"/>
      <w:r w:rsidRPr="00DC7785">
        <w:rPr>
          <w:rFonts w:ascii="Times New Roman" w:eastAsia="Times New Roman" w:hAnsi="Times New Roman" w:cs="Times New Roman"/>
          <w:sz w:val="24"/>
          <w:szCs w:val="24"/>
          <w:lang w:eastAsia="en-GB"/>
        </w:rPr>
        <w:t>Future</w:t>
      </w:r>
      <w:proofErr w:type="spellEnd"/>
      <w:r w:rsidRPr="00DC7785">
        <w:rPr>
          <w:rFonts w:ascii="Times New Roman" w:eastAsia="Times New Roman" w:hAnsi="Times New Roman" w:cs="Times New Roman"/>
          <w:sz w:val="24"/>
          <w:szCs w:val="24"/>
          <w:lang w:eastAsia="en-GB"/>
        </w:rPr>
        <w:t xml:space="preserve"> of </w:t>
      </w:r>
      <w:proofErr w:type="spellStart"/>
      <w:r w:rsidRPr="00DC7785">
        <w:rPr>
          <w:rFonts w:ascii="Times New Roman" w:eastAsia="Times New Roman" w:hAnsi="Times New Roman" w:cs="Times New Roman"/>
          <w:sz w:val="24"/>
          <w:szCs w:val="24"/>
          <w:lang w:eastAsia="en-GB"/>
        </w:rPr>
        <w:t>Data</w:t>
      </w:r>
      <w:proofErr w:type="spellEnd"/>
      <w:r w:rsidRPr="00DC7785">
        <w:rPr>
          <w:rFonts w:ascii="Times New Roman" w:eastAsia="Times New Roman" w:hAnsi="Times New Roman" w:cs="Times New Roman"/>
          <w:sz w:val="24"/>
          <w:szCs w:val="24"/>
          <w:lang w:eastAsia="en-GB"/>
        </w:rPr>
        <w:t xml:space="preserve">: </w:t>
      </w:r>
      <w:proofErr w:type="spellStart"/>
      <w:r w:rsidRPr="00DC7785">
        <w:rPr>
          <w:rFonts w:ascii="Times New Roman" w:eastAsia="Times New Roman" w:hAnsi="Times New Roman" w:cs="Times New Roman"/>
          <w:sz w:val="24"/>
          <w:szCs w:val="24"/>
          <w:lang w:eastAsia="en-GB"/>
        </w:rPr>
        <w:t>Adjusting</w:t>
      </w:r>
      <w:proofErr w:type="spellEnd"/>
      <w:r w:rsidRPr="00DC7785">
        <w:rPr>
          <w:rFonts w:ascii="Times New Roman" w:eastAsia="Times New Roman" w:hAnsi="Times New Roman" w:cs="Times New Roman"/>
          <w:sz w:val="24"/>
          <w:szCs w:val="24"/>
          <w:lang w:eastAsia="en-GB"/>
        </w:rPr>
        <w:t xml:space="preserve"> to </w:t>
      </w:r>
      <w:proofErr w:type="spellStart"/>
      <w:r w:rsidRPr="00DC7785">
        <w:rPr>
          <w:rFonts w:ascii="Times New Roman" w:eastAsia="Times New Roman" w:hAnsi="Times New Roman" w:cs="Times New Roman"/>
          <w:sz w:val="24"/>
          <w:szCs w:val="24"/>
          <w:lang w:eastAsia="en-GB"/>
        </w:rPr>
        <w:t>an</w:t>
      </w:r>
      <w:proofErr w:type="spellEnd"/>
      <w:r w:rsidRPr="00DC7785">
        <w:rPr>
          <w:rFonts w:ascii="Times New Roman" w:eastAsia="Times New Roman" w:hAnsi="Times New Roman" w:cs="Times New Roman"/>
          <w:sz w:val="24"/>
          <w:szCs w:val="24"/>
          <w:lang w:eastAsia="en-GB"/>
        </w:rPr>
        <w:t xml:space="preserve"> </w:t>
      </w:r>
      <w:proofErr w:type="spellStart"/>
      <w:r w:rsidRPr="00DC7785">
        <w:rPr>
          <w:rFonts w:ascii="Times New Roman" w:eastAsia="Times New Roman" w:hAnsi="Times New Roman" w:cs="Times New Roman"/>
          <w:sz w:val="24"/>
          <w:szCs w:val="24"/>
          <w:lang w:eastAsia="en-GB"/>
        </w:rPr>
        <w:t>opt-in</w:t>
      </w:r>
      <w:proofErr w:type="spellEnd"/>
      <w:r w:rsidRPr="00DC7785">
        <w:rPr>
          <w:rFonts w:ascii="Times New Roman" w:eastAsia="Times New Roman" w:hAnsi="Times New Roman" w:cs="Times New Roman"/>
          <w:sz w:val="24"/>
          <w:szCs w:val="24"/>
          <w:lang w:eastAsia="en-GB"/>
        </w:rPr>
        <w:t xml:space="preserve"> </w:t>
      </w:r>
      <w:proofErr w:type="spellStart"/>
      <w:r w:rsidRPr="00DC7785">
        <w:rPr>
          <w:rFonts w:ascii="Times New Roman" w:eastAsia="Times New Roman" w:hAnsi="Times New Roman" w:cs="Times New Roman"/>
          <w:sz w:val="24"/>
          <w:szCs w:val="24"/>
          <w:lang w:eastAsia="en-GB"/>
        </w:rPr>
        <w:t>economy</w:t>
      </w:r>
      <w:proofErr w:type="spellEnd"/>
    </w:p>
    <w:p w14:paraId="61356034" w14:textId="6CA28E61" w:rsidR="00DC7785" w:rsidRPr="001C3611" w:rsidRDefault="006E5ABE" w:rsidP="00DC7785">
      <w:pPr>
        <w:spacing w:after="0" w:line="240" w:lineRule="auto"/>
        <w:rPr>
          <w:rFonts w:ascii="Times New Roman" w:eastAsia="Times New Roman" w:hAnsi="Times New Roman" w:cs="Times New Roman"/>
          <w:sz w:val="24"/>
          <w:szCs w:val="24"/>
          <w:lang w:eastAsia="en-GB"/>
        </w:rPr>
      </w:pPr>
      <w:hyperlink r:id="rId18" w:tgtFrame="_blank" w:history="1">
        <w:r w:rsidR="00DC7785" w:rsidRPr="00DC7785">
          <w:rPr>
            <w:rFonts w:ascii="Times New Roman" w:eastAsia="Times New Roman" w:hAnsi="Times New Roman" w:cs="Times New Roman"/>
            <w:spacing w:val="-14"/>
            <w:sz w:val="24"/>
            <w:szCs w:val="24"/>
            <w:u w:val="single"/>
            <w:lang w:eastAsia="en-GB"/>
          </w:rPr>
          <w:t>https://it.nttdata.com/-/media/nttdataitaly/white-paper-italia/oe-ntt-data---future-of-data-final---10-04-2018.pdf</w:t>
        </w:r>
      </w:hyperlink>
    </w:p>
    <w:p w14:paraId="333D16C0" w14:textId="499E92CD" w:rsidR="0083052A" w:rsidRPr="001C3611" w:rsidRDefault="0083052A" w:rsidP="00DC7785">
      <w:pPr>
        <w:spacing w:after="0" w:line="240" w:lineRule="auto"/>
        <w:rPr>
          <w:rFonts w:ascii="Times New Roman" w:eastAsia="Times New Roman" w:hAnsi="Times New Roman" w:cs="Times New Roman"/>
          <w:sz w:val="24"/>
          <w:szCs w:val="24"/>
          <w:lang w:eastAsia="en-GB"/>
        </w:rPr>
      </w:pPr>
    </w:p>
    <w:p w14:paraId="63728E26" w14:textId="3CC4332D" w:rsidR="0083052A" w:rsidRPr="001C3611" w:rsidRDefault="0083052A" w:rsidP="00DC7785">
      <w:pPr>
        <w:spacing w:after="0" w:line="240" w:lineRule="auto"/>
        <w:rPr>
          <w:rFonts w:ascii="Times New Roman" w:eastAsia="Times New Roman" w:hAnsi="Times New Roman" w:cs="Times New Roman"/>
          <w:sz w:val="24"/>
          <w:szCs w:val="24"/>
          <w:lang w:eastAsia="en-GB"/>
        </w:rPr>
      </w:pPr>
      <w:r w:rsidRPr="001C3611">
        <w:rPr>
          <w:rFonts w:ascii="Times New Roman" w:hAnsi="Times New Roman" w:cs="Times New Roman"/>
          <w:sz w:val="24"/>
          <w:szCs w:val="24"/>
        </w:rPr>
        <w:t xml:space="preserve">Tautsaimniecības </w:t>
      </w:r>
      <w:proofErr w:type="spellStart"/>
      <w:r w:rsidRPr="001C3611">
        <w:rPr>
          <w:rFonts w:ascii="Times New Roman" w:hAnsi="Times New Roman" w:cs="Times New Roman"/>
          <w:sz w:val="24"/>
          <w:szCs w:val="24"/>
        </w:rPr>
        <w:t>digitalizācijas</w:t>
      </w:r>
      <w:proofErr w:type="spellEnd"/>
      <w:r w:rsidRPr="001C3611">
        <w:rPr>
          <w:rFonts w:ascii="Times New Roman" w:hAnsi="Times New Roman" w:cs="Times New Roman"/>
          <w:sz w:val="24"/>
          <w:szCs w:val="24"/>
        </w:rPr>
        <w:t xml:space="preserve"> būtiskākie virzītāji, </w:t>
      </w:r>
      <w:proofErr w:type="spellStart"/>
      <w:r w:rsidRPr="001C3611">
        <w:rPr>
          <w:rFonts w:ascii="Times New Roman" w:hAnsi="Times New Roman" w:cs="Times New Roman"/>
          <w:sz w:val="24"/>
          <w:szCs w:val="24"/>
        </w:rPr>
        <w:t>prof.E.Karnītis</w:t>
      </w:r>
      <w:proofErr w:type="spellEnd"/>
      <w:r w:rsidRPr="001C3611">
        <w:rPr>
          <w:rFonts w:ascii="Times New Roman" w:hAnsi="Times New Roman" w:cs="Times New Roman"/>
          <w:sz w:val="24"/>
          <w:szCs w:val="24"/>
        </w:rPr>
        <w:t xml:space="preserve">, </w:t>
      </w:r>
      <w:proofErr w:type="spellStart"/>
      <w:r w:rsidRPr="001C3611">
        <w:rPr>
          <w:rFonts w:ascii="Times New Roman" w:hAnsi="Times New Roman" w:cs="Times New Roman"/>
          <w:sz w:val="24"/>
          <w:szCs w:val="24"/>
        </w:rPr>
        <w:t>Pārresoru</w:t>
      </w:r>
      <w:proofErr w:type="spellEnd"/>
      <w:r w:rsidRPr="001C3611">
        <w:rPr>
          <w:rFonts w:ascii="Times New Roman" w:hAnsi="Times New Roman" w:cs="Times New Roman"/>
          <w:sz w:val="24"/>
          <w:szCs w:val="24"/>
        </w:rPr>
        <w:t xml:space="preserve"> koordinācijas centrs, 2018</w:t>
      </w:r>
    </w:p>
    <w:p w14:paraId="4D2425ED" w14:textId="77777777" w:rsidR="002426C9" w:rsidRPr="001C3611" w:rsidRDefault="002426C9" w:rsidP="00DC7785">
      <w:pPr>
        <w:spacing w:after="0" w:line="240" w:lineRule="auto"/>
        <w:rPr>
          <w:rFonts w:ascii="Times New Roman" w:eastAsia="Times New Roman" w:hAnsi="Times New Roman" w:cs="Times New Roman"/>
          <w:sz w:val="24"/>
          <w:szCs w:val="24"/>
          <w:lang w:eastAsia="en-GB"/>
        </w:rPr>
      </w:pPr>
    </w:p>
    <w:p w14:paraId="45B9FCE1" w14:textId="036F09FF" w:rsidR="00DC7785" w:rsidRPr="001C3611" w:rsidRDefault="006E5ABE" w:rsidP="00DC7785">
      <w:pPr>
        <w:spacing w:after="0" w:line="240" w:lineRule="auto"/>
        <w:rPr>
          <w:rFonts w:ascii="Times New Roman" w:hAnsi="Times New Roman" w:cs="Times New Roman"/>
          <w:sz w:val="24"/>
          <w:szCs w:val="24"/>
        </w:rPr>
      </w:pPr>
      <w:hyperlink r:id="rId19" w:history="1">
        <w:r w:rsidR="00DC7785" w:rsidRPr="001C3611">
          <w:rPr>
            <w:rStyle w:val="Hyperlink"/>
            <w:rFonts w:ascii="Times New Roman" w:hAnsi="Times New Roman" w:cs="Times New Roman"/>
            <w:color w:val="auto"/>
            <w:sz w:val="24"/>
            <w:szCs w:val="24"/>
          </w:rPr>
          <w:t>https://www.digicatapult.org.uk</w:t>
        </w:r>
      </w:hyperlink>
      <w:r w:rsidR="00DC7785" w:rsidRPr="001C3611">
        <w:rPr>
          <w:rFonts w:ascii="Times New Roman" w:hAnsi="Times New Roman" w:cs="Times New Roman"/>
          <w:sz w:val="24"/>
          <w:szCs w:val="24"/>
        </w:rPr>
        <w:t xml:space="preserve">  </w:t>
      </w:r>
      <w:r w:rsidR="002426C9" w:rsidRPr="001C3611">
        <w:rPr>
          <w:rFonts w:ascii="Times New Roman" w:hAnsi="Times New Roman" w:cs="Times New Roman"/>
          <w:sz w:val="24"/>
          <w:szCs w:val="24"/>
        </w:rPr>
        <w:t xml:space="preserve">- Lielbritānijas pieredze strādājot ar </w:t>
      </w:r>
      <w:proofErr w:type="spellStart"/>
      <w:r w:rsidR="002426C9" w:rsidRPr="001C3611">
        <w:rPr>
          <w:rFonts w:ascii="Times New Roman" w:hAnsi="Times New Roman" w:cs="Times New Roman"/>
          <w:sz w:val="24"/>
          <w:szCs w:val="24"/>
        </w:rPr>
        <w:t>jaunuzņēmumu</w:t>
      </w:r>
      <w:proofErr w:type="spellEnd"/>
      <w:r w:rsidR="002426C9" w:rsidRPr="001C3611">
        <w:rPr>
          <w:rFonts w:ascii="Times New Roman" w:hAnsi="Times New Roman" w:cs="Times New Roman"/>
          <w:sz w:val="24"/>
          <w:szCs w:val="24"/>
        </w:rPr>
        <w:t xml:space="preserve"> un digitālās transformācijas jautājumiem</w:t>
      </w:r>
    </w:p>
    <w:p w14:paraId="55DF3F4C" w14:textId="708C2145" w:rsidR="00E77EBA" w:rsidRPr="001C3611" w:rsidRDefault="00E77EBA" w:rsidP="00DC7785">
      <w:pPr>
        <w:spacing w:after="0" w:line="240" w:lineRule="auto"/>
        <w:rPr>
          <w:rFonts w:ascii="Times New Roman" w:hAnsi="Times New Roman" w:cs="Times New Roman"/>
          <w:sz w:val="24"/>
          <w:szCs w:val="24"/>
        </w:rPr>
      </w:pPr>
    </w:p>
    <w:p w14:paraId="4AE54C07" w14:textId="59BA51D4" w:rsidR="00E77EBA" w:rsidRPr="00797DC7" w:rsidRDefault="006E5ABE" w:rsidP="00DC7785">
      <w:pPr>
        <w:spacing w:after="0" w:line="240" w:lineRule="auto"/>
        <w:rPr>
          <w:rFonts w:ascii="Times New Roman" w:hAnsi="Times New Roman" w:cs="Times New Roman"/>
          <w:sz w:val="24"/>
          <w:szCs w:val="24"/>
        </w:rPr>
      </w:pPr>
      <w:hyperlink r:id="rId20" w:history="1">
        <w:r w:rsidR="00E77EBA" w:rsidRPr="00797DC7">
          <w:rPr>
            <w:rStyle w:val="Hyperlink"/>
            <w:rFonts w:ascii="Times New Roman" w:hAnsi="Times New Roman" w:cs="Times New Roman"/>
            <w:color w:val="auto"/>
            <w:sz w:val="24"/>
            <w:szCs w:val="24"/>
          </w:rPr>
          <w:t>http://reports.weforum.org/global-information-technology-report-2016/networked-readiness-index/?doing_wp_cron=1558075747.7538928985595703125000</w:t>
        </w:r>
      </w:hyperlink>
    </w:p>
    <w:p w14:paraId="5BE21418" w14:textId="77777777" w:rsidR="00E77EBA" w:rsidRPr="00DC7785" w:rsidRDefault="00E77EBA" w:rsidP="00DC7785">
      <w:pPr>
        <w:spacing w:after="0" w:line="240" w:lineRule="auto"/>
        <w:rPr>
          <w:rFonts w:ascii="Times New Roman" w:eastAsia="Times New Roman" w:hAnsi="Times New Roman" w:cs="Times New Roman"/>
          <w:sz w:val="24"/>
          <w:szCs w:val="24"/>
          <w:lang w:val="en-GB" w:eastAsia="en-GB"/>
        </w:rPr>
      </w:pPr>
    </w:p>
    <w:p w14:paraId="0D7E85A3" w14:textId="5BABF2EC" w:rsidR="004E7829" w:rsidRPr="001C3611" w:rsidRDefault="004E7829" w:rsidP="001C3611">
      <w:pPr>
        <w:rPr>
          <w:rFonts w:ascii="Times New Roman" w:hAnsi="Times New Roman" w:cs="Times New Roman"/>
          <w:sz w:val="24"/>
          <w:szCs w:val="24"/>
        </w:rPr>
      </w:pPr>
    </w:p>
    <w:sectPr w:rsidR="004E7829" w:rsidRPr="001C36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D48470" w14:textId="77777777" w:rsidR="006E5ABE" w:rsidRDefault="006E5ABE" w:rsidP="007E0684">
      <w:pPr>
        <w:spacing w:after="0" w:line="240" w:lineRule="auto"/>
      </w:pPr>
      <w:r>
        <w:separator/>
      </w:r>
    </w:p>
  </w:endnote>
  <w:endnote w:type="continuationSeparator" w:id="0">
    <w:p w14:paraId="6DD1A054" w14:textId="77777777" w:rsidR="006E5ABE" w:rsidRDefault="006E5ABE" w:rsidP="007E06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ndara">
    <w:panose1 w:val="020E0502030303020204"/>
    <w:charset w:val="BA"/>
    <w:family w:val="swiss"/>
    <w:pitch w:val="variable"/>
    <w:sig w:usb0="A00002EF" w:usb1="4000A44B" w:usb2="00000000" w:usb3="00000000" w:csb0="0000019F" w:csb1="00000000"/>
  </w:font>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Caecilia Roman">
    <w:altName w:val="Calibri"/>
    <w:panose1 w:val="00000000000000000000"/>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ECF193" w14:textId="77777777" w:rsidR="006E5ABE" w:rsidRDefault="006E5ABE" w:rsidP="007E0684">
      <w:pPr>
        <w:spacing w:after="0" w:line="240" w:lineRule="auto"/>
      </w:pPr>
      <w:r>
        <w:separator/>
      </w:r>
    </w:p>
  </w:footnote>
  <w:footnote w:type="continuationSeparator" w:id="0">
    <w:p w14:paraId="04AB99E7" w14:textId="77777777" w:rsidR="006E5ABE" w:rsidRDefault="006E5ABE" w:rsidP="007E0684">
      <w:pPr>
        <w:spacing w:after="0" w:line="240" w:lineRule="auto"/>
      </w:pPr>
      <w:r>
        <w:continuationSeparator/>
      </w:r>
    </w:p>
  </w:footnote>
  <w:footnote w:id="1">
    <w:p w14:paraId="273BB017" w14:textId="751D72FC" w:rsidR="00756B6F" w:rsidRDefault="00756B6F">
      <w:pPr>
        <w:pStyle w:val="FootnoteText"/>
      </w:pPr>
      <w:r>
        <w:rPr>
          <w:rStyle w:val="FootnoteReference"/>
        </w:rPr>
        <w:footnoteRef/>
      </w:r>
      <w:r>
        <w:t xml:space="preserve"> </w:t>
      </w:r>
      <w:hyperlink r:id="rId1" w:history="1">
        <w:r w:rsidRPr="00310709">
          <w:rPr>
            <w:rStyle w:val="Hyperlink"/>
          </w:rPr>
          <w:t>https://www.mckinsey.com/business-functions/digital-mckinsey/our-insights/digital-globalization-the-new-era-of-global-flows</w:t>
        </w:r>
      </w:hyperlink>
      <w:r>
        <w:t xml:space="preserve"> </w:t>
      </w:r>
    </w:p>
  </w:footnote>
  <w:footnote w:id="2">
    <w:p w14:paraId="46979B67" w14:textId="77777777" w:rsidR="00205459" w:rsidRDefault="00205459" w:rsidP="00205459">
      <w:pPr>
        <w:pStyle w:val="FootnoteText"/>
      </w:pPr>
      <w:r>
        <w:rPr>
          <w:rStyle w:val="FootnoteReference"/>
        </w:rPr>
        <w:footnoteRef/>
      </w:r>
      <w:r>
        <w:t xml:space="preserve"> </w:t>
      </w:r>
      <w:hyperlink r:id="rId2" w:history="1">
        <w:r w:rsidRPr="00310709">
          <w:rPr>
            <w:rStyle w:val="Hyperlink"/>
          </w:rPr>
          <w:t>https://www.oecd.org/mcm/documents/C-MIN-2017-4%20EN.pdf</w:t>
        </w:r>
      </w:hyperlink>
      <w:r>
        <w:t xml:space="preserve"> </w:t>
      </w:r>
    </w:p>
  </w:footnote>
  <w:footnote w:id="3">
    <w:p w14:paraId="697140C5" w14:textId="1D211B76" w:rsidR="0083052A" w:rsidRDefault="0083052A">
      <w:pPr>
        <w:pStyle w:val="FootnoteText"/>
      </w:pPr>
      <w:r>
        <w:rPr>
          <w:rStyle w:val="FootnoteReference"/>
        </w:rPr>
        <w:footnoteRef/>
      </w:r>
      <w:r>
        <w:t xml:space="preserve"> Tautsaimniecības </w:t>
      </w:r>
      <w:r>
        <w:t>digitalizācijas būtiskākie virzītāji, prof.E.Karnītis, Pārresoru koordinācijas centrs, 2018</w:t>
      </w:r>
    </w:p>
  </w:footnote>
  <w:footnote w:id="4">
    <w:p w14:paraId="3F1813FC" w14:textId="5449ED2D" w:rsidR="00D218AF" w:rsidRDefault="00D218AF">
      <w:pPr>
        <w:pStyle w:val="FootnoteText"/>
      </w:pPr>
      <w:r>
        <w:rPr>
          <w:rStyle w:val="FootnoteReference"/>
        </w:rPr>
        <w:footnoteRef/>
      </w:r>
      <w:r>
        <w:t xml:space="preserve"> </w:t>
      </w:r>
      <w:hyperlink r:id="rId3" w:anchor="page9" w:history="1">
        <w:r>
          <w:rPr>
            <w:rStyle w:val="Hyperlink"/>
          </w:rPr>
          <w:t>https://read.oecd-ilibrary.org/science-and-technology/digital-innovation_a298dc87-en#page9</w:t>
        </w:r>
      </w:hyperlink>
      <w:r>
        <w:t xml:space="preserve"> , OECD 2019</w:t>
      </w:r>
    </w:p>
  </w:footnote>
  <w:footnote w:id="5">
    <w:p w14:paraId="369BD13A" w14:textId="17D93695" w:rsidR="00D218AF" w:rsidRDefault="00D218AF">
      <w:pPr>
        <w:pStyle w:val="FootnoteText"/>
      </w:pPr>
      <w:r>
        <w:rPr>
          <w:rStyle w:val="FootnoteReference"/>
        </w:rPr>
        <w:footnoteRef/>
      </w:r>
      <w:r>
        <w:t xml:space="preserve"> </w:t>
      </w:r>
      <w:hyperlink r:id="rId4" w:history="1">
        <w:r>
          <w:rPr>
            <w:rStyle w:val="Hyperlink"/>
          </w:rPr>
          <w:t>https://www.innovationpolicyplatform.org/system/files/imce/TIPDigital_LondonWorkshop_2017.pdf</w:t>
        </w:r>
      </w:hyperlink>
    </w:p>
  </w:footnote>
  <w:footnote w:id="6">
    <w:p w14:paraId="518B2A10" w14:textId="517761C6" w:rsidR="00D218AF" w:rsidRDefault="00D218AF">
      <w:pPr>
        <w:pStyle w:val="FootnoteText"/>
      </w:pPr>
      <w:r>
        <w:rPr>
          <w:rStyle w:val="FootnoteReference"/>
        </w:rPr>
        <w:footnoteRef/>
      </w:r>
      <w:r>
        <w:t xml:space="preserve"> Digitālās tehnoloģijas būtiski ir samazinājušas datu meklēšanas, dalīšanās un analīzes izmaksas. Ņemot vērā faktu, ka dati ir </w:t>
      </w:r>
      <w:r>
        <w:t xml:space="preserve">atkalizmantojami, reproducējami, mērogojami un tas izdarāms praktiski bez izmaksām, nozīmē to, ka tiklīdz tie ir pieejami, digitalizētas zināšanas (zināšanas, kas ir pārvērstas digitālā datu formātā), ar tiem ir iespējams dalīties praktiski ar neierobežotu lietotāju skaitu, neatkarīgi no ģeogrāfiskās atrašanās vietas un citiem potenciāli ietekmējošam barjerām. </w:t>
      </w:r>
      <w:hyperlink r:id="rId5" w:anchor="page19" w:history="1">
        <w:r>
          <w:rPr>
            <w:rStyle w:val="Hyperlink"/>
          </w:rPr>
          <w:t>https://read.oecd-ilibrary.org/science-and-technology/digital-innovation_a298dc87-en#page19</w:t>
        </w:r>
      </w:hyperlink>
      <w:r>
        <w:t>, OECD 2019</w:t>
      </w:r>
    </w:p>
  </w:footnote>
  <w:footnote w:id="7">
    <w:p w14:paraId="610520E3" w14:textId="24DBA0B0" w:rsidR="00D218AF" w:rsidRDefault="00D218AF">
      <w:pPr>
        <w:pStyle w:val="FootnoteText"/>
      </w:pPr>
      <w:r>
        <w:rPr>
          <w:rStyle w:val="FootnoteReference"/>
        </w:rPr>
        <w:footnoteRef/>
      </w:r>
      <w:r>
        <w:t xml:space="preserve"> </w:t>
      </w:r>
      <w:hyperlink r:id="rId6" w:history="1">
        <w:r w:rsidRPr="006274C6">
          <w:rPr>
            <w:rStyle w:val="Hyperlink"/>
          </w:rPr>
          <w:t>https://www.digicatapult.org.uk</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34D60"/>
    <w:multiLevelType w:val="hybridMultilevel"/>
    <w:tmpl w:val="C3D65F04"/>
    <w:lvl w:ilvl="0" w:tplc="8C5077BA">
      <w:start w:val="1"/>
      <w:numFmt w:val="decimal"/>
      <w:lvlText w:val="%1)"/>
      <w:lvlJc w:val="left"/>
      <w:pPr>
        <w:ind w:left="700" w:hanging="360"/>
      </w:pPr>
      <w:rPr>
        <w:rFonts w:ascii="Candara" w:eastAsia="Calibri" w:hAnsi="Candara" w:cs="Times New Roman"/>
        <w:b/>
        <w:sz w:val="24"/>
      </w:rPr>
    </w:lvl>
    <w:lvl w:ilvl="1" w:tplc="04090019">
      <w:start w:val="1"/>
      <w:numFmt w:val="lowerLetter"/>
      <w:lvlText w:val="%2."/>
      <w:lvlJc w:val="left"/>
      <w:pPr>
        <w:ind w:left="1420" w:hanging="360"/>
      </w:pPr>
    </w:lvl>
    <w:lvl w:ilvl="2" w:tplc="0409001B">
      <w:start w:val="1"/>
      <w:numFmt w:val="lowerRoman"/>
      <w:lvlText w:val="%3."/>
      <w:lvlJc w:val="right"/>
      <w:pPr>
        <w:ind w:left="2140" w:hanging="180"/>
      </w:pPr>
    </w:lvl>
    <w:lvl w:ilvl="3" w:tplc="0409000F">
      <w:start w:val="1"/>
      <w:numFmt w:val="decimal"/>
      <w:lvlText w:val="%4."/>
      <w:lvlJc w:val="left"/>
      <w:pPr>
        <w:ind w:left="2860" w:hanging="360"/>
      </w:pPr>
    </w:lvl>
    <w:lvl w:ilvl="4" w:tplc="04090019">
      <w:start w:val="1"/>
      <w:numFmt w:val="lowerLetter"/>
      <w:lvlText w:val="%5."/>
      <w:lvlJc w:val="left"/>
      <w:pPr>
        <w:ind w:left="3580" w:hanging="360"/>
      </w:pPr>
    </w:lvl>
    <w:lvl w:ilvl="5" w:tplc="0409001B">
      <w:start w:val="1"/>
      <w:numFmt w:val="lowerRoman"/>
      <w:lvlText w:val="%6."/>
      <w:lvlJc w:val="right"/>
      <w:pPr>
        <w:ind w:left="4300" w:hanging="180"/>
      </w:pPr>
    </w:lvl>
    <w:lvl w:ilvl="6" w:tplc="0409000F">
      <w:start w:val="1"/>
      <w:numFmt w:val="decimal"/>
      <w:lvlText w:val="%7."/>
      <w:lvlJc w:val="left"/>
      <w:pPr>
        <w:ind w:left="5020" w:hanging="360"/>
      </w:pPr>
    </w:lvl>
    <w:lvl w:ilvl="7" w:tplc="04090019">
      <w:start w:val="1"/>
      <w:numFmt w:val="lowerLetter"/>
      <w:lvlText w:val="%8."/>
      <w:lvlJc w:val="left"/>
      <w:pPr>
        <w:ind w:left="5740" w:hanging="360"/>
      </w:pPr>
    </w:lvl>
    <w:lvl w:ilvl="8" w:tplc="0409001B">
      <w:start w:val="1"/>
      <w:numFmt w:val="lowerRoman"/>
      <w:lvlText w:val="%9."/>
      <w:lvlJc w:val="right"/>
      <w:pPr>
        <w:ind w:left="6460" w:hanging="180"/>
      </w:pPr>
    </w:lvl>
  </w:abstractNum>
  <w:abstractNum w:abstractNumId="1" w15:restartNumberingAfterBreak="0">
    <w:nsid w:val="02B75936"/>
    <w:multiLevelType w:val="hybridMultilevel"/>
    <w:tmpl w:val="165E6D1A"/>
    <w:lvl w:ilvl="0" w:tplc="39E80564">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DD198F"/>
    <w:multiLevelType w:val="hybridMultilevel"/>
    <w:tmpl w:val="62863DC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C6E7A28"/>
    <w:multiLevelType w:val="hybridMultilevel"/>
    <w:tmpl w:val="68D4FBEE"/>
    <w:lvl w:ilvl="0" w:tplc="5E5C4462">
      <w:start w:val="1"/>
      <w:numFmt w:val="bullet"/>
      <w:lvlText w:val="•"/>
      <w:lvlJc w:val="left"/>
      <w:pPr>
        <w:tabs>
          <w:tab w:val="num" w:pos="720"/>
        </w:tabs>
        <w:ind w:left="720" w:hanging="360"/>
      </w:pPr>
      <w:rPr>
        <w:rFonts w:ascii="Arial" w:hAnsi="Arial" w:hint="default"/>
      </w:rPr>
    </w:lvl>
    <w:lvl w:ilvl="1" w:tplc="F256719E" w:tentative="1">
      <w:start w:val="1"/>
      <w:numFmt w:val="bullet"/>
      <w:lvlText w:val="•"/>
      <w:lvlJc w:val="left"/>
      <w:pPr>
        <w:tabs>
          <w:tab w:val="num" w:pos="1440"/>
        </w:tabs>
        <w:ind w:left="1440" w:hanging="360"/>
      </w:pPr>
      <w:rPr>
        <w:rFonts w:ascii="Arial" w:hAnsi="Arial" w:hint="default"/>
      </w:rPr>
    </w:lvl>
    <w:lvl w:ilvl="2" w:tplc="30F6CF58" w:tentative="1">
      <w:start w:val="1"/>
      <w:numFmt w:val="bullet"/>
      <w:lvlText w:val="•"/>
      <w:lvlJc w:val="left"/>
      <w:pPr>
        <w:tabs>
          <w:tab w:val="num" w:pos="2160"/>
        </w:tabs>
        <w:ind w:left="2160" w:hanging="360"/>
      </w:pPr>
      <w:rPr>
        <w:rFonts w:ascii="Arial" w:hAnsi="Arial" w:hint="default"/>
      </w:rPr>
    </w:lvl>
    <w:lvl w:ilvl="3" w:tplc="09BCD46A" w:tentative="1">
      <w:start w:val="1"/>
      <w:numFmt w:val="bullet"/>
      <w:lvlText w:val="•"/>
      <w:lvlJc w:val="left"/>
      <w:pPr>
        <w:tabs>
          <w:tab w:val="num" w:pos="2880"/>
        </w:tabs>
        <w:ind w:left="2880" w:hanging="360"/>
      </w:pPr>
      <w:rPr>
        <w:rFonts w:ascii="Arial" w:hAnsi="Arial" w:hint="default"/>
      </w:rPr>
    </w:lvl>
    <w:lvl w:ilvl="4" w:tplc="91585A2C" w:tentative="1">
      <w:start w:val="1"/>
      <w:numFmt w:val="bullet"/>
      <w:lvlText w:val="•"/>
      <w:lvlJc w:val="left"/>
      <w:pPr>
        <w:tabs>
          <w:tab w:val="num" w:pos="3600"/>
        </w:tabs>
        <w:ind w:left="3600" w:hanging="360"/>
      </w:pPr>
      <w:rPr>
        <w:rFonts w:ascii="Arial" w:hAnsi="Arial" w:hint="default"/>
      </w:rPr>
    </w:lvl>
    <w:lvl w:ilvl="5" w:tplc="A1F018FC" w:tentative="1">
      <w:start w:val="1"/>
      <w:numFmt w:val="bullet"/>
      <w:lvlText w:val="•"/>
      <w:lvlJc w:val="left"/>
      <w:pPr>
        <w:tabs>
          <w:tab w:val="num" w:pos="4320"/>
        </w:tabs>
        <w:ind w:left="4320" w:hanging="360"/>
      </w:pPr>
      <w:rPr>
        <w:rFonts w:ascii="Arial" w:hAnsi="Arial" w:hint="default"/>
      </w:rPr>
    </w:lvl>
    <w:lvl w:ilvl="6" w:tplc="CF2E965E" w:tentative="1">
      <w:start w:val="1"/>
      <w:numFmt w:val="bullet"/>
      <w:lvlText w:val="•"/>
      <w:lvlJc w:val="left"/>
      <w:pPr>
        <w:tabs>
          <w:tab w:val="num" w:pos="5040"/>
        </w:tabs>
        <w:ind w:left="5040" w:hanging="360"/>
      </w:pPr>
      <w:rPr>
        <w:rFonts w:ascii="Arial" w:hAnsi="Arial" w:hint="default"/>
      </w:rPr>
    </w:lvl>
    <w:lvl w:ilvl="7" w:tplc="3AE4CA06" w:tentative="1">
      <w:start w:val="1"/>
      <w:numFmt w:val="bullet"/>
      <w:lvlText w:val="•"/>
      <w:lvlJc w:val="left"/>
      <w:pPr>
        <w:tabs>
          <w:tab w:val="num" w:pos="5760"/>
        </w:tabs>
        <w:ind w:left="5760" w:hanging="360"/>
      </w:pPr>
      <w:rPr>
        <w:rFonts w:ascii="Arial" w:hAnsi="Arial" w:hint="default"/>
      </w:rPr>
    </w:lvl>
    <w:lvl w:ilvl="8" w:tplc="04C66E5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003586B"/>
    <w:multiLevelType w:val="hybridMultilevel"/>
    <w:tmpl w:val="EDFC899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21C5458A"/>
    <w:multiLevelType w:val="hybridMultilevel"/>
    <w:tmpl w:val="56B01BB4"/>
    <w:lvl w:ilvl="0" w:tplc="E7A42EE4">
      <w:numFmt w:val="bullet"/>
      <w:lvlText w:val="-"/>
      <w:lvlJc w:val="left"/>
      <w:pPr>
        <w:ind w:left="720" w:hanging="360"/>
      </w:pPr>
      <w:rPr>
        <w:rFonts w:ascii="Calibri Light" w:eastAsia="Times New Roman" w:hAnsi="Calibri Light" w:cstheme="majorHAns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E945CC"/>
    <w:multiLevelType w:val="hybridMultilevel"/>
    <w:tmpl w:val="E1E80724"/>
    <w:lvl w:ilvl="0" w:tplc="08090017">
      <w:start w:val="1"/>
      <w:numFmt w:val="lowerLetter"/>
      <w:lvlText w:val="%1)"/>
      <w:lvlJc w:val="left"/>
      <w:pPr>
        <w:ind w:left="700" w:hanging="360"/>
      </w:pPr>
      <w:rPr>
        <w:rFonts w:hint="default"/>
      </w:rPr>
    </w:lvl>
    <w:lvl w:ilvl="1" w:tplc="04090003">
      <w:start w:val="1"/>
      <w:numFmt w:val="bullet"/>
      <w:lvlText w:val="o"/>
      <w:lvlJc w:val="left"/>
      <w:pPr>
        <w:ind w:left="1420" w:hanging="360"/>
      </w:pPr>
      <w:rPr>
        <w:rFonts w:ascii="Courier New" w:hAnsi="Courier New" w:cs="Courier New" w:hint="default"/>
      </w:rPr>
    </w:lvl>
    <w:lvl w:ilvl="2" w:tplc="04090005">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7" w15:restartNumberingAfterBreak="0">
    <w:nsid w:val="3B723A4A"/>
    <w:multiLevelType w:val="hybridMultilevel"/>
    <w:tmpl w:val="88B62F3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CE14050"/>
    <w:multiLevelType w:val="multilevel"/>
    <w:tmpl w:val="6BC02DD2"/>
    <w:lvl w:ilvl="0">
      <w:start w:val="2"/>
      <w:numFmt w:val="decimal"/>
      <w:lvlText w:val="%1."/>
      <w:lvlJc w:val="left"/>
      <w:pPr>
        <w:ind w:left="540" w:hanging="540"/>
      </w:pPr>
      <w:rPr>
        <w:rFonts w:hint="default"/>
      </w:rPr>
    </w:lvl>
    <w:lvl w:ilvl="1">
      <w:start w:val="1"/>
      <w:numFmt w:val="decimal"/>
      <w:lvlText w:val="%1.%2."/>
      <w:lvlJc w:val="left"/>
      <w:pPr>
        <w:ind w:left="1692" w:hanging="540"/>
      </w:pPr>
      <w:rPr>
        <w:rFonts w:hint="default"/>
        <w:b w:val="0"/>
        <w:color w:val="000000"/>
      </w:rPr>
    </w:lvl>
    <w:lvl w:ilvl="2">
      <w:start w:val="1"/>
      <w:numFmt w:val="decimal"/>
      <w:lvlText w:val="%1.%2.%3."/>
      <w:lvlJc w:val="left"/>
      <w:pPr>
        <w:ind w:left="1997" w:hanging="720"/>
      </w:pPr>
      <w:rPr>
        <w:rFonts w:hint="default"/>
        <w:i w:val="0"/>
        <w:color w:val="000000"/>
      </w:rPr>
    </w:lvl>
    <w:lvl w:ilvl="3">
      <w:start w:val="1"/>
      <w:numFmt w:val="decimal"/>
      <w:lvlText w:val="%1.%2.%3.%4."/>
      <w:lvlJc w:val="left"/>
      <w:pPr>
        <w:ind w:left="4176" w:hanging="720"/>
      </w:pPr>
      <w:rPr>
        <w:rFonts w:hint="default"/>
      </w:rPr>
    </w:lvl>
    <w:lvl w:ilvl="4">
      <w:start w:val="1"/>
      <w:numFmt w:val="decimal"/>
      <w:lvlText w:val="%1.%2.%3.%4.%5."/>
      <w:lvlJc w:val="left"/>
      <w:pPr>
        <w:ind w:left="5688" w:hanging="1080"/>
      </w:pPr>
      <w:rPr>
        <w:rFonts w:hint="default"/>
      </w:rPr>
    </w:lvl>
    <w:lvl w:ilvl="5">
      <w:start w:val="1"/>
      <w:numFmt w:val="decimal"/>
      <w:lvlText w:val="%1.%2.%3.%4.%5.%6."/>
      <w:lvlJc w:val="left"/>
      <w:pPr>
        <w:ind w:left="6840" w:hanging="1080"/>
      </w:pPr>
      <w:rPr>
        <w:rFonts w:hint="default"/>
      </w:rPr>
    </w:lvl>
    <w:lvl w:ilvl="6">
      <w:start w:val="1"/>
      <w:numFmt w:val="decimal"/>
      <w:lvlText w:val="%1.%2.%3.%4.%5.%6.%7."/>
      <w:lvlJc w:val="left"/>
      <w:pPr>
        <w:ind w:left="8352" w:hanging="1440"/>
      </w:pPr>
      <w:rPr>
        <w:rFonts w:hint="default"/>
      </w:rPr>
    </w:lvl>
    <w:lvl w:ilvl="7">
      <w:start w:val="1"/>
      <w:numFmt w:val="decimal"/>
      <w:lvlText w:val="%1.%2.%3.%4.%5.%6.%7.%8."/>
      <w:lvlJc w:val="left"/>
      <w:pPr>
        <w:ind w:left="9504" w:hanging="1440"/>
      </w:pPr>
      <w:rPr>
        <w:rFonts w:hint="default"/>
      </w:rPr>
    </w:lvl>
    <w:lvl w:ilvl="8">
      <w:start w:val="1"/>
      <w:numFmt w:val="decimal"/>
      <w:lvlText w:val="%1.%2.%3.%4.%5.%6.%7.%8.%9."/>
      <w:lvlJc w:val="left"/>
      <w:pPr>
        <w:ind w:left="11016" w:hanging="1800"/>
      </w:pPr>
      <w:rPr>
        <w:rFonts w:hint="default"/>
      </w:rPr>
    </w:lvl>
  </w:abstractNum>
  <w:abstractNum w:abstractNumId="9" w15:restartNumberingAfterBreak="0">
    <w:nsid w:val="437E7953"/>
    <w:multiLevelType w:val="multilevel"/>
    <w:tmpl w:val="896A3BA4"/>
    <w:lvl w:ilvl="0">
      <w:start w:val="1"/>
      <w:numFmt w:val="decimal"/>
      <w:lvlText w:val="%1."/>
      <w:lvlJc w:val="left"/>
      <w:pPr>
        <w:ind w:left="540" w:hanging="540"/>
      </w:pPr>
      <w:rPr>
        <w:rFonts w:hint="default"/>
      </w:rPr>
    </w:lvl>
    <w:lvl w:ilvl="1">
      <w:start w:val="1"/>
      <w:numFmt w:val="decimal"/>
      <w:lvlText w:val="%1.%2."/>
      <w:lvlJc w:val="left"/>
      <w:pPr>
        <w:ind w:left="1692" w:hanging="540"/>
      </w:pPr>
      <w:rPr>
        <w:rFonts w:hint="default"/>
      </w:rPr>
    </w:lvl>
    <w:lvl w:ilvl="2">
      <w:start w:val="1"/>
      <w:numFmt w:val="decimal"/>
      <w:lvlText w:val="%1.%2.%3."/>
      <w:lvlJc w:val="left"/>
      <w:pPr>
        <w:ind w:left="3024" w:hanging="720"/>
      </w:pPr>
      <w:rPr>
        <w:rFonts w:hint="default"/>
      </w:rPr>
    </w:lvl>
    <w:lvl w:ilvl="3">
      <w:start w:val="1"/>
      <w:numFmt w:val="decimal"/>
      <w:lvlText w:val="%1.%2.%3.%4."/>
      <w:lvlJc w:val="left"/>
      <w:pPr>
        <w:ind w:left="4176" w:hanging="720"/>
      </w:pPr>
      <w:rPr>
        <w:rFonts w:hint="default"/>
      </w:rPr>
    </w:lvl>
    <w:lvl w:ilvl="4">
      <w:start w:val="1"/>
      <w:numFmt w:val="decimal"/>
      <w:lvlText w:val="%1.%2.%3.%4.%5."/>
      <w:lvlJc w:val="left"/>
      <w:pPr>
        <w:ind w:left="5688" w:hanging="1080"/>
      </w:pPr>
      <w:rPr>
        <w:rFonts w:hint="default"/>
      </w:rPr>
    </w:lvl>
    <w:lvl w:ilvl="5">
      <w:start w:val="1"/>
      <w:numFmt w:val="decimal"/>
      <w:lvlText w:val="%1.%2.%3.%4.%5.%6."/>
      <w:lvlJc w:val="left"/>
      <w:pPr>
        <w:ind w:left="6840" w:hanging="1080"/>
      </w:pPr>
      <w:rPr>
        <w:rFonts w:hint="default"/>
      </w:rPr>
    </w:lvl>
    <w:lvl w:ilvl="6">
      <w:start w:val="1"/>
      <w:numFmt w:val="decimal"/>
      <w:lvlText w:val="%1.%2.%3.%4.%5.%6.%7."/>
      <w:lvlJc w:val="left"/>
      <w:pPr>
        <w:ind w:left="8352" w:hanging="1440"/>
      </w:pPr>
      <w:rPr>
        <w:rFonts w:hint="default"/>
      </w:rPr>
    </w:lvl>
    <w:lvl w:ilvl="7">
      <w:start w:val="1"/>
      <w:numFmt w:val="decimal"/>
      <w:lvlText w:val="%1.%2.%3.%4.%5.%6.%7.%8."/>
      <w:lvlJc w:val="left"/>
      <w:pPr>
        <w:ind w:left="9504" w:hanging="1440"/>
      </w:pPr>
      <w:rPr>
        <w:rFonts w:hint="default"/>
      </w:rPr>
    </w:lvl>
    <w:lvl w:ilvl="8">
      <w:start w:val="1"/>
      <w:numFmt w:val="decimal"/>
      <w:lvlText w:val="%1.%2.%3.%4.%5.%6.%7.%8.%9."/>
      <w:lvlJc w:val="left"/>
      <w:pPr>
        <w:ind w:left="11016" w:hanging="1800"/>
      </w:pPr>
      <w:rPr>
        <w:rFonts w:hint="default"/>
      </w:rPr>
    </w:lvl>
  </w:abstractNum>
  <w:abstractNum w:abstractNumId="10" w15:restartNumberingAfterBreak="0">
    <w:nsid w:val="475541F1"/>
    <w:multiLevelType w:val="hybridMultilevel"/>
    <w:tmpl w:val="6A4A31A6"/>
    <w:lvl w:ilvl="0" w:tplc="2A2EAD6E">
      <w:start w:val="1"/>
      <w:numFmt w:val="decimal"/>
      <w:lvlText w:val="%1)"/>
      <w:lvlJc w:val="left"/>
      <w:pPr>
        <w:ind w:left="720" w:hanging="360"/>
      </w:pPr>
      <w:rPr>
        <w:rFonts w:asciiTheme="minorHAnsi" w:eastAsiaTheme="minorHAnsi" w:hAnsiTheme="minorHAnsi"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7CF1743"/>
    <w:multiLevelType w:val="hybridMultilevel"/>
    <w:tmpl w:val="50A05F1A"/>
    <w:lvl w:ilvl="0" w:tplc="08090001">
      <w:start w:val="1"/>
      <w:numFmt w:val="bullet"/>
      <w:lvlText w:val=""/>
      <w:lvlJc w:val="left"/>
      <w:pPr>
        <w:ind w:left="1420" w:hanging="360"/>
      </w:pPr>
      <w:rPr>
        <w:rFonts w:ascii="Symbol" w:hAnsi="Symbol" w:hint="default"/>
      </w:rPr>
    </w:lvl>
    <w:lvl w:ilvl="1" w:tplc="08090003" w:tentative="1">
      <w:start w:val="1"/>
      <w:numFmt w:val="bullet"/>
      <w:lvlText w:val="o"/>
      <w:lvlJc w:val="left"/>
      <w:pPr>
        <w:ind w:left="2140" w:hanging="360"/>
      </w:pPr>
      <w:rPr>
        <w:rFonts w:ascii="Courier New" w:hAnsi="Courier New" w:cs="Courier New" w:hint="default"/>
      </w:rPr>
    </w:lvl>
    <w:lvl w:ilvl="2" w:tplc="08090005" w:tentative="1">
      <w:start w:val="1"/>
      <w:numFmt w:val="bullet"/>
      <w:lvlText w:val=""/>
      <w:lvlJc w:val="left"/>
      <w:pPr>
        <w:ind w:left="2860" w:hanging="360"/>
      </w:pPr>
      <w:rPr>
        <w:rFonts w:ascii="Wingdings" w:hAnsi="Wingdings" w:hint="default"/>
      </w:rPr>
    </w:lvl>
    <w:lvl w:ilvl="3" w:tplc="08090001" w:tentative="1">
      <w:start w:val="1"/>
      <w:numFmt w:val="bullet"/>
      <w:lvlText w:val=""/>
      <w:lvlJc w:val="left"/>
      <w:pPr>
        <w:ind w:left="3580" w:hanging="360"/>
      </w:pPr>
      <w:rPr>
        <w:rFonts w:ascii="Symbol" w:hAnsi="Symbol" w:hint="default"/>
      </w:rPr>
    </w:lvl>
    <w:lvl w:ilvl="4" w:tplc="08090003" w:tentative="1">
      <w:start w:val="1"/>
      <w:numFmt w:val="bullet"/>
      <w:lvlText w:val="o"/>
      <w:lvlJc w:val="left"/>
      <w:pPr>
        <w:ind w:left="4300" w:hanging="360"/>
      </w:pPr>
      <w:rPr>
        <w:rFonts w:ascii="Courier New" w:hAnsi="Courier New" w:cs="Courier New" w:hint="default"/>
      </w:rPr>
    </w:lvl>
    <w:lvl w:ilvl="5" w:tplc="08090005" w:tentative="1">
      <w:start w:val="1"/>
      <w:numFmt w:val="bullet"/>
      <w:lvlText w:val=""/>
      <w:lvlJc w:val="left"/>
      <w:pPr>
        <w:ind w:left="5020" w:hanging="360"/>
      </w:pPr>
      <w:rPr>
        <w:rFonts w:ascii="Wingdings" w:hAnsi="Wingdings" w:hint="default"/>
      </w:rPr>
    </w:lvl>
    <w:lvl w:ilvl="6" w:tplc="08090001" w:tentative="1">
      <w:start w:val="1"/>
      <w:numFmt w:val="bullet"/>
      <w:lvlText w:val=""/>
      <w:lvlJc w:val="left"/>
      <w:pPr>
        <w:ind w:left="5740" w:hanging="360"/>
      </w:pPr>
      <w:rPr>
        <w:rFonts w:ascii="Symbol" w:hAnsi="Symbol" w:hint="default"/>
      </w:rPr>
    </w:lvl>
    <w:lvl w:ilvl="7" w:tplc="08090003" w:tentative="1">
      <w:start w:val="1"/>
      <w:numFmt w:val="bullet"/>
      <w:lvlText w:val="o"/>
      <w:lvlJc w:val="left"/>
      <w:pPr>
        <w:ind w:left="6460" w:hanging="360"/>
      </w:pPr>
      <w:rPr>
        <w:rFonts w:ascii="Courier New" w:hAnsi="Courier New" w:cs="Courier New" w:hint="default"/>
      </w:rPr>
    </w:lvl>
    <w:lvl w:ilvl="8" w:tplc="08090005" w:tentative="1">
      <w:start w:val="1"/>
      <w:numFmt w:val="bullet"/>
      <w:lvlText w:val=""/>
      <w:lvlJc w:val="left"/>
      <w:pPr>
        <w:ind w:left="7180" w:hanging="360"/>
      </w:pPr>
      <w:rPr>
        <w:rFonts w:ascii="Wingdings" w:hAnsi="Wingdings" w:hint="default"/>
      </w:rPr>
    </w:lvl>
  </w:abstractNum>
  <w:abstractNum w:abstractNumId="12" w15:restartNumberingAfterBreak="0">
    <w:nsid w:val="547B2AFF"/>
    <w:multiLevelType w:val="hybridMultilevel"/>
    <w:tmpl w:val="D7C8AEC6"/>
    <w:lvl w:ilvl="0" w:tplc="7D7C753E">
      <w:start w:val="1"/>
      <w:numFmt w:val="lowerLetter"/>
      <w:lvlText w:val="%1)"/>
      <w:lvlJc w:val="left"/>
      <w:pPr>
        <w:ind w:left="700" w:hanging="360"/>
      </w:pPr>
      <w:rPr>
        <w:rFonts w:hint="default"/>
      </w:rPr>
    </w:lvl>
    <w:lvl w:ilvl="1" w:tplc="08090001">
      <w:start w:val="1"/>
      <w:numFmt w:val="bullet"/>
      <w:lvlText w:val=""/>
      <w:lvlJc w:val="left"/>
      <w:pPr>
        <w:ind w:left="1420" w:hanging="360"/>
      </w:pPr>
      <w:rPr>
        <w:rFonts w:ascii="Symbol" w:hAnsi="Symbol" w:hint="default"/>
      </w:rPr>
    </w:lvl>
    <w:lvl w:ilvl="2" w:tplc="0809001B">
      <w:start w:val="1"/>
      <w:numFmt w:val="lowerRoman"/>
      <w:lvlText w:val="%3."/>
      <w:lvlJc w:val="right"/>
      <w:pPr>
        <w:ind w:left="2140" w:hanging="180"/>
      </w:pPr>
    </w:lvl>
    <w:lvl w:ilvl="3" w:tplc="0809000F" w:tentative="1">
      <w:start w:val="1"/>
      <w:numFmt w:val="decimal"/>
      <w:lvlText w:val="%4."/>
      <w:lvlJc w:val="left"/>
      <w:pPr>
        <w:ind w:left="2860" w:hanging="360"/>
      </w:pPr>
    </w:lvl>
    <w:lvl w:ilvl="4" w:tplc="08090019" w:tentative="1">
      <w:start w:val="1"/>
      <w:numFmt w:val="lowerLetter"/>
      <w:lvlText w:val="%5."/>
      <w:lvlJc w:val="left"/>
      <w:pPr>
        <w:ind w:left="3580" w:hanging="360"/>
      </w:pPr>
    </w:lvl>
    <w:lvl w:ilvl="5" w:tplc="0809001B" w:tentative="1">
      <w:start w:val="1"/>
      <w:numFmt w:val="lowerRoman"/>
      <w:lvlText w:val="%6."/>
      <w:lvlJc w:val="right"/>
      <w:pPr>
        <w:ind w:left="4300" w:hanging="180"/>
      </w:pPr>
    </w:lvl>
    <w:lvl w:ilvl="6" w:tplc="0809000F" w:tentative="1">
      <w:start w:val="1"/>
      <w:numFmt w:val="decimal"/>
      <w:lvlText w:val="%7."/>
      <w:lvlJc w:val="left"/>
      <w:pPr>
        <w:ind w:left="5020" w:hanging="360"/>
      </w:pPr>
    </w:lvl>
    <w:lvl w:ilvl="7" w:tplc="08090019" w:tentative="1">
      <w:start w:val="1"/>
      <w:numFmt w:val="lowerLetter"/>
      <w:lvlText w:val="%8."/>
      <w:lvlJc w:val="left"/>
      <w:pPr>
        <w:ind w:left="5740" w:hanging="360"/>
      </w:pPr>
    </w:lvl>
    <w:lvl w:ilvl="8" w:tplc="0809001B" w:tentative="1">
      <w:start w:val="1"/>
      <w:numFmt w:val="lowerRoman"/>
      <w:lvlText w:val="%9."/>
      <w:lvlJc w:val="right"/>
      <w:pPr>
        <w:ind w:left="6460" w:hanging="180"/>
      </w:pPr>
    </w:lvl>
  </w:abstractNum>
  <w:abstractNum w:abstractNumId="13" w15:restartNumberingAfterBreak="0">
    <w:nsid w:val="559F059C"/>
    <w:multiLevelType w:val="hybridMultilevel"/>
    <w:tmpl w:val="6A34E85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7AC219B"/>
    <w:multiLevelType w:val="hybridMultilevel"/>
    <w:tmpl w:val="2456667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98E60BB"/>
    <w:multiLevelType w:val="hybridMultilevel"/>
    <w:tmpl w:val="681217D8"/>
    <w:lvl w:ilvl="0" w:tplc="0CFC9340">
      <w:start w:val="1"/>
      <w:numFmt w:val="bullet"/>
      <w:lvlText w:val="•"/>
      <w:lvlJc w:val="left"/>
      <w:pPr>
        <w:tabs>
          <w:tab w:val="num" w:pos="720"/>
        </w:tabs>
        <w:ind w:left="720" w:hanging="360"/>
      </w:pPr>
      <w:rPr>
        <w:rFonts w:ascii="Arial" w:hAnsi="Arial" w:hint="default"/>
      </w:rPr>
    </w:lvl>
    <w:lvl w:ilvl="1" w:tplc="6C544C2A" w:tentative="1">
      <w:start w:val="1"/>
      <w:numFmt w:val="bullet"/>
      <w:lvlText w:val="•"/>
      <w:lvlJc w:val="left"/>
      <w:pPr>
        <w:tabs>
          <w:tab w:val="num" w:pos="1440"/>
        </w:tabs>
        <w:ind w:left="1440" w:hanging="360"/>
      </w:pPr>
      <w:rPr>
        <w:rFonts w:ascii="Arial" w:hAnsi="Arial" w:hint="default"/>
      </w:rPr>
    </w:lvl>
    <w:lvl w:ilvl="2" w:tplc="67268C3E" w:tentative="1">
      <w:start w:val="1"/>
      <w:numFmt w:val="bullet"/>
      <w:lvlText w:val="•"/>
      <w:lvlJc w:val="left"/>
      <w:pPr>
        <w:tabs>
          <w:tab w:val="num" w:pos="2160"/>
        </w:tabs>
        <w:ind w:left="2160" w:hanging="360"/>
      </w:pPr>
      <w:rPr>
        <w:rFonts w:ascii="Arial" w:hAnsi="Arial" w:hint="default"/>
      </w:rPr>
    </w:lvl>
    <w:lvl w:ilvl="3" w:tplc="9032473E" w:tentative="1">
      <w:start w:val="1"/>
      <w:numFmt w:val="bullet"/>
      <w:lvlText w:val="•"/>
      <w:lvlJc w:val="left"/>
      <w:pPr>
        <w:tabs>
          <w:tab w:val="num" w:pos="2880"/>
        </w:tabs>
        <w:ind w:left="2880" w:hanging="360"/>
      </w:pPr>
      <w:rPr>
        <w:rFonts w:ascii="Arial" w:hAnsi="Arial" w:hint="default"/>
      </w:rPr>
    </w:lvl>
    <w:lvl w:ilvl="4" w:tplc="936E7C00" w:tentative="1">
      <w:start w:val="1"/>
      <w:numFmt w:val="bullet"/>
      <w:lvlText w:val="•"/>
      <w:lvlJc w:val="left"/>
      <w:pPr>
        <w:tabs>
          <w:tab w:val="num" w:pos="3600"/>
        </w:tabs>
        <w:ind w:left="3600" w:hanging="360"/>
      </w:pPr>
      <w:rPr>
        <w:rFonts w:ascii="Arial" w:hAnsi="Arial" w:hint="default"/>
      </w:rPr>
    </w:lvl>
    <w:lvl w:ilvl="5" w:tplc="732488EA" w:tentative="1">
      <w:start w:val="1"/>
      <w:numFmt w:val="bullet"/>
      <w:lvlText w:val="•"/>
      <w:lvlJc w:val="left"/>
      <w:pPr>
        <w:tabs>
          <w:tab w:val="num" w:pos="4320"/>
        </w:tabs>
        <w:ind w:left="4320" w:hanging="360"/>
      </w:pPr>
      <w:rPr>
        <w:rFonts w:ascii="Arial" w:hAnsi="Arial" w:hint="default"/>
      </w:rPr>
    </w:lvl>
    <w:lvl w:ilvl="6" w:tplc="125E07C0" w:tentative="1">
      <w:start w:val="1"/>
      <w:numFmt w:val="bullet"/>
      <w:lvlText w:val="•"/>
      <w:lvlJc w:val="left"/>
      <w:pPr>
        <w:tabs>
          <w:tab w:val="num" w:pos="5040"/>
        </w:tabs>
        <w:ind w:left="5040" w:hanging="360"/>
      </w:pPr>
      <w:rPr>
        <w:rFonts w:ascii="Arial" w:hAnsi="Arial" w:hint="default"/>
      </w:rPr>
    </w:lvl>
    <w:lvl w:ilvl="7" w:tplc="8ED0467A" w:tentative="1">
      <w:start w:val="1"/>
      <w:numFmt w:val="bullet"/>
      <w:lvlText w:val="•"/>
      <w:lvlJc w:val="left"/>
      <w:pPr>
        <w:tabs>
          <w:tab w:val="num" w:pos="5760"/>
        </w:tabs>
        <w:ind w:left="5760" w:hanging="360"/>
      </w:pPr>
      <w:rPr>
        <w:rFonts w:ascii="Arial" w:hAnsi="Arial" w:hint="default"/>
      </w:rPr>
    </w:lvl>
    <w:lvl w:ilvl="8" w:tplc="469C50F8"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5AC74443"/>
    <w:multiLevelType w:val="hybridMultilevel"/>
    <w:tmpl w:val="2508164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5F3D7CC1"/>
    <w:multiLevelType w:val="hybridMultilevel"/>
    <w:tmpl w:val="ED4C0B3A"/>
    <w:lvl w:ilvl="0" w:tplc="1D9C310E">
      <w:start w:val="1"/>
      <w:numFmt w:val="bullet"/>
      <w:lvlText w:val=""/>
      <w:lvlJc w:val="left"/>
      <w:pPr>
        <w:ind w:left="1800" w:hanging="360"/>
      </w:pPr>
      <w:rPr>
        <w:rFonts w:ascii="Symbol" w:hAnsi="Symbol" w:hint="default"/>
      </w:rPr>
    </w:lvl>
    <w:lvl w:ilvl="1" w:tplc="1D9C310E">
      <w:start w:val="1"/>
      <w:numFmt w:val="bullet"/>
      <w:lvlText w:val=""/>
      <w:lvlJc w:val="left"/>
      <w:pPr>
        <w:ind w:left="2520" w:hanging="360"/>
      </w:pPr>
      <w:rPr>
        <w:rFonts w:ascii="Symbol" w:hAnsi="Symbol" w:hint="default"/>
      </w:rPr>
    </w:lvl>
    <w:lvl w:ilvl="2" w:tplc="04260005" w:tentative="1">
      <w:start w:val="1"/>
      <w:numFmt w:val="bullet"/>
      <w:lvlText w:val=""/>
      <w:lvlJc w:val="left"/>
      <w:pPr>
        <w:ind w:left="3240" w:hanging="360"/>
      </w:pPr>
      <w:rPr>
        <w:rFonts w:ascii="Wingdings" w:hAnsi="Wingdings" w:hint="default"/>
      </w:rPr>
    </w:lvl>
    <w:lvl w:ilvl="3" w:tplc="04260001" w:tentative="1">
      <w:start w:val="1"/>
      <w:numFmt w:val="bullet"/>
      <w:lvlText w:val=""/>
      <w:lvlJc w:val="left"/>
      <w:pPr>
        <w:ind w:left="3960" w:hanging="360"/>
      </w:pPr>
      <w:rPr>
        <w:rFonts w:ascii="Symbol" w:hAnsi="Symbol" w:hint="default"/>
      </w:rPr>
    </w:lvl>
    <w:lvl w:ilvl="4" w:tplc="04260003" w:tentative="1">
      <w:start w:val="1"/>
      <w:numFmt w:val="bullet"/>
      <w:lvlText w:val="o"/>
      <w:lvlJc w:val="left"/>
      <w:pPr>
        <w:ind w:left="4680" w:hanging="360"/>
      </w:pPr>
      <w:rPr>
        <w:rFonts w:ascii="Courier New" w:hAnsi="Courier New" w:cs="Courier New" w:hint="default"/>
      </w:rPr>
    </w:lvl>
    <w:lvl w:ilvl="5" w:tplc="04260005" w:tentative="1">
      <w:start w:val="1"/>
      <w:numFmt w:val="bullet"/>
      <w:lvlText w:val=""/>
      <w:lvlJc w:val="left"/>
      <w:pPr>
        <w:ind w:left="5400" w:hanging="360"/>
      </w:pPr>
      <w:rPr>
        <w:rFonts w:ascii="Wingdings" w:hAnsi="Wingdings" w:hint="default"/>
      </w:rPr>
    </w:lvl>
    <w:lvl w:ilvl="6" w:tplc="04260001" w:tentative="1">
      <w:start w:val="1"/>
      <w:numFmt w:val="bullet"/>
      <w:lvlText w:val=""/>
      <w:lvlJc w:val="left"/>
      <w:pPr>
        <w:ind w:left="6120" w:hanging="360"/>
      </w:pPr>
      <w:rPr>
        <w:rFonts w:ascii="Symbol" w:hAnsi="Symbol" w:hint="default"/>
      </w:rPr>
    </w:lvl>
    <w:lvl w:ilvl="7" w:tplc="04260003" w:tentative="1">
      <w:start w:val="1"/>
      <w:numFmt w:val="bullet"/>
      <w:lvlText w:val="o"/>
      <w:lvlJc w:val="left"/>
      <w:pPr>
        <w:ind w:left="6840" w:hanging="360"/>
      </w:pPr>
      <w:rPr>
        <w:rFonts w:ascii="Courier New" w:hAnsi="Courier New" w:cs="Courier New" w:hint="default"/>
      </w:rPr>
    </w:lvl>
    <w:lvl w:ilvl="8" w:tplc="04260005" w:tentative="1">
      <w:start w:val="1"/>
      <w:numFmt w:val="bullet"/>
      <w:lvlText w:val=""/>
      <w:lvlJc w:val="left"/>
      <w:pPr>
        <w:ind w:left="7560" w:hanging="360"/>
      </w:pPr>
      <w:rPr>
        <w:rFonts w:ascii="Wingdings" w:hAnsi="Wingdings" w:hint="default"/>
      </w:rPr>
    </w:lvl>
  </w:abstractNum>
  <w:abstractNum w:abstractNumId="18" w15:restartNumberingAfterBreak="0">
    <w:nsid w:val="687A5F3B"/>
    <w:multiLevelType w:val="hybridMultilevel"/>
    <w:tmpl w:val="F58A3B3E"/>
    <w:lvl w:ilvl="0" w:tplc="08090011">
      <w:start w:val="1"/>
      <w:numFmt w:val="decimal"/>
      <w:lvlText w:val="%1)"/>
      <w:lvlJc w:val="left"/>
      <w:pPr>
        <w:ind w:left="1060" w:hanging="360"/>
      </w:pPr>
    </w:lvl>
    <w:lvl w:ilvl="1" w:tplc="08090019" w:tentative="1">
      <w:start w:val="1"/>
      <w:numFmt w:val="lowerLetter"/>
      <w:lvlText w:val="%2."/>
      <w:lvlJc w:val="left"/>
      <w:pPr>
        <w:ind w:left="1780" w:hanging="360"/>
      </w:pPr>
    </w:lvl>
    <w:lvl w:ilvl="2" w:tplc="0809001B" w:tentative="1">
      <w:start w:val="1"/>
      <w:numFmt w:val="lowerRoman"/>
      <w:lvlText w:val="%3."/>
      <w:lvlJc w:val="right"/>
      <w:pPr>
        <w:ind w:left="2500" w:hanging="180"/>
      </w:pPr>
    </w:lvl>
    <w:lvl w:ilvl="3" w:tplc="0809000F" w:tentative="1">
      <w:start w:val="1"/>
      <w:numFmt w:val="decimal"/>
      <w:lvlText w:val="%4."/>
      <w:lvlJc w:val="left"/>
      <w:pPr>
        <w:ind w:left="3220" w:hanging="360"/>
      </w:pPr>
    </w:lvl>
    <w:lvl w:ilvl="4" w:tplc="08090019" w:tentative="1">
      <w:start w:val="1"/>
      <w:numFmt w:val="lowerLetter"/>
      <w:lvlText w:val="%5."/>
      <w:lvlJc w:val="left"/>
      <w:pPr>
        <w:ind w:left="3940" w:hanging="360"/>
      </w:pPr>
    </w:lvl>
    <w:lvl w:ilvl="5" w:tplc="0809001B" w:tentative="1">
      <w:start w:val="1"/>
      <w:numFmt w:val="lowerRoman"/>
      <w:lvlText w:val="%6."/>
      <w:lvlJc w:val="right"/>
      <w:pPr>
        <w:ind w:left="4660" w:hanging="180"/>
      </w:pPr>
    </w:lvl>
    <w:lvl w:ilvl="6" w:tplc="0809000F" w:tentative="1">
      <w:start w:val="1"/>
      <w:numFmt w:val="decimal"/>
      <w:lvlText w:val="%7."/>
      <w:lvlJc w:val="left"/>
      <w:pPr>
        <w:ind w:left="5380" w:hanging="360"/>
      </w:pPr>
    </w:lvl>
    <w:lvl w:ilvl="7" w:tplc="08090019" w:tentative="1">
      <w:start w:val="1"/>
      <w:numFmt w:val="lowerLetter"/>
      <w:lvlText w:val="%8."/>
      <w:lvlJc w:val="left"/>
      <w:pPr>
        <w:ind w:left="6100" w:hanging="360"/>
      </w:pPr>
    </w:lvl>
    <w:lvl w:ilvl="8" w:tplc="0809001B" w:tentative="1">
      <w:start w:val="1"/>
      <w:numFmt w:val="lowerRoman"/>
      <w:lvlText w:val="%9."/>
      <w:lvlJc w:val="right"/>
      <w:pPr>
        <w:ind w:left="6820" w:hanging="180"/>
      </w:pPr>
    </w:lvl>
  </w:abstractNum>
  <w:abstractNum w:abstractNumId="19" w15:restartNumberingAfterBreak="0">
    <w:nsid w:val="6B6602BA"/>
    <w:multiLevelType w:val="hybridMultilevel"/>
    <w:tmpl w:val="A22E640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A8B69A3"/>
    <w:multiLevelType w:val="multilevel"/>
    <w:tmpl w:val="80B05AA8"/>
    <w:lvl w:ilvl="0">
      <w:start w:val="1"/>
      <w:numFmt w:val="decimal"/>
      <w:lvlText w:val="%1."/>
      <w:lvlJc w:val="left"/>
      <w:pPr>
        <w:ind w:left="113" w:hanging="113"/>
      </w:pPr>
      <w:rPr>
        <w:rFonts w:hint="default"/>
      </w:rPr>
    </w:lvl>
    <w:lvl w:ilvl="1">
      <w:start w:val="1"/>
      <w:numFmt w:val="decimal"/>
      <w:lvlText w:val="%2."/>
      <w:lvlJc w:val="left"/>
      <w:pPr>
        <w:ind w:left="1703" w:hanging="143"/>
      </w:pPr>
      <w:rPr>
        <w:rFonts w:cs="Times New Roman" w:hint="default"/>
      </w:rPr>
    </w:lvl>
    <w:lvl w:ilvl="2">
      <w:start w:val="1"/>
      <w:numFmt w:val="decimal"/>
      <w:lvlText w:val="%2.%3."/>
      <w:lvlJc w:val="left"/>
      <w:pPr>
        <w:ind w:left="2835" w:hanging="531"/>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16"/>
  </w:num>
  <w:num w:numId="4">
    <w:abstractNumId w:val="12"/>
  </w:num>
  <w:num w:numId="5">
    <w:abstractNumId w:val="13"/>
  </w:num>
  <w:num w:numId="6">
    <w:abstractNumId w:val="14"/>
  </w:num>
  <w:num w:numId="7">
    <w:abstractNumId w:val="7"/>
  </w:num>
  <w:num w:numId="8">
    <w:abstractNumId w:val="1"/>
  </w:num>
  <w:num w:numId="9">
    <w:abstractNumId w:val="10"/>
  </w:num>
  <w:num w:numId="10">
    <w:abstractNumId w:val="19"/>
  </w:num>
  <w:num w:numId="11">
    <w:abstractNumId w:val="8"/>
  </w:num>
  <w:num w:numId="12">
    <w:abstractNumId w:val="20"/>
  </w:num>
  <w:num w:numId="13">
    <w:abstractNumId w:val="9"/>
  </w:num>
  <w:num w:numId="14">
    <w:abstractNumId w:val="5"/>
  </w:num>
  <w:num w:numId="15">
    <w:abstractNumId w:val="17"/>
  </w:num>
  <w:num w:numId="16">
    <w:abstractNumId w:val="3"/>
  </w:num>
  <w:num w:numId="17">
    <w:abstractNumId w:val="15"/>
  </w:num>
  <w:num w:numId="18">
    <w:abstractNumId w:val="4"/>
  </w:num>
  <w:num w:numId="19">
    <w:abstractNumId w:val="11"/>
  </w:num>
  <w:num w:numId="20">
    <w:abstractNumId w:val="18"/>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228"/>
    <w:rsid w:val="00003CD2"/>
    <w:rsid w:val="0002264D"/>
    <w:rsid w:val="00045E84"/>
    <w:rsid w:val="00047571"/>
    <w:rsid w:val="000515D7"/>
    <w:rsid w:val="00077655"/>
    <w:rsid w:val="00091E1C"/>
    <w:rsid w:val="000A2C16"/>
    <w:rsid w:val="000C039F"/>
    <w:rsid w:val="00107BC2"/>
    <w:rsid w:val="00112C5A"/>
    <w:rsid w:val="00160A52"/>
    <w:rsid w:val="00184ED0"/>
    <w:rsid w:val="001A7DFA"/>
    <w:rsid w:val="001C3611"/>
    <w:rsid w:val="001F12CE"/>
    <w:rsid w:val="001F694A"/>
    <w:rsid w:val="00205459"/>
    <w:rsid w:val="0021674D"/>
    <w:rsid w:val="002175C8"/>
    <w:rsid w:val="00237DC5"/>
    <w:rsid w:val="002412FE"/>
    <w:rsid w:val="002426C9"/>
    <w:rsid w:val="00244BEF"/>
    <w:rsid w:val="0027133D"/>
    <w:rsid w:val="00277B83"/>
    <w:rsid w:val="002D2232"/>
    <w:rsid w:val="002F219C"/>
    <w:rsid w:val="002F72E6"/>
    <w:rsid w:val="003108F1"/>
    <w:rsid w:val="0032454D"/>
    <w:rsid w:val="00334841"/>
    <w:rsid w:val="0034557A"/>
    <w:rsid w:val="003D7281"/>
    <w:rsid w:val="003F73F4"/>
    <w:rsid w:val="004462FB"/>
    <w:rsid w:val="004640FE"/>
    <w:rsid w:val="00495F51"/>
    <w:rsid w:val="004B6681"/>
    <w:rsid w:val="004B7123"/>
    <w:rsid w:val="004E7829"/>
    <w:rsid w:val="004F1253"/>
    <w:rsid w:val="004F678B"/>
    <w:rsid w:val="00500583"/>
    <w:rsid w:val="005012D6"/>
    <w:rsid w:val="00506CDD"/>
    <w:rsid w:val="0052321A"/>
    <w:rsid w:val="005B7A0E"/>
    <w:rsid w:val="005C7248"/>
    <w:rsid w:val="005F35A7"/>
    <w:rsid w:val="005F43CA"/>
    <w:rsid w:val="00607E9E"/>
    <w:rsid w:val="0064179C"/>
    <w:rsid w:val="00694FBB"/>
    <w:rsid w:val="006B286C"/>
    <w:rsid w:val="006B52AD"/>
    <w:rsid w:val="006C5E1E"/>
    <w:rsid w:val="006C7DA8"/>
    <w:rsid w:val="006D3557"/>
    <w:rsid w:val="006E3FF1"/>
    <w:rsid w:val="006E5ABE"/>
    <w:rsid w:val="007315C8"/>
    <w:rsid w:val="00756B6F"/>
    <w:rsid w:val="0076348C"/>
    <w:rsid w:val="00777971"/>
    <w:rsid w:val="00797DC7"/>
    <w:rsid w:val="007B76A9"/>
    <w:rsid w:val="007E0684"/>
    <w:rsid w:val="007E71AB"/>
    <w:rsid w:val="0080427D"/>
    <w:rsid w:val="0083052A"/>
    <w:rsid w:val="00847641"/>
    <w:rsid w:val="00856F0C"/>
    <w:rsid w:val="0086611D"/>
    <w:rsid w:val="008B7645"/>
    <w:rsid w:val="00957228"/>
    <w:rsid w:val="00973C5A"/>
    <w:rsid w:val="009749E2"/>
    <w:rsid w:val="00987B9C"/>
    <w:rsid w:val="009A078F"/>
    <w:rsid w:val="009E750B"/>
    <w:rsid w:val="00A20684"/>
    <w:rsid w:val="00A31AAD"/>
    <w:rsid w:val="00A61BA8"/>
    <w:rsid w:val="00A62440"/>
    <w:rsid w:val="00A913FF"/>
    <w:rsid w:val="00B037C9"/>
    <w:rsid w:val="00B32D77"/>
    <w:rsid w:val="00BB49EC"/>
    <w:rsid w:val="00BD0E49"/>
    <w:rsid w:val="00BE0E67"/>
    <w:rsid w:val="00BF58D7"/>
    <w:rsid w:val="00C706E5"/>
    <w:rsid w:val="00CA3E2C"/>
    <w:rsid w:val="00CC1A29"/>
    <w:rsid w:val="00CD3DEF"/>
    <w:rsid w:val="00D069EB"/>
    <w:rsid w:val="00D218AF"/>
    <w:rsid w:val="00D4280E"/>
    <w:rsid w:val="00D6255B"/>
    <w:rsid w:val="00D664C8"/>
    <w:rsid w:val="00D67134"/>
    <w:rsid w:val="00D75A75"/>
    <w:rsid w:val="00DB0AD4"/>
    <w:rsid w:val="00DC7785"/>
    <w:rsid w:val="00DD0355"/>
    <w:rsid w:val="00DD756D"/>
    <w:rsid w:val="00DE7EE2"/>
    <w:rsid w:val="00E14720"/>
    <w:rsid w:val="00E20C36"/>
    <w:rsid w:val="00E227EE"/>
    <w:rsid w:val="00E458C0"/>
    <w:rsid w:val="00E77EBA"/>
    <w:rsid w:val="00E902E0"/>
    <w:rsid w:val="00EE0A9C"/>
    <w:rsid w:val="00EF6F10"/>
    <w:rsid w:val="00F01DA3"/>
    <w:rsid w:val="00F66621"/>
    <w:rsid w:val="00F73BB7"/>
    <w:rsid w:val="00F7437C"/>
    <w:rsid w:val="00F90C67"/>
    <w:rsid w:val="00FB25E3"/>
    <w:rsid w:val="00FB4716"/>
    <w:rsid w:val="00FE23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81334F"/>
  <w15:chartTrackingRefBased/>
  <w15:docId w15:val="{9A145CCA-7516-48AB-9BB7-57B252BBB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7228"/>
    <w:rPr>
      <w:lang w:val="lv-LV"/>
    </w:rPr>
  </w:style>
  <w:style w:type="paragraph" w:styleId="Heading1">
    <w:name w:val="heading 1"/>
    <w:basedOn w:val="Normal"/>
    <w:next w:val="Normal"/>
    <w:link w:val="Heading1Char"/>
    <w:qFormat/>
    <w:rsid w:val="00506CDD"/>
    <w:pPr>
      <w:keepNext/>
      <w:spacing w:after="0" w:line="240" w:lineRule="auto"/>
      <w:jc w:val="right"/>
      <w:outlineLvl w:val="0"/>
    </w:pPr>
    <w:rPr>
      <w:rFonts w:ascii="Times New Roman" w:eastAsia="Times New Roman" w:hAnsi="Times New Roman" w:cs="Times New Roman"/>
      <w:b/>
      <w:sz w:val="28"/>
      <w:szCs w:val="28"/>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DFlyerBodyText">
    <w:name w:val="GD Flyer_Body Text"/>
    <w:basedOn w:val="Normal"/>
    <w:qFormat/>
    <w:rsid w:val="00957228"/>
    <w:pPr>
      <w:spacing w:after="120" w:line="276" w:lineRule="auto"/>
      <w:jc w:val="both"/>
    </w:pPr>
    <w:rPr>
      <w:rFonts w:ascii="Caecilia Roman" w:hAnsi="Caecilia Roman" w:cs="Calibri"/>
      <w:sz w:val="18"/>
      <w:szCs w:val="18"/>
      <w:lang w:eastAsia="zh-CN"/>
    </w:rPr>
  </w:style>
  <w:style w:type="paragraph" w:styleId="ListParagraph">
    <w:name w:val="List Paragraph"/>
    <w:aliases w:val="2,Numbered Para 1,Dot pt,No Spacing1,List Paragraph Char Char Char,Indicator Text,List Paragraph1,Bullet 1,Bullet Points,MAIN CONTENT,IFCL - List Paragraph,List Paragraph12,OBC Bullet,F5 List Paragraph,Colorful List - Accent 11,Strip"/>
    <w:basedOn w:val="Normal"/>
    <w:link w:val="ListParagraphChar"/>
    <w:uiPriority w:val="34"/>
    <w:qFormat/>
    <w:rsid w:val="00957228"/>
    <w:pPr>
      <w:ind w:left="720"/>
      <w:contextualSpacing/>
    </w:pPr>
  </w:style>
  <w:style w:type="paragraph" w:styleId="FootnoteText">
    <w:name w:val="footnote text"/>
    <w:basedOn w:val="Normal"/>
    <w:link w:val="FootnoteTextChar"/>
    <w:uiPriority w:val="99"/>
    <w:semiHidden/>
    <w:unhideWhenUsed/>
    <w:rsid w:val="007E068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E0684"/>
    <w:rPr>
      <w:sz w:val="20"/>
      <w:szCs w:val="20"/>
      <w:lang w:val="lv-LV"/>
    </w:rPr>
  </w:style>
  <w:style w:type="character" w:styleId="FootnoteReference">
    <w:name w:val="footnote reference"/>
    <w:basedOn w:val="DefaultParagraphFont"/>
    <w:uiPriority w:val="99"/>
    <w:semiHidden/>
    <w:unhideWhenUsed/>
    <w:rsid w:val="007E0684"/>
    <w:rPr>
      <w:vertAlign w:val="superscript"/>
    </w:rPr>
  </w:style>
  <w:style w:type="character" w:styleId="Hyperlink">
    <w:name w:val="Hyperlink"/>
    <w:basedOn w:val="DefaultParagraphFont"/>
    <w:uiPriority w:val="99"/>
    <w:unhideWhenUsed/>
    <w:rsid w:val="007E0684"/>
    <w:rPr>
      <w:color w:val="0000FF"/>
      <w:u w:val="single"/>
    </w:rPr>
  </w:style>
  <w:style w:type="character" w:styleId="UnresolvedMention">
    <w:name w:val="Unresolved Mention"/>
    <w:basedOn w:val="DefaultParagraphFont"/>
    <w:uiPriority w:val="99"/>
    <w:semiHidden/>
    <w:unhideWhenUsed/>
    <w:rsid w:val="007E0684"/>
    <w:rPr>
      <w:color w:val="605E5C"/>
      <w:shd w:val="clear" w:color="auto" w:fill="E1DFDD"/>
    </w:rPr>
  </w:style>
  <w:style w:type="character" w:customStyle="1" w:styleId="Heading1Char">
    <w:name w:val="Heading 1 Char"/>
    <w:basedOn w:val="DefaultParagraphFont"/>
    <w:link w:val="Heading1"/>
    <w:rsid w:val="00506CDD"/>
    <w:rPr>
      <w:rFonts w:ascii="Times New Roman" w:eastAsia="Times New Roman" w:hAnsi="Times New Roman" w:cs="Times New Roman"/>
      <w:b/>
      <w:sz w:val="28"/>
      <w:szCs w:val="28"/>
      <w:lang w:val="lv-LV" w:eastAsia="x-none"/>
    </w:rPr>
  </w:style>
  <w:style w:type="character" w:customStyle="1" w:styleId="ListParagraphChar">
    <w:name w:val="List Paragraph Char"/>
    <w:aliases w:val="2 Char,Numbered Para 1 Char,Dot pt Char,No Spacing1 Char,List Paragraph Char Char Char Char,Indicator Text Char,List Paragraph1 Char,Bullet 1 Char,Bullet Points Char,MAIN CONTENT Char,IFCL - List Paragraph Char,List Paragraph12 Char"/>
    <w:link w:val="ListParagraph"/>
    <w:uiPriority w:val="34"/>
    <w:qFormat/>
    <w:locked/>
    <w:rsid w:val="00777971"/>
    <w:rPr>
      <w:lang w:val="lv-LV"/>
    </w:rPr>
  </w:style>
  <w:style w:type="paragraph" w:styleId="Title">
    <w:name w:val="Title"/>
    <w:basedOn w:val="Normal"/>
    <w:link w:val="TitleChar"/>
    <w:qFormat/>
    <w:rsid w:val="002426C9"/>
    <w:pPr>
      <w:tabs>
        <w:tab w:val="left" w:pos="850"/>
        <w:tab w:val="left" w:pos="1191"/>
        <w:tab w:val="left" w:pos="1531"/>
      </w:tabs>
      <w:spacing w:before="240" w:after="60" w:line="240" w:lineRule="auto"/>
      <w:jc w:val="center"/>
      <w:outlineLvl w:val="0"/>
    </w:pPr>
    <w:rPr>
      <w:rFonts w:ascii="Arial" w:hAnsi="Arial" w:cs="Arial"/>
      <w:b/>
      <w:bCs/>
      <w:kern w:val="28"/>
      <w:sz w:val="32"/>
      <w:szCs w:val="32"/>
      <w:lang w:val="en-GB" w:eastAsia="zh-CN"/>
    </w:rPr>
  </w:style>
  <w:style w:type="character" w:customStyle="1" w:styleId="TitleChar">
    <w:name w:val="Title Char"/>
    <w:basedOn w:val="DefaultParagraphFont"/>
    <w:link w:val="Title"/>
    <w:rsid w:val="002426C9"/>
    <w:rPr>
      <w:rFonts w:ascii="Arial" w:hAnsi="Arial" w:cs="Arial"/>
      <w:b/>
      <w:bCs/>
      <w:kern w:val="28"/>
      <w:sz w:val="32"/>
      <w:szCs w:val="32"/>
      <w:lang w:eastAsia="zh-CN"/>
    </w:rPr>
  </w:style>
  <w:style w:type="paragraph" w:styleId="NormalWeb">
    <w:name w:val="Normal (Web)"/>
    <w:basedOn w:val="Normal"/>
    <w:uiPriority w:val="99"/>
    <w:semiHidden/>
    <w:unhideWhenUsed/>
    <w:rsid w:val="00E77EBA"/>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2827693">
      <w:bodyDiv w:val="1"/>
      <w:marLeft w:val="0"/>
      <w:marRight w:val="0"/>
      <w:marTop w:val="0"/>
      <w:marBottom w:val="0"/>
      <w:divBdr>
        <w:top w:val="none" w:sz="0" w:space="0" w:color="auto"/>
        <w:left w:val="none" w:sz="0" w:space="0" w:color="auto"/>
        <w:bottom w:val="none" w:sz="0" w:space="0" w:color="auto"/>
        <w:right w:val="none" w:sz="0" w:space="0" w:color="auto"/>
      </w:divBdr>
    </w:div>
    <w:div w:id="822813582">
      <w:bodyDiv w:val="1"/>
      <w:marLeft w:val="0"/>
      <w:marRight w:val="0"/>
      <w:marTop w:val="0"/>
      <w:marBottom w:val="0"/>
      <w:divBdr>
        <w:top w:val="none" w:sz="0" w:space="0" w:color="auto"/>
        <w:left w:val="none" w:sz="0" w:space="0" w:color="auto"/>
        <w:bottom w:val="none" w:sz="0" w:space="0" w:color="auto"/>
        <w:right w:val="none" w:sz="0" w:space="0" w:color="auto"/>
      </w:divBdr>
    </w:div>
    <w:div w:id="884368197">
      <w:bodyDiv w:val="1"/>
      <w:marLeft w:val="0"/>
      <w:marRight w:val="0"/>
      <w:marTop w:val="0"/>
      <w:marBottom w:val="0"/>
      <w:divBdr>
        <w:top w:val="none" w:sz="0" w:space="0" w:color="auto"/>
        <w:left w:val="none" w:sz="0" w:space="0" w:color="auto"/>
        <w:bottom w:val="none" w:sz="0" w:space="0" w:color="auto"/>
        <w:right w:val="none" w:sz="0" w:space="0" w:color="auto"/>
      </w:divBdr>
      <w:divsChild>
        <w:div w:id="503207530">
          <w:marLeft w:val="547"/>
          <w:marRight w:val="0"/>
          <w:marTop w:val="96"/>
          <w:marBottom w:val="0"/>
          <w:divBdr>
            <w:top w:val="none" w:sz="0" w:space="0" w:color="auto"/>
            <w:left w:val="none" w:sz="0" w:space="0" w:color="auto"/>
            <w:bottom w:val="none" w:sz="0" w:space="0" w:color="auto"/>
            <w:right w:val="none" w:sz="0" w:space="0" w:color="auto"/>
          </w:divBdr>
        </w:div>
      </w:divsChild>
    </w:div>
    <w:div w:id="1029337962">
      <w:bodyDiv w:val="1"/>
      <w:marLeft w:val="0"/>
      <w:marRight w:val="0"/>
      <w:marTop w:val="0"/>
      <w:marBottom w:val="0"/>
      <w:divBdr>
        <w:top w:val="none" w:sz="0" w:space="0" w:color="auto"/>
        <w:left w:val="none" w:sz="0" w:space="0" w:color="auto"/>
        <w:bottom w:val="none" w:sz="0" w:space="0" w:color="auto"/>
        <w:right w:val="none" w:sz="0" w:space="0" w:color="auto"/>
      </w:divBdr>
    </w:div>
    <w:div w:id="1272855603">
      <w:bodyDiv w:val="1"/>
      <w:marLeft w:val="0"/>
      <w:marRight w:val="0"/>
      <w:marTop w:val="0"/>
      <w:marBottom w:val="0"/>
      <w:divBdr>
        <w:top w:val="none" w:sz="0" w:space="0" w:color="auto"/>
        <w:left w:val="none" w:sz="0" w:space="0" w:color="auto"/>
        <w:bottom w:val="none" w:sz="0" w:space="0" w:color="auto"/>
        <w:right w:val="none" w:sz="0" w:space="0" w:color="auto"/>
      </w:divBdr>
      <w:divsChild>
        <w:div w:id="1042436463">
          <w:marLeft w:val="547"/>
          <w:marRight w:val="0"/>
          <w:marTop w:val="160"/>
          <w:marBottom w:val="0"/>
          <w:divBdr>
            <w:top w:val="none" w:sz="0" w:space="0" w:color="auto"/>
            <w:left w:val="none" w:sz="0" w:space="0" w:color="auto"/>
            <w:bottom w:val="none" w:sz="0" w:space="0" w:color="auto"/>
            <w:right w:val="none" w:sz="0" w:space="0" w:color="auto"/>
          </w:divBdr>
        </w:div>
        <w:div w:id="860701402">
          <w:marLeft w:val="547"/>
          <w:marRight w:val="0"/>
          <w:marTop w:val="160"/>
          <w:marBottom w:val="0"/>
          <w:divBdr>
            <w:top w:val="none" w:sz="0" w:space="0" w:color="auto"/>
            <w:left w:val="none" w:sz="0" w:space="0" w:color="auto"/>
            <w:bottom w:val="none" w:sz="0" w:space="0" w:color="auto"/>
            <w:right w:val="none" w:sz="0" w:space="0" w:color="auto"/>
          </w:divBdr>
        </w:div>
        <w:div w:id="147290542">
          <w:marLeft w:val="547"/>
          <w:marRight w:val="0"/>
          <w:marTop w:val="160"/>
          <w:marBottom w:val="0"/>
          <w:divBdr>
            <w:top w:val="none" w:sz="0" w:space="0" w:color="auto"/>
            <w:left w:val="none" w:sz="0" w:space="0" w:color="auto"/>
            <w:bottom w:val="none" w:sz="0" w:space="0" w:color="auto"/>
            <w:right w:val="none" w:sz="0" w:space="0" w:color="auto"/>
          </w:divBdr>
        </w:div>
        <w:div w:id="1523932230">
          <w:marLeft w:val="547"/>
          <w:marRight w:val="0"/>
          <w:marTop w:val="160"/>
          <w:marBottom w:val="0"/>
          <w:divBdr>
            <w:top w:val="none" w:sz="0" w:space="0" w:color="auto"/>
            <w:left w:val="none" w:sz="0" w:space="0" w:color="auto"/>
            <w:bottom w:val="none" w:sz="0" w:space="0" w:color="auto"/>
            <w:right w:val="none" w:sz="0" w:space="0" w:color="auto"/>
          </w:divBdr>
        </w:div>
        <w:div w:id="610556672">
          <w:marLeft w:val="547"/>
          <w:marRight w:val="0"/>
          <w:marTop w:val="160"/>
          <w:marBottom w:val="0"/>
          <w:divBdr>
            <w:top w:val="none" w:sz="0" w:space="0" w:color="auto"/>
            <w:left w:val="none" w:sz="0" w:space="0" w:color="auto"/>
            <w:bottom w:val="none" w:sz="0" w:space="0" w:color="auto"/>
            <w:right w:val="none" w:sz="0" w:space="0" w:color="auto"/>
          </w:divBdr>
        </w:div>
        <w:div w:id="1383403697">
          <w:marLeft w:val="547"/>
          <w:marRight w:val="0"/>
          <w:marTop w:val="160"/>
          <w:marBottom w:val="0"/>
          <w:divBdr>
            <w:top w:val="none" w:sz="0" w:space="0" w:color="auto"/>
            <w:left w:val="none" w:sz="0" w:space="0" w:color="auto"/>
            <w:bottom w:val="none" w:sz="0" w:space="0" w:color="auto"/>
            <w:right w:val="none" w:sz="0" w:space="0" w:color="auto"/>
          </w:divBdr>
        </w:div>
        <w:div w:id="333385487">
          <w:marLeft w:val="547"/>
          <w:marRight w:val="0"/>
          <w:marTop w:val="160"/>
          <w:marBottom w:val="0"/>
          <w:divBdr>
            <w:top w:val="none" w:sz="0" w:space="0" w:color="auto"/>
            <w:left w:val="none" w:sz="0" w:space="0" w:color="auto"/>
            <w:bottom w:val="none" w:sz="0" w:space="0" w:color="auto"/>
            <w:right w:val="none" w:sz="0" w:space="0" w:color="auto"/>
          </w:divBdr>
        </w:div>
      </w:divsChild>
    </w:div>
    <w:div w:id="1465928715">
      <w:bodyDiv w:val="1"/>
      <w:marLeft w:val="0"/>
      <w:marRight w:val="0"/>
      <w:marTop w:val="0"/>
      <w:marBottom w:val="0"/>
      <w:divBdr>
        <w:top w:val="none" w:sz="0" w:space="0" w:color="auto"/>
        <w:left w:val="none" w:sz="0" w:space="0" w:color="auto"/>
        <w:bottom w:val="none" w:sz="0" w:space="0" w:color="auto"/>
        <w:right w:val="none" w:sz="0" w:space="0" w:color="auto"/>
      </w:divBdr>
    </w:div>
    <w:div w:id="1807771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zm.gov.lv/images/zinatne/RIS3_pirmais-monitoringa-ziojums_2018.pdf" TargetMode="External"/><Relationship Id="rId13" Type="http://schemas.openxmlformats.org/officeDocument/2006/relationships/hyperlink" Target="https://www.mckinsey.com/business-functions/digital-mckinsey/our-insights/digital-globalization-the-new-era-of-global-flows" TargetMode="External"/><Relationship Id="rId18" Type="http://schemas.openxmlformats.org/officeDocument/2006/relationships/hyperlink" Target="https://it.nttdata.com/-/media/nttdataitaly/white-paper-italia/oe-ntt-data---future-of-data-final---10-04-2018.pdf"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mckinsey.com/featured-insights/innovation-and-growth/superstars-the-dynamics-of-firms-sectors-and-cities-leading-the-global-economy" TargetMode="External"/><Relationship Id="rId17" Type="http://schemas.openxmlformats.org/officeDocument/2006/relationships/hyperlink" Target="https://www.mckinsey.com/hu/~/media/mckinsey/featured%20insights/europe/the%20rise%20of%20digital%20challengers%20in%20hungary/rise-of-digital-challengers-perspective-on-hungary.ashx" TargetMode="External"/><Relationship Id="rId2" Type="http://schemas.openxmlformats.org/officeDocument/2006/relationships/numbering" Target="numbering.xml"/><Relationship Id="rId16" Type="http://schemas.openxmlformats.org/officeDocument/2006/relationships/hyperlink" Target="https://www.oecd.org/mcm/documents/C-MIN-2017-4%20EN.pdf" TargetMode="External"/><Relationship Id="rId20" Type="http://schemas.openxmlformats.org/officeDocument/2006/relationships/hyperlink" Target="http://reports.weforum.org/global-information-technology-report-2016/networked-readiness-index/?doing_wp_cron=1558075747.753892898559570312500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sb.gov.lv/" TargetMode="External"/><Relationship Id="rId5" Type="http://schemas.openxmlformats.org/officeDocument/2006/relationships/webSettings" Target="webSettings.xml"/><Relationship Id="rId15" Type="http://schemas.openxmlformats.org/officeDocument/2006/relationships/hyperlink" Target="https://read.oecd-ilibrary.org/science-and-technology/digital-innovation_a298dc87-en" TargetMode="External"/><Relationship Id="rId10" Type="http://schemas.openxmlformats.org/officeDocument/2006/relationships/hyperlink" Target="https://ec.europa.eu/digital-single-market/en/news/international-digital-economy-and-society-index-2018" TargetMode="External"/><Relationship Id="rId19" Type="http://schemas.openxmlformats.org/officeDocument/2006/relationships/hyperlink" Target="https://www.digicatapult.org.uk" TargetMode="External"/><Relationship Id="rId4" Type="http://schemas.openxmlformats.org/officeDocument/2006/relationships/settings" Target="settings.xml"/><Relationship Id="rId9" Type="http://schemas.openxmlformats.org/officeDocument/2006/relationships/hyperlink" Target="https://ec.europa.eu/digital-single-market/en/desi" TargetMode="External"/><Relationship Id="rId14" Type="http://schemas.openxmlformats.org/officeDocument/2006/relationships/hyperlink" Target="http://www.oecd.org/going-digital/"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read.oecd-ilibrary.org/science-and-technology/digital-innovation_a298dc87-en" TargetMode="External"/><Relationship Id="rId2" Type="http://schemas.openxmlformats.org/officeDocument/2006/relationships/hyperlink" Target="https://www.oecd.org/mcm/documents/C-MIN-2017-4%20EN.pdf" TargetMode="External"/><Relationship Id="rId1" Type="http://schemas.openxmlformats.org/officeDocument/2006/relationships/hyperlink" Target="https://www.mckinsey.com/business-functions/digital-mckinsey/our-insights/digital-globalization-the-new-era-of-global-flows" TargetMode="External"/><Relationship Id="rId6" Type="http://schemas.openxmlformats.org/officeDocument/2006/relationships/hyperlink" Target="https://www.digicatapult.org.uk" TargetMode="External"/><Relationship Id="rId5" Type="http://schemas.openxmlformats.org/officeDocument/2006/relationships/hyperlink" Target="https://read.oecd-ilibrary.org/science-and-technology/digital-innovation_a298dc87-en" TargetMode="External"/><Relationship Id="rId4" Type="http://schemas.openxmlformats.org/officeDocument/2006/relationships/hyperlink" Target="https://www.innovationpolicyplatform.org/system/files/imce/TIPDigital_LondonWorkshop_201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020535-2667-4622-B91E-C19713D14B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30092</Words>
  <Characters>17154</Characters>
  <Application>Microsoft Office Word</Application>
  <DocSecurity>0</DocSecurity>
  <Lines>142</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Karina Grinberga</dc:creator>
  <cp:keywords/>
  <dc:description/>
  <cp:lastModifiedBy>Agnese Šķēle</cp:lastModifiedBy>
  <cp:revision>2</cp:revision>
  <dcterms:created xsi:type="dcterms:W3CDTF">2020-01-27T10:44:00Z</dcterms:created>
  <dcterms:modified xsi:type="dcterms:W3CDTF">2020-01-27T10:44:00Z</dcterms:modified>
</cp:coreProperties>
</file>