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3A4" w:rsidRPr="00812E5C" w:rsidRDefault="00E873A4" w:rsidP="00E873A4">
      <w:pPr>
        <w:spacing w:before="120" w:after="120" w:line="240" w:lineRule="auto"/>
        <w:rPr>
          <w:rFonts w:ascii="Calibri" w:hAnsi="Calibri" w:cs="Times New Roman"/>
          <w:b/>
          <w:i/>
          <w:sz w:val="28"/>
          <w:szCs w:val="28"/>
          <w:u w:val="single"/>
        </w:rPr>
      </w:pPr>
      <w:bookmarkStart w:id="0" w:name="_Hlk14417825"/>
      <w:r w:rsidRPr="00E2491C">
        <w:rPr>
          <w:rFonts w:ascii="Calibri" w:hAnsi="Calibri"/>
          <w:noProof/>
          <w:lang w:eastAsia="lv-LV"/>
        </w:rPr>
        <mc:AlternateContent>
          <mc:Choice Requires="wps">
            <w:drawing>
              <wp:anchor distT="0" distB="0" distL="114300" distR="114300" simplePos="0" relativeHeight="251661312" behindDoc="0" locked="0" layoutInCell="1" allowOverlap="1" wp14:anchorId="59269EC6" wp14:editId="39A607DE">
                <wp:simplePos x="0" y="0"/>
                <wp:positionH relativeFrom="margin">
                  <wp:align>left</wp:align>
                </wp:positionH>
                <wp:positionV relativeFrom="paragraph">
                  <wp:posOffset>70485</wp:posOffset>
                </wp:positionV>
                <wp:extent cx="5779135" cy="532130"/>
                <wp:effectExtent l="0" t="0" r="0" b="1270"/>
                <wp:wrapSquare wrapText="bothSides"/>
                <wp:docPr id="39" name="Rectangle: Single Corner Snipped 39"/>
                <wp:cNvGraphicFramePr/>
                <a:graphic xmlns:a="http://schemas.openxmlformats.org/drawingml/2006/main">
                  <a:graphicData uri="http://schemas.microsoft.com/office/word/2010/wordprocessingShape">
                    <wps:wsp>
                      <wps:cNvSpPr/>
                      <wps:spPr>
                        <a:xfrm>
                          <a:off x="0" y="0"/>
                          <a:ext cx="5779135" cy="532263"/>
                        </a:xfrm>
                        <a:prstGeom prst="snip1Rect">
                          <a:avLst/>
                        </a:prstGeom>
                        <a:solidFill>
                          <a:schemeClr val="tx2">
                            <a:lumMod val="75000"/>
                          </a:schemeClr>
                        </a:solidFill>
                        <a:ln>
                          <a:noFill/>
                        </a:ln>
                      </wps:spPr>
                      <wps:style>
                        <a:lnRef idx="2">
                          <a:schemeClr val="accent2"/>
                        </a:lnRef>
                        <a:fillRef idx="1">
                          <a:schemeClr val="lt1"/>
                        </a:fillRef>
                        <a:effectRef idx="0">
                          <a:schemeClr val="accent2"/>
                        </a:effectRef>
                        <a:fontRef idx="minor">
                          <a:schemeClr val="dk1"/>
                        </a:fontRef>
                      </wps:style>
                      <wps:txbx>
                        <w:txbxContent>
                          <w:p w:rsidR="00E873A4" w:rsidRPr="000E5785" w:rsidRDefault="00E873A4" w:rsidP="00E873A4">
                            <w:pPr>
                              <w:spacing w:before="120" w:after="12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Enerģētiskā drošība un iekšējais enerģijas tirgus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69EC6" id="Rectangle: Single Corner Snipped 39" o:spid="_x0000_s1026" style="position:absolute;margin-left:0;margin-top:5.55pt;width:455.05pt;height:41.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79135,53226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" adj="-11796480,,5400" path="m,l5690423,r88712,88712l5779135,532263,,532263,,xe" fillcolor="#323e4f [2415]" stroked="f" strokeweight="1pt">
                <v:stroke joinstyle="miter"/>
                <v:formulas/>
                <v:path arrowok="t" o:connecttype="custom" o:connectlocs="0,0;5690423,0;5779135,88712;5779135,532263;0,532263;0,0" o:connectangles="0,0,0,0,0,0" textboxrect="0,0,5779135,532263"/>
                <v:textbox>
                  <w:txbxContent>
                    <w:p w:rsidR="00E873A4" w:rsidRPr="000E5785" w:rsidRDefault="00E873A4" w:rsidP="00E873A4">
                      <w:pPr>
                        <w:spacing w:before="120" w:after="12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Enerģētiskā drošība un iekšējais enerģijas tirgus</w:t>
                      </w:r>
                    </w:p>
                  </w:txbxContent>
                </v:textbox>
                <w10:wrap type="square" anchorx="margin"/>
              </v:shape>
            </w:pict>
          </mc:Fallback>
        </mc:AlternateContent>
      </w:r>
      <w:r w:rsidRPr="00812E5C">
        <w:rPr>
          <w:rFonts w:ascii="Calibri" w:hAnsi="Calibri" w:cs="Times New Roman"/>
          <w:b/>
          <w:i/>
          <w:sz w:val="28"/>
          <w:szCs w:val="28"/>
          <w:u w:val="single"/>
        </w:rPr>
        <w:t>Esošā situācija</w:t>
      </w:r>
    </w:p>
    <w:bookmarkEnd w:id="0"/>
    <w:p w:rsidR="00B85C95" w:rsidRPr="00E10A24" w:rsidRDefault="00B85C95" w:rsidP="00B85C95">
      <w:pPr>
        <w:spacing w:before="120" w:after="120" w:line="240" w:lineRule="auto"/>
        <w:jc w:val="both"/>
        <w:rPr>
          <w:rFonts w:cstheme="minorHAnsi"/>
          <w:szCs w:val="24"/>
        </w:rPr>
      </w:pPr>
      <w:r w:rsidRPr="00E10A24">
        <w:rPr>
          <w:rFonts w:cstheme="minorHAnsi"/>
          <w:szCs w:val="24"/>
        </w:rPr>
        <w:t xml:space="preserve">Latvijas </w:t>
      </w:r>
      <w:r w:rsidRPr="00E10A24">
        <w:rPr>
          <w:rFonts w:cstheme="minorHAnsi"/>
          <w:szCs w:val="24"/>
          <w:u w:val="single"/>
        </w:rPr>
        <w:t>elektroenerģijas tirgus</w:t>
      </w:r>
      <w:r w:rsidRPr="00E10A24">
        <w:rPr>
          <w:rFonts w:cstheme="minorHAnsi"/>
          <w:szCs w:val="24"/>
        </w:rPr>
        <w:t xml:space="preserve"> ir pilnībā liberalizēts no 2015. gada 1. janvāra un mājsaimniecības, tāpat kā juridiskie lietotāji brīvi izvēlas tirgotāju, vienojoties par elektroenerģijas cenu. Kopš 2013.gada elektroenerģijas tirdzniecība notiek arī ziemeļvalstu biržas Nord </w:t>
      </w:r>
      <w:proofErr w:type="spellStart"/>
      <w:r w:rsidRPr="00E10A24">
        <w:rPr>
          <w:rFonts w:cstheme="minorHAnsi"/>
          <w:szCs w:val="24"/>
        </w:rPr>
        <w:t>Pool</w:t>
      </w:r>
      <w:proofErr w:type="spellEnd"/>
      <w:r w:rsidRPr="00E10A24">
        <w:rPr>
          <w:rFonts w:cstheme="minorHAnsi"/>
          <w:szCs w:val="24"/>
        </w:rPr>
        <w:t xml:space="preserve"> ietvaros. Šobrīd Latvijas elektroenerģijas tirgū darbojas 38 komersanti.</w:t>
      </w:r>
    </w:p>
    <w:p w:rsidR="00B85C95" w:rsidRPr="00E10A24" w:rsidRDefault="00B85C95" w:rsidP="00B85C95">
      <w:pPr>
        <w:spacing w:before="120" w:after="120" w:line="240" w:lineRule="auto"/>
        <w:jc w:val="both"/>
        <w:rPr>
          <w:rFonts w:cstheme="minorHAnsi"/>
          <w:szCs w:val="24"/>
        </w:rPr>
      </w:pPr>
      <w:r w:rsidRPr="00E10A24">
        <w:rPr>
          <w:rFonts w:cstheme="minorHAnsi"/>
          <w:szCs w:val="24"/>
        </w:rPr>
        <w:t xml:space="preserve">Latvijas elektroenerģijas tirgus, tāpat kā visas Baltijas enerģētikas tirgus, pašlaik ir savienots ar kopējo Eiropas enerģētikas tirgu ar diviem Igaunijas un Somijas energosistēmas savienojošiem jūras kabeļiem </w:t>
      </w:r>
      <w:proofErr w:type="spellStart"/>
      <w:r w:rsidRPr="00E10A24">
        <w:rPr>
          <w:rFonts w:cstheme="minorHAnsi"/>
          <w:szCs w:val="24"/>
        </w:rPr>
        <w:t>Estlink</w:t>
      </w:r>
      <w:proofErr w:type="spellEnd"/>
      <w:r w:rsidRPr="00E10A24">
        <w:rPr>
          <w:rFonts w:cstheme="minorHAnsi"/>
          <w:szCs w:val="24"/>
        </w:rPr>
        <w:t xml:space="preserve"> I, kura pārvades jauda – 350 MW, un </w:t>
      </w:r>
      <w:proofErr w:type="spellStart"/>
      <w:r w:rsidRPr="00E10A24">
        <w:rPr>
          <w:rFonts w:cstheme="minorHAnsi"/>
          <w:szCs w:val="24"/>
        </w:rPr>
        <w:t>Estlink</w:t>
      </w:r>
      <w:proofErr w:type="spellEnd"/>
      <w:r w:rsidRPr="00E10A24">
        <w:rPr>
          <w:rFonts w:cstheme="minorHAnsi"/>
          <w:szCs w:val="24"/>
        </w:rPr>
        <w:t xml:space="preserve"> II, kura pārvades jauda ir 650 MW, savukārt Lietuvu - Poliju savieno </w:t>
      </w:r>
      <w:proofErr w:type="spellStart"/>
      <w:r w:rsidRPr="00E10A24">
        <w:rPr>
          <w:rFonts w:cstheme="minorHAnsi"/>
          <w:szCs w:val="24"/>
        </w:rPr>
        <w:t>starpsavienojums</w:t>
      </w:r>
      <w:proofErr w:type="spellEnd"/>
      <w:r w:rsidRPr="00E10A24">
        <w:rPr>
          <w:rFonts w:cstheme="minorHAnsi"/>
          <w:szCs w:val="24"/>
        </w:rPr>
        <w:t xml:space="preserve"> </w:t>
      </w:r>
      <w:proofErr w:type="spellStart"/>
      <w:r w:rsidRPr="00E10A24">
        <w:rPr>
          <w:rFonts w:cstheme="minorHAnsi"/>
          <w:szCs w:val="24"/>
        </w:rPr>
        <w:t>LitPol</w:t>
      </w:r>
      <w:proofErr w:type="spellEnd"/>
      <w:r w:rsidRPr="00E10A24">
        <w:rPr>
          <w:rFonts w:cstheme="minorHAnsi"/>
          <w:szCs w:val="24"/>
        </w:rPr>
        <w:t xml:space="preserve"> </w:t>
      </w:r>
      <w:proofErr w:type="spellStart"/>
      <w:r w:rsidRPr="00E10A24">
        <w:rPr>
          <w:rFonts w:cstheme="minorHAnsi"/>
          <w:szCs w:val="24"/>
        </w:rPr>
        <w:t>Link</w:t>
      </w:r>
      <w:proofErr w:type="spellEnd"/>
      <w:r w:rsidRPr="00E10A24">
        <w:rPr>
          <w:rFonts w:cstheme="minorHAnsi"/>
          <w:szCs w:val="24"/>
        </w:rPr>
        <w:t xml:space="preserve"> 1 ar 500 MW pārvades jaudu. To papildina arī Lietuvas-Zviedrijas </w:t>
      </w:r>
      <w:proofErr w:type="spellStart"/>
      <w:r w:rsidRPr="00E10A24">
        <w:rPr>
          <w:rFonts w:cstheme="minorHAnsi"/>
          <w:szCs w:val="24"/>
        </w:rPr>
        <w:t>starpsavienojuma</w:t>
      </w:r>
      <w:proofErr w:type="spellEnd"/>
      <w:r w:rsidRPr="00E10A24">
        <w:rPr>
          <w:rFonts w:cstheme="minorHAnsi"/>
          <w:szCs w:val="24"/>
        </w:rPr>
        <w:t xml:space="preserve"> „</w:t>
      </w:r>
      <w:proofErr w:type="spellStart"/>
      <w:r w:rsidRPr="00E10A24">
        <w:rPr>
          <w:rFonts w:cstheme="minorHAnsi"/>
          <w:szCs w:val="24"/>
        </w:rPr>
        <w:t>NordBalt</w:t>
      </w:r>
      <w:proofErr w:type="spellEnd"/>
      <w:r w:rsidRPr="00E10A24">
        <w:rPr>
          <w:rFonts w:cstheme="minorHAnsi"/>
          <w:szCs w:val="24"/>
        </w:rPr>
        <w:t>” ar 700 MW pārvades jaudu.</w:t>
      </w:r>
      <w:r w:rsidR="00137E1F">
        <w:rPr>
          <w:rFonts w:cstheme="minorHAnsi"/>
          <w:szCs w:val="24"/>
        </w:rPr>
        <w:t xml:space="preserve"> </w:t>
      </w:r>
      <w:r w:rsidRPr="00E10A24">
        <w:rPr>
          <w:rFonts w:cstheme="minorHAnsi"/>
          <w:szCs w:val="24"/>
        </w:rPr>
        <w:t>Vienlaikus, atšķirībā no citām E</w:t>
      </w:r>
      <w:r w:rsidR="00E10A24">
        <w:rPr>
          <w:rFonts w:cstheme="minorHAnsi"/>
          <w:szCs w:val="24"/>
        </w:rPr>
        <w:t xml:space="preserve">S </w:t>
      </w:r>
      <w:r w:rsidRPr="00E10A24">
        <w:rPr>
          <w:rFonts w:cstheme="minorHAnsi"/>
          <w:szCs w:val="24"/>
        </w:rPr>
        <w:t>dalībvalstīm, Baltijas valstu elektroenerģijas sistēmas darbojas paralēlā, sinhronā režīmā ar IPS/UPS (Krievijas vienotā energosistēma/Ukrainas, Baltkrievijas, Kazahstānas, Kirgizstānas, Azerbaidžānas, Gruzijas, Tadžikistānas, Moldovas un Mongolijas integrētā energosistēma) reģionu, nevis Eiropas elektroenerģijas sistēmām. Baltijas valstu, Krievijas un Baltkrievijas elektroenerģijas tirgu pārrobežu darbību nosaka Baltkrievijas, Krievijas, Igaunijas, Lietuvas un Latvijas pārvades sistēmas operatoru (turpmāk – PSO) noslēgtais BRELL</w:t>
      </w:r>
      <w:r w:rsidR="00E10A24">
        <w:rPr>
          <w:rStyle w:val="FootnoteReference"/>
          <w:rFonts w:cstheme="minorHAnsi"/>
          <w:szCs w:val="24"/>
        </w:rPr>
        <w:footnoteReference w:id="1"/>
      </w:r>
      <w:r w:rsidRPr="00E10A24">
        <w:rPr>
          <w:rFonts w:cstheme="minorHAnsi"/>
          <w:szCs w:val="24"/>
        </w:rPr>
        <w:t xml:space="preserve"> līgums.</w:t>
      </w:r>
    </w:p>
    <w:p w:rsidR="00B85C95" w:rsidRPr="00E10A24" w:rsidRDefault="00B85C95" w:rsidP="00B85C95">
      <w:pPr>
        <w:spacing w:before="120" w:after="120" w:line="240" w:lineRule="auto"/>
        <w:jc w:val="both"/>
        <w:rPr>
          <w:rFonts w:cstheme="minorHAnsi"/>
          <w:szCs w:val="24"/>
        </w:rPr>
      </w:pPr>
      <w:r w:rsidRPr="00E10A24">
        <w:rPr>
          <w:rFonts w:cstheme="minorHAnsi"/>
          <w:szCs w:val="24"/>
        </w:rPr>
        <w:t xml:space="preserve">Latvijas </w:t>
      </w:r>
      <w:r w:rsidRPr="00E10A24">
        <w:rPr>
          <w:rFonts w:cstheme="minorHAnsi"/>
          <w:szCs w:val="24"/>
          <w:u w:val="single"/>
        </w:rPr>
        <w:t xml:space="preserve">dabasgāzes tirgus </w:t>
      </w:r>
      <w:r w:rsidRPr="00E10A24">
        <w:rPr>
          <w:rFonts w:cstheme="minorHAnsi"/>
          <w:szCs w:val="24"/>
        </w:rPr>
        <w:t>ir liberalizēts kopš 2017.gada 3.aprīļa, kas ir sniedzis gan uzņēmumiem, gan mājsaimniecībām iespēju izvēlēties savām vajadzībām atbilstošāko dabasgāzes piedāvājumu. Līdz dabasgāzes tirgus liberalizācijai Latvijai bija tikai viens dabasgāzes piegādātājs</w:t>
      </w:r>
      <w:r w:rsidR="002D0D92">
        <w:rPr>
          <w:rFonts w:cstheme="minorHAnsi"/>
          <w:szCs w:val="24"/>
        </w:rPr>
        <w:t xml:space="preserve"> </w:t>
      </w:r>
      <w:r w:rsidRPr="00E10A24">
        <w:rPr>
          <w:rFonts w:cstheme="minorHAnsi"/>
          <w:szCs w:val="24"/>
        </w:rPr>
        <w:t>un dabasgāzes tirgū darbojās tikai viens komersants. Šobrīd dabasgāzes tirgū darbojas 21 komersants un dabasgāze Latvijā var ieplūst arī no Lietuvas sašķidrinātās dabasgāzes termināļa. Tāpat no vēsturiskā dabasgāzes monopola nodalīta dabasgāzes pārvade un uzglabāšana</w:t>
      </w:r>
      <w:r w:rsidR="002D0D92">
        <w:rPr>
          <w:rFonts w:cstheme="minorHAnsi"/>
          <w:szCs w:val="24"/>
        </w:rPr>
        <w:t xml:space="preserve">, </w:t>
      </w:r>
      <w:r w:rsidRPr="00E10A24">
        <w:rPr>
          <w:rFonts w:cstheme="minorHAnsi"/>
          <w:szCs w:val="24"/>
        </w:rPr>
        <w:t>kā arī sadales sistēma.</w:t>
      </w:r>
    </w:p>
    <w:p w:rsidR="00B85C95" w:rsidRPr="00E10A24" w:rsidRDefault="00B85C95" w:rsidP="00B85C95">
      <w:pPr>
        <w:spacing w:before="120" w:after="120" w:line="240" w:lineRule="auto"/>
        <w:jc w:val="both"/>
        <w:rPr>
          <w:rFonts w:cstheme="minorHAnsi"/>
          <w:szCs w:val="24"/>
        </w:rPr>
      </w:pPr>
      <w:r w:rsidRPr="00E10A24">
        <w:rPr>
          <w:rFonts w:cstheme="minorHAnsi"/>
          <w:szCs w:val="24"/>
        </w:rPr>
        <w:t>Galvenais dabasgāzes piegādes ceļš Latvijas patērētājiem ir maģistrālie gāzesvadu tīkli, kuri atzarojas no Jamalas – Eiropas gāzes vada Tveras apgabalā Krievijā, uz Sanktpēterburgu, Pleskavu un tālāk uz Igauniju, Latviju.</w:t>
      </w:r>
    </w:p>
    <w:p w:rsidR="00B85C95" w:rsidRDefault="00B85C95" w:rsidP="00B85C95">
      <w:pPr>
        <w:spacing w:before="120" w:after="120" w:line="240" w:lineRule="auto"/>
        <w:jc w:val="both"/>
        <w:rPr>
          <w:rFonts w:cstheme="minorHAnsi"/>
          <w:szCs w:val="24"/>
        </w:rPr>
      </w:pPr>
      <w:r w:rsidRPr="00E10A24">
        <w:rPr>
          <w:rFonts w:cstheme="minorHAnsi"/>
          <w:szCs w:val="24"/>
        </w:rPr>
        <w:t>Latvijas dabasgāzes apgādes sistēmu raksturo tas, ka vasaras sezonā, kad dabasgāzes patēriņš reģionā ir vairākas reizes mazāks nekā aukstajā laikā, dabasgāze tiek iesūknēta Inčukalna pazemes gāzes krātuvē (turpmāk arī – PGK), lai apkures sezonā to piegādātu lietotājiem Latvijā, Igaunijā, Krievijas Ziemeļrietumu reģionā un mazākos apjomos - Lietuvā. Inčukalna PGK ir vienīgā funkcionējošā krātuve Baltijas valstīs, un tā nodrošina reģionālās dabasgāzes apgādes stabilitāti.</w:t>
      </w:r>
    </w:p>
    <w:p w:rsidR="00E873A4" w:rsidRPr="002D0D92" w:rsidRDefault="00E873A4" w:rsidP="00B85C95">
      <w:pPr>
        <w:spacing w:before="120" w:after="120" w:line="240" w:lineRule="auto"/>
        <w:jc w:val="both"/>
        <w:rPr>
          <w:rFonts w:cstheme="minorHAnsi"/>
          <w:sz w:val="8"/>
          <w:szCs w:val="8"/>
        </w:rPr>
      </w:pPr>
    </w:p>
    <w:p w:rsidR="00E873A4" w:rsidRPr="000E5785" w:rsidRDefault="00E873A4" w:rsidP="00E10A24">
      <w:pPr>
        <w:shd w:val="clear" w:color="auto" w:fill="E7E6E6" w:themeFill="background2"/>
        <w:spacing w:before="120" w:after="120" w:line="240" w:lineRule="auto"/>
        <w:rPr>
          <w:rFonts w:ascii="Calibri" w:hAnsi="Calibri" w:cs="Times New Roman"/>
          <w:b/>
          <w:sz w:val="28"/>
          <w:szCs w:val="28"/>
          <w:u w:val="single"/>
        </w:rPr>
      </w:pPr>
      <w:bookmarkStart w:id="1" w:name="_Hlk19005731"/>
      <w:r w:rsidRPr="000E5785">
        <w:rPr>
          <w:rFonts w:ascii="Calibri" w:hAnsi="Calibri" w:cs="Times New Roman"/>
          <w:b/>
          <w:sz w:val="28"/>
          <w:szCs w:val="28"/>
          <w:u w:val="single"/>
        </w:rPr>
        <w:t>Vēlamā situācija 2030.gadā:</w:t>
      </w:r>
    </w:p>
    <w:bookmarkEnd w:id="1"/>
    <w:p w:rsidR="00E873A4" w:rsidRPr="00E10A24" w:rsidRDefault="00E873A4" w:rsidP="00E10A24">
      <w:pPr>
        <w:pStyle w:val="ListParagraph"/>
        <w:numPr>
          <w:ilvl w:val="0"/>
          <w:numId w:val="4"/>
        </w:numPr>
        <w:shd w:val="clear" w:color="auto" w:fill="E7E6E6" w:themeFill="background2"/>
        <w:spacing w:before="120" w:after="120" w:line="240" w:lineRule="auto"/>
        <w:ind w:left="397" w:hanging="397"/>
        <w:contextualSpacing w:val="0"/>
        <w:rPr>
          <w:rFonts w:ascii="Calibri" w:hAnsi="Calibri" w:cs="Times New Roman"/>
          <w:i/>
          <w:szCs w:val="24"/>
        </w:rPr>
      </w:pPr>
      <w:r w:rsidRPr="00E10A24">
        <w:rPr>
          <w:rFonts w:ascii="Calibri" w:hAnsi="Calibri" w:cs="Times New Roman"/>
          <w:i/>
          <w:szCs w:val="24"/>
        </w:rPr>
        <w:t xml:space="preserve">Baltijas valstu elektrotīkli ir sinhronizēti ar Eiropas tīkliem, nodrošinot drošu un ilgtspējīgu elektroapgādi caur kopumā 5 Eiropas </w:t>
      </w:r>
      <w:proofErr w:type="spellStart"/>
      <w:r w:rsidRPr="00E10A24">
        <w:rPr>
          <w:rFonts w:ascii="Calibri" w:hAnsi="Calibri" w:cs="Times New Roman"/>
          <w:i/>
          <w:szCs w:val="24"/>
        </w:rPr>
        <w:t>starpsavienojumiem</w:t>
      </w:r>
      <w:proofErr w:type="spellEnd"/>
    </w:p>
    <w:p w:rsidR="00E873A4" w:rsidRPr="00E10A24" w:rsidRDefault="00E873A4" w:rsidP="00E10A24">
      <w:pPr>
        <w:pStyle w:val="ListParagraph"/>
        <w:numPr>
          <w:ilvl w:val="0"/>
          <w:numId w:val="4"/>
        </w:numPr>
        <w:shd w:val="clear" w:color="auto" w:fill="E7E6E6" w:themeFill="background2"/>
        <w:spacing w:before="120" w:after="120" w:line="240" w:lineRule="auto"/>
        <w:ind w:left="397" w:hanging="397"/>
        <w:contextualSpacing w:val="0"/>
        <w:rPr>
          <w:rFonts w:ascii="Calibri" w:hAnsi="Calibri" w:cs="Times New Roman"/>
          <w:i/>
          <w:szCs w:val="24"/>
        </w:rPr>
      </w:pPr>
      <w:r w:rsidRPr="00E10A24">
        <w:rPr>
          <w:rFonts w:ascii="Calibri" w:hAnsi="Calibri" w:cs="Times New Roman"/>
          <w:i/>
          <w:szCs w:val="24"/>
        </w:rPr>
        <w:t>Izveidots reģionālais dabasgāzes tirgus starp Baltijas valstīm un Somiju, tostarp pabeigta dabasgāzes starpvalstu savienojumi, nodrošinot dažādotus un drošus dabasgāzes piegādes ceļus un piegādātājus</w:t>
      </w:r>
    </w:p>
    <w:p w:rsidR="00E873A4" w:rsidRPr="000E5785" w:rsidRDefault="00E873A4" w:rsidP="00E10A24">
      <w:pPr>
        <w:shd w:val="clear" w:color="auto" w:fill="E7E6E6" w:themeFill="background2"/>
        <w:spacing w:before="120" w:after="120" w:line="240" w:lineRule="auto"/>
        <w:rPr>
          <w:rFonts w:ascii="Calibri" w:hAnsi="Calibri" w:cs="Times New Roman"/>
          <w:b/>
          <w:sz w:val="28"/>
          <w:szCs w:val="28"/>
          <w:u w:val="single"/>
        </w:rPr>
      </w:pPr>
      <w:r w:rsidRPr="000E5785">
        <w:rPr>
          <w:rFonts w:ascii="Calibri" w:hAnsi="Calibri" w:cs="Times New Roman"/>
          <w:b/>
          <w:sz w:val="28"/>
          <w:szCs w:val="28"/>
          <w:u w:val="single"/>
        </w:rPr>
        <w:t>Ieguvumi sabiedrībai un tautsaimniecībai:</w:t>
      </w:r>
    </w:p>
    <w:p w:rsidR="00E873A4" w:rsidRPr="00E873A4" w:rsidRDefault="00E873A4" w:rsidP="00E10A24">
      <w:pPr>
        <w:pStyle w:val="ListParagraph"/>
        <w:numPr>
          <w:ilvl w:val="0"/>
          <w:numId w:val="1"/>
        </w:numPr>
        <w:shd w:val="clear" w:color="auto" w:fill="E7E6E6" w:themeFill="background2"/>
        <w:spacing w:before="120" w:after="120" w:line="240" w:lineRule="auto"/>
        <w:ind w:left="397" w:hanging="397"/>
        <w:contextualSpacing w:val="0"/>
        <w:rPr>
          <w:rFonts w:ascii="Calibri" w:hAnsi="Calibri" w:cs="Times New Roman"/>
          <w:i/>
          <w:szCs w:val="24"/>
        </w:rPr>
      </w:pPr>
      <w:proofErr w:type="spellStart"/>
      <w:r w:rsidRPr="00E873A4">
        <w:rPr>
          <w:rFonts w:ascii="Calibri" w:hAnsi="Calibri" w:cs="Times New Roman"/>
          <w:i/>
          <w:szCs w:val="24"/>
        </w:rPr>
        <w:t>Energodrošums</w:t>
      </w:r>
      <w:proofErr w:type="spellEnd"/>
      <w:r w:rsidRPr="00E873A4">
        <w:rPr>
          <w:rFonts w:ascii="Calibri" w:hAnsi="Calibri" w:cs="Times New Roman"/>
          <w:i/>
          <w:szCs w:val="24"/>
        </w:rPr>
        <w:t xml:space="preserve"> un </w:t>
      </w:r>
      <w:proofErr w:type="spellStart"/>
      <w:r w:rsidRPr="00E873A4">
        <w:rPr>
          <w:rFonts w:ascii="Calibri" w:hAnsi="Calibri" w:cs="Times New Roman"/>
          <w:i/>
          <w:szCs w:val="24"/>
        </w:rPr>
        <w:t>energoneatkarība</w:t>
      </w:r>
      <w:proofErr w:type="spellEnd"/>
      <w:r w:rsidRPr="00E873A4">
        <w:rPr>
          <w:rFonts w:ascii="Calibri" w:hAnsi="Calibri" w:cs="Times New Roman"/>
          <w:i/>
          <w:szCs w:val="24"/>
        </w:rPr>
        <w:t xml:space="preserve"> no trešajām valstīm</w:t>
      </w:r>
    </w:p>
    <w:p w:rsidR="00E873A4" w:rsidRPr="00E873A4" w:rsidRDefault="00E873A4" w:rsidP="00E10A24">
      <w:pPr>
        <w:pStyle w:val="ListParagraph"/>
        <w:numPr>
          <w:ilvl w:val="0"/>
          <w:numId w:val="1"/>
        </w:numPr>
        <w:shd w:val="clear" w:color="auto" w:fill="E7E6E6" w:themeFill="background2"/>
        <w:spacing w:before="120" w:after="120" w:line="240" w:lineRule="auto"/>
        <w:ind w:left="397" w:hanging="397"/>
        <w:contextualSpacing w:val="0"/>
        <w:rPr>
          <w:rFonts w:ascii="Calibri" w:hAnsi="Calibri" w:cs="Times New Roman"/>
          <w:i/>
          <w:szCs w:val="24"/>
        </w:rPr>
      </w:pPr>
      <w:r w:rsidRPr="00E873A4">
        <w:rPr>
          <w:rFonts w:ascii="Calibri" w:hAnsi="Calibri" w:cs="Times New Roman"/>
          <w:i/>
          <w:szCs w:val="24"/>
        </w:rPr>
        <w:t>Patērētājs ir kontrolē pār savu enerģijas patēriņu un izmaksām pateicoties viedajiem skaitītājiem un tā saucamās pieprasījuma reakcijas attīstībai, kas nozīmē, ka patērētājs pielāgos savus elektroenerģijas patēriņu tirgus situācijai.</w:t>
      </w:r>
    </w:p>
    <w:p w:rsidR="00E873A4" w:rsidRPr="00E873A4" w:rsidRDefault="00E873A4" w:rsidP="00E10A24">
      <w:pPr>
        <w:pStyle w:val="ListParagraph"/>
        <w:numPr>
          <w:ilvl w:val="0"/>
          <w:numId w:val="1"/>
        </w:numPr>
        <w:shd w:val="clear" w:color="auto" w:fill="E7E6E6" w:themeFill="background2"/>
        <w:spacing w:before="120" w:after="120" w:line="240" w:lineRule="auto"/>
        <w:ind w:left="397" w:hanging="397"/>
        <w:contextualSpacing w:val="0"/>
        <w:rPr>
          <w:rFonts w:ascii="Calibri" w:hAnsi="Calibri" w:cs="Times New Roman"/>
          <w:i/>
          <w:szCs w:val="24"/>
        </w:rPr>
      </w:pPr>
      <w:r w:rsidRPr="00E873A4">
        <w:rPr>
          <w:rFonts w:ascii="Calibri" w:hAnsi="Calibri" w:cs="Times New Roman"/>
          <w:i/>
          <w:szCs w:val="24"/>
        </w:rPr>
        <w:t xml:space="preserve">Elektroenerģijas tirgū var efektīvi iesaistīties jauni tirgus dalībnieki – </w:t>
      </w:r>
      <w:proofErr w:type="spellStart"/>
      <w:r w:rsidRPr="00E873A4">
        <w:rPr>
          <w:rFonts w:ascii="Calibri" w:hAnsi="Calibri" w:cs="Times New Roman"/>
          <w:i/>
          <w:szCs w:val="24"/>
        </w:rPr>
        <w:t>agregatori</w:t>
      </w:r>
      <w:proofErr w:type="spellEnd"/>
    </w:p>
    <w:p w:rsidR="00E873A4" w:rsidRPr="00E873A4" w:rsidRDefault="00E873A4" w:rsidP="00E10A24">
      <w:pPr>
        <w:pStyle w:val="ListParagraph"/>
        <w:numPr>
          <w:ilvl w:val="0"/>
          <w:numId w:val="1"/>
        </w:numPr>
        <w:shd w:val="clear" w:color="auto" w:fill="E7E6E6" w:themeFill="background2"/>
        <w:spacing w:before="120" w:after="120" w:line="240" w:lineRule="auto"/>
        <w:ind w:left="397" w:hanging="397"/>
        <w:contextualSpacing w:val="0"/>
        <w:rPr>
          <w:rFonts w:ascii="Calibri" w:hAnsi="Calibri" w:cs="Times New Roman"/>
          <w:i/>
          <w:szCs w:val="24"/>
        </w:rPr>
      </w:pPr>
      <w:r w:rsidRPr="00E873A4">
        <w:rPr>
          <w:rFonts w:ascii="Calibri" w:hAnsi="Calibri" w:cs="Times New Roman"/>
          <w:i/>
          <w:szCs w:val="24"/>
        </w:rPr>
        <w:t>Aizsargātā lietotāja pakalpojumu saņem visi, kam tas pienākas (80 000 vietā 160 000)</w:t>
      </w:r>
    </w:p>
    <w:p w:rsidR="00B85C95" w:rsidRPr="00A32778" w:rsidRDefault="00B85C95" w:rsidP="002D0D92">
      <w:pPr>
        <w:spacing w:after="0" w:line="240" w:lineRule="auto"/>
        <w:rPr>
          <w:sz w:val="8"/>
          <w:szCs w:val="8"/>
        </w:rPr>
      </w:pPr>
    </w:p>
    <w:p w:rsidR="00E873A4" w:rsidRPr="00E10A24" w:rsidRDefault="00E873A4" w:rsidP="002D0D92">
      <w:pPr>
        <w:spacing w:before="120" w:after="120" w:line="240" w:lineRule="auto"/>
        <w:jc w:val="both"/>
        <w:rPr>
          <w:rFonts w:cstheme="minorHAnsi"/>
          <w:b/>
          <w:i/>
          <w:sz w:val="28"/>
          <w:szCs w:val="28"/>
          <w:u w:val="single"/>
        </w:rPr>
      </w:pPr>
      <w:bookmarkStart w:id="2" w:name="_Hlk14438205"/>
      <w:r w:rsidRPr="00E10A24">
        <w:rPr>
          <w:rFonts w:cstheme="minorHAnsi"/>
          <w:b/>
          <w:i/>
          <w:sz w:val="28"/>
          <w:szCs w:val="28"/>
          <w:u w:val="single"/>
        </w:rPr>
        <w:t>Galvenie izaicinājumi</w:t>
      </w:r>
    </w:p>
    <w:bookmarkEnd w:id="2"/>
    <w:p w:rsidR="00B85C95" w:rsidRPr="002D0D92" w:rsidRDefault="00B85C95" w:rsidP="00E10A24">
      <w:pPr>
        <w:spacing w:before="120" w:after="120" w:line="240" w:lineRule="auto"/>
        <w:jc w:val="both"/>
        <w:rPr>
          <w:rFonts w:eastAsia="Calibri" w:cstheme="minorHAnsi"/>
          <w:szCs w:val="24"/>
          <w:u w:val="single"/>
        </w:rPr>
      </w:pPr>
      <w:r w:rsidRPr="00E10A24">
        <w:rPr>
          <w:rFonts w:eastAsia="Calibri" w:cstheme="minorHAnsi"/>
          <w:szCs w:val="24"/>
          <w:u w:val="single"/>
        </w:rPr>
        <w:t xml:space="preserve">1) </w:t>
      </w:r>
      <w:r w:rsidR="00444A2A" w:rsidRPr="00E10A24">
        <w:rPr>
          <w:rFonts w:eastAsia="Calibri" w:cstheme="minorHAnsi"/>
          <w:b/>
          <w:bCs/>
          <w:szCs w:val="24"/>
          <w:u w:val="single"/>
        </w:rPr>
        <w:t xml:space="preserve"> enerģētiskā</w:t>
      </w:r>
      <w:r w:rsidRPr="00E10A24">
        <w:rPr>
          <w:rFonts w:eastAsia="Calibri" w:cstheme="minorHAnsi"/>
          <w:b/>
          <w:bCs/>
          <w:szCs w:val="24"/>
          <w:u w:val="single"/>
        </w:rPr>
        <w:t xml:space="preserve"> atkarība</w:t>
      </w:r>
      <w:r w:rsidRPr="00E10A24">
        <w:rPr>
          <w:rFonts w:eastAsia="Calibri" w:cstheme="minorHAnsi"/>
          <w:szCs w:val="24"/>
          <w:u w:val="single"/>
        </w:rPr>
        <w:t xml:space="preserve"> no trešajām valstīm</w:t>
      </w:r>
      <w:r w:rsidR="008D2760" w:rsidRPr="00E10A24">
        <w:rPr>
          <w:rFonts w:eastAsia="Calibri" w:cstheme="minorHAnsi"/>
          <w:szCs w:val="24"/>
          <w:u w:val="single"/>
        </w:rPr>
        <w:t xml:space="preserve"> un pilnībā </w:t>
      </w:r>
      <w:r w:rsidR="008D2760" w:rsidRPr="00E10A24">
        <w:rPr>
          <w:rFonts w:eastAsia="Calibri" w:cstheme="minorHAnsi"/>
          <w:b/>
          <w:bCs/>
          <w:szCs w:val="24"/>
          <w:u w:val="single"/>
        </w:rPr>
        <w:t>nediversificētas dabasgāzes piegādes</w:t>
      </w:r>
      <w:r w:rsidR="002D0D92">
        <w:rPr>
          <w:rFonts w:eastAsia="Calibri" w:cstheme="minorHAnsi"/>
          <w:b/>
          <w:bCs/>
          <w:szCs w:val="24"/>
          <w:u w:val="single"/>
        </w:rPr>
        <w:t xml:space="preserve"> </w:t>
      </w:r>
      <w:r w:rsidR="002D0D92" w:rsidRPr="002D0D92">
        <w:rPr>
          <w:rFonts w:eastAsia="Calibri" w:cstheme="minorHAnsi"/>
          <w:szCs w:val="24"/>
          <w:u w:val="single"/>
        </w:rPr>
        <w:t>(6.1., 6.2.pasākums)</w:t>
      </w:r>
    </w:p>
    <w:p w:rsidR="00B85C95" w:rsidRPr="00E10A24" w:rsidRDefault="00B85C95" w:rsidP="00E10A24">
      <w:pPr>
        <w:spacing w:before="120" w:after="120" w:line="240" w:lineRule="auto"/>
        <w:jc w:val="both"/>
        <w:rPr>
          <w:rFonts w:eastAsia="Calibri" w:cstheme="minorHAnsi"/>
          <w:szCs w:val="24"/>
        </w:rPr>
      </w:pPr>
      <w:r w:rsidRPr="00E10A24">
        <w:rPr>
          <w:rFonts w:eastAsia="Calibri" w:cstheme="minorHAnsi"/>
          <w:szCs w:val="24"/>
        </w:rPr>
        <w:t xml:space="preserve">Šobrīd Baltijas valstu elektroenerģijas sistēma tiek pārvaldīta no trešajām valstīm, kas palielina enerģētisko atkarību no trešajām valstīm un ietekmi uz sistēmas drošuma jautājumiem, apgrūtina informācijas apmaiņu ar Eiropas PSO, kā arī nav iespējams nodrošināt saskaņotu rīcību (piemēram, attiecībā uz elektropārvades līniju </w:t>
      </w:r>
      <w:proofErr w:type="spellStart"/>
      <w:r w:rsidRPr="00E10A24">
        <w:rPr>
          <w:rFonts w:eastAsia="Calibri" w:cstheme="minorHAnsi"/>
          <w:szCs w:val="24"/>
        </w:rPr>
        <w:t>atslēgumiem</w:t>
      </w:r>
      <w:proofErr w:type="spellEnd"/>
      <w:r w:rsidRPr="00E10A24">
        <w:rPr>
          <w:rFonts w:eastAsia="Calibri" w:cstheme="minorHAnsi"/>
          <w:szCs w:val="24"/>
        </w:rPr>
        <w:t>) starp Baltijas valstīm un pārējo Eiropu. Krievijas un Baltkrievijas, kā arī citu Neatkarīgo Valstu Sadraudzības valstu elektroenerģijas iekšējā tirdzniecība, to energosistēmu režīmu svārstības un avārijas tehniski ietekmē un noslogo Baltijas valstu elektrotīklu, ierobežojot Baltijas valstu iespējas pilnībā ieviest ES tiesisko regulējumu elektroenerģijas tirgū, īpaši attiecībā uz jaudu rēķināšanu un plānošanu, pārslodzes vadību, tīklu balansēšanu.</w:t>
      </w:r>
    </w:p>
    <w:p w:rsidR="00B85C95" w:rsidRPr="00E10A24" w:rsidRDefault="00B85C95" w:rsidP="00E10A24">
      <w:pPr>
        <w:spacing w:before="120" w:after="120" w:line="240" w:lineRule="auto"/>
        <w:jc w:val="both"/>
        <w:rPr>
          <w:rFonts w:eastAsia="Calibri" w:cstheme="minorHAnsi"/>
          <w:szCs w:val="24"/>
        </w:rPr>
      </w:pPr>
      <w:r w:rsidRPr="00E10A24">
        <w:rPr>
          <w:rFonts w:eastAsia="Calibri" w:cstheme="minorHAnsi"/>
          <w:szCs w:val="24"/>
        </w:rPr>
        <w:t xml:space="preserve">Baltijas valstis joprojām ir atkarīgas no viena dominējoša dabasgāzes piegādātāja, kas neļauj nodrošināt enerģētisko neatkarību un energoapgādes drošumu. </w:t>
      </w:r>
    </w:p>
    <w:p w:rsidR="002D0D92" w:rsidRPr="002D0D92" w:rsidRDefault="00B85C95" w:rsidP="002D0D92">
      <w:pPr>
        <w:spacing w:before="120" w:after="120" w:line="240" w:lineRule="auto"/>
        <w:jc w:val="both"/>
        <w:rPr>
          <w:rFonts w:eastAsia="Calibri" w:cstheme="minorHAnsi"/>
          <w:szCs w:val="24"/>
          <w:u w:val="single"/>
        </w:rPr>
      </w:pPr>
      <w:r w:rsidRPr="00E10A24">
        <w:rPr>
          <w:rFonts w:eastAsia="Calibri" w:cstheme="minorHAnsi"/>
          <w:szCs w:val="24"/>
          <w:u w:val="single"/>
        </w:rPr>
        <w:t xml:space="preserve">3) </w:t>
      </w:r>
      <w:r w:rsidRPr="00E10A24">
        <w:rPr>
          <w:rFonts w:eastAsia="Calibri" w:cstheme="minorHAnsi"/>
          <w:b/>
          <w:bCs/>
          <w:szCs w:val="24"/>
          <w:u w:val="single"/>
        </w:rPr>
        <w:t>neattīstīta</w:t>
      </w:r>
      <w:r w:rsidRPr="00E10A24">
        <w:rPr>
          <w:rFonts w:eastAsia="Calibri" w:cstheme="minorHAnsi"/>
          <w:szCs w:val="24"/>
          <w:u w:val="single"/>
        </w:rPr>
        <w:t xml:space="preserve"> Baltijas valstu savstarpējā </w:t>
      </w:r>
      <w:proofErr w:type="spellStart"/>
      <w:r w:rsidRPr="00E10A24">
        <w:rPr>
          <w:rFonts w:eastAsia="Calibri" w:cstheme="minorHAnsi"/>
          <w:b/>
          <w:bCs/>
          <w:szCs w:val="24"/>
          <w:u w:val="single"/>
        </w:rPr>
        <w:t>starpsavienojumu</w:t>
      </w:r>
      <w:proofErr w:type="spellEnd"/>
      <w:r w:rsidRPr="00E10A24">
        <w:rPr>
          <w:rFonts w:eastAsia="Calibri" w:cstheme="minorHAnsi"/>
          <w:b/>
          <w:bCs/>
          <w:szCs w:val="24"/>
          <w:u w:val="single"/>
        </w:rPr>
        <w:t xml:space="preserve"> infrastruktūra un kapacitāte</w:t>
      </w:r>
      <w:r w:rsidR="002D0D92">
        <w:rPr>
          <w:rFonts w:eastAsia="Calibri" w:cstheme="minorHAnsi"/>
          <w:b/>
          <w:bCs/>
          <w:szCs w:val="24"/>
          <w:u w:val="single"/>
        </w:rPr>
        <w:t xml:space="preserve"> </w:t>
      </w:r>
      <w:r w:rsidR="002D0D92" w:rsidRPr="002D0D92">
        <w:rPr>
          <w:rFonts w:eastAsia="Calibri" w:cstheme="minorHAnsi"/>
          <w:szCs w:val="24"/>
          <w:u w:val="single"/>
        </w:rPr>
        <w:t>(6.1., 6.2.pasākums)</w:t>
      </w:r>
    </w:p>
    <w:p w:rsidR="00B85C95" w:rsidRPr="00E10A24" w:rsidRDefault="00B85C95" w:rsidP="00E10A24">
      <w:pPr>
        <w:spacing w:before="120" w:after="120" w:line="240" w:lineRule="auto"/>
        <w:jc w:val="both"/>
        <w:rPr>
          <w:rFonts w:eastAsia="Calibri" w:cstheme="minorHAnsi"/>
          <w:szCs w:val="24"/>
        </w:rPr>
      </w:pPr>
      <w:r w:rsidRPr="00E10A24">
        <w:rPr>
          <w:rFonts w:eastAsia="Calibri" w:cstheme="minorHAnsi"/>
          <w:szCs w:val="24"/>
        </w:rPr>
        <w:t xml:space="preserve">Attīstīti Lietuvas – Polijas, Lietuvas- Zviedrijas, Igaunijas – Somijas elektropārvades un gāzes pārvades </w:t>
      </w:r>
      <w:proofErr w:type="spellStart"/>
      <w:r w:rsidRPr="00E10A24">
        <w:rPr>
          <w:rFonts w:eastAsia="Calibri" w:cstheme="minorHAnsi"/>
          <w:szCs w:val="24"/>
        </w:rPr>
        <w:t>starpsavienojumi</w:t>
      </w:r>
      <w:proofErr w:type="spellEnd"/>
      <w:r w:rsidRPr="00E10A24">
        <w:rPr>
          <w:rFonts w:eastAsia="Calibri" w:cstheme="minorHAnsi"/>
          <w:szCs w:val="24"/>
        </w:rPr>
        <w:t xml:space="preserve"> nesniedz pilnīgu apgādes drošumu, ja vienlaikus netiek attīstīti arī iekšējie Baltijas valstu </w:t>
      </w:r>
      <w:proofErr w:type="spellStart"/>
      <w:r w:rsidRPr="00E10A24">
        <w:rPr>
          <w:rFonts w:eastAsia="Calibri" w:cstheme="minorHAnsi"/>
          <w:szCs w:val="24"/>
        </w:rPr>
        <w:t>starpsavienojumi</w:t>
      </w:r>
      <w:proofErr w:type="spellEnd"/>
      <w:r w:rsidRPr="00E10A24">
        <w:rPr>
          <w:rFonts w:eastAsia="Calibri" w:cstheme="minorHAnsi"/>
          <w:szCs w:val="24"/>
        </w:rPr>
        <w:t>, kas ļautu palielināt pārvades jaudas.</w:t>
      </w:r>
      <w:r w:rsidR="00E10A24" w:rsidRPr="00E10A24">
        <w:rPr>
          <w:rFonts w:eastAsia="Calibri" w:cstheme="minorHAnsi"/>
          <w:szCs w:val="24"/>
        </w:rPr>
        <w:t xml:space="preserve"> Šobrīd Latvijai ir ieejošais </w:t>
      </w:r>
      <w:proofErr w:type="spellStart"/>
      <w:r w:rsidR="00E10A24" w:rsidRPr="00E10A24">
        <w:rPr>
          <w:rFonts w:eastAsia="Calibri" w:cstheme="minorHAnsi"/>
          <w:szCs w:val="24"/>
        </w:rPr>
        <w:t>starpsavienojums</w:t>
      </w:r>
      <w:proofErr w:type="spellEnd"/>
      <w:r w:rsidR="00E10A24" w:rsidRPr="00E10A24">
        <w:rPr>
          <w:rFonts w:eastAsia="Calibri" w:cstheme="minorHAnsi"/>
          <w:szCs w:val="24"/>
        </w:rPr>
        <w:t xml:space="preserve"> ar Igauniju un izejošais </w:t>
      </w:r>
      <w:proofErr w:type="spellStart"/>
      <w:r w:rsidR="00E10A24" w:rsidRPr="00E10A24">
        <w:rPr>
          <w:rFonts w:eastAsia="Calibri" w:cstheme="minorHAnsi"/>
          <w:szCs w:val="24"/>
        </w:rPr>
        <w:t>starpsavienojums</w:t>
      </w:r>
      <w:proofErr w:type="spellEnd"/>
      <w:r w:rsidR="00E10A24" w:rsidRPr="00E10A24">
        <w:rPr>
          <w:rFonts w:eastAsia="Calibri" w:cstheme="minorHAnsi"/>
          <w:szCs w:val="24"/>
        </w:rPr>
        <w:t xml:space="preserve"> ar Lietuvu, kas varētu radīt </w:t>
      </w:r>
      <w:proofErr w:type="spellStart"/>
      <w:r w:rsidR="00E10A24" w:rsidRPr="00E10A24">
        <w:rPr>
          <w:rFonts w:eastAsia="Calibri" w:cstheme="minorHAnsi"/>
          <w:szCs w:val="24"/>
        </w:rPr>
        <w:t>problēmsituācijas</w:t>
      </w:r>
      <w:proofErr w:type="spellEnd"/>
      <w:r w:rsidR="00E10A24" w:rsidRPr="00E10A24">
        <w:rPr>
          <w:rFonts w:eastAsia="Calibri" w:cstheme="minorHAnsi"/>
          <w:szCs w:val="24"/>
        </w:rPr>
        <w:t>, ņemot vērā Lietuvas lēmumu apturēt elektroenerģijas ienākošo plūsmu no Baltkrievijas.</w:t>
      </w:r>
    </w:p>
    <w:p w:rsidR="00B85C95" w:rsidRPr="00E10A24" w:rsidRDefault="00E10A24" w:rsidP="00B85C95">
      <w:pPr>
        <w:spacing w:before="120" w:after="120" w:line="240" w:lineRule="auto"/>
        <w:jc w:val="both"/>
        <w:rPr>
          <w:rFonts w:eastAsia="Calibri" w:cstheme="minorHAnsi"/>
          <w:szCs w:val="24"/>
          <w:u w:val="single"/>
        </w:rPr>
      </w:pPr>
      <w:r>
        <w:rPr>
          <w:rFonts w:eastAsia="Calibri" w:cstheme="minorHAnsi"/>
          <w:szCs w:val="24"/>
          <w:u w:val="single"/>
        </w:rPr>
        <w:t>3</w:t>
      </w:r>
      <w:r w:rsidR="00B85C95" w:rsidRPr="00E10A24">
        <w:rPr>
          <w:rFonts w:eastAsia="Calibri" w:cstheme="minorHAnsi"/>
          <w:szCs w:val="24"/>
          <w:u w:val="single"/>
        </w:rPr>
        <w:t xml:space="preserve">) </w:t>
      </w:r>
      <w:r w:rsidR="00B85C95" w:rsidRPr="00E10A24">
        <w:rPr>
          <w:rFonts w:eastAsia="Calibri" w:cstheme="minorHAnsi"/>
          <w:b/>
          <w:bCs/>
          <w:szCs w:val="24"/>
          <w:u w:val="single"/>
        </w:rPr>
        <w:t>Enerģētiskās nabadzības problemātikas</w:t>
      </w:r>
      <w:r w:rsidR="00B85C95" w:rsidRPr="00E10A24">
        <w:rPr>
          <w:rFonts w:eastAsia="Calibri" w:cstheme="minorHAnsi"/>
          <w:szCs w:val="24"/>
          <w:u w:val="single"/>
        </w:rPr>
        <w:t xml:space="preserve"> kompleksa nerisināšana</w:t>
      </w:r>
      <w:r w:rsidR="002D0D92">
        <w:rPr>
          <w:rFonts w:eastAsia="Calibri" w:cstheme="minorHAnsi"/>
          <w:szCs w:val="24"/>
          <w:u w:val="single"/>
        </w:rPr>
        <w:t xml:space="preserve"> (6.3.pasākums)</w:t>
      </w:r>
    </w:p>
    <w:p w:rsidR="00B85C95" w:rsidRPr="00E10A24" w:rsidRDefault="00B85C95" w:rsidP="00B85C95">
      <w:pPr>
        <w:spacing w:before="120" w:after="120" w:line="240" w:lineRule="auto"/>
        <w:jc w:val="both"/>
        <w:rPr>
          <w:rFonts w:eastAsia="Calibri" w:cstheme="minorHAnsi"/>
          <w:szCs w:val="24"/>
        </w:rPr>
      </w:pPr>
      <w:r w:rsidRPr="00E10A24">
        <w:rPr>
          <w:rFonts w:eastAsia="Calibri" w:cstheme="minorHAnsi"/>
          <w:szCs w:val="24"/>
        </w:rPr>
        <w:t>Aizsargātā lietotāja atbalstu elektroenerģijas izmaksu segšanai saņem tikai puse no visiem identificētajiem aizsargātajiem lietotājiem</w:t>
      </w:r>
      <w:r w:rsidR="00E10A24" w:rsidRPr="00E10A24">
        <w:rPr>
          <w:rFonts w:eastAsia="Calibri" w:cstheme="minorHAnsi"/>
          <w:szCs w:val="24"/>
        </w:rPr>
        <w:t>, kam par iemeslu ir neautomatizētā atbalsta piešķiršanas sistēma. Tāpat šobrīd atbalstu enerģētiskās nabadzības mazināšanas nolūkā iedzīvotāji saņem tikai par izmantoto elektroenerģiju, savukārt atbalstu siltumenerģijas nodrošināšanai pietiekamā apjomā risina pašvaldības savu spēju ietvaros. Tomēr enerģētiskās nabadzības princips balstās tieši uz iedzīvotāju nespēju uzturēt savus mājokļus pietiekami siltus, tāpēc enerģētiskās nabadzības mazināšana vairāk skar siltumenerģijas patēriņu.</w:t>
      </w:r>
    </w:p>
    <w:p w:rsidR="00E873A4" w:rsidRDefault="00E873A4" w:rsidP="00B85C95">
      <w:pPr>
        <w:spacing w:before="120" w:after="120" w:line="240" w:lineRule="auto"/>
        <w:jc w:val="both"/>
        <w:rPr>
          <w:rFonts w:ascii="Times New Roman" w:eastAsia="Calibri" w:hAnsi="Times New Roman" w:cs="Times New Roman"/>
          <w:szCs w:val="24"/>
        </w:rPr>
      </w:pPr>
    </w:p>
    <w:p w:rsidR="00E873A4" w:rsidRDefault="00E873A4" w:rsidP="00E873A4">
      <w:pPr>
        <w:shd w:val="clear" w:color="auto" w:fill="E7E6E6" w:themeFill="background2"/>
        <w:spacing w:before="120" w:after="120" w:line="240" w:lineRule="auto"/>
        <w:rPr>
          <w:rFonts w:ascii="Calibri" w:hAnsi="Calibri" w:cs="Times New Roman"/>
          <w:b/>
          <w:i/>
          <w:szCs w:val="24"/>
        </w:rPr>
      </w:pPr>
      <w:bookmarkStart w:id="3" w:name="_Hlk17725091"/>
      <w:r w:rsidRPr="000E5785">
        <w:rPr>
          <w:rFonts w:ascii="Calibri" w:hAnsi="Calibri" w:cs="Times New Roman"/>
          <w:b/>
          <w:i/>
          <w:sz w:val="28"/>
          <w:szCs w:val="28"/>
        </w:rPr>
        <w:t>Galvenais rīcības virziens</w:t>
      </w:r>
      <w:r w:rsidRPr="000E5785">
        <w:rPr>
          <w:rFonts w:ascii="Calibri" w:hAnsi="Calibri" w:cs="Times New Roman"/>
          <w:b/>
          <w:i/>
          <w:szCs w:val="24"/>
        </w:rPr>
        <w:t xml:space="preserve"> </w:t>
      </w:r>
      <w:bookmarkStart w:id="4" w:name="_Hlk19005975"/>
      <w:r w:rsidRPr="00E10A24">
        <w:rPr>
          <w:rFonts w:ascii="Calibri" w:hAnsi="Calibri" w:cs="Times New Roman"/>
          <w:b/>
          <w:i/>
          <w:sz w:val="22"/>
        </w:rPr>
        <w:t>(6. rīcības virziens)</w:t>
      </w:r>
      <w:bookmarkEnd w:id="3"/>
      <w:bookmarkEnd w:id="4"/>
    </w:p>
    <w:p w:rsidR="00E873A4" w:rsidRPr="001815C6" w:rsidRDefault="00E873A4" w:rsidP="00E10A24">
      <w:pPr>
        <w:shd w:val="clear" w:color="auto" w:fill="E7E6E6" w:themeFill="background2"/>
        <w:spacing w:before="120" w:after="120" w:line="240" w:lineRule="auto"/>
        <w:rPr>
          <w:rFonts w:ascii="Times New Roman" w:eastAsia="Calibri" w:hAnsi="Times New Roman" w:cs="Times New Roman"/>
          <w:szCs w:val="24"/>
        </w:rPr>
      </w:pPr>
      <w:r w:rsidRPr="00E873A4">
        <w:rPr>
          <w:rFonts w:ascii="Calibri" w:hAnsi="Calibri" w:cs="Times New Roman"/>
          <w:b/>
          <w:szCs w:val="24"/>
          <w:u w:val="single"/>
        </w:rPr>
        <w:t>Enerģētiskā drošība un neatkarība, pilnīga enerģijas tirgu integrācija, infrastruktūras modernizācija</w:t>
      </w:r>
    </w:p>
    <w:p w:rsidR="00B85C95" w:rsidRPr="00A32778" w:rsidRDefault="00B85C95" w:rsidP="00410AED">
      <w:pPr>
        <w:spacing w:after="0" w:line="240" w:lineRule="auto"/>
        <w:rPr>
          <w:sz w:val="8"/>
          <w:szCs w:val="8"/>
        </w:rPr>
      </w:pPr>
      <w:bookmarkStart w:id="5" w:name="_Hlk18065672"/>
    </w:p>
    <w:p w:rsidR="00E873A4" w:rsidRPr="00E10A24" w:rsidRDefault="00E873A4" w:rsidP="00410AED">
      <w:pPr>
        <w:spacing w:after="120" w:line="240" w:lineRule="auto"/>
        <w:jc w:val="both"/>
        <w:rPr>
          <w:rFonts w:cstheme="minorHAnsi"/>
          <w:b/>
          <w:i/>
          <w:sz w:val="28"/>
          <w:szCs w:val="28"/>
          <w:u w:val="single"/>
        </w:rPr>
      </w:pPr>
      <w:bookmarkStart w:id="6" w:name="_Hlk14421965"/>
      <w:r w:rsidRPr="00E10A24">
        <w:rPr>
          <w:rFonts w:cstheme="minorHAnsi"/>
          <w:b/>
          <w:i/>
          <w:sz w:val="28"/>
          <w:szCs w:val="28"/>
          <w:u w:val="single"/>
        </w:rPr>
        <w:t>Galvenās rīcības un pasākumi</w:t>
      </w:r>
    </w:p>
    <w:bookmarkEnd w:id="6"/>
    <w:p w:rsidR="00B85C95" w:rsidRPr="00E10A24" w:rsidRDefault="0012340B" w:rsidP="00E10A24">
      <w:pPr>
        <w:spacing w:before="120" w:after="120" w:line="240" w:lineRule="auto"/>
        <w:jc w:val="both"/>
        <w:rPr>
          <w:rFonts w:eastAsia="Calibri" w:cstheme="minorHAnsi"/>
          <w:szCs w:val="24"/>
        </w:rPr>
      </w:pPr>
      <w:r w:rsidRPr="0012340B">
        <w:rPr>
          <w:rFonts w:eastAsia="Calibri" w:cstheme="minorHAnsi"/>
          <w:szCs w:val="24"/>
          <w:u w:val="single"/>
        </w:rPr>
        <w:t xml:space="preserve">1) </w:t>
      </w:r>
      <w:r w:rsidR="00B85C95" w:rsidRPr="00E10A24">
        <w:rPr>
          <w:rFonts w:eastAsia="Calibri" w:cstheme="minorHAnsi"/>
          <w:szCs w:val="24"/>
          <w:u w:val="single"/>
        </w:rPr>
        <w:t xml:space="preserve">Nodrošināt </w:t>
      </w:r>
      <w:r w:rsidR="00B85C95" w:rsidRPr="00E10A24">
        <w:rPr>
          <w:rFonts w:eastAsia="Calibri" w:cstheme="minorHAnsi"/>
          <w:b/>
          <w:bCs/>
          <w:szCs w:val="24"/>
          <w:u w:val="single"/>
        </w:rPr>
        <w:t>enerģētisko drošību</w:t>
      </w:r>
      <w:r w:rsidR="00B85C95" w:rsidRPr="00E10A24">
        <w:rPr>
          <w:rFonts w:eastAsia="Calibri" w:cstheme="minorHAnsi"/>
          <w:szCs w:val="24"/>
          <w:u w:val="single"/>
        </w:rPr>
        <w:t xml:space="preserve"> un </w:t>
      </w:r>
      <w:r w:rsidRPr="00E10A24">
        <w:rPr>
          <w:rFonts w:eastAsia="Calibri" w:cstheme="minorHAnsi"/>
          <w:szCs w:val="24"/>
          <w:u w:val="single"/>
        </w:rPr>
        <w:t xml:space="preserve">pilnīgu </w:t>
      </w:r>
      <w:r w:rsidRPr="0012340B">
        <w:rPr>
          <w:rFonts w:eastAsia="Calibri" w:cstheme="minorHAnsi"/>
          <w:b/>
          <w:bCs/>
          <w:szCs w:val="24"/>
          <w:u w:val="single"/>
        </w:rPr>
        <w:t>enerģijas tirgus integrāciju</w:t>
      </w:r>
      <w:r>
        <w:rPr>
          <w:rFonts w:eastAsia="Calibri" w:cstheme="minorHAnsi"/>
          <w:szCs w:val="24"/>
          <w:u w:val="single"/>
        </w:rPr>
        <w:t>,</w:t>
      </w:r>
      <w:r w:rsidRPr="00E10A24">
        <w:rPr>
          <w:rFonts w:eastAsia="Calibri" w:cstheme="minorHAnsi"/>
          <w:b/>
          <w:bCs/>
          <w:szCs w:val="24"/>
          <w:u w:val="single"/>
        </w:rPr>
        <w:t xml:space="preserve"> </w:t>
      </w:r>
      <w:r w:rsidR="00E873A4" w:rsidRPr="00E10A24">
        <w:rPr>
          <w:rFonts w:eastAsia="Calibri" w:cstheme="minorHAnsi"/>
          <w:b/>
          <w:bCs/>
          <w:szCs w:val="24"/>
          <w:u w:val="single"/>
        </w:rPr>
        <w:t>samazināt enerģēti</w:t>
      </w:r>
      <w:r w:rsidR="00E873A4">
        <w:rPr>
          <w:rFonts w:eastAsia="Calibri" w:cstheme="minorHAnsi"/>
          <w:b/>
          <w:bCs/>
          <w:szCs w:val="24"/>
          <w:u w:val="single"/>
        </w:rPr>
        <w:t>sk</w:t>
      </w:r>
      <w:r w:rsidR="00E873A4" w:rsidRPr="00E10A24">
        <w:rPr>
          <w:rFonts w:eastAsia="Calibri" w:cstheme="minorHAnsi"/>
          <w:b/>
          <w:bCs/>
          <w:szCs w:val="24"/>
          <w:u w:val="single"/>
        </w:rPr>
        <w:t xml:space="preserve">o </w:t>
      </w:r>
      <w:r w:rsidR="00B85C95" w:rsidRPr="00E10A24">
        <w:rPr>
          <w:rFonts w:eastAsia="Calibri" w:cstheme="minorHAnsi"/>
          <w:b/>
          <w:bCs/>
          <w:szCs w:val="24"/>
          <w:u w:val="single"/>
        </w:rPr>
        <w:t>atkarību</w:t>
      </w:r>
      <w:r w:rsidR="00B85C95" w:rsidRPr="00E10A24">
        <w:rPr>
          <w:rFonts w:eastAsia="Calibri" w:cstheme="minorHAnsi"/>
          <w:szCs w:val="24"/>
        </w:rPr>
        <w:t>:</w:t>
      </w:r>
    </w:p>
    <w:bookmarkEnd w:id="5"/>
    <w:p w:rsidR="00B85C95" w:rsidRPr="00410AED" w:rsidRDefault="00B85C95" w:rsidP="00410AED">
      <w:pPr>
        <w:pStyle w:val="ListParagraph"/>
        <w:numPr>
          <w:ilvl w:val="0"/>
          <w:numId w:val="3"/>
        </w:numPr>
        <w:spacing w:before="120" w:after="120" w:line="240" w:lineRule="auto"/>
        <w:ind w:left="397" w:hanging="397"/>
        <w:contextualSpacing w:val="0"/>
        <w:jc w:val="both"/>
        <w:rPr>
          <w:rFonts w:eastAsia="Calibri" w:cstheme="minorHAnsi"/>
          <w:szCs w:val="24"/>
        </w:rPr>
      </w:pPr>
      <w:r w:rsidRPr="00410AED">
        <w:rPr>
          <w:rFonts w:eastAsia="Calibri" w:cstheme="minorHAnsi"/>
          <w:szCs w:val="24"/>
        </w:rPr>
        <w:t xml:space="preserve">Gāzes sektorā tas nozīmē alternatīvu dabasgāzes piegādātāju iesaisti tirgū, reģionālā Baltijas valstu un Somijas gāzes tirgus izveidi ar vienotu gāzes balansēšanas zonu un kopīgu gāzes pārvades tarifu. Lai nodrošinātu </w:t>
      </w:r>
      <w:proofErr w:type="spellStart"/>
      <w:r w:rsidRPr="00410AED">
        <w:rPr>
          <w:rFonts w:eastAsia="Calibri" w:cstheme="minorHAnsi"/>
          <w:szCs w:val="24"/>
        </w:rPr>
        <w:t>gāzapgādes</w:t>
      </w:r>
      <w:proofErr w:type="spellEnd"/>
      <w:r w:rsidRPr="00410AED">
        <w:rPr>
          <w:rFonts w:eastAsia="Calibri" w:cstheme="minorHAnsi"/>
          <w:szCs w:val="24"/>
        </w:rPr>
        <w:t xml:space="preserve"> drošumu un palielinātu gāzes plūsmas, svarīga ir Latvijas – Lietuvas gāzes </w:t>
      </w:r>
      <w:proofErr w:type="spellStart"/>
      <w:r w:rsidRPr="00410AED">
        <w:rPr>
          <w:rFonts w:eastAsia="Calibri" w:cstheme="minorHAnsi"/>
          <w:szCs w:val="24"/>
        </w:rPr>
        <w:t>starpsavienojuma</w:t>
      </w:r>
      <w:proofErr w:type="spellEnd"/>
      <w:r w:rsidRPr="00410AED">
        <w:rPr>
          <w:rFonts w:eastAsia="Calibri" w:cstheme="minorHAnsi"/>
          <w:szCs w:val="24"/>
        </w:rPr>
        <w:t xml:space="preserve"> jaudas palielināšana un  Inčukalna pazemes gāzes krātuves modernizācija. </w:t>
      </w:r>
    </w:p>
    <w:p w:rsidR="00B85C95" w:rsidRPr="00410AED" w:rsidRDefault="00B85C95" w:rsidP="00410AED">
      <w:pPr>
        <w:pStyle w:val="ListParagraph"/>
        <w:numPr>
          <w:ilvl w:val="0"/>
          <w:numId w:val="3"/>
        </w:numPr>
        <w:spacing w:before="120" w:after="120" w:line="240" w:lineRule="auto"/>
        <w:ind w:left="397" w:hanging="397"/>
        <w:contextualSpacing w:val="0"/>
        <w:jc w:val="both"/>
        <w:rPr>
          <w:rFonts w:eastAsia="Calibri" w:cstheme="minorHAnsi"/>
          <w:szCs w:val="24"/>
        </w:rPr>
      </w:pPr>
      <w:r w:rsidRPr="00410AED">
        <w:rPr>
          <w:rFonts w:eastAsia="Calibri" w:cstheme="minorHAnsi"/>
          <w:szCs w:val="24"/>
        </w:rPr>
        <w:t>Elektroenerģijas sektorā primāri nepieciešams realizēt Baltijas valstu elektrotīklu sinhronizāciju ar Eiropas tīklu</w:t>
      </w:r>
      <w:r w:rsidR="00410AED" w:rsidRPr="00410AED">
        <w:rPr>
          <w:rFonts w:eastAsia="Calibri" w:cstheme="minorHAnsi"/>
          <w:szCs w:val="24"/>
        </w:rPr>
        <w:t xml:space="preserve">, ietverot </w:t>
      </w:r>
      <w:r w:rsidRPr="00410AED">
        <w:rPr>
          <w:rFonts w:eastAsia="Calibri" w:cstheme="minorHAnsi"/>
          <w:szCs w:val="24"/>
        </w:rPr>
        <w:t xml:space="preserve">arī esošo </w:t>
      </w:r>
      <w:proofErr w:type="spellStart"/>
      <w:r w:rsidRPr="00410AED">
        <w:rPr>
          <w:rFonts w:eastAsia="Calibri" w:cstheme="minorHAnsi"/>
          <w:szCs w:val="24"/>
        </w:rPr>
        <w:t>starpsavienojumu</w:t>
      </w:r>
      <w:proofErr w:type="spellEnd"/>
      <w:r w:rsidRPr="00410AED">
        <w:rPr>
          <w:rFonts w:eastAsia="Calibri" w:cstheme="minorHAnsi"/>
          <w:szCs w:val="24"/>
        </w:rPr>
        <w:t xml:space="preserve"> pastiprināšanu un jaunu </w:t>
      </w:r>
      <w:proofErr w:type="spellStart"/>
      <w:r w:rsidRPr="00410AED">
        <w:rPr>
          <w:rFonts w:eastAsia="Calibri" w:cstheme="minorHAnsi"/>
          <w:szCs w:val="24"/>
        </w:rPr>
        <w:t>starpsavienojumu</w:t>
      </w:r>
      <w:proofErr w:type="spellEnd"/>
      <w:r w:rsidRPr="00410AED">
        <w:rPr>
          <w:rFonts w:eastAsia="Calibri" w:cstheme="minorHAnsi"/>
          <w:szCs w:val="24"/>
        </w:rPr>
        <w:t xml:space="preserve"> izveidi</w:t>
      </w:r>
      <w:r w:rsidR="00410AED" w:rsidRPr="00410AED">
        <w:rPr>
          <w:rFonts w:eastAsia="Calibri" w:cstheme="minorHAnsi"/>
          <w:szCs w:val="24"/>
        </w:rPr>
        <w:t>, kā ietvaros arī rekonstruējot un modernizējot esošās augstsprieguma apakšstacijas un elektroenerģijas sadales punktus Latvijas iekšienē un izbūvējot jaunas elektropārvades līnijas un uzstādot Iekārta, kas nepieciešama Baltijas valstu drošās un stabilās sinhronizācijas nodrošināšanai.</w:t>
      </w:r>
    </w:p>
    <w:p w:rsidR="007B3AFD" w:rsidRPr="00410AED" w:rsidRDefault="007B3AFD" w:rsidP="007B3AFD">
      <w:pPr>
        <w:spacing w:before="120" w:after="120" w:line="240" w:lineRule="auto"/>
        <w:jc w:val="both"/>
        <w:rPr>
          <w:rFonts w:cstheme="minorHAnsi"/>
        </w:rPr>
      </w:pPr>
      <w:r w:rsidRPr="00410AED">
        <w:rPr>
          <w:rFonts w:cstheme="minorHAnsi"/>
        </w:rPr>
        <w:t>Šobrīd nav noteikti ierobežojumi kādas AE tehnoloģijas ieviešanai un izmantošanai Latvijas teritorijā. Ministru kabineta 2013.gada 30.aprīļa noteikumos Nr.240 “Vispārīgie teritorijas plānošanas, izmantošanas un apbūves noteikumi” ir iekļauti nosacījumi, kas jāņem vērā veidojot transporta infrastruktūru, izveidojot vēja parku.</w:t>
      </w:r>
      <w:r w:rsidR="0063761E" w:rsidRPr="00410AED">
        <w:rPr>
          <w:rFonts w:cstheme="minorHAnsi"/>
        </w:rPr>
        <w:t xml:space="preserve"> Veiktie un veicamie pasākumi elektroenerģijas infrastruktūras attīstībai</w:t>
      </w:r>
      <w:r w:rsidR="00410AED" w:rsidRPr="00410AED">
        <w:rPr>
          <w:rFonts w:cstheme="minorHAnsi"/>
        </w:rPr>
        <w:t xml:space="preserve"> un modernizēšanai nodrošina iespēju jaunu AE jaudu iekļaušanai, kur nav noteikti jaudu iekļaušanas </w:t>
      </w:r>
      <w:proofErr w:type="spellStart"/>
      <w:r w:rsidR="00410AED" w:rsidRPr="00410AED">
        <w:rPr>
          <w:rFonts w:cstheme="minorHAnsi"/>
        </w:rPr>
        <w:t>prioritizācija</w:t>
      </w:r>
      <w:proofErr w:type="spellEnd"/>
      <w:r w:rsidR="00410AED" w:rsidRPr="00410AED">
        <w:rPr>
          <w:rFonts w:cstheme="minorHAnsi"/>
        </w:rPr>
        <w:t>.</w:t>
      </w:r>
    </w:p>
    <w:p w:rsidR="0063761E" w:rsidRDefault="00B85C95" w:rsidP="00E10A24">
      <w:pPr>
        <w:spacing w:before="120" w:after="120" w:line="240" w:lineRule="auto"/>
        <w:jc w:val="both"/>
        <w:rPr>
          <w:rFonts w:eastAsia="Calibri" w:cstheme="minorHAnsi"/>
          <w:szCs w:val="24"/>
          <w:u w:val="single"/>
        </w:rPr>
      </w:pPr>
      <w:r w:rsidRPr="0012340B">
        <w:rPr>
          <w:rFonts w:eastAsia="Calibri" w:cstheme="minorHAnsi"/>
          <w:szCs w:val="24"/>
          <w:u w:val="single"/>
        </w:rPr>
        <w:t xml:space="preserve">2) </w:t>
      </w:r>
      <w:r w:rsidRPr="0012340B">
        <w:rPr>
          <w:rFonts w:eastAsia="Calibri" w:cstheme="minorHAnsi"/>
          <w:b/>
          <w:bCs/>
          <w:szCs w:val="24"/>
          <w:u w:val="single"/>
        </w:rPr>
        <w:t xml:space="preserve">Modernizēt </w:t>
      </w:r>
      <w:r w:rsidRPr="00E10A24">
        <w:rPr>
          <w:rFonts w:eastAsia="Calibri" w:cstheme="minorHAnsi"/>
          <w:b/>
          <w:bCs/>
          <w:szCs w:val="24"/>
          <w:u w:val="single"/>
        </w:rPr>
        <w:t xml:space="preserve">infrastruktūru </w:t>
      </w:r>
      <w:r w:rsidRPr="0012340B">
        <w:rPr>
          <w:rFonts w:eastAsia="Calibri" w:cstheme="minorHAnsi"/>
          <w:szCs w:val="24"/>
          <w:u w:val="single"/>
        </w:rPr>
        <w:t>dažād</w:t>
      </w:r>
      <w:r w:rsidRPr="00E10A24">
        <w:rPr>
          <w:rFonts w:eastAsia="Calibri" w:cstheme="minorHAnsi"/>
          <w:szCs w:val="24"/>
          <w:u w:val="single"/>
        </w:rPr>
        <w:t>os tās aspektos</w:t>
      </w:r>
    </w:p>
    <w:p w:rsidR="0063761E" w:rsidRPr="0063761E" w:rsidRDefault="0063761E" w:rsidP="00E10A24">
      <w:pPr>
        <w:spacing w:before="120" w:after="120" w:line="240" w:lineRule="auto"/>
        <w:jc w:val="both"/>
        <w:rPr>
          <w:rFonts w:eastAsia="Calibri" w:cstheme="minorHAnsi"/>
          <w:szCs w:val="24"/>
        </w:rPr>
      </w:pPr>
      <w:r>
        <w:rPr>
          <w:rFonts w:eastAsia="Calibri" w:cstheme="minorHAnsi"/>
          <w:szCs w:val="24"/>
        </w:rPr>
        <w:t>Plāna aptvēruma periodā tiks veikti šādi infrastruktūras modernizācijas projekti</w:t>
      </w:r>
      <w:r w:rsidRPr="0063761E">
        <w:rPr>
          <w:rFonts w:eastAsia="Calibri" w:cstheme="minorHAnsi"/>
          <w:szCs w:val="24"/>
        </w:rPr>
        <w:t>:</w:t>
      </w:r>
    </w:p>
    <w:p w:rsidR="0063761E" w:rsidRDefault="00B85C95" w:rsidP="00410AED">
      <w:pPr>
        <w:pStyle w:val="ListParagraph"/>
        <w:numPr>
          <w:ilvl w:val="0"/>
          <w:numId w:val="6"/>
        </w:numPr>
        <w:spacing w:before="120" w:after="120" w:line="240" w:lineRule="auto"/>
        <w:ind w:left="397" w:hanging="397"/>
        <w:contextualSpacing w:val="0"/>
        <w:jc w:val="both"/>
        <w:rPr>
          <w:rFonts w:eastAsia="Calibri" w:cstheme="minorHAnsi"/>
          <w:szCs w:val="24"/>
        </w:rPr>
      </w:pPr>
      <w:r w:rsidRPr="0063761E">
        <w:rPr>
          <w:rFonts w:eastAsia="Calibri" w:cstheme="minorHAnsi"/>
          <w:szCs w:val="24"/>
        </w:rPr>
        <w:t>gāzveida kurināmā/degvielas infrastruktūr</w:t>
      </w:r>
      <w:r w:rsidR="0063761E">
        <w:rPr>
          <w:rFonts w:eastAsia="Calibri" w:cstheme="minorHAnsi"/>
          <w:szCs w:val="24"/>
        </w:rPr>
        <w:t>as modernizēšana</w:t>
      </w:r>
      <w:r w:rsidR="00351E1C">
        <w:rPr>
          <w:rFonts w:eastAsia="Calibri" w:cstheme="minorHAnsi"/>
          <w:szCs w:val="24"/>
        </w:rPr>
        <w:t xml:space="preserve"> un energoefektivitātes uzlabošana</w:t>
      </w:r>
      <w:r w:rsidR="0063761E">
        <w:rPr>
          <w:rFonts w:eastAsia="Calibri" w:cstheme="minorHAnsi"/>
          <w:szCs w:val="24"/>
        </w:rPr>
        <w:t xml:space="preserve">, </w:t>
      </w:r>
      <w:r w:rsidRPr="0063761E">
        <w:rPr>
          <w:rFonts w:eastAsia="Calibri" w:cstheme="minorHAnsi"/>
          <w:szCs w:val="24"/>
        </w:rPr>
        <w:t>tostarp izvērtējot iespējas pielāgot dabasgāzes infrastruktūru ūdeņradim un citam gāzveida kurināmajam</w:t>
      </w:r>
      <w:r w:rsidR="00351E1C">
        <w:rPr>
          <w:rFonts w:eastAsia="Calibri" w:cstheme="minorHAnsi"/>
          <w:szCs w:val="24"/>
        </w:rPr>
        <w:t>;</w:t>
      </w:r>
    </w:p>
    <w:p w:rsidR="00351E1C" w:rsidRDefault="00351E1C" w:rsidP="00410AED">
      <w:pPr>
        <w:pStyle w:val="ListParagraph"/>
        <w:numPr>
          <w:ilvl w:val="0"/>
          <w:numId w:val="6"/>
        </w:numPr>
        <w:spacing w:before="120" w:after="120" w:line="240" w:lineRule="auto"/>
        <w:ind w:left="397" w:hanging="397"/>
        <w:contextualSpacing w:val="0"/>
        <w:jc w:val="both"/>
        <w:rPr>
          <w:rFonts w:eastAsia="Calibri" w:cstheme="minorHAnsi"/>
          <w:szCs w:val="24"/>
        </w:rPr>
      </w:pPr>
      <w:r>
        <w:rPr>
          <w:rFonts w:eastAsia="Calibri" w:cstheme="minorHAnsi"/>
          <w:szCs w:val="24"/>
        </w:rPr>
        <w:t>elektroenerģijas infrastruktūras modernizēšana</w:t>
      </w:r>
      <w:r w:rsidR="00770642" w:rsidRPr="00770642">
        <w:rPr>
          <w:rFonts w:eastAsia="Calibri" w:cstheme="minorHAnsi"/>
          <w:szCs w:val="24"/>
        </w:rPr>
        <w:t xml:space="preserve"> </w:t>
      </w:r>
      <w:r w:rsidR="00770642">
        <w:rPr>
          <w:rFonts w:eastAsia="Calibri" w:cstheme="minorHAnsi"/>
          <w:szCs w:val="24"/>
        </w:rPr>
        <w:t>un energoefektivitātes uzlabošana</w:t>
      </w:r>
      <w:r>
        <w:rPr>
          <w:rFonts w:eastAsia="Calibri" w:cstheme="minorHAnsi"/>
          <w:szCs w:val="24"/>
        </w:rPr>
        <w:t xml:space="preserve"> </w:t>
      </w:r>
      <w:r w:rsidRPr="00351E1C">
        <w:rPr>
          <w:rFonts w:eastAsia="Calibri" w:cstheme="minorHAnsi"/>
          <w:szCs w:val="24"/>
        </w:rPr>
        <w:t>klientu vajadzībām atbilstoš</w:t>
      </w:r>
      <w:r>
        <w:rPr>
          <w:rFonts w:eastAsia="Calibri" w:cstheme="minorHAnsi"/>
          <w:szCs w:val="24"/>
        </w:rPr>
        <w:t>a</w:t>
      </w:r>
      <w:r w:rsidRPr="00351E1C">
        <w:rPr>
          <w:rFonts w:eastAsia="Calibri" w:cstheme="minorHAnsi"/>
          <w:szCs w:val="24"/>
        </w:rPr>
        <w:t>, uz digitālajām tehnoloģijām balstīt</w:t>
      </w:r>
      <w:r>
        <w:rPr>
          <w:rFonts w:eastAsia="Calibri" w:cstheme="minorHAnsi"/>
          <w:szCs w:val="24"/>
        </w:rPr>
        <w:t>a</w:t>
      </w:r>
      <w:r w:rsidRPr="00351E1C">
        <w:rPr>
          <w:rFonts w:eastAsia="Calibri" w:cstheme="minorHAnsi"/>
          <w:szCs w:val="24"/>
        </w:rPr>
        <w:t xml:space="preserve"> vied</w:t>
      </w:r>
      <w:r>
        <w:rPr>
          <w:rFonts w:eastAsia="Calibri" w:cstheme="minorHAnsi"/>
          <w:szCs w:val="24"/>
        </w:rPr>
        <w:t>a</w:t>
      </w:r>
      <w:r w:rsidRPr="00351E1C">
        <w:rPr>
          <w:rFonts w:eastAsia="Calibri" w:cstheme="minorHAnsi"/>
          <w:szCs w:val="24"/>
        </w:rPr>
        <w:t xml:space="preserve"> un efektīvi pārvaldīt</w:t>
      </w:r>
      <w:r>
        <w:rPr>
          <w:rFonts w:eastAsia="Calibri" w:cstheme="minorHAnsi"/>
          <w:szCs w:val="24"/>
        </w:rPr>
        <w:t>a</w:t>
      </w:r>
      <w:r w:rsidRPr="00351E1C">
        <w:rPr>
          <w:rFonts w:eastAsia="Calibri" w:cstheme="minorHAnsi"/>
          <w:szCs w:val="24"/>
        </w:rPr>
        <w:t xml:space="preserve"> sadales elektrotīkl</w:t>
      </w:r>
      <w:r>
        <w:rPr>
          <w:rFonts w:eastAsia="Calibri" w:cstheme="minorHAnsi"/>
          <w:szCs w:val="24"/>
        </w:rPr>
        <w:t>a nodrošināšanai</w:t>
      </w:r>
      <w:r w:rsidRPr="00351E1C">
        <w:rPr>
          <w:rFonts w:eastAsia="Calibri" w:cstheme="minorHAnsi"/>
          <w:szCs w:val="24"/>
        </w:rPr>
        <w:t>;</w:t>
      </w:r>
    </w:p>
    <w:p w:rsidR="0063761E" w:rsidRDefault="00B85C95" w:rsidP="00410AED">
      <w:pPr>
        <w:pStyle w:val="ListParagraph"/>
        <w:numPr>
          <w:ilvl w:val="0"/>
          <w:numId w:val="6"/>
        </w:numPr>
        <w:spacing w:before="120" w:after="120" w:line="240" w:lineRule="auto"/>
        <w:ind w:left="397" w:hanging="397"/>
        <w:contextualSpacing w:val="0"/>
        <w:jc w:val="both"/>
        <w:rPr>
          <w:rFonts w:eastAsia="Calibri" w:cstheme="minorHAnsi"/>
          <w:szCs w:val="24"/>
        </w:rPr>
      </w:pPr>
      <w:r w:rsidRPr="0063761E">
        <w:rPr>
          <w:rFonts w:eastAsia="Calibri" w:cstheme="minorHAnsi"/>
          <w:szCs w:val="24"/>
        </w:rPr>
        <w:t>Pļaviņu hidroelektrostacijas pārgāzn</w:t>
      </w:r>
      <w:r w:rsidR="0063761E">
        <w:rPr>
          <w:rFonts w:eastAsia="Calibri" w:cstheme="minorHAnsi"/>
          <w:szCs w:val="24"/>
        </w:rPr>
        <w:t>es modernizēšana</w:t>
      </w:r>
      <w:r w:rsidR="00351E1C">
        <w:rPr>
          <w:rFonts w:eastAsia="Calibri" w:cstheme="minorHAnsi"/>
          <w:szCs w:val="24"/>
        </w:rPr>
        <w:t>;</w:t>
      </w:r>
    </w:p>
    <w:p w:rsidR="00B85C95" w:rsidRPr="0063761E" w:rsidRDefault="00410AED" w:rsidP="00410AED">
      <w:pPr>
        <w:pStyle w:val="ListParagraph"/>
        <w:numPr>
          <w:ilvl w:val="0"/>
          <w:numId w:val="6"/>
        </w:numPr>
        <w:spacing w:before="120" w:after="120" w:line="240" w:lineRule="auto"/>
        <w:ind w:left="397" w:hanging="397"/>
        <w:contextualSpacing w:val="0"/>
        <w:jc w:val="both"/>
        <w:rPr>
          <w:rFonts w:eastAsia="Calibri" w:cstheme="minorHAnsi"/>
          <w:szCs w:val="24"/>
        </w:rPr>
      </w:pPr>
      <w:r>
        <w:rPr>
          <w:rFonts w:eastAsia="Calibri" w:cstheme="minorHAnsi"/>
          <w:szCs w:val="24"/>
        </w:rPr>
        <w:t>e</w:t>
      </w:r>
      <w:r w:rsidR="0063761E">
        <w:rPr>
          <w:rFonts w:eastAsia="Calibri" w:cstheme="minorHAnsi"/>
          <w:szCs w:val="24"/>
        </w:rPr>
        <w:t>lektroenerģijas skaitītāju pilnīga nomaiņa uz viedajiem skaitītājiem</w:t>
      </w:r>
      <w:r w:rsidR="00B85C95" w:rsidRPr="0063761E">
        <w:rPr>
          <w:rFonts w:eastAsia="Calibri" w:cstheme="minorHAnsi"/>
          <w:szCs w:val="24"/>
        </w:rPr>
        <w:t xml:space="preserve">, kas savukārt ļaus tirgū darboties jauniem tirgus dalībniekiem – </w:t>
      </w:r>
      <w:proofErr w:type="spellStart"/>
      <w:r w:rsidR="00B85C95" w:rsidRPr="0063761E">
        <w:rPr>
          <w:rFonts w:eastAsia="Calibri" w:cstheme="minorHAnsi"/>
          <w:szCs w:val="24"/>
        </w:rPr>
        <w:t>agregatoriem</w:t>
      </w:r>
      <w:proofErr w:type="spellEnd"/>
      <w:r w:rsidR="0063761E">
        <w:rPr>
          <w:rStyle w:val="FootnoteReference"/>
          <w:rFonts w:ascii="Times New Roman" w:hAnsi="Times New Roman" w:cs="Times New Roman"/>
        </w:rPr>
        <w:footnoteReference w:id="2"/>
      </w:r>
      <w:r w:rsidR="00B85C95" w:rsidRPr="0063761E">
        <w:rPr>
          <w:rFonts w:eastAsia="Calibri" w:cstheme="minorHAnsi"/>
          <w:szCs w:val="24"/>
        </w:rPr>
        <w:t xml:space="preserve">, kuri sniegs </w:t>
      </w:r>
      <w:proofErr w:type="spellStart"/>
      <w:r w:rsidR="00B85C95" w:rsidRPr="0063761E">
        <w:rPr>
          <w:rFonts w:eastAsia="Calibri" w:cstheme="minorHAnsi"/>
          <w:szCs w:val="24"/>
        </w:rPr>
        <w:t>energopatēriņa</w:t>
      </w:r>
      <w:proofErr w:type="spellEnd"/>
      <w:r w:rsidR="00B85C95" w:rsidRPr="0063761E">
        <w:rPr>
          <w:rFonts w:eastAsia="Calibri" w:cstheme="minorHAnsi"/>
          <w:szCs w:val="24"/>
        </w:rPr>
        <w:t xml:space="preserve"> optimizēšanas pakalpojumus.</w:t>
      </w:r>
    </w:p>
    <w:p w:rsidR="00B85C95" w:rsidRDefault="00B85C95" w:rsidP="00E10A24">
      <w:pPr>
        <w:spacing w:before="120" w:after="120" w:line="240" w:lineRule="auto"/>
        <w:jc w:val="both"/>
        <w:rPr>
          <w:rFonts w:eastAsia="Calibri" w:cstheme="minorHAnsi"/>
          <w:szCs w:val="24"/>
        </w:rPr>
      </w:pPr>
      <w:r w:rsidRPr="0012340B">
        <w:rPr>
          <w:rFonts w:eastAsia="Calibri" w:cstheme="minorHAnsi"/>
          <w:szCs w:val="24"/>
          <w:u w:val="single"/>
        </w:rPr>
        <w:t xml:space="preserve">3) </w:t>
      </w:r>
      <w:r w:rsidRPr="00E10A24">
        <w:rPr>
          <w:rFonts w:eastAsia="Calibri" w:cstheme="minorHAnsi"/>
          <w:szCs w:val="24"/>
          <w:u w:val="single"/>
        </w:rPr>
        <w:t xml:space="preserve">Izstrādāt efektīvu un optimālu regulējumu daļējam </w:t>
      </w:r>
      <w:r w:rsidRPr="00E10A24">
        <w:rPr>
          <w:rFonts w:eastAsia="Calibri" w:cstheme="minorHAnsi"/>
          <w:b/>
          <w:bCs/>
          <w:szCs w:val="24"/>
          <w:u w:val="single"/>
        </w:rPr>
        <w:t>energoapgādes izmaksu atbalstam aizsargātajiem lietotājiem</w:t>
      </w:r>
      <w:r w:rsidRPr="00E10A24">
        <w:rPr>
          <w:rFonts w:eastAsia="Calibri" w:cstheme="minorHAnsi"/>
          <w:szCs w:val="24"/>
        </w:rPr>
        <w:t>, kas nozīmētu, ka tiks izveidota Aizsargāto lietotāju informācijas sistēma, kura spēs automātiski identificēt aizsargāto lietotāju kritērijiem atbilstošās personas (ģimenes), tādējādi nodrošinot, ka aizsargātā lietotāja pakalpojumu saņem maksimāli plašs aizsargāto lietotāju skaits, kā arī to, ka aizsargātā lietotāja pakalpojumu var saņemt pie jebkura elektroenerģijas tirgotāja</w:t>
      </w:r>
      <w:r w:rsidR="0012340B">
        <w:rPr>
          <w:rFonts w:eastAsia="Calibri" w:cstheme="minorHAnsi"/>
          <w:szCs w:val="24"/>
        </w:rPr>
        <w:t>.</w:t>
      </w:r>
    </w:p>
    <w:p w:rsidR="0012340B" w:rsidRPr="00812E5C" w:rsidRDefault="0012340B" w:rsidP="0012340B">
      <w:pPr>
        <w:spacing w:before="120" w:after="120" w:line="240" w:lineRule="auto"/>
        <w:jc w:val="both"/>
        <w:rPr>
          <w:rFonts w:ascii="Calibri" w:hAnsi="Calibri" w:cs="Times New Roman"/>
          <w:b/>
          <w:i/>
          <w:sz w:val="28"/>
          <w:szCs w:val="28"/>
          <w:u w:val="single"/>
        </w:rPr>
      </w:pPr>
      <w:r>
        <w:rPr>
          <w:rFonts w:ascii="Calibri" w:hAnsi="Calibri" w:cs="Times New Roman"/>
          <w:b/>
          <w:i/>
          <w:sz w:val="28"/>
          <w:szCs w:val="28"/>
          <w:u w:val="single"/>
        </w:rPr>
        <w:t>Reģionālā sadarbība</w:t>
      </w:r>
    </w:p>
    <w:p w:rsidR="00351C7C" w:rsidRPr="00351C7C" w:rsidRDefault="00351C7C" w:rsidP="00351C7C">
      <w:pPr>
        <w:spacing w:before="120" w:after="120" w:line="240" w:lineRule="auto"/>
        <w:jc w:val="both"/>
        <w:rPr>
          <w:rFonts w:cstheme="minorHAnsi"/>
        </w:rPr>
      </w:pPr>
      <w:r w:rsidRPr="00351C7C">
        <w:rPr>
          <w:rFonts w:cstheme="minorHAnsi"/>
        </w:rPr>
        <w:t xml:space="preserve">Reģionālais dabasgāzes tirgus pēc savas būtības paredz vienotu dabasgāzes pārvades ieejas-izejas sistēmu un balansēšanas zonu bez iekšējiem, komerciāliem </w:t>
      </w:r>
      <w:proofErr w:type="spellStart"/>
      <w:r w:rsidRPr="00351C7C">
        <w:rPr>
          <w:rFonts w:cstheme="minorHAnsi"/>
        </w:rPr>
        <w:t>starpsavienojuma</w:t>
      </w:r>
      <w:proofErr w:type="spellEnd"/>
      <w:r w:rsidRPr="00351C7C">
        <w:rPr>
          <w:rFonts w:cstheme="minorHAnsi"/>
        </w:rPr>
        <w:t xml:space="preserve"> punktiem Baltijas valstu un Somijas starpā.  </w:t>
      </w:r>
      <w:r>
        <w:rPr>
          <w:rFonts w:cstheme="minorHAnsi"/>
        </w:rPr>
        <w:t xml:space="preserve">Elektroenerģijas tirgus jomā reģionālā sadarbība tiek un tiks īstenota attiecībā uz </w:t>
      </w:r>
      <w:r w:rsidRPr="00351C7C">
        <w:rPr>
          <w:rFonts w:cstheme="minorHAnsi"/>
        </w:rPr>
        <w:t>Baltijas valstu elektrotīklu sinhronizācij</w:t>
      </w:r>
      <w:r>
        <w:rPr>
          <w:rFonts w:cstheme="minorHAnsi"/>
        </w:rPr>
        <w:t>u</w:t>
      </w:r>
      <w:r w:rsidRPr="00351C7C">
        <w:rPr>
          <w:rFonts w:cstheme="minorHAnsi"/>
        </w:rPr>
        <w:t xml:space="preserve"> ar kontinentālās Eiropas tīklu. </w:t>
      </w:r>
    </w:p>
    <w:p w:rsidR="00410AED" w:rsidRPr="00351C7C" w:rsidRDefault="00410AED" w:rsidP="00351C7C">
      <w:pPr>
        <w:spacing w:before="120" w:after="120" w:line="240" w:lineRule="auto"/>
        <w:jc w:val="both"/>
        <w:rPr>
          <w:rFonts w:cstheme="minorHAnsi"/>
        </w:rPr>
      </w:pPr>
      <w:r w:rsidRPr="00351C7C">
        <w:rPr>
          <w:rFonts w:cstheme="minorHAnsi"/>
        </w:rPr>
        <w:t xml:space="preserve">Reģionālā sadarbība tiks turpināta Reģionālajā gāzes tirgus grupā un Baltijas ministru padomes enerģētikas vecāko amatpersonu komitejā. </w:t>
      </w:r>
      <w:r w:rsidR="00351C7C">
        <w:rPr>
          <w:rFonts w:cstheme="minorHAnsi"/>
        </w:rPr>
        <w:t xml:space="preserve">Tāpat reģionālā sadarbība tiek īstenota </w:t>
      </w:r>
      <w:r w:rsidR="00351C7C" w:rsidRPr="00351C7C">
        <w:rPr>
          <w:rFonts w:cstheme="minorHAnsi"/>
        </w:rPr>
        <w:t xml:space="preserve">Baltijas enerģijas tirgu </w:t>
      </w:r>
      <w:proofErr w:type="spellStart"/>
      <w:r w:rsidR="00351C7C" w:rsidRPr="00351C7C">
        <w:rPr>
          <w:rFonts w:cstheme="minorHAnsi"/>
        </w:rPr>
        <w:t>starpsavienojumu</w:t>
      </w:r>
      <w:proofErr w:type="spellEnd"/>
      <w:r w:rsidR="00351C7C" w:rsidRPr="00351C7C">
        <w:rPr>
          <w:rFonts w:cstheme="minorHAnsi"/>
        </w:rPr>
        <w:t xml:space="preserve"> plān</w:t>
      </w:r>
      <w:r w:rsidR="00351C7C">
        <w:rPr>
          <w:rFonts w:cstheme="minorHAnsi"/>
        </w:rPr>
        <w:t>a (BEMIP) ietvaros.</w:t>
      </w:r>
    </w:p>
    <w:p w:rsidR="00351C7C" w:rsidRPr="00351C7C" w:rsidRDefault="00351C7C" w:rsidP="00351C7C">
      <w:pPr>
        <w:spacing w:before="120" w:after="120" w:line="240" w:lineRule="auto"/>
        <w:jc w:val="both"/>
        <w:rPr>
          <w:rFonts w:cstheme="minorHAnsi"/>
        </w:rPr>
      </w:pPr>
      <w:r w:rsidRPr="00351C7C">
        <w:rPr>
          <w:rFonts w:eastAsia="Times New Roman" w:cstheme="minorHAnsi"/>
          <w:szCs w:val="24"/>
          <w:lang w:eastAsia="lv-LV"/>
        </w:rPr>
        <w:t xml:space="preserve">2017.gadā reaģējot uz elektroenerģijas tirgus attīstības tendencēm, kā arī plānotajām izmaiņām ES  tiesību aktos, Baltijas valstu un Somijas </w:t>
      </w:r>
      <w:r>
        <w:rPr>
          <w:rFonts w:eastAsia="Times New Roman" w:cstheme="minorHAnsi"/>
          <w:szCs w:val="24"/>
          <w:lang w:eastAsia="lv-LV"/>
        </w:rPr>
        <w:t>PSO</w:t>
      </w:r>
      <w:r w:rsidRPr="00351C7C">
        <w:rPr>
          <w:rFonts w:eastAsia="Times New Roman" w:cstheme="minorHAnsi"/>
          <w:szCs w:val="24"/>
          <w:lang w:eastAsia="lv-LV"/>
        </w:rPr>
        <w:t xml:space="preserve"> organizēja darba grupu, kuras mērķis bija izstrādāt konceptuālo piedāvājumu vienota Baltijas valstu tirgus ietvara izveidei patēriņa reakcijas pakalpojumu ieviešanai balansēšanas tirgū ar agregācijas starpniecību. </w:t>
      </w:r>
      <w:r w:rsidRPr="00351C7C">
        <w:rPr>
          <w:rFonts w:cstheme="minorHAnsi"/>
        </w:rPr>
        <w:t>Šobrīd galvenais uzdevums ir</w:t>
      </w:r>
      <w:r>
        <w:rPr>
          <w:rFonts w:cstheme="minorHAnsi"/>
        </w:rPr>
        <w:t xml:space="preserve"> kopā</w:t>
      </w:r>
      <w:r w:rsidRPr="00351C7C">
        <w:rPr>
          <w:rFonts w:cstheme="minorHAnsi"/>
        </w:rPr>
        <w:t xml:space="preserve"> izstrādāt labi funkcionējošu tiesisko ietvaru pieprasījuma reakcijas pakalpojuma realizēšanai.</w:t>
      </w:r>
    </w:p>
    <w:p w:rsidR="00B85C95" w:rsidRPr="00E10A24" w:rsidRDefault="00B85C95" w:rsidP="00E10A24">
      <w:pPr>
        <w:shd w:val="clear" w:color="auto" w:fill="E7E6E6" w:themeFill="background2"/>
        <w:spacing w:before="120" w:after="120" w:line="240" w:lineRule="auto"/>
        <w:jc w:val="both"/>
        <w:rPr>
          <w:rFonts w:ascii="Calibri" w:hAnsi="Calibri" w:cs="Times New Roman"/>
          <w:b/>
          <w:i/>
          <w:sz w:val="28"/>
          <w:szCs w:val="28"/>
        </w:rPr>
      </w:pPr>
      <w:bookmarkStart w:id="7" w:name="_Hlk14438217"/>
      <w:r w:rsidRPr="00E10A24">
        <w:rPr>
          <w:rFonts w:ascii="Calibri" w:hAnsi="Calibri" w:cs="Times New Roman"/>
          <w:b/>
          <w:i/>
          <w:sz w:val="28"/>
          <w:szCs w:val="28"/>
        </w:rPr>
        <w:t>Saistītie rīcības virzieni</w:t>
      </w:r>
    </w:p>
    <w:p w:rsidR="00B85C95" w:rsidRPr="00E10A24" w:rsidRDefault="00B85C95" w:rsidP="00E10A24">
      <w:pPr>
        <w:shd w:val="clear" w:color="auto" w:fill="E7E6E6" w:themeFill="background2"/>
        <w:spacing w:before="120" w:after="120" w:line="240" w:lineRule="auto"/>
        <w:jc w:val="both"/>
        <w:rPr>
          <w:rFonts w:ascii="Calibri" w:hAnsi="Calibri" w:cs="Times New Roman"/>
          <w:bCs/>
          <w:iCs/>
          <w:szCs w:val="24"/>
        </w:rPr>
      </w:pPr>
      <w:r w:rsidRPr="00E10A24">
        <w:rPr>
          <w:rFonts w:ascii="Calibri" w:hAnsi="Calibri" w:cs="Times New Roman"/>
          <w:bCs/>
          <w:iCs/>
          <w:szCs w:val="24"/>
        </w:rPr>
        <w:t xml:space="preserve">1) Ēku energoefektivitātes uzlabošana (1. rīcības virziens), jo pastiprināta ēku energoefektivitāte samazinās enerģijas patēriņu un tādējādi arī </w:t>
      </w:r>
      <w:proofErr w:type="spellStart"/>
      <w:r w:rsidRPr="00E10A24">
        <w:rPr>
          <w:rFonts w:ascii="Calibri" w:hAnsi="Calibri" w:cs="Times New Roman"/>
          <w:bCs/>
          <w:iCs/>
          <w:szCs w:val="24"/>
        </w:rPr>
        <w:t>energoatkarību</w:t>
      </w:r>
      <w:proofErr w:type="spellEnd"/>
      <w:r w:rsidRPr="00E10A24">
        <w:rPr>
          <w:rFonts w:ascii="Calibri" w:hAnsi="Calibri" w:cs="Times New Roman"/>
          <w:bCs/>
          <w:iCs/>
          <w:szCs w:val="24"/>
        </w:rPr>
        <w:t>, ko rada enerģijas imports enerģijas pieprasījuma rezultātā;</w:t>
      </w:r>
    </w:p>
    <w:p w:rsidR="00B85C95" w:rsidRPr="00E10A24" w:rsidRDefault="00B85C95" w:rsidP="00E10A24">
      <w:pPr>
        <w:shd w:val="clear" w:color="auto" w:fill="E7E6E6" w:themeFill="background2"/>
        <w:spacing w:before="120" w:after="120" w:line="240" w:lineRule="auto"/>
        <w:jc w:val="both"/>
        <w:rPr>
          <w:rFonts w:ascii="Calibri" w:hAnsi="Calibri" w:cs="Times New Roman"/>
          <w:bCs/>
          <w:iCs/>
          <w:szCs w:val="24"/>
        </w:rPr>
      </w:pPr>
      <w:r w:rsidRPr="00E10A24">
        <w:rPr>
          <w:rFonts w:ascii="Calibri" w:hAnsi="Calibri" w:cs="Times New Roman"/>
          <w:bCs/>
          <w:iCs/>
          <w:szCs w:val="24"/>
        </w:rPr>
        <w:t xml:space="preserve">2) Energoefektivitātes uzlabošana un AER tehnoloģiju izmantošanas veicināšana siltumapgādē un </w:t>
      </w:r>
      <w:proofErr w:type="spellStart"/>
      <w:r w:rsidRPr="00E10A24">
        <w:rPr>
          <w:rFonts w:ascii="Calibri" w:hAnsi="Calibri" w:cs="Times New Roman"/>
          <w:bCs/>
          <w:iCs/>
          <w:szCs w:val="24"/>
        </w:rPr>
        <w:t>aukstumapgādē</w:t>
      </w:r>
      <w:proofErr w:type="spellEnd"/>
      <w:r w:rsidRPr="00E10A24">
        <w:rPr>
          <w:rFonts w:ascii="Calibri" w:hAnsi="Calibri" w:cs="Times New Roman"/>
          <w:bCs/>
          <w:iCs/>
          <w:szCs w:val="24"/>
        </w:rPr>
        <w:t xml:space="preserve">, un rūpniecībā (2.rīcības virziens), jo centrālās siltumapgādes sistēmu </w:t>
      </w:r>
      <w:proofErr w:type="spellStart"/>
      <w:r w:rsidRPr="00E10A24">
        <w:rPr>
          <w:rFonts w:ascii="Calibri" w:hAnsi="Calibri" w:cs="Times New Roman"/>
          <w:bCs/>
          <w:iCs/>
          <w:szCs w:val="24"/>
        </w:rPr>
        <w:t>efektivizācijas</w:t>
      </w:r>
      <w:proofErr w:type="spellEnd"/>
      <w:r w:rsidRPr="00E10A24">
        <w:rPr>
          <w:rFonts w:ascii="Calibri" w:hAnsi="Calibri" w:cs="Times New Roman"/>
          <w:bCs/>
          <w:iCs/>
          <w:szCs w:val="24"/>
        </w:rPr>
        <w:t xml:space="preserve"> rezultātā radītais enerģijas patēriņa samazinājums vecinās enerģētisko neatkarību;</w:t>
      </w:r>
    </w:p>
    <w:p w:rsidR="00B85C95" w:rsidRPr="00E10A24" w:rsidRDefault="00B85C95" w:rsidP="00E10A24">
      <w:pPr>
        <w:shd w:val="clear" w:color="auto" w:fill="E7E6E6" w:themeFill="background2"/>
        <w:spacing w:before="120" w:after="120" w:line="240" w:lineRule="auto"/>
        <w:jc w:val="both"/>
        <w:rPr>
          <w:rFonts w:ascii="Calibri" w:hAnsi="Calibri" w:cs="Times New Roman"/>
          <w:bCs/>
          <w:iCs/>
          <w:szCs w:val="24"/>
        </w:rPr>
      </w:pPr>
      <w:r w:rsidRPr="00E10A24">
        <w:rPr>
          <w:rFonts w:ascii="Calibri" w:hAnsi="Calibri" w:cs="Times New Roman"/>
          <w:bCs/>
          <w:iCs/>
          <w:szCs w:val="24"/>
        </w:rPr>
        <w:t>3) Ne-emisiju tehnoloģiju izmantošanas veicināšana elektroenerģijās ražošanā (3. rīcības virziens), jo elektroenerģijas ražošanas attīstība lieljaudas vēja parkos veicinās enerģētisko neatkarību un samazinās elektroenerģijas importu;</w:t>
      </w:r>
    </w:p>
    <w:p w:rsidR="00B85C95" w:rsidRPr="00E10A24" w:rsidRDefault="00B85C95" w:rsidP="00E10A24">
      <w:pPr>
        <w:shd w:val="clear" w:color="auto" w:fill="E7E6E6" w:themeFill="background2"/>
        <w:spacing w:before="120" w:after="120" w:line="240" w:lineRule="auto"/>
        <w:jc w:val="both"/>
        <w:rPr>
          <w:rFonts w:ascii="Calibri" w:hAnsi="Calibri" w:cs="Times New Roman"/>
          <w:bCs/>
          <w:iCs/>
          <w:szCs w:val="24"/>
        </w:rPr>
      </w:pPr>
      <w:r w:rsidRPr="00E10A24">
        <w:rPr>
          <w:rFonts w:ascii="Calibri" w:hAnsi="Calibri" w:cs="Times New Roman"/>
          <w:bCs/>
          <w:iCs/>
          <w:szCs w:val="24"/>
        </w:rPr>
        <w:t xml:space="preserve">4) Enerģijas </w:t>
      </w:r>
      <w:proofErr w:type="spellStart"/>
      <w:r w:rsidRPr="00E10A24">
        <w:rPr>
          <w:rFonts w:ascii="Calibri" w:hAnsi="Calibri" w:cs="Times New Roman"/>
          <w:bCs/>
          <w:iCs/>
          <w:szCs w:val="24"/>
        </w:rPr>
        <w:t>pašražošanas</w:t>
      </w:r>
      <w:proofErr w:type="spellEnd"/>
      <w:r w:rsidRPr="00E10A24">
        <w:rPr>
          <w:rFonts w:ascii="Calibri" w:hAnsi="Calibri" w:cs="Times New Roman"/>
          <w:bCs/>
          <w:iCs/>
          <w:szCs w:val="24"/>
        </w:rPr>
        <w:t xml:space="preserve"> un pašpatēriņa veicināšana (4.rīcības virziens), jo </w:t>
      </w:r>
      <w:proofErr w:type="spellStart"/>
      <w:r w:rsidRPr="00E10A24">
        <w:rPr>
          <w:rFonts w:ascii="Calibri" w:hAnsi="Calibri" w:cs="Times New Roman"/>
          <w:bCs/>
          <w:iCs/>
          <w:szCs w:val="24"/>
        </w:rPr>
        <w:t>pašražošanas</w:t>
      </w:r>
      <w:proofErr w:type="spellEnd"/>
      <w:r w:rsidRPr="00E10A24">
        <w:rPr>
          <w:rFonts w:ascii="Calibri" w:hAnsi="Calibri" w:cs="Times New Roman"/>
          <w:bCs/>
          <w:iCs/>
          <w:szCs w:val="24"/>
        </w:rPr>
        <w:t xml:space="preserve"> un pašpatēriņa veicināšana nav iespējama bez viedajiem skaitītājiem, kas savukārt sniedz iespēju tirgū ienākt arī </w:t>
      </w:r>
      <w:proofErr w:type="spellStart"/>
      <w:r w:rsidRPr="00E10A24">
        <w:rPr>
          <w:rFonts w:ascii="Calibri" w:hAnsi="Calibri" w:cs="Times New Roman"/>
          <w:bCs/>
          <w:iCs/>
          <w:szCs w:val="24"/>
        </w:rPr>
        <w:t>agregatoriem</w:t>
      </w:r>
      <w:proofErr w:type="spellEnd"/>
      <w:r w:rsidRPr="00E10A24">
        <w:rPr>
          <w:rFonts w:ascii="Calibri" w:hAnsi="Calibri" w:cs="Times New Roman"/>
          <w:bCs/>
          <w:iCs/>
          <w:szCs w:val="24"/>
        </w:rPr>
        <w:t>;</w:t>
      </w:r>
    </w:p>
    <w:p w:rsidR="00B85C95" w:rsidRPr="00E10A24" w:rsidRDefault="00B85C95" w:rsidP="00E10A24">
      <w:pPr>
        <w:shd w:val="clear" w:color="auto" w:fill="E7E6E6" w:themeFill="background2"/>
        <w:spacing w:before="120" w:after="120" w:line="240" w:lineRule="auto"/>
        <w:jc w:val="both"/>
        <w:rPr>
          <w:rFonts w:ascii="Calibri" w:hAnsi="Calibri" w:cs="Times New Roman"/>
          <w:bCs/>
          <w:iCs/>
          <w:szCs w:val="24"/>
        </w:rPr>
      </w:pPr>
      <w:r w:rsidRPr="00E10A24">
        <w:rPr>
          <w:rFonts w:ascii="Calibri" w:hAnsi="Calibri" w:cs="Times New Roman"/>
          <w:bCs/>
          <w:iCs/>
          <w:szCs w:val="24"/>
        </w:rPr>
        <w:t>5) Energoefektivitātes uzlabošana, alternatīvo degvielu  un AER tehnoloģiju izmantošanas veicināšana transportā (5.rīcības virziens), jo degvielas, kas šobrīd tiek pārsvarā importēta, patēriņa samazinājums transportā būtiski uzlabo valsts enerģētisko neatkarību, savukārt veiktie infrastruktūras modernizācijas pasākumi uzlabo elektroenerģijas un gāzveida kurināmā pieejamību transportā;</w:t>
      </w:r>
    </w:p>
    <w:p w:rsidR="00B85C95" w:rsidRPr="00E10A24" w:rsidRDefault="00B85C95" w:rsidP="00E10A24">
      <w:pPr>
        <w:shd w:val="clear" w:color="auto" w:fill="E7E6E6" w:themeFill="background2"/>
        <w:spacing w:before="120" w:after="120" w:line="240" w:lineRule="auto"/>
        <w:jc w:val="both"/>
        <w:rPr>
          <w:rFonts w:ascii="Calibri" w:hAnsi="Calibri" w:cs="Times New Roman"/>
          <w:bCs/>
          <w:iCs/>
          <w:szCs w:val="24"/>
        </w:rPr>
      </w:pPr>
      <w:r w:rsidRPr="00E10A24">
        <w:rPr>
          <w:rFonts w:ascii="Calibri" w:hAnsi="Calibri" w:cs="Times New Roman"/>
          <w:bCs/>
          <w:iCs/>
          <w:szCs w:val="24"/>
        </w:rPr>
        <w:t>6) Nodokļu sistēmas “</w:t>
      </w:r>
      <w:proofErr w:type="spellStart"/>
      <w:r w:rsidRPr="00E10A24">
        <w:rPr>
          <w:rFonts w:ascii="Calibri" w:hAnsi="Calibri" w:cs="Times New Roman"/>
          <w:bCs/>
          <w:iCs/>
          <w:szCs w:val="24"/>
        </w:rPr>
        <w:t>zaļināšana</w:t>
      </w:r>
      <w:proofErr w:type="spellEnd"/>
      <w:r w:rsidRPr="00E10A24">
        <w:rPr>
          <w:rFonts w:ascii="Calibri" w:hAnsi="Calibri" w:cs="Times New Roman"/>
          <w:bCs/>
          <w:iCs/>
          <w:szCs w:val="24"/>
        </w:rPr>
        <w:t>” un pievilcīguma energoefektivitātei un AER tehnoloģijām uzlabošana (11. rīcības virziens), jo nodokļu pārskatīšanas ietekmē kurināmā un degvielas izmantojuma samazinājums pozitīvi ietekmē enerģētisko neatkarību.</w:t>
      </w:r>
    </w:p>
    <w:bookmarkEnd w:id="7"/>
    <w:p w:rsidR="00D82336" w:rsidRDefault="00B85C95" w:rsidP="00351C7C">
      <w:pPr>
        <w:spacing w:before="120" w:after="120"/>
        <w:jc w:val="both"/>
      </w:pPr>
      <w:r w:rsidRPr="00106FC2">
        <w:rPr>
          <w:rFonts w:ascii="Times New Roman" w:hAnsi="Times New Roman" w:cs="Times New Roman"/>
          <w:szCs w:val="24"/>
        </w:rPr>
        <w:t xml:space="preserve"> </w:t>
      </w:r>
    </w:p>
    <w:sectPr w:rsidR="00D82336" w:rsidSect="00B85C95">
      <w:headerReference w:type="default" r:id="rId8"/>
      <w:pgSz w:w="11906" w:h="16838" w:code="9"/>
      <w:pgMar w:top="1418"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463" w:rsidRDefault="00326463" w:rsidP="00B85C95">
      <w:pPr>
        <w:spacing w:after="0" w:line="240" w:lineRule="auto"/>
      </w:pPr>
      <w:r>
        <w:separator/>
      </w:r>
    </w:p>
  </w:endnote>
  <w:endnote w:type="continuationSeparator" w:id="0">
    <w:p w:rsidR="00326463" w:rsidRDefault="00326463" w:rsidP="00B8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463" w:rsidRDefault="00326463" w:rsidP="00B85C95">
      <w:pPr>
        <w:spacing w:after="0" w:line="240" w:lineRule="auto"/>
      </w:pPr>
      <w:r>
        <w:separator/>
      </w:r>
    </w:p>
  </w:footnote>
  <w:footnote w:type="continuationSeparator" w:id="0">
    <w:p w:rsidR="00326463" w:rsidRDefault="00326463" w:rsidP="00B85C95">
      <w:pPr>
        <w:spacing w:after="0" w:line="240" w:lineRule="auto"/>
      </w:pPr>
      <w:r>
        <w:continuationSeparator/>
      </w:r>
    </w:p>
  </w:footnote>
  <w:footnote w:id="1">
    <w:p w:rsidR="00E10A24" w:rsidRPr="00410AED" w:rsidRDefault="00E10A24">
      <w:pPr>
        <w:pStyle w:val="FootnoteText"/>
        <w:rPr>
          <w:rFonts w:cstheme="minorHAnsi"/>
          <w:sz w:val="18"/>
          <w:szCs w:val="18"/>
        </w:rPr>
      </w:pPr>
      <w:r w:rsidRPr="00410AED">
        <w:rPr>
          <w:rStyle w:val="FootnoteReference"/>
          <w:rFonts w:cstheme="minorHAnsi"/>
          <w:sz w:val="18"/>
          <w:szCs w:val="18"/>
        </w:rPr>
        <w:footnoteRef/>
      </w:r>
      <w:r w:rsidRPr="00410AED">
        <w:rPr>
          <w:rFonts w:cstheme="minorHAnsi"/>
          <w:sz w:val="18"/>
          <w:szCs w:val="18"/>
        </w:rPr>
        <w:t xml:space="preserve"> saīsinājums no: </w:t>
      </w:r>
      <w:r w:rsidRPr="00410AED">
        <w:rPr>
          <w:rFonts w:cstheme="minorHAnsi"/>
          <w:iCs/>
          <w:sz w:val="18"/>
          <w:szCs w:val="18"/>
        </w:rPr>
        <w:t xml:space="preserve">Belarus, </w:t>
      </w:r>
      <w:proofErr w:type="spellStart"/>
      <w:r w:rsidRPr="00410AED">
        <w:rPr>
          <w:rFonts w:cstheme="minorHAnsi"/>
          <w:iCs/>
          <w:sz w:val="18"/>
          <w:szCs w:val="18"/>
        </w:rPr>
        <w:t>Russia</w:t>
      </w:r>
      <w:proofErr w:type="spellEnd"/>
      <w:r w:rsidRPr="00410AED">
        <w:rPr>
          <w:rFonts w:cstheme="minorHAnsi"/>
          <w:iCs/>
          <w:sz w:val="18"/>
          <w:szCs w:val="18"/>
        </w:rPr>
        <w:t xml:space="preserve">, </w:t>
      </w:r>
      <w:proofErr w:type="spellStart"/>
      <w:r w:rsidRPr="00410AED">
        <w:rPr>
          <w:rFonts w:cstheme="minorHAnsi"/>
          <w:iCs/>
          <w:sz w:val="18"/>
          <w:szCs w:val="18"/>
        </w:rPr>
        <w:t>Estonia</w:t>
      </w:r>
      <w:proofErr w:type="spellEnd"/>
      <w:r w:rsidRPr="00410AED">
        <w:rPr>
          <w:rFonts w:cstheme="minorHAnsi"/>
          <w:iCs/>
          <w:sz w:val="18"/>
          <w:szCs w:val="18"/>
        </w:rPr>
        <w:t xml:space="preserve">, Latvia, </w:t>
      </w:r>
      <w:proofErr w:type="spellStart"/>
      <w:r w:rsidRPr="00410AED">
        <w:rPr>
          <w:rFonts w:cstheme="minorHAnsi"/>
          <w:iCs/>
          <w:sz w:val="18"/>
          <w:szCs w:val="18"/>
        </w:rPr>
        <w:t>Lithuania</w:t>
      </w:r>
      <w:proofErr w:type="spellEnd"/>
    </w:p>
  </w:footnote>
  <w:footnote w:id="2">
    <w:p w:rsidR="0063761E" w:rsidRPr="00410AED" w:rsidRDefault="0063761E" w:rsidP="00410AED">
      <w:pPr>
        <w:pStyle w:val="FootnoteText"/>
        <w:jc w:val="both"/>
        <w:rPr>
          <w:rFonts w:cstheme="minorHAnsi"/>
          <w:sz w:val="18"/>
          <w:szCs w:val="18"/>
        </w:rPr>
      </w:pPr>
      <w:r w:rsidRPr="00410AED">
        <w:rPr>
          <w:rStyle w:val="FootnoteReference"/>
          <w:rFonts w:cstheme="minorHAnsi"/>
          <w:sz w:val="18"/>
          <w:szCs w:val="18"/>
        </w:rPr>
        <w:footnoteRef/>
      </w:r>
      <w:r w:rsidRPr="00410AED">
        <w:rPr>
          <w:rFonts w:cstheme="minorHAnsi"/>
          <w:sz w:val="18"/>
          <w:szCs w:val="18"/>
        </w:rPr>
        <w:t xml:space="preserve"> </w:t>
      </w:r>
      <w:proofErr w:type="spellStart"/>
      <w:r w:rsidRPr="00410AED">
        <w:rPr>
          <w:rFonts w:cstheme="minorHAnsi"/>
          <w:sz w:val="18"/>
          <w:szCs w:val="18"/>
        </w:rPr>
        <w:t>Agregators</w:t>
      </w:r>
      <w:proofErr w:type="spellEnd"/>
      <w:r w:rsidRPr="00410AED">
        <w:rPr>
          <w:rFonts w:cstheme="minorHAnsi"/>
          <w:sz w:val="18"/>
          <w:szCs w:val="18"/>
        </w:rPr>
        <w:t xml:space="preserve"> ir tirgus dalībnieks, kas summē vairāku klientu nepatērēto jaudu vai saražoto elektroenerģiju pārdošanai, iepirkumiem, izsolei vai jebkādam regulētam elektroenerģijas tirgum. Neatkarīga </w:t>
      </w:r>
      <w:proofErr w:type="spellStart"/>
      <w:r w:rsidRPr="00410AED">
        <w:rPr>
          <w:rFonts w:cstheme="minorHAnsi"/>
          <w:sz w:val="18"/>
          <w:szCs w:val="18"/>
        </w:rPr>
        <w:t>agregatora</w:t>
      </w:r>
      <w:proofErr w:type="spellEnd"/>
      <w:r w:rsidRPr="00410AED">
        <w:rPr>
          <w:rFonts w:cstheme="minorHAnsi"/>
          <w:sz w:val="18"/>
          <w:szCs w:val="18"/>
        </w:rPr>
        <w:t xml:space="preserve"> (tāda, kurš nav piesaistīts nevienam elektroenerģijas tirgotājam vai citam tirgus dalībniekam) gadījumā, gala patērētājam jāslēdz divi līgumi – piegādes līgums ar elektroenerģijas tirgotāju un “elastības līgums” ar </w:t>
      </w:r>
      <w:proofErr w:type="spellStart"/>
      <w:r w:rsidRPr="00410AED">
        <w:rPr>
          <w:rFonts w:cstheme="minorHAnsi"/>
          <w:sz w:val="18"/>
          <w:szCs w:val="18"/>
        </w:rPr>
        <w:t>agregatoru</w:t>
      </w:r>
      <w:proofErr w:type="spellEnd"/>
      <w:r w:rsidRPr="00410AED">
        <w:rPr>
          <w:rFonts w:cstheme="minorHAnsi"/>
          <w:sz w:val="18"/>
          <w:szCs w:val="18"/>
        </w:rPr>
        <w:t xml:space="preserve">. Elastības līgums </w:t>
      </w:r>
      <w:proofErr w:type="spellStart"/>
      <w:r w:rsidRPr="00410AED">
        <w:rPr>
          <w:rFonts w:cstheme="minorHAnsi"/>
          <w:sz w:val="18"/>
          <w:szCs w:val="18"/>
        </w:rPr>
        <w:t>agregatoram</w:t>
      </w:r>
      <w:proofErr w:type="spellEnd"/>
      <w:r w:rsidRPr="00410AED">
        <w:rPr>
          <w:rFonts w:cstheme="minorHAnsi"/>
          <w:sz w:val="18"/>
          <w:szCs w:val="18"/>
        </w:rPr>
        <w:t xml:space="preserve"> nodrošina tiešu pieeju gala patērētāja jaudai un iekārtām un tirgus nepieciešamības gadījumā, </w:t>
      </w:r>
      <w:proofErr w:type="spellStart"/>
      <w:r w:rsidRPr="00410AED">
        <w:rPr>
          <w:rFonts w:cstheme="minorHAnsi"/>
          <w:sz w:val="18"/>
          <w:szCs w:val="18"/>
        </w:rPr>
        <w:t>agregators</w:t>
      </w:r>
      <w:proofErr w:type="spellEnd"/>
      <w:r w:rsidRPr="00410AED">
        <w:rPr>
          <w:rFonts w:cstheme="minorHAnsi"/>
          <w:sz w:val="18"/>
          <w:szCs w:val="18"/>
        </w:rPr>
        <w:t xml:space="preserve">, kontrolēti samazina lietotāja patēriņu, ar šo nepatērēto elektroenerģiju pēc tam piedaloties tirgū. Atsevišķs norēķinu mehānisms regulē, kā un vai </w:t>
      </w:r>
      <w:proofErr w:type="spellStart"/>
      <w:r w:rsidRPr="00410AED">
        <w:rPr>
          <w:rFonts w:cstheme="minorHAnsi"/>
          <w:sz w:val="18"/>
          <w:szCs w:val="18"/>
        </w:rPr>
        <w:t>agregators</w:t>
      </w:r>
      <w:proofErr w:type="spellEnd"/>
      <w:r w:rsidRPr="00410AED">
        <w:rPr>
          <w:rFonts w:cstheme="minorHAnsi"/>
          <w:sz w:val="18"/>
          <w:szCs w:val="18"/>
        </w:rPr>
        <w:t xml:space="preserve"> </w:t>
      </w:r>
      <w:proofErr w:type="spellStart"/>
      <w:r w:rsidRPr="00410AED">
        <w:rPr>
          <w:rFonts w:cstheme="minorHAnsi"/>
          <w:sz w:val="18"/>
          <w:szCs w:val="18"/>
        </w:rPr>
        <w:t>kompenesē</w:t>
      </w:r>
      <w:proofErr w:type="spellEnd"/>
      <w:r w:rsidRPr="00410AED">
        <w:rPr>
          <w:rFonts w:cstheme="minorHAnsi"/>
          <w:sz w:val="18"/>
          <w:szCs w:val="18"/>
        </w:rPr>
        <w:t xml:space="preserve"> tirgotājam pārvadīto gala patērētāja ietaupīto vai virslimita elektroenerģiju, ar ko operējis </w:t>
      </w:r>
      <w:proofErr w:type="spellStart"/>
      <w:r w:rsidRPr="00410AED">
        <w:rPr>
          <w:rFonts w:cstheme="minorHAnsi"/>
          <w:sz w:val="18"/>
          <w:szCs w:val="18"/>
        </w:rPr>
        <w:t>agregators</w:t>
      </w:r>
      <w:proofErr w:type="spellEnd"/>
      <w:r w:rsidRPr="00410AED">
        <w:rPr>
          <w:rFonts w:cstheme="minorHAnsi"/>
          <w:sz w:val="18"/>
          <w:szCs w:val="18"/>
        </w:rPr>
        <w:t xml:space="preserve">. Tirgotājam piesaistīts </w:t>
      </w:r>
      <w:proofErr w:type="spellStart"/>
      <w:r w:rsidRPr="00410AED">
        <w:rPr>
          <w:rFonts w:cstheme="minorHAnsi"/>
          <w:sz w:val="18"/>
          <w:szCs w:val="18"/>
        </w:rPr>
        <w:t>agregators</w:t>
      </w:r>
      <w:proofErr w:type="spellEnd"/>
      <w:r w:rsidRPr="00410AED">
        <w:rPr>
          <w:rFonts w:cstheme="minorHAnsi"/>
          <w:sz w:val="18"/>
          <w:szCs w:val="18"/>
        </w:rPr>
        <w:t xml:space="preserve"> pilda savu funkciju, ar kontroles mehānismiem rezervējot tirgotāja definētu elektroenerģijas ietaupījumu gala patērētājam. Tādējādi tirgotājam ir zināma elektroenerģijas rezerve, ko nepieciešamības gadījumā tas var izmantot tirgus balansēšanai vai augstas elektroenerģijas cenas apstākļos. Gala patērētājs slēdz vienu līgumu – tikai ar tirgotāju. </w:t>
      </w:r>
      <w:proofErr w:type="spellStart"/>
      <w:r w:rsidRPr="00410AED">
        <w:rPr>
          <w:rFonts w:cstheme="minorHAnsi"/>
          <w:sz w:val="18"/>
          <w:szCs w:val="18"/>
        </w:rPr>
        <w:t>Agregators</w:t>
      </w:r>
      <w:proofErr w:type="spellEnd"/>
      <w:r w:rsidRPr="00410AED">
        <w:rPr>
          <w:rFonts w:cstheme="minorHAnsi"/>
          <w:sz w:val="18"/>
          <w:szCs w:val="18"/>
        </w:rPr>
        <w:t xml:space="preserve"> var apvienot elektroenerģijas patēriņa samazinājumu/pieaugumu, elektroenerģijas  ražošanas samazinājumu/pieaugumu vai kombinēt abu šo procesu gaitā radušos elektroenerģiju.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rPr>
      <w:id w:val="787012205"/>
      <w:docPartObj>
        <w:docPartGallery w:val="Page Numbers (Top of Page)"/>
        <w:docPartUnique/>
      </w:docPartObj>
    </w:sdtPr>
    <w:sdtEndPr>
      <w:rPr>
        <w:noProof/>
      </w:rPr>
    </w:sdtEndPr>
    <w:sdtContent>
      <w:p w:rsidR="00B85C95" w:rsidRPr="002D0D92" w:rsidRDefault="00B85C95">
        <w:pPr>
          <w:pStyle w:val="Header"/>
          <w:jc w:val="center"/>
          <w:rPr>
            <w:rFonts w:cstheme="minorHAnsi"/>
          </w:rPr>
        </w:pPr>
        <w:r w:rsidRPr="002D0D92">
          <w:rPr>
            <w:rFonts w:cstheme="minorHAnsi"/>
          </w:rPr>
          <w:fldChar w:fldCharType="begin"/>
        </w:r>
        <w:r w:rsidRPr="002D0D92">
          <w:rPr>
            <w:rFonts w:cstheme="minorHAnsi"/>
          </w:rPr>
          <w:instrText xml:space="preserve"> PAGE   \* MERGEFORMAT </w:instrText>
        </w:r>
        <w:r w:rsidRPr="002D0D92">
          <w:rPr>
            <w:rFonts w:cstheme="minorHAnsi"/>
          </w:rPr>
          <w:fldChar w:fldCharType="separate"/>
        </w:r>
        <w:r w:rsidRPr="002D0D92">
          <w:rPr>
            <w:rFonts w:cstheme="minorHAnsi"/>
            <w:noProof/>
          </w:rPr>
          <w:t>2</w:t>
        </w:r>
        <w:r w:rsidRPr="002D0D92">
          <w:rPr>
            <w:rFonts w:cstheme="minorHAnsi"/>
            <w:noProof/>
          </w:rPr>
          <w:fldChar w:fldCharType="end"/>
        </w:r>
      </w:p>
    </w:sdtContent>
  </w:sdt>
  <w:p w:rsidR="00B85C95" w:rsidRDefault="00B85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079D"/>
    <w:multiLevelType w:val="multilevel"/>
    <w:tmpl w:val="80F6BF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2755D8"/>
    <w:multiLevelType w:val="hybridMultilevel"/>
    <w:tmpl w:val="0632E9A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45357C2"/>
    <w:multiLevelType w:val="hybridMultilevel"/>
    <w:tmpl w:val="C708FE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1C7173"/>
    <w:multiLevelType w:val="hybridMultilevel"/>
    <w:tmpl w:val="151E7D68"/>
    <w:lvl w:ilvl="0" w:tplc="04260001">
      <w:start w:val="1"/>
      <w:numFmt w:val="bullet"/>
      <w:lvlText w:val=""/>
      <w:lvlJc w:val="left"/>
      <w:pPr>
        <w:ind w:left="720" w:hanging="72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5AB927AA"/>
    <w:multiLevelType w:val="hybridMultilevel"/>
    <w:tmpl w:val="A656B65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5EC32D76"/>
    <w:multiLevelType w:val="multilevel"/>
    <w:tmpl w:val="68C0E9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0F6717"/>
    <w:multiLevelType w:val="hybridMultilevel"/>
    <w:tmpl w:val="3D5C82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95"/>
    <w:rsid w:val="0012340B"/>
    <w:rsid w:val="00137E1F"/>
    <w:rsid w:val="002D0D92"/>
    <w:rsid w:val="00326463"/>
    <w:rsid w:val="00347543"/>
    <w:rsid w:val="00351C7C"/>
    <w:rsid w:val="00351E1C"/>
    <w:rsid w:val="00410AED"/>
    <w:rsid w:val="00431FED"/>
    <w:rsid w:val="00444A2A"/>
    <w:rsid w:val="00631A9D"/>
    <w:rsid w:val="0063761E"/>
    <w:rsid w:val="006F3725"/>
    <w:rsid w:val="00770642"/>
    <w:rsid w:val="007B3AFD"/>
    <w:rsid w:val="007E3991"/>
    <w:rsid w:val="0082779E"/>
    <w:rsid w:val="008C4917"/>
    <w:rsid w:val="008D2760"/>
    <w:rsid w:val="00A24279"/>
    <w:rsid w:val="00A7671D"/>
    <w:rsid w:val="00B573BB"/>
    <w:rsid w:val="00B85C95"/>
    <w:rsid w:val="00E10A24"/>
    <w:rsid w:val="00E43A78"/>
    <w:rsid w:val="00E816BF"/>
    <w:rsid w:val="00E873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7103"/>
  <w15:chartTrackingRefBased/>
  <w15:docId w15:val="{47EDAC12-7B95-43FD-8520-2875CAEC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C95"/>
    <w:rPr>
      <w:sz w:val="24"/>
    </w:rPr>
  </w:style>
  <w:style w:type="paragraph" w:styleId="Heading1">
    <w:name w:val="heading 1"/>
    <w:basedOn w:val="Normal"/>
    <w:next w:val="Normal"/>
    <w:link w:val="Heading1Char"/>
    <w:uiPriority w:val="9"/>
    <w:qFormat/>
    <w:rsid w:val="007B3AFD"/>
    <w:pPr>
      <w:keepNext/>
      <w:keepLines/>
      <w:numPr>
        <w:numId w:val="5"/>
      </w:numPr>
      <w:tabs>
        <w:tab w:val="left" w:pos="2694"/>
      </w:tabs>
      <w:spacing w:before="120" w:after="120" w:line="240" w:lineRule="auto"/>
      <w:ind w:left="709" w:hanging="709"/>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uiPriority w:val="9"/>
    <w:unhideWhenUsed/>
    <w:qFormat/>
    <w:rsid w:val="007B3AFD"/>
    <w:pPr>
      <w:keepNext/>
      <w:keepLines/>
      <w:numPr>
        <w:ilvl w:val="1"/>
        <w:numId w:val="5"/>
      </w:numPr>
      <w:spacing w:before="40" w:after="0"/>
      <w:ind w:left="680" w:hanging="567"/>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7B3AFD"/>
    <w:pPr>
      <w:keepNext/>
      <w:keepLines/>
      <w:numPr>
        <w:ilvl w:val="2"/>
        <w:numId w:val="5"/>
      </w:numPr>
      <w:spacing w:before="120" w:after="120" w:line="240" w:lineRule="auto"/>
      <w:ind w:left="680" w:hanging="680"/>
      <w:jc w:val="both"/>
      <w:outlineLvl w:val="2"/>
    </w:pPr>
    <w:rPr>
      <w:rFonts w:ascii="Times New Roman" w:eastAsiaTheme="majorEastAsia" w:hAnsi="Times New Roman" w:cs="Times New Roman"/>
      <w:szCs w:val="24"/>
      <w:u w:val="single"/>
      <w:lang w:eastAsia="lv-LV"/>
    </w:rPr>
  </w:style>
  <w:style w:type="paragraph" w:styleId="Heading4">
    <w:name w:val="heading 4"/>
    <w:basedOn w:val="Normal"/>
    <w:next w:val="Normal"/>
    <w:link w:val="Heading4Char"/>
    <w:uiPriority w:val="9"/>
    <w:unhideWhenUsed/>
    <w:qFormat/>
    <w:rsid w:val="007B3AFD"/>
    <w:pPr>
      <w:keepNext/>
      <w:keepLines/>
      <w:numPr>
        <w:ilvl w:val="3"/>
        <w:numId w:val="5"/>
      </w:numPr>
      <w:tabs>
        <w:tab w:val="left" w:pos="993"/>
      </w:tabs>
      <w:spacing w:before="120" w:after="120" w:line="240" w:lineRule="auto"/>
      <w:ind w:left="0" w:firstLine="0"/>
      <w:outlineLvl w:val="3"/>
    </w:pPr>
    <w:rPr>
      <w:rFonts w:ascii="Times New Roman" w:eastAsiaTheme="majorEastAsia"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B85C95"/>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B85C95"/>
    <w:rPr>
      <w:sz w:val="24"/>
    </w:rPr>
  </w:style>
  <w:style w:type="paragraph" w:styleId="Header">
    <w:name w:val="header"/>
    <w:basedOn w:val="Normal"/>
    <w:link w:val="HeaderChar"/>
    <w:uiPriority w:val="99"/>
    <w:unhideWhenUsed/>
    <w:rsid w:val="00B85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C95"/>
    <w:rPr>
      <w:sz w:val="24"/>
    </w:rPr>
  </w:style>
  <w:style w:type="paragraph" w:styleId="Footer">
    <w:name w:val="footer"/>
    <w:basedOn w:val="Normal"/>
    <w:link w:val="FooterChar"/>
    <w:uiPriority w:val="99"/>
    <w:unhideWhenUsed/>
    <w:rsid w:val="00B85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C95"/>
    <w:rPr>
      <w:sz w:val="24"/>
    </w:rPr>
  </w:style>
  <w:style w:type="character" w:styleId="CommentReference">
    <w:name w:val="annotation reference"/>
    <w:basedOn w:val="DefaultParagraphFont"/>
    <w:uiPriority w:val="99"/>
    <w:semiHidden/>
    <w:unhideWhenUsed/>
    <w:rsid w:val="00444A2A"/>
    <w:rPr>
      <w:sz w:val="16"/>
      <w:szCs w:val="16"/>
    </w:rPr>
  </w:style>
  <w:style w:type="paragraph" w:styleId="CommentText">
    <w:name w:val="annotation text"/>
    <w:basedOn w:val="Normal"/>
    <w:link w:val="CommentTextChar"/>
    <w:uiPriority w:val="99"/>
    <w:semiHidden/>
    <w:unhideWhenUsed/>
    <w:rsid w:val="00444A2A"/>
    <w:pPr>
      <w:spacing w:line="240" w:lineRule="auto"/>
    </w:pPr>
    <w:rPr>
      <w:sz w:val="20"/>
      <w:szCs w:val="20"/>
    </w:rPr>
  </w:style>
  <w:style w:type="character" w:customStyle="1" w:styleId="CommentTextChar">
    <w:name w:val="Comment Text Char"/>
    <w:basedOn w:val="DefaultParagraphFont"/>
    <w:link w:val="CommentText"/>
    <w:uiPriority w:val="99"/>
    <w:semiHidden/>
    <w:rsid w:val="00444A2A"/>
    <w:rPr>
      <w:sz w:val="20"/>
      <w:szCs w:val="20"/>
    </w:rPr>
  </w:style>
  <w:style w:type="paragraph" w:styleId="CommentSubject">
    <w:name w:val="annotation subject"/>
    <w:basedOn w:val="CommentText"/>
    <w:next w:val="CommentText"/>
    <w:link w:val="CommentSubjectChar"/>
    <w:uiPriority w:val="99"/>
    <w:semiHidden/>
    <w:unhideWhenUsed/>
    <w:rsid w:val="00444A2A"/>
    <w:rPr>
      <w:b/>
      <w:bCs/>
    </w:rPr>
  </w:style>
  <w:style w:type="character" w:customStyle="1" w:styleId="CommentSubjectChar">
    <w:name w:val="Comment Subject Char"/>
    <w:basedOn w:val="CommentTextChar"/>
    <w:link w:val="CommentSubject"/>
    <w:uiPriority w:val="99"/>
    <w:semiHidden/>
    <w:rsid w:val="00444A2A"/>
    <w:rPr>
      <w:b/>
      <w:bCs/>
      <w:sz w:val="20"/>
      <w:szCs w:val="20"/>
    </w:rPr>
  </w:style>
  <w:style w:type="paragraph" w:styleId="BalloonText">
    <w:name w:val="Balloon Text"/>
    <w:basedOn w:val="Normal"/>
    <w:link w:val="BalloonTextChar"/>
    <w:uiPriority w:val="99"/>
    <w:semiHidden/>
    <w:unhideWhenUsed/>
    <w:rsid w:val="00444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A2A"/>
    <w:rPr>
      <w:rFonts w:ascii="Segoe UI" w:hAnsi="Segoe UI" w:cs="Segoe UI"/>
      <w:sz w:val="18"/>
      <w:szCs w:val="18"/>
    </w:rPr>
  </w:style>
  <w:style w:type="paragraph" w:styleId="FootnoteText">
    <w:name w:val="footnote text"/>
    <w:basedOn w:val="Normal"/>
    <w:link w:val="FootnoteTextChar"/>
    <w:uiPriority w:val="99"/>
    <w:semiHidden/>
    <w:unhideWhenUsed/>
    <w:rsid w:val="00E10A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0A24"/>
    <w:rPr>
      <w:sz w:val="20"/>
      <w:szCs w:val="20"/>
    </w:rPr>
  </w:style>
  <w:style w:type="character" w:styleId="FootnoteReference">
    <w:name w:val="footnote reference"/>
    <w:basedOn w:val="DefaultParagraphFont"/>
    <w:uiPriority w:val="99"/>
    <w:semiHidden/>
    <w:unhideWhenUsed/>
    <w:rsid w:val="00E10A24"/>
    <w:rPr>
      <w:vertAlign w:val="superscript"/>
    </w:rPr>
  </w:style>
  <w:style w:type="character" w:customStyle="1" w:styleId="Heading1Char">
    <w:name w:val="Heading 1 Char"/>
    <w:basedOn w:val="DefaultParagraphFont"/>
    <w:link w:val="Heading1"/>
    <w:uiPriority w:val="9"/>
    <w:rsid w:val="007B3AFD"/>
    <w:rPr>
      <w:rFonts w:ascii="Times New Roman" w:eastAsiaTheme="majorEastAsia" w:hAnsi="Times New Roman" w:cs="Times New Roman"/>
      <w:b/>
      <w:sz w:val="28"/>
      <w:szCs w:val="32"/>
    </w:rPr>
  </w:style>
  <w:style w:type="character" w:customStyle="1" w:styleId="Heading2Char">
    <w:name w:val="Heading 2 Char"/>
    <w:basedOn w:val="DefaultParagraphFont"/>
    <w:link w:val="Heading2"/>
    <w:uiPriority w:val="9"/>
    <w:rsid w:val="007B3AFD"/>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7B3AFD"/>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7B3AFD"/>
    <w:rPr>
      <w:rFonts w:ascii="Times New Roman" w:eastAsiaTheme="majorEastAsia"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37E8C-C811-410E-8F35-5FD9218B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7452</Words>
  <Characters>4249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Agnete Ālere</cp:lastModifiedBy>
  <cp:revision>1</cp:revision>
  <dcterms:created xsi:type="dcterms:W3CDTF">2019-10-09T13:07:00Z</dcterms:created>
  <dcterms:modified xsi:type="dcterms:W3CDTF">2019-10-09T13:07:00Z</dcterms:modified>
</cp:coreProperties>
</file>