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9481E7" w14:textId="77777777" w:rsidR="000538DA" w:rsidRDefault="00E94C91" w:rsidP="005A322C">
      <w:pPr>
        <w:spacing w:before="120" w:after="120" w:line="240" w:lineRule="auto"/>
        <w:jc w:val="both"/>
        <w:rPr>
          <w:rFonts w:ascii="Calibri" w:hAnsi="Calibri" w:cs="Times New Roman"/>
          <w:szCs w:val="24"/>
        </w:rPr>
      </w:pPr>
      <w:r w:rsidRPr="00E2491C">
        <w:rPr>
          <w:rFonts w:ascii="Calibri" w:hAnsi="Calibri"/>
          <w:noProof/>
          <w:lang w:eastAsia="lv-LV"/>
        </w:rPr>
        <mc:AlternateContent>
          <mc:Choice Requires="wps">
            <w:drawing>
              <wp:anchor distT="0" distB="0" distL="114300" distR="114300" simplePos="0" relativeHeight="251659264" behindDoc="0" locked="0" layoutInCell="1" allowOverlap="1" wp14:anchorId="220F667F" wp14:editId="71595DCC">
                <wp:simplePos x="0" y="0"/>
                <wp:positionH relativeFrom="margin">
                  <wp:posOffset>-36830</wp:posOffset>
                </wp:positionH>
                <wp:positionV relativeFrom="paragraph">
                  <wp:posOffset>134620</wp:posOffset>
                </wp:positionV>
                <wp:extent cx="5779135" cy="496570"/>
                <wp:effectExtent l="0" t="0" r="0" b="0"/>
                <wp:wrapSquare wrapText="bothSides"/>
                <wp:docPr id="39" name="Rectangle: Single Corner Snipped 39"/>
                <wp:cNvGraphicFramePr/>
                <a:graphic xmlns:a="http://schemas.openxmlformats.org/drawingml/2006/main">
                  <a:graphicData uri="http://schemas.microsoft.com/office/word/2010/wordprocessingShape">
                    <wps:wsp>
                      <wps:cNvSpPr/>
                      <wps:spPr>
                        <a:xfrm>
                          <a:off x="0" y="0"/>
                          <a:ext cx="5779135" cy="496570"/>
                        </a:xfrm>
                        <a:prstGeom prst="snip1Rect">
                          <a:avLst/>
                        </a:prstGeom>
                        <a:solidFill>
                          <a:schemeClr val="tx2">
                            <a:lumMod val="75000"/>
                          </a:schemeClr>
                        </a:solidFill>
                        <a:ln>
                          <a:noFill/>
                        </a:ln>
                      </wps:spPr>
                      <wps:style>
                        <a:lnRef idx="2">
                          <a:schemeClr val="accent2"/>
                        </a:lnRef>
                        <a:fillRef idx="1">
                          <a:schemeClr val="lt1"/>
                        </a:fillRef>
                        <a:effectRef idx="0">
                          <a:schemeClr val="accent2"/>
                        </a:effectRef>
                        <a:fontRef idx="minor">
                          <a:schemeClr val="dk1"/>
                        </a:fontRef>
                      </wps:style>
                      <wps:txbx>
                        <w:txbxContent>
                          <w:p w14:paraId="04C12013" w14:textId="4B5F4A7F" w:rsidR="00E94C91" w:rsidRPr="00652FF2" w:rsidRDefault="00222D44" w:rsidP="00E94C91">
                            <w:pPr>
                              <w:spacing w:before="120" w:after="120" w:line="240" w:lineRule="auto"/>
                              <w:jc w:val="center"/>
                              <w:rPr>
                                <w:rFonts w:ascii="Arial" w:hAnsi="Arial" w:cs="Arial"/>
                                <w:b/>
                                <w:bCs/>
                                <w:color w:val="FFFFFF" w:themeColor="background1"/>
                                <w:sz w:val="36"/>
                                <w:szCs w:val="36"/>
                              </w:rPr>
                            </w:pPr>
                            <w:r>
                              <w:rPr>
                                <w:rFonts w:ascii="Arial" w:hAnsi="Arial" w:cs="Arial"/>
                                <w:b/>
                                <w:bCs/>
                                <w:color w:val="FFFFFF" w:themeColor="background1"/>
                                <w:sz w:val="36"/>
                                <w:szCs w:val="36"/>
                              </w:rPr>
                              <w:t>Sabiedrības iesaiste enerģijas ražošanā</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0F667F" id="Rectangle: Single Corner Snipped 39" o:spid="_x0000_s1026" style="position:absolute;left:0;text-align:left;margin-left:-2.9pt;margin-top:10.6pt;width:455.05pt;height:39.1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5779135,49657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" adj="-11796480,,5400" path="m,l5696372,r82763,82763l5779135,496570,,496570,,xe" fillcolor="#323e4f [2415]" stroked="f" strokeweight="1pt">
                <v:stroke joinstyle="miter"/>
                <v:formulas/>
                <v:path arrowok="t" o:connecttype="custom" o:connectlocs="0,0;5696372,0;5779135,82763;5779135,496570;0,496570;0,0" o:connectangles="0,0,0,0,0,0" textboxrect="0,0,5779135,496570"/>
                <v:textbox>
                  <w:txbxContent>
                    <w:p w14:paraId="04C12013" w14:textId="4B5F4A7F" w:rsidR="00E94C91" w:rsidRPr="00652FF2" w:rsidRDefault="00222D44" w:rsidP="00E94C91">
                      <w:pPr>
                        <w:spacing w:before="120" w:after="120" w:line="240" w:lineRule="auto"/>
                        <w:jc w:val="center"/>
                        <w:rPr>
                          <w:rFonts w:ascii="Arial" w:hAnsi="Arial" w:cs="Arial"/>
                          <w:b/>
                          <w:bCs/>
                          <w:color w:val="FFFFFF" w:themeColor="background1"/>
                          <w:sz w:val="36"/>
                          <w:szCs w:val="36"/>
                        </w:rPr>
                      </w:pPr>
                      <w:r>
                        <w:rPr>
                          <w:rFonts w:ascii="Arial" w:hAnsi="Arial" w:cs="Arial"/>
                          <w:b/>
                          <w:bCs/>
                          <w:color w:val="FFFFFF" w:themeColor="background1"/>
                          <w:sz w:val="36"/>
                          <w:szCs w:val="36"/>
                        </w:rPr>
                        <w:t>Sabiedrības iesaiste enerģijas ražošanā</w:t>
                      </w:r>
                    </w:p>
                  </w:txbxContent>
                </v:textbox>
                <w10:wrap type="square" anchorx="margin"/>
              </v:shape>
            </w:pict>
          </mc:Fallback>
        </mc:AlternateContent>
      </w:r>
    </w:p>
    <w:p w14:paraId="1748CA67" w14:textId="34BF7912" w:rsidR="00E94C91" w:rsidRPr="00DA4AD4" w:rsidRDefault="00E94C91" w:rsidP="005A322C">
      <w:pPr>
        <w:spacing w:before="120" w:after="120" w:line="240" w:lineRule="auto"/>
        <w:jc w:val="both"/>
        <w:rPr>
          <w:rFonts w:ascii="Calibri" w:hAnsi="Calibri" w:cs="Times New Roman"/>
          <w:szCs w:val="24"/>
        </w:rPr>
      </w:pPr>
      <w:r w:rsidRPr="00DA4AD4">
        <w:rPr>
          <w:rFonts w:ascii="Calibri" w:hAnsi="Calibri" w:cs="Times New Roman"/>
          <w:b/>
          <w:i/>
          <w:sz w:val="28"/>
          <w:szCs w:val="28"/>
          <w:u w:val="single"/>
        </w:rPr>
        <w:t>Esošā situācija</w:t>
      </w:r>
    </w:p>
    <w:p w14:paraId="316EA911" w14:textId="04A177BA" w:rsidR="00DA262F" w:rsidRPr="00DA4AD4" w:rsidRDefault="0076109A" w:rsidP="00DA262F">
      <w:pPr>
        <w:jc w:val="both"/>
      </w:pPr>
      <w:r w:rsidRPr="00DA4AD4">
        <w:t xml:space="preserve">Sabiedrības iesaisti enerģijas ražošanā līdz šim ir stimulējis pieejamais </w:t>
      </w:r>
      <w:r w:rsidR="000761B7" w:rsidRPr="00DA4AD4">
        <w:t xml:space="preserve">investīciju </w:t>
      </w:r>
      <w:r w:rsidRPr="00DA4AD4">
        <w:t>atbalst</w:t>
      </w:r>
      <w:r w:rsidR="000761B7" w:rsidRPr="00DA4AD4">
        <w:t>s</w:t>
      </w:r>
      <w:r w:rsidRPr="00DA4AD4">
        <w:t xml:space="preserve"> Klimata pārmaiņu finanšu instrumenta (KPFI) programmas ietvaros, NETO sistēma elektroenerģijas ražošanas norēķiniem</w:t>
      </w:r>
      <w:r w:rsidR="00390F99" w:rsidRPr="00DA4AD4">
        <w:rPr>
          <w:rStyle w:val="FootnoteReference"/>
        </w:rPr>
        <w:footnoteReference w:id="1"/>
      </w:r>
      <w:r w:rsidR="00DA262F">
        <w:t xml:space="preserve">, </w:t>
      </w:r>
      <w:r w:rsidR="00DA262F">
        <w:rPr>
          <w:rFonts w:ascii="Calibri" w:hAnsi="Calibri" w:cs="Times New Roman"/>
          <w:szCs w:val="24"/>
        </w:rPr>
        <w:t xml:space="preserve">pēdējos gados pašvaldībām pieejamais EKII finansējums, kā arī </w:t>
      </w:r>
      <w:r w:rsidR="00DA262F" w:rsidRPr="00DA4AD4">
        <w:rPr>
          <w:rFonts w:ascii="Calibri" w:hAnsi="Calibri" w:cs="Times New Roman"/>
          <w:szCs w:val="24"/>
        </w:rPr>
        <w:t xml:space="preserve">dažas AER siltumenerģijas ražošanas iekārtas </w:t>
      </w:r>
      <w:proofErr w:type="spellStart"/>
      <w:r w:rsidR="00DA262F" w:rsidRPr="00DA4AD4">
        <w:rPr>
          <w:rFonts w:ascii="Calibri" w:hAnsi="Calibri" w:cs="Times New Roman"/>
          <w:szCs w:val="24"/>
        </w:rPr>
        <w:t>pašpātēriņam</w:t>
      </w:r>
      <w:proofErr w:type="spellEnd"/>
      <w:r w:rsidR="00DA262F" w:rsidRPr="00DA4AD4">
        <w:rPr>
          <w:rFonts w:ascii="Calibri" w:hAnsi="Calibri" w:cs="Times New Roman"/>
          <w:szCs w:val="24"/>
        </w:rPr>
        <w:t xml:space="preserve"> ir uzstādītas daudzdzīvokļu māju siltināšanas programmas ietvaros.</w:t>
      </w:r>
      <w:r w:rsidR="00DA262F" w:rsidRPr="00DA4AD4">
        <w:t xml:space="preserve"> </w:t>
      </w:r>
    </w:p>
    <w:p w14:paraId="2B4AD5B4" w14:textId="67013709" w:rsidR="00602EA5" w:rsidRDefault="000761B7" w:rsidP="00E44A65">
      <w:pPr>
        <w:jc w:val="both"/>
      </w:pPr>
      <w:r w:rsidRPr="00DA4AD4">
        <w:t>Sabiedrības iesaiste enerģijas ražošanā var veicināt arī Latvijai noteikto mērķu sasniegšanu, tomēr šobrīd šī ietekme ir neliela.</w:t>
      </w:r>
      <w:r w:rsidR="00602EA5">
        <w:t xml:space="preserve"> </w:t>
      </w:r>
      <w:r w:rsidR="00DA262F">
        <w:t>T</w:t>
      </w:r>
      <w:r w:rsidR="00602EA5">
        <w:t>ikpat būtiska ir sabiedrības iesaiste, lai veicinātu izpratni par energosistēmas darbību</w:t>
      </w:r>
      <w:r w:rsidR="00DA262F">
        <w:t xml:space="preserve"> un</w:t>
      </w:r>
      <w:r w:rsidR="00602EA5">
        <w:t xml:space="preserve"> AER nozīmi klimata mērķu sasniegšanā, kas sekojoši var veicināt izpratni par lielāka mēroga pasākumu ieviešanas nepieciešamību. </w:t>
      </w:r>
    </w:p>
    <w:p w14:paraId="3F1F5364" w14:textId="3D61C24C" w:rsidR="00FD4129" w:rsidRDefault="00390F99" w:rsidP="00E44A65">
      <w:pPr>
        <w:jc w:val="both"/>
      </w:pPr>
      <w:r w:rsidRPr="00DA4AD4">
        <w:t>Tāpat, v</w:t>
      </w:r>
      <w:r w:rsidR="003C42E7" w:rsidRPr="00DA4AD4">
        <w:t>ērtējot nepieciešamību veicināt sabiedrības plašāku iesaisti enerģijas ražošanā,</w:t>
      </w:r>
      <w:r w:rsidR="00FD4129" w:rsidRPr="00DA4AD4">
        <w:t xml:space="preserve"> jāņem vērā, ka pašpatērētāju saražotā enerģija aizvieto citus energoresursus. </w:t>
      </w:r>
      <w:r w:rsidR="003C42E7" w:rsidRPr="00DA4AD4">
        <w:t xml:space="preserve"> Piemēram, v</w:t>
      </w:r>
      <w:r w:rsidR="00FD4129" w:rsidRPr="00DA4AD4">
        <w:t>ērtējot Latvijas elektroapgādei raksturīgos apstākļus, secināms, ka pašpatērētāju saražotā elektroenerģija pamatā aizvietos elektroenerģiju, kas ģenerēta</w:t>
      </w:r>
      <w:r w:rsidR="00085FEE" w:rsidRPr="00DA4AD4">
        <w:t xml:space="preserve">, </w:t>
      </w:r>
      <w:r w:rsidR="00FD4129" w:rsidRPr="00DA4AD4">
        <w:t xml:space="preserve">sadedzinot importēto dabasgāzi. </w:t>
      </w:r>
      <w:r w:rsidR="00E51DC7">
        <w:t xml:space="preserve">Kopumā, t.sk., siltumenerģijas ražošanai pašpatēriņam primāri ir veicināma ne-emisiju tehnoloģiju uzstādīšana, kas sniedz arī ieguldījumu gaisa piesārņojuma mazināšanas mērķu sasniegšanai. </w:t>
      </w:r>
    </w:p>
    <w:p w14:paraId="58FA8A46" w14:textId="4490D391" w:rsidR="002B0285" w:rsidRPr="00DA262F" w:rsidRDefault="00E51DC7" w:rsidP="00DA262F">
      <w:pPr>
        <w:jc w:val="both"/>
      </w:pPr>
      <w:r>
        <w:rPr>
          <w:lang w:eastAsia="lv-LV"/>
        </w:rPr>
        <w:t>Šobrīd l</w:t>
      </w:r>
      <w:r w:rsidR="00FD4129" w:rsidRPr="00DA4AD4">
        <w:rPr>
          <w:lang w:eastAsia="lv-LV"/>
        </w:rPr>
        <w:t>ielāk</w:t>
      </w:r>
      <w:r w:rsidR="00085FEE" w:rsidRPr="00DA4AD4">
        <w:rPr>
          <w:lang w:eastAsia="lv-LV"/>
        </w:rPr>
        <w:t>ā</w:t>
      </w:r>
      <w:r w:rsidR="00FD4129" w:rsidRPr="00DA4AD4">
        <w:rPr>
          <w:lang w:eastAsia="lv-LV"/>
        </w:rPr>
        <w:t xml:space="preserve"> daļa pašpatērētāju</w:t>
      </w:r>
      <w:r w:rsidR="00FD4129" w:rsidRPr="00DA4AD4">
        <w:t xml:space="preserve"> </w:t>
      </w:r>
      <w:r w:rsidR="00085FEE" w:rsidRPr="00DA4AD4">
        <w:t>elektroenerģijas ražošanai ir uzstādījusi</w:t>
      </w:r>
      <w:r w:rsidR="00FD4129" w:rsidRPr="00DA4AD4">
        <w:t xml:space="preserve"> saules paneļ</w:t>
      </w:r>
      <w:r w:rsidR="00085FEE" w:rsidRPr="00DA4AD4">
        <w:t>us</w:t>
      </w:r>
      <w:r w:rsidR="00FD4129" w:rsidRPr="00DA4AD4">
        <w:t xml:space="preserve">. </w:t>
      </w:r>
      <w:r w:rsidR="009A5800">
        <w:t xml:space="preserve">Savukārt starp siltumenerģijas ražošanas ne-emisiju iekārtām populārākie ir </w:t>
      </w:r>
      <w:r w:rsidR="00DA262F">
        <w:t xml:space="preserve">dažāda veida </w:t>
      </w:r>
      <w:proofErr w:type="spellStart"/>
      <w:r w:rsidR="00DA262F">
        <w:t>siltumsūkņi</w:t>
      </w:r>
      <w:proofErr w:type="spellEnd"/>
      <w:r w:rsidR="00DA262F">
        <w:t xml:space="preserve"> un </w:t>
      </w:r>
      <w:r w:rsidR="009A5800">
        <w:t>saules kolektori.</w:t>
      </w:r>
    </w:p>
    <w:p w14:paraId="04136CC7" w14:textId="77777777" w:rsidR="00E94C91" w:rsidRPr="00652FF2" w:rsidRDefault="00E94C91" w:rsidP="005A322C">
      <w:pPr>
        <w:shd w:val="clear" w:color="auto" w:fill="E7E6E6" w:themeFill="background2"/>
        <w:spacing w:before="120" w:after="120" w:line="240" w:lineRule="auto"/>
        <w:rPr>
          <w:rFonts w:ascii="Calibri" w:hAnsi="Calibri" w:cs="Times New Roman"/>
          <w:b/>
          <w:sz w:val="28"/>
          <w:szCs w:val="28"/>
          <w:u w:val="single"/>
        </w:rPr>
      </w:pPr>
      <w:r w:rsidRPr="00652FF2">
        <w:rPr>
          <w:rFonts w:ascii="Calibri" w:hAnsi="Calibri" w:cs="Times New Roman"/>
          <w:b/>
          <w:sz w:val="28"/>
          <w:szCs w:val="28"/>
          <w:u w:val="single"/>
        </w:rPr>
        <w:t>Vēlamā situācija 2030.gadam:</w:t>
      </w:r>
    </w:p>
    <w:p w14:paraId="5D199696" w14:textId="767E3DBE" w:rsidR="00E94C91" w:rsidRDefault="007038FF" w:rsidP="005A322C">
      <w:pPr>
        <w:pStyle w:val="ListParagraph"/>
        <w:numPr>
          <w:ilvl w:val="0"/>
          <w:numId w:val="2"/>
        </w:numPr>
        <w:shd w:val="clear" w:color="auto" w:fill="E7E6E6" w:themeFill="background2"/>
        <w:spacing w:before="120" w:after="120" w:line="240" w:lineRule="auto"/>
        <w:ind w:left="397" w:hanging="397"/>
        <w:contextualSpacing w:val="0"/>
        <w:rPr>
          <w:rFonts w:ascii="Calibri" w:hAnsi="Calibri" w:cs="Times New Roman"/>
          <w:i/>
          <w:szCs w:val="24"/>
        </w:rPr>
      </w:pPr>
      <w:r>
        <w:rPr>
          <w:rFonts w:ascii="Calibri" w:hAnsi="Calibri" w:cs="Times New Roman"/>
          <w:i/>
          <w:szCs w:val="24"/>
        </w:rPr>
        <w:t>Iedzīvotāji iesaistās enerģijas ražošanā</w:t>
      </w:r>
      <w:r w:rsidR="00D82999">
        <w:rPr>
          <w:rFonts w:ascii="Calibri" w:hAnsi="Calibri" w:cs="Times New Roman"/>
          <w:i/>
          <w:szCs w:val="24"/>
        </w:rPr>
        <w:t xml:space="preserve">, </w:t>
      </w:r>
      <w:r w:rsidR="0076109A">
        <w:rPr>
          <w:rFonts w:ascii="Calibri" w:hAnsi="Calibri" w:cs="Times New Roman"/>
          <w:i/>
          <w:szCs w:val="24"/>
        </w:rPr>
        <w:t>lielākā apjomā tiek uzstādītas enerģijas ražošanas iekārtas pašu patēriņam</w:t>
      </w:r>
    </w:p>
    <w:p w14:paraId="1C811914" w14:textId="13106415" w:rsidR="007038FF" w:rsidRDefault="003F03B9" w:rsidP="005A322C">
      <w:pPr>
        <w:pStyle w:val="ListParagraph"/>
        <w:numPr>
          <w:ilvl w:val="0"/>
          <w:numId w:val="2"/>
        </w:numPr>
        <w:shd w:val="clear" w:color="auto" w:fill="E7E6E6" w:themeFill="background2"/>
        <w:spacing w:before="120" w:after="120" w:line="240" w:lineRule="auto"/>
        <w:ind w:left="397" w:hanging="397"/>
        <w:contextualSpacing w:val="0"/>
        <w:rPr>
          <w:rFonts w:ascii="Calibri" w:hAnsi="Calibri" w:cs="Times New Roman"/>
          <w:i/>
          <w:szCs w:val="24"/>
        </w:rPr>
      </w:pPr>
      <w:r>
        <w:rPr>
          <w:rFonts w:ascii="Calibri" w:hAnsi="Calibri" w:cs="Times New Roman"/>
          <w:i/>
          <w:szCs w:val="24"/>
        </w:rPr>
        <w:t>Ir v</w:t>
      </w:r>
      <w:r w:rsidR="007038FF">
        <w:rPr>
          <w:rFonts w:ascii="Calibri" w:hAnsi="Calibri" w:cs="Times New Roman"/>
          <w:i/>
          <w:szCs w:val="24"/>
        </w:rPr>
        <w:t>eicināta sabiedrības izpratne par atjaunojamās enerģijas nozīmi un energosistēmas darbību</w:t>
      </w:r>
    </w:p>
    <w:p w14:paraId="58436CF3" w14:textId="15E6712F" w:rsidR="00AC4E65" w:rsidRPr="00DA262F" w:rsidRDefault="007038FF" w:rsidP="005A322C">
      <w:pPr>
        <w:pStyle w:val="ListParagraph"/>
        <w:numPr>
          <w:ilvl w:val="0"/>
          <w:numId w:val="2"/>
        </w:numPr>
        <w:shd w:val="clear" w:color="auto" w:fill="E7E6E6" w:themeFill="background2"/>
        <w:spacing w:before="120" w:after="120" w:line="240" w:lineRule="auto"/>
        <w:ind w:left="397" w:hanging="397"/>
        <w:contextualSpacing w:val="0"/>
        <w:rPr>
          <w:rFonts w:ascii="Calibri" w:hAnsi="Calibri" w:cs="Times New Roman"/>
          <w:i/>
          <w:szCs w:val="24"/>
        </w:rPr>
      </w:pPr>
      <w:r>
        <w:rPr>
          <w:rFonts w:ascii="Calibri" w:hAnsi="Calibri" w:cs="Times New Roman"/>
          <w:i/>
          <w:szCs w:val="24"/>
        </w:rPr>
        <w:t xml:space="preserve">Enerģijas </w:t>
      </w:r>
      <w:proofErr w:type="spellStart"/>
      <w:r>
        <w:rPr>
          <w:rFonts w:ascii="Calibri" w:hAnsi="Calibri" w:cs="Times New Roman"/>
          <w:i/>
          <w:szCs w:val="24"/>
        </w:rPr>
        <w:t>pašražošana</w:t>
      </w:r>
      <w:proofErr w:type="spellEnd"/>
      <w:r>
        <w:rPr>
          <w:rFonts w:ascii="Calibri" w:hAnsi="Calibri" w:cs="Times New Roman"/>
          <w:i/>
          <w:szCs w:val="24"/>
        </w:rPr>
        <w:t xml:space="preserve"> un pašpatēriņš ir veicināj</w:t>
      </w:r>
      <w:r w:rsidR="003F03B9">
        <w:rPr>
          <w:rFonts w:ascii="Calibri" w:hAnsi="Calibri" w:cs="Times New Roman"/>
          <w:i/>
          <w:szCs w:val="24"/>
        </w:rPr>
        <w:t>is</w:t>
      </w:r>
      <w:r>
        <w:rPr>
          <w:rFonts w:ascii="Calibri" w:hAnsi="Calibri" w:cs="Times New Roman"/>
          <w:i/>
          <w:szCs w:val="24"/>
        </w:rPr>
        <w:t xml:space="preserve"> efektīvu </w:t>
      </w:r>
      <w:r w:rsidR="009A5800">
        <w:rPr>
          <w:rFonts w:ascii="Calibri" w:hAnsi="Calibri" w:cs="Times New Roman"/>
          <w:i/>
          <w:szCs w:val="24"/>
        </w:rPr>
        <w:t xml:space="preserve">enerģijas tirgus un </w:t>
      </w:r>
      <w:r>
        <w:rPr>
          <w:rFonts w:ascii="Calibri" w:hAnsi="Calibri" w:cs="Times New Roman"/>
          <w:i/>
          <w:szCs w:val="24"/>
        </w:rPr>
        <w:t>energosistēmas darbību</w:t>
      </w:r>
    </w:p>
    <w:p w14:paraId="39B2D3FB" w14:textId="299BC78E" w:rsidR="00E94C91" w:rsidRPr="00652FF2" w:rsidRDefault="00E94C91" w:rsidP="005A322C">
      <w:pPr>
        <w:shd w:val="clear" w:color="auto" w:fill="E7E6E6" w:themeFill="background2"/>
        <w:spacing w:before="120" w:after="120" w:line="240" w:lineRule="auto"/>
        <w:rPr>
          <w:rFonts w:ascii="Calibri" w:hAnsi="Calibri" w:cs="Times New Roman"/>
          <w:b/>
          <w:sz w:val="28"/>
          <w:szCs w:val="28"/>
          <w:u w:val="single"/>
        </w:rPr>
      </w:pPr>
      <w:r w:rsidRPr="00652FF2">
        <w:rPr>
          <w:rFonts w:ascii="Calibri" w:hAnsi="Calibri" w:cs="Times New Roman"/>
          <w:b/>
          <w:sz w:val="28"/>
          <w:szCs w:val="28"/>
          <w:u w:val="single"/>
        </w:rPr>
        <w:t>Ieguvumi sabiedrībai un tautsaimniecībai:</w:t>
      </w:r>
    </w:p>
    <w:p w14:paraId="7253DF0C" w14:textId="77777777" w:rsidR="00D82999" w:rsidRDefault="0012607E" w:rsidP="00D82999">
      <w:pPr>
        <w:pStyle w:val="ListParagraph"/>
        <w:numPr>
          <w:ilvl w:val="0"/>
          <w:numId w:val="1"/>
        </w:numPr>
        <w:shd w:val="clear" w:color="auto" w:fill="E7E6E6" w:themeFill="background2"/>
        <w:spacing w:before="120" w:after="120" w:line="240" w:lineRule="auto"/>
        <w:ind w:left="397" w:hanging="397"/>
        <w:contextualSpacing w:val="0"/>
        <w:rPr>
          <w:rFonts w:ascii="Calibri" w:hAnsi="Calibri" w:cs="Times New Roman"/>
          <w:i/>
          <w:szCs w:val="24"/>
        </w:rPr>
      </w:pPr>
      <w:r>
        <w:rPr>
          <w:rFonts w:ascii="Calibri" w:hAnsi="Calibri" w:cs="Times New Roman"/>
          <w:i/>
          <w:szCs w:val="24"/>
        </w:rPr>
        <w:t>Iedzīvotājiem un uzņēmējiem ir iespējas samazināt savus izdevumus</w:t>
      </w:r>
      <w:r w:rsidR="00753FF4">
        <w:rPr>
          <w:rFonts w:ascii="Calibri" w:hAnsi="Calibri" w:cs="Times New Roman"/>
          <w:i/>
          <w:szCs w:val="24"/>
        </w:rPr>
        <w:t>,</w:t>
      </w:r>
      <w:r>
        <w:rPr>
          <w:rFonts w:ascii="Calibri" w:hAnsi="Calibri" w:cs="Times New Roman"/>
          <w:i/>
          <w:szCs w:val="24"/>
        </w:rPr>
        <w:t xml:space="preserve"> ražojot enerģiju pašiem</w:t>
      </w:r>
      <w:r w:rsidR="00F15720">
        <w:rPr>
          <w:rFonts w:ascii="Calibri" w:hAnsi="Calibri" w:cs="Times New Roman"/>
          <w:i/>
          <w:szCs w:val="24"/>
        </w:rPr>
        <w:t xml:space="preserve"> </w:t>
      </w:r>
    </w:p>
    <w:p w14:paraId="5DEED9A3" w14:textId="47A8D870" w:rsidR="00E94C91" w:rsidRDefault="00D82999" w:rsidP="00D82999">
      <w:pPr>
        <w:pStyle w:val="ListParagraph"/>
        <w:numPr>
          <w:ilvl w:val="0"/>
          <w:numId w:val="1"/>
        </w:numPr>
        <w:shd w:val="clear" w:color="auto" w:fill="E7E6E6" w:themeFill="background2"/>
        <w:spacing w:before="120" w:after="120" w:line="240" w:lineRule="auto"/>
        <w:ind w:left="397" w:hanging="397"/>
        <w:contextualSpacing w:val="0"/>
        <w:rPr>
          <w:rFonts w:ascii="Calibri" w:hAnsi="Calibri" w:cs="Times New Roman"/>
          <w:i/>
          <w:szCs w:val="24"/>
        </w:rPr>
      </w:pPr>
      <w:r w:rsidRPr="00D82999">
        <w:rPr>
          <w:rFonts w:ascii="Calibri" w:hAnsi="Calibri" w:cs="Times New Roman"/>
          <w:i/>
          <w:szCs w:val="24"/>
        </w:rPr>
        <w:t>Attīstoties atjaunojamās enerģijas kopienām, tiek veicināta vides kvalitātes uzlabošana un tiek stimulēta vietējā ekonomika</w:t>
      </w:r>
    </w:p>
    <w:p w14:paraId="338423E5" w14:textId="44D20F23" w:rsidR="00D82999" w:rsidRPr="00D82999" w:rsidRDefault="00D82999" w:rsidP="00D82999">
      <w:pPr>
        <w:pStyle w:val="ListParagraph"/>
        <w:numPr>
          <w:ilvl w:val="0"/>
          <w:numId w:val="1"/>
        </w:numPr>
        <w:shd w:val="clear" w:color="auto" w:fill="E7E6E6" w:themeFill="background2"/>
        <w:spacing w:before="120" w:after="120" w:line="240" w:lineRule="auto"/>
        <w:ind w:left="397" w:hanging="397"/>
        <w:contextualSpacing w:val="0"/>
        <w:rPr>
          <w:rFonts w:ascii="Calibri" w:hAnsi="Calibri" w:cs="Times New Roman"/>
          <w:i/>
          <w:szCs w:val="24"/>
        </w:rPr>
      </w:pPr>
      <w:r>
        <w:rPr>
          <w:rFonts w:ascii="Calibri" w:hAnsi="Calibri" w:cs="Times New Roman"/>
          <w:i/>
          <w:szCs w:val="24"/>
        </w:rPr>
        <w:t>Izveidotas papildu darba vietas</w:t>
      </w:r>
      <w:r w:rsidR="00DA262F">
        <w:rPr>
          <w:rFonts w:ascii="Calibri" w:hAnsi="Calibri" w:cs="Times New Roman"/>
          <w:i/>
          <w:szCs w:val="24"/>
        </w:rPr>
        <w:t xml:space="preserve"> iekārtu ieviešanas pakalpojumu sniegšanā</w:t>
      </w:r>
    </w:p>
    <w:p w14:paraId="2F2025F2" w14:textId="77777777" w:rsidR="00E94C91" w:rsidRPr="00906FB8" w:rsidRDefault="00E94C91" w:rsidP="00906FB8">
      <w:pPr>
        <w:spacing w:before="120" w:after="120" w:line="240" w:lineRule="auto"/>
        <w:jc w:val="both"/>
        <w:rPr>
          <w:rFonts w:ascii="Calibri" w:hAnsi="Calibri" w:cs="Times New Roman"/>
          <w:b/>
          <w:i/>
          <w:sz w:val="28"/>
          <w:szCs w:val="28"/>
          <w:u w:val="single"/>
        </w:rPr>
      </w:pPr>
      <w:bookmarkStart w:id="0" w:name="_Hlk18066173"/>
      <w:r w:rsidRPr="00906FB8">
        <w:rPr>
          <w:rFonts w:ascii="Calibri" w:hAnsi="Calibri" w:cs="Times New Roman"/>
          <w:b/>
          <w:i/>
          <w:sz w:val="28"/>
          <w:szCs w:val="28"/>
          <w:u w:val="single"/>
        </w:rPr>
        <w:lastRenderedPageBreak/>
        <w:t>Galvenie izaicinājumi</w:t>
      </w:r>
    </w:p>
    <w:bookmarkEnd w:id="0"/>
    <w:p w14:paraId="7418B930" w14:textId="02AB84FA" w:rsidR="00E94C91" w:rsidRDefault="00E94C91" w:rsidP="002B0285">
      <w:pPr>
        <w:spacing w:before="120" w:after="120" w:line="240" w:lineRule="auto"/>
        <w:jc w:val="both"/>
        <w:rPr>
          <w:rFonts w:ascii="Calibri" w:hAnsi="Calibri" w:cs="Times New Roman"/>
          <w:szCs w:val="24"/>
          <w:u w:val="single"/>
        </w:rPr>
      </w:pPr>
      <w:r w:rsidRPr="00E2491C">
        <w:rPr>
          <w:rFonts w:ascii="Calibri" w:hAnsi="Calibri" w:cs="Times New Roman"/>
          <w:szCs w:val="24"/>
          <w:u w:val="single"/>
        </w:rPr>
        <w:t xml:space="preserve">1) </w:t>
      </w:r>
      <w:r w:rsidR="00263930" w:rsidRPr="0000044C">
        <w:rPr>
          <w:rFonts w:ascii="Calibri" w:hAnsi="Calibri" w:cs="Times New Roman"/>
          <w:b/>
          <w:bCs/>
          <w:szCs w:val="24"/>
          <w:u w:val="single"/>
        </w:rPr>
        <w:t>zema sabiedrības līdzdalība</w:t>
      </w:r>
      <w:r w:rsidR="00263930" w:rsidRPr="00263930">
        <w:rPr>
          <w:rFonts w:ascii="Calibri" w:hAnsi="Calibri" w:cs="Times New Roman"/>
          <w:szCs w:val="24"/>
          <w:u w:val="single"/>
        </w:rPr>
        <w:t xml:space="preserve"> enerģijas ražošanā</w:t>
      </w:r>
    </w:p>
    <w:p w14:paraId="3AA57CF4" w14:textId="0E3E7374" w:rsidR="00AC4E65" w:rsidRDefault="006C3335" w:rsidP="009A5800">
      <w:pPr>
        <w:jc w:val="both"/>
      </w:pPr>
      <w:r>
        <w:t>S</w:t>
      </w:r>
      <w:r w:rsidR="00AC4E65">
        <w:t xml:space="preserve">abiedrības iesaiste enerģijas ražošanā, izmantojot ne-emisiju tehnoloģijas, </w:t>
      </w:r>
      <w:r w:rsidR="002D468D">
        <w:t xml:space="preserve">kopumā </w:t>
      </w:r>
      <w:r w:rsidR="00AC4E65">
        <w:t>ir</w:t>
      </w:r>
      <w:r w:rsidR="002D468D">
        <w:t xml:space="preserve"> vērtējama kā</w:t>
      </w:r>
      <w:r w:rsidR="00AC4E65">
        <w:t xml:space="preserve"> zema</w:t>
      </w:r>
      <w:r w:rsidR="002D468D">
        <w:t xml:space="preserve"> un lielākajai daļai potenciālo pašpatērētāju nav pieejami stimulējoši instrumenti vai arī normatīvais regulējums neveicina pašpatēriņa iniciatīvas.</w:t>
      </w:r>
    </w:p>
    <w:p w14:paraId="57CF8878" w14:textId="77777777" w:rsidR="00DA262F" w:rsidRDefault="009A5800" w:rsidP="009A5800">
      <w:pPr>
        <w:jc w:val="both"/>
      </w:pPr>
      <w:r w:rsidRPr="00215745">
        <w:t xml:space="preserve">Saskaņā ar AS “Sadales tīkls” datiem 2019. gada jūnijā Latvijā bija reģistrēti 550 </w:t>
      </w:r>
      <w:proofErr w:type="spellStart"/>
      <w:r w:rsidRPr="00215745">
        <w:t>mikroģeneratoru</w:t>
      </w:r>
      <w:proofErr w:type="spellEnd"/>
      <w:r w:rsidRPr="00215745">
        <w:t xml:space="preserve"> </w:t>
      </w:r>
      <w:proofErr w:type="spellStart"/>
      <w:r w:rsidRPr="00215745">
        <w:t>pieslēgumi</w:t>
      </w:r>
      <w:proofErr w:type="spellEnd"/>
      <w:r w:rsidRPr="00215745">
        <w:t xml:space="preserve"> (līdz 11,1 </w:t>
      </w:r>
      <w:proofErr w:type="spellStart"/>
      <w:r w:rsidRPr="00215745">
        <w:t>kW</w:t>
      </w:r>
      <w:proofErr w:type="spellEnd"/>
      <w:r w:rsidRPr="00215745">
        <w:t xml:space="preserve">), to kopējā uzstādītā elektriskā jauda bija 3,23 MW, kas ir niecīga </w:t>
      </w:r>
      <w:r w:rsidRPr="00B66A3A">
        <w:t>daļa (</w:t>
      </w:r>
      <w:r w:rsidR="00B66A3A" w:rsidRPr="00B66A3A">
        <w:t>~ 0,1%</w:t>
      </w:r>
      <w:r w:rsidRPr="00B66A3A">
        <w:t>) no</w:t>
      </w:r>
      <w:r w:rsidRPr="00215745">
        <w:t xml:space="preserve"> kopējās Latvijā uzstādītās elektriskās jaudas. </w:t>
      </w:r>
    </w:p>
    <w:p w14:paraId="7E09673D" w14:textId="7C6380F3" w:rsidR="00215745" w:rsidRPr="00DA262F" w:rsidRDefault="00DA262F" w:rsidP="009A5800">
      <w:pPr>
        <w:jc w:val="both"/>
        <w:rPr>
          <w:bCs/>
        </w:rPr>
      </w:pPr>
      <w:r w:rsidRPr="00DA4AD4">
        <w:rPr>
          <w:rFonts w:ascii="Calibri" w:hAnsi="Calibri" w:cs="Times New Roman"/>
          <w:szCs w:val="24"/>
        </w:rPr>
        <w:t xml:space="preserve">NETO sistēma paredz, ka mājsaimniecības, kas ražo elektroenerģiju savām vajadzībām un pārpalikumu nodod tīklā, var izmantot NETO uzskaites sistēmu, ar ko gada ietvaros var uzkrāt elektroenerģijas apjoma vienības un, ņemot elektroenerģiju no tīkla, norēķināties tikai par obligātā iepirkuma, sadales un pārvades komponentēm. </w:t>
      </w:r>
      <w:r>
        <w:t xml:space="preserve">2019.gada vidū </w:t>
      </w:r>
      <w:r w:rsidR="00215745" w:rsidRPr="00215745">
        <w:t xml:space="preserve">NETO sistēmu izmantoja </w:t>
      </w:r>
      <w:r w:rsidR="00215745" w:rsidRPr="00215745">
        <w:rPr>
          <w:bCs/>
        </w:rPr>
        <w:t>384 mājsaimniecību pašpatērētāji un to k</w:t>
      </w:r>
      <w:r w:rsidR="009A5800" w:rsidRPr="00215745">
        <w:rPr>
          <w:bCs/>
        </w:rPr>
        <w:t xml:space="preserve">opējā uzstādītā jauda bija 2,12 MW. </w:t>
      </w:r>
      <w:r w:rsidR="00215745">
        <w:rPr>
          <w:bCs/>
        </w:rPr>
        <w:t>Vienlaikus ir mā</w:t>
      </w:r>
      <w:r w:rsidR="002D468D">
        <w:rPr>
          <w:bCs/>
        </w:rPr>
        <w:t>j</w:t>
      </w:r>
      <w:r w:rsidR="00215745">
        <w:rPr>
          <w:bCs/>
        </w:rPr>
        <w:t>saimniecības</w:t>
      </w:r>
      <w:r w:rsidR="00AC4E65">
        <w:rPr>
          <w:bCs/>
        </w:rPr>
        <w:t xml:space="preserve"> un juridiskas pe</w:t>
      </w:r>
      <w:r w:rsidR="002D468D">
        <w:rPr>
          <w:bCs/>
        </w:rPr>
        <w:t>rsonas</w:t>
      </w:r>
      <w:r w:rsidR="00215745">
        <w:rPr>
          <w:bCs/>
        </w:rPr>
        <w:t>, kas uzstāda lielākas jaudas iekārtas</w:t>
      </w:r>
      <w:r>
        <w:rPr>
          <w:bCs/>
        </w:rPr>
        <w:t xml:space="preserve"> enerģijas ražošanai pašu vajadzībām,</w:t>
      </w:r>
      <w:r w:rsidR="00215745">
        <w:rPr>
          <w:bCs/>
        </w:rPr>
        <w:t xml:space="preserve"> </w:t>
      </w:r>
      <w:r w:rsidR="0000044C">
        <w:rPr>
          <w:bCs/>
        </w:rPr>
        <w:t>un</w:t>
      </w:r>
      <w:r w:rsidR="00215745">
        <w:rPr>
          <w:bCs/>
        </w:rPr>
        <w:t xml:space="preserve"> juridisk</w:t>
      </w:r>
      <w:r w:rsidR="006C3335">
        <w:rPr>
          <w:bCs/>
        </w:rPr>
        <w:t>ām</w:t>
      </w:r>
      <w:r w:rsidR="00215745">
        <w:rPr>
          <w:bCs/>
        </w:rPr>
        <w:t xml:space="preserve"> person</w:t>
      </w:r>
      <w:r w:rsidR="006C3335">
        <w:rPr>
          <w:bCs/>
        </w:rPr>
        <w:t>ām</w:t>
      </w:r>
      <w:r w:rsidR="00215745">
        <w:rPr>
          <w:bCs/>
        </w:rPr>
        <w:t xml:space="preserve"> pašlaik nav pieejami veicinoši instrumenti. </w:t>
      </w:r>
    </w:p>
    <w:p w14:paraId="0A78E069" w14:textId="207391D2" w:rsidR="00F235E8" w:rsidRPr="008C4899" w:rsidRDefault="00E44A65" w:rsidP="008C4899">
      <w:pPr>
        <w:jc w:val="both"/>
        <w:rPr>
          <w:bCs/>
        </w:rPr>
      </w:pPr>
      <w:r w:rsidRPr="008C4899">
        <w:rPr>
          <w:bCs/>
        </w:rPr>
        <w:t xml:space="preserve">Analizējot datus par izsniegtajām atļaujām jaunu ražošanas iekārtu ieviešanai, var secināt, ka </w:t>
      </w:r>
      <w:r w:rsidR="0000044C" w:rsidRPr="008C4899">
        <w:rPr>
          <w:bCs/>
        </w:rPr>
        <w:t xml:space="preserve">visblīvākais </w:t>
      </w:r>
      <w:r w:rsidRPr="008C4899">
        <w:rPr>
          <w:bCs/>
        </w:rPr>
        <w:t xml:space="preserve">esošo un potenciālo pašpatērētāju izvietojums ir Rīgā un Rīgas apkārtnē, kā arī tas ir koncentrēts valsts lielākajās pilsētās un to tuvumā – Ventspilī, Liepājā, Rēzeknē, Daugavpilī, kas saistāms ar pašpatērētāju maksātspēju. </w:t>
      </w:r>
    </w:p>
    <w:p w14:paraId="7E9E47AA" w14:textId="6250CFB9" w:rsidR="00A53F57" w:rsidRPr="00DA4AD4" w:rsidRDefault="00A53F57" w:rsidP="00A53F57">
      <w:pPr>
        <w:jc w:val="both"/>
      </w:pPr>
      <w:r w:rsidRPr="008C4899">
        <w:t>V</w:t>
      </w:r>
      <w:r w:rsidR="0000044C">
        <w:t>ienlaikus, v</w:t>
      </w:r>
      <w:r w:rsidRPr="008C4899">
        <w:t>eicinot elektroenerģijas pašpatērētāju skaita pieaugumu, jāņem vērā nepieciešamību</w:t>
      </w:r>
      <w:r>
        <w:t xml:space="preserve"> veicināt pašpatērētāju </w:t>
      </w:r>
      <w:r w:rsidR="008C4899">
        <w:t>pielāgošanos</w:t>
      </w:r>
      <w:r>
        <w:t xml:space="preserve"> elektroenerģijas tirg</w:t>
      </w:r>
      <w:r w:rsidR="008C4899">
        <w:t xml:space="preserve">us signāliem un </w:t>
      </w:r>
      <w:r>
        <w:t>nodrošin</w:t>
      </w:r>
      <w:r w:rsidR="008C4899">
        <w:t>ā</w:t>
      </w:r>
      <w:r>
        <w:t>t efektīvu energosistēmas darbību</w:t>
      </w:r>
      <w:r w:rsidR="008C4899">
        <w:t>.</w:t>
      </w:r>
    </w:p>
    <w:p w14:paraId="7009E800" w14:textId="77777777" w:rsidR="0008601C" w:rsidRDefault="0008601C" w:rsidP="002B0285">
      <w:pPr>
        <w:spacing w:before="120" w:after="120" w:line="240" w:lineRule="auto"/>
        <w:jc w:val="both"/>
        <w:rPr>
          <w:rFonts w:ascii="Calibri" w:hAnsi="Calibri" w:cs="Times New Roman"/>
          <w:szCs w:val="24"/>
          <w:u w:val="single"/>
        </w:rPr>
      </w:pPr>
    </w:p>
    <w:p w14:paraId="3020E69B" w14:textId="40563DA7" w:rsidR="00263930" w:rsidRPr="008C4899" w:rsidRDefault="00263930" w:rsidP="002B0285">
      <w:pPr>
        <w:spacing w:before="120" w:after="120" w:line="240" w:lineRule="auto"/>
        <w:jc w:val="both"/>
        <w:rPr>
          <w:rFonts w:ascii="Calibri" w:hAnsi="Calibri"/>
          <w:szCs w:val="24"/>
          <w:u w:val="single"/>
        </w:rPr>
      </w:pPr>
      <w:r w:rsidRPr="008C4899">
        <w:rPr>
          <w:rFonts w:ascii="Calibri" w:hAnsi="Calibri"/>
          <w:szCs w:val="24"/>
          <w:u w:val="single"/>
        </w:rPr>
        <w:t xml:space="preserve">2) </w:t>
      </w:r>
      <w:r w:rsidR="002D28EC" w:rsidRPr="002D28EC">
        <w:rPr>
          <w:rFonts w:ascii="Calibri" w:hAnsi="Calibri"/>
          <w:b/>
          <w:bCs/>
          <w:szCs w:val="24"/>
          <w:u w:val="single"/>
        </w:rPr>
        <w:t>augstas sākotnējās izmaksas</w:t>
      </w:r>
      <w:r w:rsidR="002D28EC">
        <w:rPr>
          <w:rFonts w:ascii="Calibri" w:hAnsi="Calibri"/>
          <w:szCs w:val="24"/>
          <w:u w:val="single"/>
        </w:rPr>
        <w:t xml:space="preserve"> un </w:t>
      </w:r>
      <w:r w:rsidRPr="0000044C">
        <w:rPr>
          <w:rFonts w:ascii="Calibri" w:hAnsi="Calibri"/>
          <w:b/>
          <w:bCs/>
          <w:szCs w:val="24"/>
          <w:u w:val="single"/>
        </w:rPr>
        <w:t>ilgs atmaksāšanās periods</w:t>
      </w:r>
      <w:r w:rsidR="00DA4AD4" w:rsidRPr="008C4899">
        <w:rPr>
          <w:rFonts w:ascii="Calibri" w:hAnsi="Calibri"/>
          <w:szCs w:val="24"/>
          <w:u w:val="single"/>
        </w:rPr>
        <w:t>,</w:t>
      </w:r>
      <w:r w:rsidRPr="008C4899">
        <w:rPr>
          <w:rFonts w:ascii="Calibri" w:hAnsi="Calibri"/>
          <w:szCs w:val="24"/>
          <w:u w:val="single"/>
        </w:rPr>
        <w:t xml:space="preserve"> ražojot enerģiju pašpatēriņam</w:t>
      </w:r>
    </w:p>
    <w:p w14:paraId="77A1C04B" w14:textId="77777777" w:rsidR="00E62F2F" w:rsidRDefault="00E44A65" w:rsidP="00E44A65">
      <w:pPr>
        <w:jc w:val="both"/>
      </w:pPr>
      <w:r w:rsidRPr="008C4899">
        <w:t>Pašpatēriņam piemērotu enerģijas ražotāju iekārtu izmaksas pēdējos gados ir samazinājušās un kļuvušas patērētājiem pieejamākas. Tāpat attīstās elektroenerģijas tirgotāju piedāvājumi, kas ietver saules paneļu uzstādīšanu un nosacījumus norēķiniem par tīklā nodoto elektroenerģiju, kas kopumā liecina par iedzīvotāju interesi ražot elektroenerģiju pašiem.</w:t>
      </w:r>
    </w:p>
    <w:p w14:paraId="016632D2" w14:textId="22025D0E" w:rsidR="008C4899" w:rsidRDefault="008C4899" w:rsidP="00E44A65">
      <w:pPr>
        <w:jc w:val="both"/>
      </w:pPr>
      <w:r>
        <w:t>Tomēr, ņemot vērā iekārtu izmaksas attiecībā pret kopējo elektroenerģijas cenu</w:t>
      </w:r>
      <w:r w:rsidR="00E62F2F">
        <w:t xml:space="preserve">, iekārtu atmaksāšanas periods vēl arvien ir salīdzinoši ilgs. Rīgas Tehniskās universitātes 2017.gada pētījumā 5,5 </w:t>
      </w:r>
      <w:proofErr w:type="spellStart"/>
      <w:r w:rsidR="00E62F2F">
        <w:t>kW</w:t>
      </w:r>
      <w:proofErr w:type="spellEnd"/>
      <w:r w:rsidR="00E62F2F">
        <w:t xml:space="preserve"> saules panelim mājsaimniecībā, kas izmanto NETO sistēmu,</w:t>
      </w:r>
      <w:r w:rsidR="00DA262F">
        <w:t xml:space="preserve"> atmaksāšanās periods</w:t>
      </w:r>
      <w:r w:rsidR="00E62F2F">
        <w:t xml:space="preserve"> tika novērtēts pat līdz 26 gadiem. Tomēr to iespējams samazināt, </w:t>
      </w:r>
      <w:r w:rsidR="0000044C">
        <w:t xml:space="preserve">informējot </w:t>
      </w:r>
      <w:proofErr w:type="spellStart"/>
      <w:r w:rsidR="0000044C">
        <w:t>pašpatērētājus</w:t>
      </w:r>
      <w:proofErr w:type="spellEnd"/>
      <w:r w:rsidR="0000044C">
        <w:t xml:space="preserve"> par optimālām uzstādāmajām jaudām, </w:t>
      </w:r>
      <w:r w:rsidR="00E62F2F">
        <w:t xml:space="preserve">izstrādājot alternatīvus risinājumus pašreizējai NETO sistēmai, kā arī OIK izmaksu mazināšanai pašpatērētājiem. </w:t>
      </w:r>
    </w:p>
    <w:p w14:paraId="07B43D64" w14:textId="1766ED72" w:rsidR="002D28EC" w:rsidRDefault="002D28EC" w:rsidP="00E44A65">
      <w:pPr>
        <w:jc w:val="both"/>
      </w:pPr>
      <w:r>
        <w:t xml:space="preserve">Arī </w:t>
      </w:r>
      <w:r w:rsidR="001966DB">
        <w:t xml:space="preserve">ne-emisiju </w:t>
      </w:r>
      <w:r w:rsidR="0088330D">
        <w:t>risinājumu ieviešan</w:t>
      </w:r>
      <w:r>
        <w:t>ai</w:t>
      </w:r>
      <w:r w:rsidR="0088330D">
        <w:t xml:space="preserve"> </w:t>
      </w:r>
      <w:r w:rsidR="001966DB">
        <w:t xml:space="preserve">siltumenerģijas </w:t>
      </w:r>
      <w:r w:rsidR="0088330D">
        <w:t xml:space="preserve">ražošanā </w:t>
      </w:r>
      <w:r>
        <w:t xml:space="preserve">nav sagaidāms būtisks pieaugums bez papildu finansiāliem stimuliem. </w:t>
      </w:r>
    </w:p>
    <w:p w14:paraId="0E4AF78B" w14:textId="77F8365B" w:rsidR="002B0285" w:rsidRPr="00DA262F" w:rsidRDefault="00D0295C" w:rsidP="00DA262F">
      <w:pPr>
        <w:jc w:val="both"/>
      </w:pPr>
      <w:r>
        <w:t>Tāpat pašpatērētājiem jābūt iespējai darboties kopīgi vai kopienu ietvaros, tādējādi arī veicinot enerģijas izmaksu efektīvu ražošanu.</w:t>
      </w:r>
    </w:p>
    <w:p w14:paraId="2BDF16B0" w14:textId="77777777" w:rsidR="00E94C91" w:rsidRPr="00E2491C" w:rsidRDefault="00E94C91" w:rsidP="00E94C91">
      <w:pPr>
        <w:spacing w:after="0" w:line="240" w:lineRule="auto"/>
        <w:jc w:val="both"/>
        <w:rPr>
          <w:rFonts w:ascii="Calibri" w:hAnsi="Calibri" w:cs="Times New Roman"/>
          <w:i/>
          <w:sz w:val="4"/>
          <w:szCs w:val="4"/>
        </w:rPr>
      </w:pPr>
    </w:p>
    <w:p w14:paraId="28761C34" w14:textId="198CAFA5" w:rsidR="00E94C91" w:rsidRPr="00E2491C" w:rsidRDefault="00E94C91" w:rsidP="00906FB8">
      <w:pPr>
        <w:shd w:val="clear" w:color="auto" w:fill="E7E6E6" w:themeFill="background2"/>
        <w:spacing w:before="120" w:after="120" w:line="240" w:lineRule="auto"/>
        <w:rPr>
          <w:rFonts w:ascii="Calibri" w:hAnsi="Calibri" w:cs="Times New Roman"/>
          <w:b/>
          <w:i/>
          <w:iCs/>
          <w:szCs w:val="24"/>
        </w:rPr>
      </w:pPr>
      <w:r w:rsidRPr="00E2491C">
        <w:rPr>
          <w:rFonts w:ascii="Calibri" w:hAnsi="Calibri" w:cs="Times New Roman"/>
          <w:b/>
          <w:i/>
          <w:iCs/>
          <w:sz w:val="28"/>
          <w:szCs w:val="28"/>
        </w:rPr>
        <w:lastRenderedPageBreak/>
        <w:t xml:space="preserve">Galvenais rīcības virziens </w:t>
      </w:r>
    </w:p>
    <w:p w14:paraId="5D150B5B" w14:textId="2CFDBAE1" w:rsidR="00E94C91" w:rsidRPr="00E2491C" w:rsidRDefault="00A25247" w:rsidP="00906FB8">
      <w:pPr>
        <w:shd w:val="clear" w:color="auto" w:fill="E7E6E6" w:themeFill="background2"/>
        <w:spacing w:before="120" w:after="120" w:line="240" w:lineRule="auto"/>
        <w:jc w:val="both"/>
        <w:rPr>
          <w:rFonts w:ascii="Calibri" w:hAnsi="Calibri" w:cs="Times New Roman"/>
          <w:b/>
          <w:szCs w:val="24"/>
          <w:u w:val="single"/>
        </w:rPr>
      </w:pPr>
      <w:bookmarkStart w:id="1" w:name="_Hlk21593205"/>
      <w:r>
        <w:rPr>
          <w:rFonts w:cstheme="minorHAnsi"/>
          <w:b/>
        </w:rPr>
        <w:t>Ekonomiski pamatotas e</w:t>
      </w:r>
      <w:r w:rsidRPr="005E0800">
        <w:rPr>
          <w:rFonts w:cstheme="minorHAnsi"/>
          <w:b/>
        </w:rPr>
        <w:t xml:space="preserve">nerģijas </w:t>
      </w:r>
      <w:bookmarkEnd w:id="1"/>
      <w:proofErr w:type="spellStart"/>
      <w:r w:rsidRPr="005E0800">
        <w:rPr>
          <w:rFonts w:cstheme="minorHAnsi"/>
          <w:b/>
        </w:rPr>
        <w:t>pašražošanas</w:t>
      </w:r>
      <w:proofErr w:type="spellEnd"/>
      <w:r>
        <w:rPr>
          <w:rFonts w:cstheme="minorHAnsi"/>
          <w:b/>
        </w:rPr>
        <w:t xml:space="preserve">, </w:t>
      </w:r>
      <w:r w:rsidRPr="005E0800">
        <w:rPr>
          <w:rFonts w:cstheme="minorHAnsi"/>
          <w:b/>
        </w:rPr>
        <w:t xml:space="preserve">pašpatēriņa </w:t>
      </w:r>
      <w:r>
        <w:rPr>
          <w:rFonts w:cstheme="minorHAnsi"/>
          <w:b/>
        </w:rPr>
        <w:t xml:space="preserve">un atjaunojamās enerģijas kopienu </w:t>
      </w:r>
      <w:r w:rsidRPr="005E0800">
        <w:rPr>
          <w:rFonts w:cstheme="minorHAnsi"/>
          <w:b/>
        </w:rPr>
        <w:t>veicināšana</w:t>
      </w:r>
      <w:r w:rsidRPr="00E2491C">
        <w:rPr>
          <w:rFonts w:ascii="Calibri" w:hAnsi="Calibri" w:cs="Times New Roman"/>
          <w:b/>
          <w:i/>
          <w:iCs/>
          <w:szCs w:val="24"/>
        </w:rPr>
        <w:t xml:space="preserve"> </w:t>
      </w:r>
      <w:r w:rsidR="00E2491C" w:rsidRPr="00E2491C">
        <w:rPr>
          <w:rFonts w:ascii="Calibri" w:hAnsi="Calibri" w:cs="Times New Roman"/>
          <w:b/>
          <w:i/>
          <w:iCs/>
          <w:szCs w:val="24"/>
        </w:rPr>
        <w:t>(</w:t>
      </w:r>
      <w:r w:rsidR="002B0285">
        <w:rPr>
          <w:rFonts w:ascii="Calibri" w:hAnsi="Calibri" w:cs="Times New Roman"/>
          <w:b/>
          <w:i/>
          <w:iCs/>
          <w:szCs w:val="24"/>
        </w:rPr>
        <w:t>4</w:t>
      </w:r>
      <w:r w:rsidR="00E2491C" w:rsidRPr="00E2491C">
        <w:rPr>
          <w:rFonts w:ascii="Calibri" w:hAnsi="Calibri" w:cs="Times New Roman"/>
          <w:b/>
          <w:i/>
          <w:iCs/>
          <w:szCs w:val="24"/>
        </w:rPr>
        <w:t>. rīcības virziens)</w:t>
      </w:r>
      <w:bookmarkStart w:id="2" w:name="_GoBack"/>
      <w:bookmarkEnd w:id="2"/>
    </w:p>
    <w:p w14:paraId="0B617FDF" w14:textId="44D3F31D" w:rsidR="00E94C91" w:rsidRDefault="00E94C91" w:rsidP="00E2491C">
      <w:pPr>
        <w:spacing w:before="120" w:after="120" w:line="240" w:lineRule="auto"/>
        <w:jc w:val="both"/>
        <w:rPr>
          <w:rFonts w:ascii="Calibri" w:hAnsi="Calibri" w:cs="Times New Roman"/>
          <w:sz w:val="8"/>
          <w:szCs w:val="8"/>
          <w:u w:val="single"/>
        </w:rPr>
      </w:pPr>
    </w:p>
    <w:p w14:paraId="122276E8" w14:textId="77777777" w:rsidR="00906FB8" w:rsidRPr="00E2491C" w:rsidRDefault="00906FB8" w:rsidP="00E2491C">
      <w:pPr>
        <w:spacing w:before="120" w:after="120" w:line="240" w:lineRule="auto"/>
        <w:jc w:val="both"/>
        <w:rPr>
          <w:rFonts w:ascii="Calibri" w:hAnsi="Calibri" w:cs="Times New Roman"/>
          <w:sz w:val="8"/>
          <w:szCs w:val="8"/>
          <w:u w:val="single"/>
        </w:rPr>
      </w:pPr>
    </w:p>
    <w:p w14:paraId="36735160" w14:textId="77777777" w:rsidR="00E94C91" w:rsidRPr="00906FB8" w:rsidRDefault="00E94C91" w:rsidP="00906FB8">
      <w:pPr>
        <w:spacing w:before="120" w:after="120" w:line="240" w:lineRule="auto"/>
        <w:jc w:val="both"/>
        <w:rPr>
          <w:rFonts w:ascii="Calibri" w:hAnsi="Calibri" w:cs="Times New Roman"/>
          <w:b/>
          <w:i/>
          <w:sz w:val="28"/>
          <w:szCs w:val="28"/>
          <w:u w:val="single"/>
        </w:rPr>
      </w:pPr>
      <w:r w:rsidRPr="00906FB8">
        <w:rPr>
          <w:rFonts w:ascii="Calibri" w:hAnsi="Calibri" w:cs="Times New Roman"/>
          <w:b/>
          <w:i/>
          <w:sz w:val="28"/>
          <w:szCs w:val="28"/>
          <w:u w:val="single"/>
        </w:rPr>
        <w:t>Galvenās rīcības un pasākumi</w:t>
      </w:r>
    </w:p>
    <w:p w14:paraId="1123F689" w14:textId="541DD140" w:rsidR="001966DB" w:rsidRPr="00263930" w:rsidRDefault="001966DB" w:rsidP="001966DB">
      <w:pPr>
        <w:spacing w:before="120" w:after="120" w:line="240" w:lineRule="auto"/>
        <w:jc w:val="both"/>
        <w:rPr>
          <w:rFonts w:ascii="Calibri" w:hAnsi="Calibri" w:cs="Times New Roman"/>
          <w:szCs w:val="24"/>
          <w:u w:val="single"/>
        </w:rPr>
      </w:pPr>
      <w:r>
        <w:rPr>
          <w:rFonts w:ascii="Calibri" w:hAnsi="Calibri" w:cs="Times New Roman"/>
          <w:b/>
          <w:bCs/>
          <w:szCs w:val="24"/>
          <w:u w:val="single"/>
        </w:rPr>
        <w:t xml:space="preserve">1) </w:t>
      </w:r>
      <w:r w:rsidRPr="00263930">
        <w:rPr>
          <w:rFonts w:ascii="Calibri" w:hAnsi="Calibri" w:cs="Times New Roman"/>
          <w:b/>
          <w:bCs/>
          <w:szCs w:val="24"/>
          <w:u w:val="single"/>
        </w:rPr>
        <w:t>paplašināt personu loku</w:t>
      </w:r>
      <w:r w:rsidRPr="00263930">
        <w:rPr>
          <w:rFonts w:ascii="Calibri" w:hAnsi="Calibri" w:cs="Times New Roman"/>
          <w:szCs w:val="24"/>
          <w:u w:val="single"/>
        </w:rPr>
        <w:t xml:space="preserve">, kas </w:t>
      </w:r>
      <w:r>
        <w:rPr>
          <w:rFonts w:ascii="Calibri" w:hAnsi="Calibri" w:cs="Times New Roman"/>
          <w:szCs w:val="24"/>
          <w:u w:val="single"/>
        </w:rPr>
        <w:t xml:space="preserve">iesaistās elektroenerģijas </w:t>
      </w:r>
      <w:r w:rsidRPr="0018780C">
        <w:rPr>
          <w:rFonts w:ascii="Calibri" w:hAnsi="Calibri" w:cs="Times New Roman"/>
          <w:szCs w:val="24"/>
          <w:u w:val="single"/>
        </w:rPr>
        <w:t xml:space="preserve">ražošanā </w:t>
      </w:r>
      <w:r w:rsidR="00157D42" w:rsidRPr="0018780C">
        <w:rPr>
          <w:rFonts w:ascii="Calibri" w:hAnsi="Calibri" w:cs="Times New Roman"/>
          <w:szCs w:val="24"/>
          <w:u w:val="single"/>
        </w:rPr>
        <w:t xml:space="preserve"> (1.</w:t>
      </w:r>
      <w:r w:rsidR="00157D42">
        <w:rPr>
          <w:rFonts w:ascii="Calibri" w:hAnsi="Calibri" w:cs="Times New Roman"/>
          <w:szCs w:val="24"/>
          <w:u w:val="single"/>
        </w:rPr>
        <w:t>3., 4.1., 4.2., 4.3., 4.4., H.7.)</w:t>
      </w:r>
    </w:p>
    <w:p w14:paraId="2BB5ADB4" w14:textId="5A2018A0" w:rsidR="001966DB" w:rsidRPr="00195A67" w:rsidRDefault="001966DB" w:rsidP="001966DB">
      <w:pPr>
        <w:spacing w:after="120" w:line="240" w:lineRule="auto"/>
        <w:jc w:val="both"/>
        <w:rPr>
          <w:rFonts w:ascii="Calibri" w:hAnsi="Calibri" w:cs="Times New Roman"/>
          <w:szCs w:val="24"/>
        </w:rPr>
      </w:pPr>
      <w:r>
        <w:rPr>
          <w:rFonts w:ascii="Calibri" w:hAnsi="Calibri" w:cs="Times New Roman"/>
          <w:szCs w:val="24"/>
        </w:rPr>
        <w:t xml:space="preserve">Lai </w:t>
      </w:r>
      <w:r w:rsidRPr="00690076">
        <w:rPr>
          <w:rFonts w:ascii="Calibri" w:hAnsi="Calibri" w:cs="Times New Roman"/>
          <w:szCs w:val="24"/>
        </w:rPr>
        <w:t>paplašināt personu loku, kas iesaistās elektroenerģijas ražošanā</w:t>
      </w:r>
      <w:r>
        <w:rPr>
          <w:rFonts w:ascii="Calibri" w:hAnsi="Calibri" w:cs="Times New Roman"/>
          <w:szCs w:val="24"/>
        </w:rPr>
        <w:t xml:space="preserve">, būtiski ir nodrošināt atbilstošu normatīvā regulējuma ietvaru, kas šādas iniciatīvas veicina. Tā, piemēram, izvērtējams, vai </w:t>
      </w:r>
      <w:r w:rsidR="00DA262F">
        <w:rPr>
          <w:rFonts w:ascii="Calibri" w:hAnsi="Calibri" w:cs="Times New Roman"/>
          <w:szCs w:val="24"/>
        </w:rPr>
        <w:t>NETO</w:t>
      </w:r>
      <w:r>
        <w:rPr>
          <w:rFonts w:ascii="Calibri" w:hAnsi="Calibri" w:cs="Times New Roman"/>
          <w:szCs w:val="24"/>
        </w:rPr>
        <w:t xml:space="preserve"> sistēmu varētu piemērot arī juridiskām personām. Tāpat atbilstoši ES regulējumam izstrādājami nosacījumi, lai atvieglotu procedūras pašpatērētājiem darbojoties kopīgi (piem., daudzdzīvokļu mājas iedzīvotāji), kā arī nepieciešams izstrādāt regulējumu atjaunojamās enerģijas (AE) kopienām. </w:t>
      </w:r>
      <w:r>
        <w:rPr>
          <w:rFonts w:cstheme="minorHAnsi"/>
          <w:color w:val="000000"/>
          <w:shd w:val="clear" w:color="auto" w:fill="FFFFFF"/>
        </w:rPr>
        <w:t>Sekojoši, i</w:t>
      </w:r>
      <w:r w:rsidRPr="00195A67">
        <w:rPr>
          <w:rFonts w:cstheme="minorHAnsi"/>
          <w:color w:val="000000"/>
          <w:shd w:val="clear" w:color="auto" w:fill="FFFFFF"/>
        </w:rPr>
        <w:t>zstrādā</w:t>
      </w:r>
      <w:r>
        <w:rPr>
          <w:rFonts w:cstheme="minorHAnsi"/>
          <w:color w:val="000000"/>
          <w:shd w:val="clear" w:color="auto" w:fill="FFFFFF"/>
        </w:rPr>
        <w:t>jot dažādus atbalsta pasākumus, izvērtējams un kur atbilstoši, starp atbalsta saņēmējiem iekļaujamas arī</w:t>
      </w:r>
      <w:r w:rsidRPr="00195A67">
        <w:rPr>
          <w:rFonts w:cstheme="minorHAnsi"/>
          <w:color w:val="000000"/>
          <w:shd w:val="clear" w:color="auto" w:fill="FFFFFF"/>
        </w:rPr>
        <w:t xml:space="preserve"> AE kopien</w:t>
      </w:r>
      <w:r>
        <w:rPr>
          <w:rFonts w:cstheme="minorHAnsi"/>
          <w:color w:val="000000"/>
          <w:shd w:val="clear" w:color="auto" w:fill="FFFFFF"/>
        </w:rPr>
        <w:t>as.</w:t>
      </w:r>
    </w:p>
    <w:p w14:paraId="73D59440" w14:textId="591B64A7" w:rsidR="001966DB" w:rsidRDefault="001966DB" w:rsidP="001966DB">
      <w:pPr>
        <w:spacing w:after="120" w:line="240" w:lineRule="auto"/>
        <w:jc w:val="both"/>
        <w:rPr>
          <w:rFonts w:cs="Times New Roman"/>
          <w:szCs w:val="24"/>
        </w:rPr>
      </w:pPr>
      <w:r>
        <w:rPr>
          <w:rFonts w:ascii="Calibri" w:hAnsi="Calibri" w:cs="Times New Roman"/>
          <w:szCs w:val="24"/>
        </w:rPr>
        <w:t xml:space="preserve">Tāpat būtu jāveicina enerģijas ražošana savām vajadzībām publiskajā sektorā. Viens no identificētajiem šķēršļiem lielākai pašvaldību iesaistei elektroenerģijas </w:t>
      </w:r>
      <w:proofErr w:type="spellStart"/>
      <w:r>
        <w:rPr>
          <w:rFonts w:ascii="Calibri" w:hAnsi="Calibri" w:cs="Times New Roman"/>
          <w:szCs w:val="24"/>
        </w:rPr>
        <w:t>pašražošanā</w:t>
      </w:r>
      <w:proofErr w:type="spellEnd"/>
      <w:r w:rsidR="00C63654">
        <w:rPr>
          <w:rFonts w:ascii="Calibri" w:hAnsi="Calibri" w:cs="Times New Roman"/>
          <w:szCs w:val="24"/>
        </w:rPr>
        <w:t xml:space="preserve"> </w:t>
      </w:r>
      <w:r>
        <w:rPr>
          <w:rFonts w:ascii="Calibri" w:hAnsi="Calibri" w:cs="Times New Roman"/>
          <w:szCs w:val="24"/>
        </w:rPr>
        <w:t xml:space="preserve">ir pieredzes trūkums publisko iepirkumu organizēšanai šādu tehnoloģiju un pakalpojumu iegādei, </w:t>
      </w:r>
      <w:r w:rsidRPr="001C5ABB">
        <w:rPr>
          <w:rFonts w:cs="Times New Roman"/>
          <w:szCs w:val="24"/>
        </w:rPr>
        <w:t>vienlaikus elektroenerģijas ražošanas iekārtu piegādātā</w:t>
      </w:r>
      <w:r>
        <w:rPr>
          <w:rFonts w:cs="Times New Roman"/>
          <w:szCs w:val="24"/>
        </w:rPr>
        <w:t xml:space="preserve">. </w:t>
      </w:r>
      <w:r w:rsidRPr="001C5ABB">
        <w:rPr>
          <w:rFonts w:cs="Times New Roman"/>
          <w:szCs w:val="24"/>
        </w:rPr>
        <w:t>Tāpēc lietderīgi būtu izstrādāt vadlīnijas publiskajiem iepirkumiem elektroenerģijas ražošanas iekārtu uzstādīšanai un izvērtēt nepieciešamību izstrādāt</w:t>
      </w:r>
      <w:r>
        <w:rPr>
          <w:rFonts w:cs="Times New Roman"/>
          <w:szCs w:val="24"/>
        </w:rPr>
        <w:t xml:space="preserve"> atbilstošus</w:t>
      </w:r>
      <w:r w:rsidRPr="001C5ABB">
        <w:rPr>
          <w:rFonts w:cs="Times New Roman"/>
          <w:szCs w:val="24"/>
        </w:rPr>
        <w:t xml:space="preserve"> Zaļā publiskā iepirkuma nosacījumus</w:t>
      </w:r>
      <w:r>
        <w:rPr>
          <w:rFonts w:cs="Times New Roman"/>
          <w:szCs w:val="24"/>
        </w:rPr>
        <w:t>.</w:t>
      </w:r>
    </w:p>
    <w:p w14:paraId="63A54E7D" w14:textId="77777777" w:rsidR="001966DB" w:rsidRPr="00195A67" w:rsidRDefault="001966DB" w:rsidP="001966DB">
      <w:pPr>
        <w:spacing w:after="120" w:line="240" w:lineRule="auto"/>
        <w:jc w:val="both"/>
        <w:rPr>
          <w:rFonts w:ascii="Calibri" w:hAnsi="Calibri" w:cs="Times New Roman"/>
          <w:szCs w:val="24"/>
        </w:rPr>
      </w:pPr>
      <w:r>
        <w:rPr>
          <w:rFonts w:cs="Times New Roman"/>
          <w:szCs w:val="24"/>
        </w:rPr>
        <w:t xml:space="preserve">Svarīgi arī veicināt </w:t>
      </w:r>
      <w:r w:rsidRPr="00195A67">
        <w:rPr>
          <w:rFonts w:cs="Times New Roman"/>
          <w:szCs w:val="24"/>
        </w:rPr>
        <w:t xml:space="preserve">atjaunojamās enerģijas ražošanu savām vajadzībām lauku reģionos. Tāpēc primāri būtu jāveicina </w:t>
      </w:r>
      <w:r w:rsidRPr="00195A67">
        <w:rPr>
          <w:rFonts w:ascii="Calibri" w:hAnsi="Calibri" w:cs="Times New Roman"/>
          <w:szCs w:val="24"/>
        </w:rPr>
        <w:t>finansējuma piesaiste ne-emisiju tehnoloģiju, tostarp akumulācijas iekārtu, uzstādīšanai lauku saimniecībās, tādējādi arī sniedzot lauksaimniekiem iespējas samazināt ar enerģijas izmaksām saistītos izdevumus.</w:t>
      </w:r>
    </w:p>
    <w:p w14:paraId="0B09C700" w14:textId="77777777" w:rsidR="001966DB" w:rsidRDefault="001966DB" w:rsidP="001C5ABB">
      <w:pPr>
        <w:spacing w:after="120" w:line="240" w:lineRule="auto"/>
        <w:jc w:val="both"/>
        <w:rPr>
          <w:rFonts w:ascii="Calibri" w:hAnsi="Calibri" w:cs="Times New Roman"/>
          <w:szCs w:val="24"/>
          <w:u w:val="single"/>
        </w:rPr>
      </w:pPr>
    </w:p>
    <w:p w14:paraId="6A9369E3" w14:textId="5909BE91" w:rsidR="00263930" w:rsidRPr="00263930" w:rsidRDefault="001966DB" w:rsidP="001C5ABB">
      <w:pPr>
        <w:spacing w:after="120" w:line="240" w:lineRule="auto"/>
        <w:jc w:val="both"/>
        <w:rPr>
          <w:rFonts w:ascii="Calibri" w:hAnsi="Calibri" w:cs="Times New Roman"/>
          <w:szCs w:val="24"/>
          <w:u w:val="single"/>
        </w:rPr>
      </w:pPr>
      <w:r>
        <w:rPr>
          <w:rFonts w:ascii="Calibri" w:hAnsi="Calibri" w:cs="Times New Roman"/>
          <w:szCs w:val="24"/>
          <w:u w:val="single"/>
        </w:rPr>
        <w:t>2</w:t>
      </w:r>
      <w:r w:rsidR="001C5ABB">
        <w:rPr>
          <w:rFonts w:ascii="Calibri" w:hAnsi="Calibri" w:cs="Times New Roman"/>
          <w:szCs w:val="24"/>
          <w:u w:val="single"/>
        </w:rPr>
        <w:t xml:space="preserve">) </w:t>
      </w:r>
      <w:r w:rsidR="00263930" w:rsidRPr="00263930">
        <w:rPr>
          <w:rFonts w:ascii="Calibri" w:hAnsi="Calibri" w:cs="Times New Roman"/>
          <w:szCs w:val="24"/>
          <w:u w:val="single"/>
        </w:rPr>
        <w:t xml:space="preserve">radīt </w:t>
      </w:r>
      <w:r w:rsidR="00263930" w:rsidRPr="00263930">
        <w:rPr>
          <w:rFonts w:ascii="Calibri" w:hAnsi="Calibri" w:cs="Times New Roman"/>
          <w:b/>
          <w:bCs/>
          <w:szCs w:val="24"/>
          <w:u w:val="single"/>
        </w:rPr>
        <w:t xml:space="preserve">labvēlīgākus nosacījumus </w:t>
      </w:r>
      <w:r w:rsidR="001C5ABB" w:rsidRPr="001C5ABB">
        <w:rPr>
          <w:rFonts w:ascii="Calibri" w:hAnsi="Calibri" w:cs="Times New Roman"/>
          <w:szCs w:val="24"/>
          <w:u w:val="single"/>
        </w:rPr>
        <w:t>e</w:t>
      </w:r>
      <w:r w:rsidR="00222D44">
        <w:rPr>
          <w:rFonts w:ascii="Calibri" w:hAnsi="Calibri" w:cs="Times New Roman"/>
          <w:szCs w:val="24"/>
          <w:u w:val="single"/>
        </w:rPr>
        <w:t>ne</w:t>
      </w:r>
      <w:r w:rsidR="001C5ABB" w:rsidRPr="001C5ABB">
        <w:rPr>
          <w:rFonts w:ascii="Calibri" w:hAnsi="Calibri" w:cs="Times New Roman"/>
          <w:szCs w:val="24"/>
          <w:u w:val="single"/>
        </w:rPr>
        <w:t>rģijas ražošanai savām vajadzībām</w:t>
      </w:r>
      <w:r w:rsidR="003868E8">
        <w:rPr>
          <w:rFonts w:ascii="Calibri" w:hAnsi="Calibri" w:cs="Times New Roman"/>
          <w:szCs w:val="24"/>
          <w:u w:val="single"/>
        </w:rPr>
        <w:t xml:space="preserve"> (</w:t>
      </w:r>
      <w:r w:rsidR="00157D42">
        <w:rPr>
          <w:rFonts w:ascii="Calibri" w:hAnsi="Calibri" w:cs="Times New Roman"/>
          <w:szCs w:val="24"/>
          <w:u w:val="single"/>
        </w:rPr>
        <w:t xml:space="preserve">1.2., 1.3., 1.5., 2.3., </w:t>
      </w:r>
      <w:r w:rsidR="002F044B">
        <w:rPr>
          <w:rFonts w:ascii="Calibri" w:hAnsi="Calibri" w:cs="Times New Roman"/>
          <w:szCs w:val="24"/>
          <w:u w:val="single"/>
        </w:rPr>
        <w:t>4.1., 4.2.,</w:t>
      </w:r>
      <w:r w:rsidR="00157D42">
        <w:rPr>
          <w:rFonts w:ascii="Calibri" w:hAnsi="Calibri" w:cs="Times New Roman"/>
          <w:szCs w:val="24"/>
          <w:u w:val="single"/>
        </w:rPr>
        <w:t xml:space="preserve"> </w:t>
      </w:r>
      <w:r w:rsidR="003868E8">
        <w:rPr>
          <w:rFonts w:ascii="Calibri" w:hAnsi="Calibri" w:cs="Times New Roman"/>
          <w:szCs w:val="24"/>
          <w:u w:val="single"/>
        </w:rPr>
        <w:t>11.1.pasākums</w:t>
      </w:r>
    </w:p>
    <w:p w14:paraId="2644FE14" w14:textId="3D58B253" w:rsidR="00195A67" w:rsidRDefault="0076109A" w:rsidP="00D172FB">
      <w:pPr>
        <w:spacing w:after="120" w:line="240" w:lineRule="auto"/>
        <w:jc w:val="both"/>
        <w:rPr>
          <w:rFonts w:ascii="Calibri" w:hAnsi="Calibri" w:cs="Times New Roman"/>
          <w:szCs w:val="24"/>
        </w:rPr>
      </w:pPr>
      <w:r>
        <w:rPr>
          <w:rFonts w:ascii="Calibri" w:hAnsi="Calibri" w:cs="Times New Roman"/>
          <w:szCs w:val="24"/>
        </w:rPr>
        <w:t>L</w:t>
      </w:r>
      <w:r w:rsidR="001C5ABB" w:rsidRPr="001C5ABB">
        <w:rPr>
          <w:rFonts w:ascii="Calibri" w:hAnsi="Calibri" w:cs="Times New Roman"/>
          <w:szCs w:val="24"/>
        </w:rPr>
        <w:t>ai veicinātu</w:t>
      </w:r>
      <w:r>
        <w:rPr>
          <w:rFonts w:ascii="Calibri" w:hAnsi="Calibri" w:cs="Times New Roman"/>
          <w:szCs w:val="24"/>
        </w:rPr>
        <w:t xml:space="preserve"> iedzīvotāju</w:t>
      </w:r>
      <w:r w:rsidR="001C5ABB" w:rsidRPr="001C5ABB">
        <w:rPr>
          <w:rFonts w:ascii="Calibri" w:hAnsi="Calibri" w:cs="Times New Roman"/>
          <w:szCs w:val="24"/>
        </w:rPr>
        <w:t xml:space="preserve"> interesi par elektroenerģijas ražošanu savām vajadzībām, </w:t>
      </w:r>
      <w:r>
        <w:rPr>
          <w:rFonts w:ascii="Calibri" w:hAnsi="Calibri" w:cs="Times New Roman"/>
          <w:szCs w:val="24"/>
        </w:rPr>
        <w:t xml:space="preserve">esošo NETO </w:t>
      </w:r>
      <w:r w:rsidR="001C5ABB" w:rsidRPr="001C5ABB">
        <w:rPr>
          <w:rFonts w:ascii="Calibri" w:hAnsi="Calibri" w:cs="Times New Roman"/>
          <w:szCs w:val="24"/>
        </w:rPr>
        <w:t>sistēmu iespējams pilnveidot.</w:t>
      </w:r>
      <w:r w:rsidR="001C5ABB">
        <w:rPr>
          <w:rFonts w:ascii="Calibri" w:hAnsi="Calibri" w:cs="Times New Roman"/>
          <w:szCs w:val="24"/>
        </w:rPr>
        <w:t xml:space="preserve"> </w:t>
      </w:r>
    </w:p>
    <w:p w14:paraId="18E0183F" w14:textId="21D2FFF4" w:rsidR="001966DB" w:rsidRPr="00195A67" w:rsidRDefault="001966DB" w:rsidP="001966DB">
      <w:pPr>
        <w:spacing w:after="120" w:line="240" w:lineRule="auto"/>
        <w:jc w:val="both"/>
        <w:rPr>
          <w:rFonts w:ascii="Calibri" w:hAnsi="Calibri" w:cs="Times New Roman"/>
          <w:szCs w:val="24"/>
        </w:rPr>
      </w:pPr>
      <w:r>
        <w:rPr>
          <w:rFonts w:ascii="Calibri" w:hAnsi="Calibri" w:cs="Times New Roman"/>
          <w:szCs w:val="24"/>
        </w:rPr>
        <w:t>Būtu jā</w:t>
      </w:r>
      <w:r w:rsidRPr="00263930">
        <w:rPr>
          <w:rFonts w:ascii="Calibri" w:hAnsi="Calibri" w:cs="Times New Roman"/>
          <w:szCs w:val="24"/>
        </w:rPr>
        <w:t>izvērtē</w:t>
      </w:r>
      <w:r>
        <w:rPr>
          <w:rFonts w:ascii="Calibri" w:hAnsi="Calibri" w:cs="Times New Roman"/>
          <w:szCs w:val="24"/>
        </w:rPr>
        <w:t>, kā iespējams veikt</w:t>
      </w:r>
      <w:r w:rsidRPr="00263930">
        <w:rPr>
          <w:rFonts w:ascii="Calibri" w:hAnsi="Calibri" w:cs="Times New Roman"/>
          <w:szCs w:val="24"/>
        </w:rPr>
        <w:t xml:space="preserve"> N</w:t>
      </w:r>
      <w:r w:rsidR="00157D42">
        <w:rPr>
          <w:rFonts w:ascii="Calibri" w:hAnsi="Calibri" w:cs="Times New Roman"/>
          <w:szCs w:val="24"/>
        </w:rPr>
        <w:t>ETO</w:t>
      </w:r>
      <w:r w:rsidRPr="00263930">
        <w:rPr>
          <w:rFonts w:ascii="Calibri" w:hAnsi="Calibri" w:cs="Times New Roman"/>
          <w:szCs w:val="24"/>
        </w:rPr>
        <w:t xml:space="preserve"> uzskaites sistēmas pārveid</w:t>
      </w:r>
      <w:r>
        <w:rPr>
          <w:rFonts w:ascii="Calibri" w:hAnsi="Calibri" w:cs="Times New Roman"/>
          <w:szCs w:val="24"/>
        </w:rPr>
        <w:t>i vai alternatīvas Neto norēķinu sistēmas izveidi, kā ietvaros tiktu uzkrāta tīklā nodotās elektroenerģijas vērtība</w:t>
      </w:r>
      <w:r w:rsidRPr="00263930">
        <w:rPr>
          <w:rFonts w:ascii="Calibri" w:hAnsi="Calibri" w:cs="Times New Roman"/>
          <w:szCs w:val="24"/>
        </w:rPr>
        <w:t xml:space="preserve">, ņemot vērā elektroenerģijas </w:t>
      </w:r>
      <w:proofErr w:type="spellStart"/>
      <w:r w:rsidRPr="00263930">
        <w:rPr>
          <w:rFonts w:ascii="Calibri" w:hAnsi="Calibri" w:cs="Times New Roman"/>
          <w:szCs w:val="24"/>
        </w:rPr>
        <w:t>ikstundas</w:t>
      </w:r>
      <w:proofErr w:type="spellEnd"/>
      <w:r w:rsidRPr="00263930">
        <w:rPr>
          <w:rFonts w:ascii="Calibri" w:hAnsi="Calibri" w:cs="Times New Roman"/>
          <w:szCs w:val="24"/>
        </w:rPr>
        <w:t xml:space="preserve"> cenu</w:t>
      </w:r>
      <w:r>
        <w:rPr>
          <w:rFonts w:ascii="Calibri" w:hAnsi="Calibri" w:cs="Times New Roman"/>
          <w:szCs w:val="24"/>
        </w:rPr>
        <w:t xml:space="preserve">. </w:t>
      </w:r>
    </w:p>
    <w:p w14:paraId="3FD41D75" w14:textId="32C6B325" w:rsidR="00195A67" w:rsidRPr="009059B3" w:rsidRDefault="00195A67" w:rsidP="00195A67">
      <w:pPr>
        <w:spacing w:after="120" w:line="240" w:lineRule="auto"/>
        <w:jc w:val="both"/>
        <w:rPr>
          <w:rFonts w:cstheme="minorHAnsi"/>
        </w:rPr>
      </w:pPr>
      <w:r>
        <w:rPr>
          <w:rFonts w:ascii="Calibri" w:hAnsi="Calibri" w:cs="Times New Roman"/>
          <w:szCs w:val="24"/>
        </w:rPr>
        <w:t xml:space="preserve">Ņemot vērā pašpatērētāju ieguldījumu AER izmantošanas veicināšanā, nepieciešams arī izvērtēt </w:t>
      </w:r>
      <w:r>
        <w:rPr>
          <w:rFonts w:cstheme="minorHAnsi"/>
        </w:rPr>
        <w:t>iespēju pilnīgai OIK atcelšanai uzkrātajai un no tīkla atpakaļ saņemtajai elektroenerģijai.</w:t>
      </w:r>
    </w:p>
    <w:p w14:paraId="34521C8E" w14:textId="553E3787" w:rsidR="00263930" w:rsidRDefault="00195A67" w:rsidP="00D172FB">
      <w:pPr>
        <w:spacing w:after="120" w:line="240" w:lineRule="auto"/>
        <w:jc w:val="both"/>
        <w:rPr>
          <w:rFonts w:ascii="Calibri" w:hAnsi="Calibri" w:cs="Times New Roman"/>
          <w:szCs w:val="24"/>
        </w:rPr>
      </w:pPr>
      <w:r>
        <w:rPr>
          <w:rFonts w:ascii="Calibri" w:hAnsi="Calibri" w:cs="Times New Roman"/>
          <w:szCs w:val="24"/>
        </w:rPr>
        <w:t>I</w:t>
      </w:r>
      <w:r w:rsidR="00D172FB">
        <w:rPr>
          <w:rFonts w:ascii="Calibri" w:hAnsi="Calibri" w:cs="Times New Roman"/>
          <w:szCs w:val="24"/>
        </w:rPr>
        <w:t>zvērtējama</w:t>
      </w:r>
      <w:r>
        <w:rPr>
          <w:rFonts w:ascii="Calibri" w:hAnsi="Calibri" w:cs="Times New Roman"/>
          <w:szCs w:val="24"/>
        </w:rPr>
        <w:t xml:space="preserve"> ir</w:t>
      </w:r>
      <w:r w:rsidR="00D172FB">
        <w:rPr>
          <w:rFonts w:ascii="Calibri" w:hAnsi="Calibri" w:cs="Times New Roman"/>
          <w:szCs w:val="24"/>
        </w:rPr>
        <w:t xml:space="preserve"> iespēja paplašināt Neto sistēmu, iekļaujot tajā viena elektroenerģijas lietotāju vairāk</w:t>
      </w:r>
      <w:r w:rsidR="00F7091D">
        <w:rPr>
          <w:rFonts w:ascii="Calibri" w:hAnsi="Calibri" w:cs="Times New Roman"/>
          <w:szCs w:val="24"/>
        </w:rPr>
        <w:t>u</w:t>
      </w:r>
      <w:r w:rsidR="00D172FB">
        <w:rPr>
          <w:rFonts w:ascii="Calibri" w:hAnsi="Calibri" w:cs="Times New Roman"/>
          <w:szCs w:val="24"/>
        </w:rPr>
        <w:t>s objektus, tādējādi nodrošinot, ka vienā objektā saražotā un tīklā nodotā elektroenerģija var tikt virtuāli izmantota citā objektā.</w:t>
      </w:r>
      <w:r w:rsidR="00F7091D">
        <w:rPr>
          <w:rFonts w:ascii="Calibri" w:hAnsi="Calibri" w:cs="Times New Roman"/>
          <w:szCs w:val="24"/>
        </w:rPr>
        <w:t xml:space="preserve"> </w:t>
      </w:r>
    </w:p>
    <w:p w14:paraId="4C96435C" w14:textId="2BB06A83" w:rsidR="00F7091D" w:rsidRDefault="003868E8" w:rsidP="00D172FB">
      <w:pPr>
        <w:spacing w:after="120" w:line="240" w:lineRule="auto"/>
        <w:jc w:val="both"/>
        <w:rPr>
          <w:rFonts w:ascii="Calibri" w:hAnsi="Calibri" w:cs="Times New Roman"/>
          <w:szCs w:val="24"/>
        </w:rPr>
      </w:pPr>
      <w:r>
        <w:rPr>
          <w:rFonts w:ascii="Calibri" w:hAnsi="Calibri" w:cs="Times New Roman"/>
          <w:szCs w:val="24"/>
        </w:rPr>
        <w:t>L</w:t>
      </w:r>
      <w:r w:rsidRPr="003868E8">
        <w:rPr>
          <w:rFonts w:ascii="Calibri" w:hAnsi="Calibri" w:cs="Times New Roman"/>
          <w:szCs w:val="24"/>
        </w:rPr>
        <w:t xml:space="preserve">ai pilnvērtīgi nodrošinātu </w:t>
      </w:r>
      <w:r>
        <w:rPr>
          <w:rFonts w:ascii="Calibri" w:hAnsi="Calibri" w:cs="Times New Roman"/>
          <w:szCs w:val="24"/>
        </w:rPr>
        <w:t>elektroenerģijas</w:t>
      </w:r>
      <w:r w:rsidRPr="003868E8">
        <w:rPr>
          <w:rFonts w:ascii="Calibri" w:hAnsi="Calibri" w:cs="Times New Roman"/>
          <w:szCs w:val="24"/>
        </w:rPr>
        <w:t xml:space="preserve"> pašpatērētāju tiesības pārdot saražotās elektroenerģijas pārpalikumu,</w:t>
      </w:r>
      <w:r>
        <w:rPr>
          <w:rFonts w:ascii="Calibri" w:hAnsi="Calibri" w:cs="Times New Roman"/>
          <w:szCs w:val="24"/>
        </w:rPr>
        <w:t xml:space="preserve"> nepieciešams izstrādāt </w:t>
      </w:r>
      <w:r w:rsidRPr="003868E8">
        <w:rPr>
          <w:rFonts w:ascii="Calibri" w:hAnsi="Calibri" w:cs="Times New Roman"/>
          <w:szCs w:val="24"/>
        </w:rPr>
        <w:t>savstarpējas tirdzniecības mehānism</w:t>
      </w:r>
      <w:r>
        <w:rPr>
          <w:rFonts w:ascii="Calibri" w:hAnsi="Calibri" w:cs="Times New Roman"/>
          <w:szCs w:val="24"/>
        </w:rPr>
        <w:t>u</w:t>
      </w:r>
      <w:r w:rsidRPr="003868E8">
        <w:rPr>
          <w:rFonts w:ascii="Calibri" w:hAnsi="Calibri" w:cs="Times New Roman"/>
          <w:szCs w:val="24"/>
        </w:rPr>
        <w:t xml:space="preserve"> (</w:t>
      </w:r>
      <w:proofErr w:type="spellStart"/>
      <w:r w:rsidRPr="003868E8">
        <w:rPr>
          <w:rFonts w:ascii="Calibri" w:hAnsi="Calibri" w:cs="Times New Roman"/>
          <w:i/>
          <w:iCs/>
          <w:szCs w:val="24"/>
        </w:rPr>
        <w:t>peer</w:t>
      </w:r>
      <w:proofErr w:type="spellEnd"/>
      <w:r w:rsidRPr="003868E8">
        <w:rPr>
          <w:rFonts w:ascii="Calibri" w:hAnsi="Calibri" w:cs="Times New Roman"/>
          <w:i/>
          <w:iCs/>
          <w:szCs w:val="24"/>
        </w:rPr>
        <w:t>-to-</w:t>
      </w:r>
      <w:proofErr w:type="spellStart"/>
      <w:r w:rsidRPr="003868E8">
        <w:rPr>
          <w:rFonts w:ascii="Calibri" w:hAnsi="Calibri" w:cs="Times New Roman"/>
          <w:i/>
          <w:iCs/>
          <w:szCs w:val="24"/>
        </w:rPr>
        <w:t>peer</w:t>
      </w:r>
      <w:proofErr w:type="spellEnd"/>
      <w:r w:rsidRPr="003868E8">
        <w:rPr>
          <w:rFonts w:ascii="Calibri" w:hAnsi="Calibri" w:cs="Times New Roman"/>
          <w:i/>
          <w:iCs/>
          <w:szCs w:val="24"/>
        </w:rPr>
        <w:t xml:space="preserve"> </w:t>
      </w:r>
      <w:proofErr w:type="spellStart"/>
      <w:r w:rsidRPr="003868E8">
        <w:rPr>
          <w:rFonts w:ascii="Calibri" w:hAnsi="Calibri" w:cs="Times New Roman"/>
          <w:i/>
          <w:iCs/>
          <w:szCs w:val="24"/>
        </w:rPr>
        <w:t>trading</w:t>
      </w:r>
      <w:proofErr w:type="spellEnd"/>
      <w:r w:rsidRPr="003868E8">
        <w:rPr>
          <w:rFonts w:ascii="Calibri" w:hAnsi="Calibri" w:cs="Times New Roman"/>
          <w:szCs w:val="24"/>
        </w:rPr>
        <w:t>)</w:t>
      </w:r>
      <w:r>
        <w:rPr>
          <w:rFonts w:ascii="Calibri" w:hAnsi="Calibri" w:cs="Times New Roman"/>
          <w:szCs w:val="24"/>
        </w:rPr>
        <w:t xml:space="preserve">, kā </w:t>
      </w:r>
      <w:r w:rsidR="009059B3">
        <w:rPr>
          <w:rFonts w:ascii="Calibri" w:hAnsi="Calibri" w:cs="Times New Roman"/>
          <w:szCs w:val="24"/>
        </w:rPr>
        <w:t xml:space="preserve">arī </w:t>
      </w:r>
      <w:r>
        <w:rPr>
          <w:rFonts w:ascii="Calibri" w:hAnsi="Calibri" w:cs="Times New Roman"/>
          <w:szCs w:val="24"/>
        </w:rPr>
        <w:t>pārskatīt nodokļu politikas nosacījumus ārpus N</w:t>
      </w:r>
      <w:r w:rsidR="00157D42">
        <w:rPr>
          <w:rFonts w:ascii="Calibri" w:hAnsi="Calibri" w:cs="Times New Roman"/>
          <w:szCs w:val="24"/>
        </w:rPr>
        <w:t>ETO</w:t>
      </w:r>
      <w:r>
        <w:rPr>
          <w:rFonts w:ascii="Calibri" w:hAnsi="Calibri" w:cs="Times New Roman"/>
          <w:szCs w:val="24"/>
        </w:rPr>
        <w:t xml:space="preserve"> sistēmas īstenotajiem darījumiem ar elektroenerģiju. </w:t>
      </w:r>
    </w:p>
    <w:p w14:paraId="1A78FE77" w14:textId="435BCDD7" w:rsidR="00263930" w:rsidRDefault="009059B3" w:rsidP="00D172FB">
      <w:pPr>
        <w:spacing w:after="120" w:line="240" w:lineRule="auto"/>
        <w:jc w:val="both"/>
        <w:rPr>
          <w:rFonts w:ascii="Calibri" w:hAnsi="Calibri" w:cs="Times New Roman"/>
          <w:szCs w:val="24"/>
        </w:rPr>
      </w:pPr>
      <w:r>
        <w:rPr>
          <w:rFonts w:ascii="Calibri" w:hAnsi="Calibri" w:cs="Times New Roman"/>
          <w:szCs w:val="24"/>
        </w:rPr>
        <w:lastRenderedPageBreak/>
        <w:t>B</w:t>
      </w:r>
      <w:r w:rsidR="00F7091D">
        <w:rPr>
          <w:rFonts w:ascii="Calibri" w:hAnsi="Calibri" w:cs="Times New Roman"/>
          <w:szCs w:val="24"/>
        </w:rPr>
        <w:t>ūtiski</w:t>
      </w:r>
      <w:r>
        <w:rPr>
          <w:rFonts w:ascii="Calibri" w:hAnsi="Calibri" w:cs="Times New Roman"/>
          <w:szCs w:val="24"/>
        </w:rPr>
        <w:t xml:space="preserve"> ir</w:t>
      </w:r>
      <w:r w:rsidR="00F7091D">
        <w:rPr>
          <w:rFonts w:ascii="Calibri" w:hAnsi="Calibri" w:cs="Times New Roman"/>
          <w:szCs w:val="24"/>
        </w:rPr>
        <w:t xml:space="preserve"> veicināt nepieciešamo investīciju samazināšan</w:t>
      </w:r>
      <w:r>
        <w:rPr>
          <w:rFonts w:ascii="Calibri" w:hAnsi="Calibri" w:cs="Times New Roman"/>
          <w:szCs w:val="24"/>
        </w:rPr>
        <w:t>os</w:t>
      </w:r>
      <w:r w:rsidR="00F7091D">
        <w:rPr>
          <w:rFonts w:ascii="Calibri" w:hAnsi="Calibri" w:cs="Times New Roman"/>
          <w:szCs w:val="24"/>
        </w:rPr>
        <w:t xml:space="preserve"> enerģijas pašpatēriņa tehnoloģiju iekārtām. Primāri tas īstenojams energoefektivitātes pasākumu īstenošanas ietvaros, vienlaikus atbalstot ne-emisiju tehnoloģiju uzstādīšanu – gan elektroenerģijas, gan siltumenerģijas ražošanai. Sekojoši būtu jānodrošina, ka īpašumiem, kuros īstenoti minētie pasākumi atbilstoši nepaaugstinās nekustamā īpašuma nodokļu apjoms. </w:t>
      </w:r>
    </w:p>
    <w:p w14:paraId="0DDC5A98" w14:textId="7E4A228C" w:rsidR="003868E8" w:rsidRDefault="003868E8" w:rsidP="00D172FB">
      <w:pPr>
        <w:spacing w:after="120" w:line="240" w:lineRule="auto"/>
        <w:jc w:val="both"/>
        <w:rPr>
          <w:rFonts w:ascii="Calibri" w:hAnsi="Calibri" w:cs="Times New Roman"/>
          <w:szCs w:val="24"/>
        </w:rPr>
      </w:pPr>
      <w:r>
        <w:rPr>
          <w:rFonts w:ascii="Calibri" w:hAnsi="Calibri" w:cs="Times New Roman"/>
          <w:szCs w:val="24"/>
        </w:rPr>
        <w:t xml:space="preserve">Sākotnējo investīciju apmēra samazināšanos veicinātu arī PVN atlaižu piemērošana </w:t>
      </w:r>
      <w:r w:rsidRPr="005E0800">
        <w:rPr>
          <w:rFonts w:cstheme="minorHAnsi"/>
          <w:color w:val="000000"/>
          <w:shd w:val="clear" w:color="auto" w:fill="FFFFFF"/>
        </w:rPr>
        <w:t>ne-emisiju tehnoloģiju uzstādīšanai</w:t>
      </w:r>
      <w:r>
        <w:rPr>
          <w:rFonts w:cstheme="minorHAnsi"/>
          <w:color w:val="000000"/>
          <w:shd w:val="clear" w:color="auto" w:fill="FFFFFF"/>
        </w:rPr>
        <w:t>.</w:t>
      </w:r>
    </w:p>
    <w:p w14:paraId="67CFB671" w14:textId="77777777" w:rsidR="00906FB8" w:rsidRPr="00E2491C" w:rsidRDefault="00906FB8" w:rsidP="00E94C91">
      <w:pPr>
        <w:spacing w:before="120" w:after="120" w:line="240" w:lineRule="auto"/>
        <w:jc w:val="both"/>
        <w:rPr>
          <w:rFonts w:ascii="Calibri" w:hAnsi="Calibri" w:cs="Times New Roman"/>
          <w:szCs w:val="24"/>
        </w:rPr>
      </w:pPr>
    </w:p>
    <w:p w14:paraId="254EAE31" w14:textId="77777777" w:rsidR="00E94C91" w:rsidRPr="00E2491C" w:rsidRDefault="00E94C91" w:rsidP="00906FB8">
      <w:pPr>
        <w:shd w:val="clear" w:color="auto" w:fill="E7E6E6" w:themeFill="background2"/>
        <w:spacing w:before="120" w:after="120" w:line="240" w:lineRule="auto"/>
        <w:jc w:val="both"/>
        <w:rPr>
          <w:rFonts w:ascii="Calibri" w:hAnsi="Calibri" w:cs="Times New Roman"/>
          <w:b/>
          <w:i/>
          <w:sz w:val="28"/>
          <w:szCs w:val="28"/>
        </w:rPr>
      </w:pPr>
      <w:bookmarkStart w:id="3" w:name="_Hlk18065984"/>
      <w:r w:rsidRPr="00E2491C">
        <w:rPr>
          <w:rFonts w:ascii="Calibri" w:hAnsi="Calibri" w:cs="Times New Roman"/>
          <w:b/>
          <w:i/>
          <w:sz w:val="28"/>
          <w:szCs w:val="28"/>
        </w:rPr>
        <w:t>Saistītie rīcības virzieni</w:t>
      </w:r>
    </w:p>
    <w:p w14:paraId="7F9A7615" w14:textId="411C144D" w:rsidR="0050496E" w:rsidRPr="00930BEF" w:rsidRDefault="0050496E" w:rsidP="00906FB8">
      <w:pPr>
        <w:shd w:val="clear" w:color="auto" w:fill="E7E6E6" w:themeFill="background2"/>
        <w:spacing w:before="120" w:after="120" w:line="240" w:lineRule="auto"/>
        <w:jc w:val="both"/>
        <w:rPr>
          <w:rFonts w:ascii="Calibri" w:hAnsi="Calibri" w:cs="Times New Roman"/>
          <w:szCs w:val="24"/>
        </w:rPr>
      </w:pPr>
      <w:r w:rsidRPr="00930BEF">
        <w:rPr>
          <w:rFonts w:ascii="Calibri" w:hAnsi="Calibri" w:cs="Times New Roman"/>
          <w:szCs w:val="24"/>
        </w:rPr>
        <w:t>1) Ēku energoefektivitātes uzlabošana (1.rīcības virziens), kas, vienlaikus ar atbalsta pasākumiem energoefektivitātes uzlabošanai, paredz atbalstu AER risinājumu ieviešanai</w:t>
      </w:r>
    </w:p>
    <w:p w14:paraId="1B295811" w14:textId="651FC0C4" w:rsidR="0050496E" w:rsidRPr="00930BEF" w:rsidRDefault="0050496E" w:rsidP="00906FB8">
      <w:pPr>
        <w:shd w:val="clear" w:color="auto" w:fill="E7E6E6" w:themeFill="background2"/>
        <w:spacing w:before="120" w:after="120" w:line="240" w:lineRule="auto"/>
        <w:jc w:val="both"/>
        <w:rPr>
          <w:rFonts w:ascii="Calibri" w:hAnsi="Calibri" w:cs="Times New Roman"/>
          <w:szCs w:val="24"/>
        </w:rPr>
      </w:pPr>
      <w:r w:rsidRPr="00930BEF">
        <w:rPr>
          <w:rFonts w:ascii="Calibri" w:hAnsi="Calibri" w:cs="Times New Roman"/>
          <w:szCs w:val="24"/>
        </w:rPr>
        <w:t xml:space="preserve">2) Energoefektivitātes uzlabošana un AER tehnoloģiju izmantošanas veicināšana siltumapgādē un </w:t>
      </w:r>
      <w:proofErr w:type="spellStart"/>
      <w:r w:rsidRPr="00930BEF">
        <w:rPr>
          <w:rFonts w:ascii="Calibri" w:hAnsi="Calibri" w:cs="Times New Roman"/>
          <w:szCs w:val="24"/>
        </w:rPr>
        <w:t>aukstumapgādē</w:t>
      </w:r>
      <w:proofErr w:type="spellEnd"/>
      <w:r w:rsidRPr="00930BEF">
        <w:rPr>
          <w:rFonts w:ascii="Calibri" w:hAnsi="Calibri" w:cs="Times New Roman"/>
          <w:szCs w:val="24"/>
        </w:rPr>
        <w:t>, un rūpniecībā (2.rīcības virziens) saistībā ar AER tehnoloģiju izmantošanas veicināšanu lokālajā siltumapgādē (LSA) un individuālā siltumapgādē</w:t>
      </w:r>
    </w:p>
    <w:p w14:paraId="7F04710E" w14:textId="101AB4BD" w:rsidR="00194FA8" w:rsidRDefault="00930BEF" w:rsidP="00906FB8">
      <w:pPr>
        <w:shd w:val="clear" w:color="auto" w:fill="E7E6E6" w:themeFill="background2"/>
        <w:spacing w:before="120" w:after="120" w:line="240" w:lineRule="auto"/>
        <w:jc w:val="both"/>
        <w:rPr>
          <w:rFonts w:ascii="Calibri" w:hAnsi="Calibri" w:cs="Times New Roman"/>
          <w:szCs w:val="24"/>
        </w:rPr>
      </w:pPr>
      <w:r w:rsidRPr="00930BEF">
        <w:rPr>
          <w:rFonts w:ascii="Calibri" w:hAnsi="Calibri" w:cs="Times New Roman"/>
          <w:szCs w:val="24"/>
        </w:rPr>
        <w:t>3) Ne-emisiju tehnoloģiju izmantošanas veicināšana elektroenerģijās ražošanā</w:t>
      </w:r>
      <w:r>
        <w:rPr>
          <w:rFonts w:ascii="Calibri" w:hAnsi="Calibri" w:cs="Times New Roman"/>
          <w:szCs w:val="24"/>
        </w:rPr>
        <w:t xml:space="preserve"> (3.rīcības virziens)</w:t>
      </w:r>
      <w:r w:rsidR="00194FA8">
        <w:rPr>
          <w:rFonts w:ascii="Calibri" w:hAnsi="Calibri" w:cs="Times New Roman"/>
          <w:szCs w:val="24"/>
        </w:rPr>
        <w:t>, ņemot vērā, ka šo mērķi veicinās arī plašāka pašpatēriņa ne-emisiju tehnoloģiju izmantošana</w:t>
      </w:r>
    </w:p>
    <w:p w14:paraId="6B946CFB" w14:textId="3ECC103E" w:rsidR="00194FA8" w:rsidRDefault="00194FA8" w:rsidP="00906FB8">
      <w:pPr>
        <w:shd w:val="clear" w:color="auto" w:fill="E7E6E6" w:themeFill="background2"/>
        <w:spacing w:before="120" w:after="120" w:line="240" w:lineRule="auto"/>
        <w:jc w:val="both"/>
        <w:rPr>
          <w:rFonts w:ascii="Calibri" w:hAnsi="Calibri" w:cs="Times New Roman"/>
          <w:szCs w:val="24"/>
        </w:rPr>
      </w:pPr>
      <w:r>
        <w:rPr>
          <w:rFonts w:ascii="Calibri" w:hAnsi="Calibri" w:cs="Times New Roman"/>
          <w:szCs w:val="24"/>
        </w:rPr>
        <w:t xml:space="preserve">4) </w:t>
      </w:r>
      <w:r w:rsidRPr="00194FA8">
        <w:rPr>
          <w:rFonts w:ascii="Calibri" w:hAnsi="Calibri" w:cs="Times New Roman"/>
          <w:szCs w:val="24"/>
        </w:rPr>
        <w:t>Nodokļu sistēmas “</w:t>
      </w:r>
      <w:proofErr w:type="spellStart"/>
      <w:r w:rsidRPr="00194FA8">
        <w:rPr>
          <w:rFonts w:ascii="Calibri" w:hAnsi="Calibri" w:cs="Times New Roman"/>
          <w:szCs w:val="24"/>
        </w:rPr>
        <w:t>zaļināšana</w:t>
      </w:r>
      <w:proofErr w:type="spellEnd"/>
      <w:r w:rsidRPr="00194FA8">
        <w:rPr>
          <w:rFonts w:ascii="Calibri" w:hAnsi="Calibri" w:cs="Times New Roman"/>
          <w:szCs w:val="24"/>
        </w:rPr>
        <w:t>” un pievilcīguma energoefektivitātei un AER tehnoloģijām uzlabošana</w:t>
      </w:r>
      <w:r>
        <w:rPr>
          <w:rFonts w:ascii="Calibri" w:hAnsi="Calibri" w:cs="Times New Roman"/>
          <w:szCs w:val="24"/>
        </w:rPr>
        <w:t xml:space="preserve"> (11.rīcības virziens), ņemot vērā, ka atbilstoša nodokļu politika var veicināt pašpatēriņa tehnoloģiju izdevīgumu</w:t>
      </w:r>
    </w:p>
    <w:p w14:paraId="0E331AF3" w14:textId="59C31018" w:rsidR="00930BEF" w:rsidRDefault="00194FA8" w:rsidP="00906FB8">
      <w:pPr>
        <w:shd w:val="clear" w:color="auto" w:fill="E7E6E6" w:themeFill="background2"/>
        <w:spacing w:before="120" w:after="120" w:line="240" w:lineRule="auto"/>
        <w:jc w:val="both"/>
        <w:rPr>
          <w:rFonts w:ascii="Calibri" w:hAnsi="Calibri" w:cs="Times New Roman"/>
          <w:szCs w:val="24"/>
        </w:rPr>
      </w:pPr>
      <w:r>
        <w:rPr>
          <w:rFonts w:ascii="Calibri" w:hAnsi="Calibri" w:cs="Times New Roman"/>
          <w:szCs w:val="24"/>
        </w:rPr>
        <w:t xml:space="preserve">4) </w:t>
      </w:r>
      <w:r w:rsidRPr="00194FA8">
        <w:rPr>
          <w:rFonts w:ascii="Calibri" w:hAnsi="Calibri" w:cs="Times New Roman"/>
          <w:szCs w:val="24"/>
        </w:rPr>
        <w:t>Sabiedrības informēšana, izglītošana un izpratnes veicināšana</w:t>
      </w:r>
      <w:r>
        <w:rPr>
          <w:rFonts w:ascii="Calibri" w:hAnsi="Calibri" w:cs="Times New Roman"/>
          <w:szCs w:val="24"/>
        </w:rPr>
        <w:t xml:space="preserve"> (12.rīcības virziens) </w:t>
      </w:r>
    </w:p>
    <w:p w14:paraId="50596A15" w14:textId="77777777" w:rsidR="0050496E" w:rsidRPr="00091678" w:rsidRDefault="0050496E" w:rsidP="00906FB8">
      <w:pPr>
        <w:shd w:val="clear" w:color="auto" w:fill="E7E6E6" w:themeFill="background2"/>
        <w:spacing w:before="120" w:after="120" w:line="240" w:lineRule="auto"/>
        <w:jc w:val="both"/>
        <w:rPr>
          <w:rFonts w:ascii="Calibri" w:hAnsi="Calibri" w:cs="Times New Roman"/>
          <w:b/>
          <w:i/>
          <w:color w:val="FF0000"/>
          <w:szCs w:val="24"/>
        </w:rPr>
      </w:pPr>
    </w:p>
    <w:bookmarkEnd w:id="3"/>
    <w:p w14:paraId="0D5AA9DF" w14:textId="77777777" w:rsidR="00D82336" w:rsidRPr="00E2491C" w:rsidRDefault="00A25247">
      <w:pPr>
        <w:rPr>
          <w:rFonts w:ascii="Calibri" w:hAnsi="Calibri"/>
        </w:rPr>
      </w:pPr>
    </w:p>
    <w:sectPr w:rsidR="00D82336" w:rsidRPr="00E2491C" w:rsidSect="00AC3F81">
      <w:headerReference w:type="default" r:id="rId8"/>
      <w:footerReference w:type="default" r:id="rId9"/>
      <w:footerReference w:type="first" r:id="rId10"/>
      <w:pgSz w:w="11906" w:h="16838" w:code="9"/>
      <w:pgMar w:top="1418"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18D40E" w14:textId="77777777" w:rsidR="00E94C91" w:rsidRDefault="00E94C91" w:rsidP="00E94C91">
      <w:pPr>
        <w:spacing w:after="0" w:line="240" w:lineRule="auto"/>
      </w:pPr>
      <w:r>
        <w:separator/>
      </w:r>
    </w:p>
  </w:endnote>
  <w:endnote w:type="continuationSeparator" w:id="0">
    <w:p w14:paraId="600A4335" w14:textId="77777777" w:rsidR="00E94C91" w:rsidRDefault="00E94C91" w:rsidP="00E94C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A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Segoe UI">
    <w:panose1 w:val="020B0502040204020203"/>
    <w:charset w:val="BA"/>
    <w:family w:val="swiss"/>
    <w:pitch w:val="variable"/>
    <w:sig w:usb0="E10022FF" w:usb1="C000E47F" w:usb2="00000029" w:usb3="00000000" w:csb0="000001D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54824771"/>
      <w:docPartObj>
        <w:docPartGallery w:val="Page Numbers (Bottom of Page)"/>
        <w:docPartUnique/>
      </w:docPartObj>
    </w:sdtPr>
    <w:sdtEndPr>
      <w:rPr>
        <w:noProof/>
      </w:rPr>
    </w:sdtEndPr>
    <w:sdtContent>
      <w:p w14:paraId="44E2698D" w14:textId="1332972C" w:rsidR="00652FF2" w:rsidRDefault="00652FF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C44D4DD" w14:textId="77777777" w:rsidR="00AC3F81" w:rsidRDefault="00AC3F8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00128186"/>
      <w:docPartObj>
        <w:docPartGallery w:val="Page Numbers (Bottom of Page)"/>
        <w:docPartUnique/>
      </w:docPartObj>
    </w:sdtPr>
    <w:sdtEndPr>
      <w:rPr>
        <w:noProof/>
      </w:rPr>
    </w:sdtEndPr>
    <w:sdtContent>
      <w:p w14:paraId="162853CE" w14:textId="0C6BC280" w:rsidR="00AC3F81" w:rsidRDefault="00AC3F8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CE8D0F2" w14:textId="77777777" w:rsidR="00AC3F81" w:rsidRDefault="00AC3F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8620C9" w14:textId="77777777" w:rsidR="00E94C91" w:rsidRDefault="00E94C91" w:rsidP="00E94C91">
      <w:pPr>
        <w:spacing w:after="0" w:line="240" w:lineRule="auto"/>
      </w:pPr>
      <w:r>
        <w:separator/>
      </w:r>
    </w:p>
  </w:footnote>
  <w:footnote w:type="continuationSeparator" w:id="0">
    <w:p w14:paraId="153E624C" w14:textId="77777777" w:rsidR="00E94C91" w:rsidRDefault="00E94C91" w:rsidP="00E94C91">
      <w:pPr>
        <w:spacing w:after="0" w:line="240" w:lineRule="auto"/>
      </w:pPr>
      <w:r>
        <w:continuationSeparator/>
      </w:r>
    </w:p>
  </w:footnote>
  <w:footnote w:id="1">
    <w:p w14:paraId="46DA6BAB" w14:textId="56D2EF5D" w:rsidR="00390F99" w:rsidRDefault="00390F99">
      <w:pPr>
        <w:pStyle w:val="FootnoteText"/>
      </w:pPr>
      <w:r>
        <w:rPr>
          <w:rStyle w:val="FootnoteReference"/>
        </w:rPr>
        <w:footnoteRef/>
      </w:r>
      <w:r>
        <w:t xml:space="preserve"> Elektroenerģijas tirgus likuma 30.</w:t>
      </w:r>
      <w:r w:rsidRPr="00390F99">
        <w:rPr>
          <w:vertAlign w:val="superscript"/>
        </w:rPr>
        <w:t>1</w:t>
      </w:r>
      <w:r>
        <w:t xml:space="preserve"> pants, </w:t>
      </w:r>
      <w:r w:rsidRPr="00390F99">
        <w:t>skatīt:</w:t>
      </w:r>
      <w:r>
        <w:t xml:space="preserve"> </w:t>
      </w:r>
      <w:r w:rsidRPr="00390F99">
        <w:t>https://likumi.lv/ta/id/108834#p30.1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67A074" w14:textId="2DB1881B" w:rsidR="0012251D" w:rsidRPr="0012251D" w:rsidRDefault="0012251D" w:rsidP="00652FF2">
    <w:pPr>
      <w:pStyle w:val="Header"/>
      <w:rPr>
        <w:rFonts w:ascii="Times New Roman" w:hAnsi="Times New Roman" w:cs="Times New Roman"/>
      </w:rPr>
    </w:pPr>
  </w:p>
  <w:p w14:paraId="46157A63" w14:textId="77777777" w:rsidR="0012251D" w:rsidRDefault="001225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3C203C9"/>
    <w:multiLevelType w:val="hybridMultilevel"/>
    <w:tmpl w:val="C8A4B184"/>
    <w:lvl w:ilvl="0" w:tplc="04260001">
      <w:start w:val="1"/>
      <w:numFmt w:val="bullet"/>
      <w:lvlText w:val=""/>
      <w:lvlJc w:val="left"/>
      <w:pPr>
        <w:ind w:left="780" w:hanging="360"/>
      </w:pPr>
      <w:rPr>
        <w:rFonts w:ascii="Symbol" w:hAnsi="Symbol" w:hint="default"/>
      </w:rPr>
    </w:lvl>
    <w:lvl w:ilvl="1" w:tplc="04260003" w:tentative="1">
      <w:start w:val="1"/>
      <w:numFmt w:val="bullet"/>
      <w:lvlText w:val="o"/>
      <w:lvlJc w:val="left"/>
      <w:pPr>
        <w:ind w:left="1500" w:hanging="360"/>
      </w:pPr>
      <w:rPr>
        <w:rFonts w:ascii="Courier New" w:hAnsi="Courier New" w:cs="Courier New" w:hint="default"/>
      </w:rPr>
    </w:lvl>
    <w:lvl w:ilvl="2" w:tplc="04260005" w:tentative="1">
      <w:start w:val="1"/>
      <w:numFmt w:val="bullet"/>
      <w:lvlText w:val=""/>
      <w:lvlJc w:val="left"/>
      <w:pPr>
        <w:ind w:left="2220" w:hanging="360"/>
      </w:pPr>
      <w:rPr>
        <w:rFonts w:ascii="Wingdings" w:hAnsi="Wingdings" w:hint="default"/>
      </w:rPr>
    </w:lvl>
    <w:lvl w:ilvl="3" w:tplc="04260001" w:tentative="1">
      <w:start w:val="1"/>
      <w:numFmt w:val="bullet"/>
      <w:lvlText w:val=""/>
      <w:lvlJc w:val="left"/>
      <w:pPr>
        <w:ind w:left="2940" w:hanging="360"/>
      </w:pPr>
      <w:rPr>
        <w:rFonts w:ascii="Symbol" w:hAnsi="Symbol" w:hint="default"/>
      </w:rPr>
    </w:lvl>
    <w:lvl w:ilvl="4" w:tplc="04260003" w:tentative="1">
      <w:start w:val="1"/>
      <w:numFmt w:val="bullet"/>
      <w:lvlText w:val="o"/>
      <w:lvlJc w:val="left"/>
      <w:pPr>
        <w:ind w:left="3660" w:hanging="360"/>
      </w:pPr>
      <w:rPr>
        <w:rFonts w:ascii="Courier New" w:hAnsi="Courier New" w:cs="Courier New" w:hint="default"/>
      </w:rPr>
    </w:lvl>
    <w:lvl w:ilvl="5" w:tplc="04260005" w:tentative="1">
      <w:start w:val="1"/>
      <w:numFmt w:val="bullet"/>
      <w:lvlText w:val=""/>
      <w:lvlJc w:val="left"/>
      <w:pPr>
        <w:ind w:left="4380" w:hanging="360"/>
      </w:pPr>
      <w:rPr>
        <w:rFonts w:ascii="Wingdings" w:hAnsi="Wingdings" w:hint="default"/>
      </w:rPr>
    </w:lvl>
    <w:lvl w:ilvl="6" w:tplc="04260001" w:tentative="1">
      <w:start w:val="1"/>
      <w:numFmt w:val="bullet"/>
      <w:lvlText w:val=""/>
      <w:lvlJc w:val="left"/>
      <w:pPr>
        <w:ind w:left="5100" w:hanging="360"/>
      </w:pPr>
      <w:rPr>
        <w:rFonts w:ascii="Symbol" w:hAnsi="Symbol" w:hint="default"/>
      </w:rPr>
    </w:lvl>
    <w:lvl w:ilvl="7" w:tplc="04260003" w:tentative="1">
      <w:start w:val="1"/>
      <w:numFmt w:val="bullet"/>
      <w:lvlText w:val="o"/>
      <w:lvlJc w:val="left"/>
      <w:pPr>
        <w:ind w:left="5820" w:hanging="360"/>
      </w:pPr>
      <w:rPr>
        <w:rFonts w:ascii="Courier New" w:hAnsi="Courier New" w:cs="Courier New" w:hint="default"/>
      </w:rPr>
    </w:lvl>
    <w:lvl w:ilvl="8" w:tplc="04260005" w:tentative="1">
      <w:start w:val="1"/>
      <w:numFmt w:val="bullet"/>
      <w:lvlText w:val=""/>
      <w:lvlJc w:val="left"/>
      <w:pPr>
        <w:ind w:left="6540" w:hanging="360"/>
      </w:pPr>
      <w:rPr>
        <w:rFonts w:ascii="Wingdings" w:hAnsi="Wingdings" w:hint="default"/>
      </w:rPr>
    </w:lvl>
  </w:abstractNum>
  <w:abstractNum w:abstractNumId="1" w15:restartNumberingAfterBreak="0">
    <w:nsid w:val="467B23BB"/>
    <w:multiLevelType w:val="hybridMultilevel"/>
    <w:tmpl w:val="38AEBA80"/>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491C7173"/>
    <w:multiLevelType w:val="hybridMultilevel"/>
    <w:tmpl w:val="151E7D68"/>
    <w:lvl w:ilvl="0" w:tplc="04260001">
      <w:start w:val="1"/>
      <w:numFmt w:val="bullet"/>
      <w:lvlText w:val=""/>
      <w:lvlJc w:val="left"/>
      <w:pPr>
        <w:ind w:left="1080" w:hanging="72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5AB927AA"/>
    <w:multiLevelType w:val="hybridMultilevel"/>
    <w:tmpl w:val="A656B658"/>
    <w:lvl w:ilvl="0" w:tplc="04260001">
      <w:start w:val="1"/>
      <w:numFmt w:val="bullet"/>
      <w:lvlText w:val=""/>
      <w:lvlJc w:val="left"/>
      <w:pPr>
        <w:ind w:left="780" w:hanging="360"/>
      </w:pPr>
      <w:rPr>
        <w:rFonts w:ascii="Symbol" w:hAnsi="Symbol" w:hint="default"/>
      </w:rPr>
    </w:lvl>
    <w:lvl w:ilvl="1" w:tplc="04260003" w:tentative="1">
      <w:start w:val="1"/>
      <w:numFmt w:val="bullet"/>
      <w:lvlText w:val="o"/>
      <w:lvlJc w:val="left"/>
      <w:pPr>
        <w:ind w:left="1500" w:hanging="360"/>
      </w:pPr>
      <w:rPr>
        <w:rFonts w:ascii="Courier New" w:hAnsi="Courier New" w:cs="Courier New" w:hint="default"/>
      </w:rPr>
    </w:lvl>
    <w:lvl w:ilvl="2" w:tplc="04260005" w:tentative="1">
      <w:start w:val="1"/>
      <w:numFmt w:val="bullet"/>
      <w:lvlText w:val=""/>
      <w:lvlJc w:val="left"/>
      <w:pPr>
        <w:ind w:left="2220" w:hanging="360"/>
      </w:pPr>
      <w:rPr>
        <w:rFonts w:ascii="Wingdings" w:hAnsi="Wingdings" w:hint="default"/>
      </w:rPr>
    </w:lvl>
    <w:lvl w:ilvl="3" w:tplc="04260001" w:tentative="1">
      <w:start w:val="1"/>
      <w:numFmt w:val="bullet"/>
      <w:lvlText w:val=""/>
      <w:lvlJc w:val="left"/>
      <w:pPr>
        <w:ind w:left="2940" w:hanging="360"/>
      </w:pPr>
      <w:rPr>
        <w:rFonts w:ascii="Symbol" w:hAnsi="Symbol" w:hint="default"/>
      </w:rPr>
    </w:lvl>
    <w:lvl w:ilvl="4" w:tplc="04260003" w:tentative="1">
      <w:start w:val="1"/>
      <w:numFmt w:val="bullet"/>
      <w:lvlText w:val="o"/>
      <w:lvlJc w:val="left"/>
      <w:pPr>
        <w:ind w:left="3660" w:hanging="360"/>
      </w:pPr>
      <w:rPr>
        <w:rFonts w:ascii="Courier New" w:hAnsi="Courier New" w:cs="Courier New" w:hint="default"/>
      </w:rPr>
    </w:lvl>
    <w:lvl w:ilvl="5" w:tplc="04260005" w:tentative="1">
      <w:start w:val="1"/>
      <w:numFmt w:val="bullet"/>
      <w:lvlText w:val=""/>
      <w:lvlJc w:val="left"/>
      <w:pPr>
        <w:ind w:left="4380" w:hanging="360"/>
      </w:pPr>
      <w:rPr>
        <w:rFonts w:ascii="Wingdings" w:hAnsi="Wingdings" w:hint="default"/>
      </w:rPr>
    </w:lvl>
    <w:lvl w:ilvl="6" w:tplc="04260001" w:tentative="1">
      <w:start w:val="1"/>
      <w:numFmt w:val="bullet"/>
      <w:lvlText w:val=""/>
      <w:lvlJc w:val="left"/>
      <w:pPr>
        <w:ind w:left="5100" w:hanging="360"/>
      </w:pPr>
      <w:rPr>
        <w:rFonts w:ascii="Symbol" w:hAnsi="Symbol" w:hint="default"/>
      </w:rPr>
    </w:lvl>
    <w:lvl w:ilvl="7" w:tplc="04260003" w:tentative="1">
      <w:start w:val="1"/>
      <w:numFmt w:val="bullet"/>
      <w:lvlText w:val="o"/>
      <w:lvlJc w:val="left"/>
      <w:pPr>
        <w:ind w:left="5820" w:hanging="360"/>
      </w:pPr>
      <w:rPr>
        <w:rFonts w:ascii="Courier New" w:hAnsi="Courier New" w:cs="Courier New" w:hint="default"/>
      </w:rPr>
    </w:lvl>
    <w:lvl w:ilvl="8" w:tplc="04260005" w:tentative="1">
      <w:start w:val="1"/>
      <w:numFmt w:val="bullet"/>
      <w:lvlText w:val=""/>
      <w:lvlJc w:val="left"/>
      <w:pPr>
        <w:ind w:left="6540" w:hanging="360"/>
      </w:pPr>
      <w:rPr>
        <w:rFonts w:ascii="Wingdings" w:hAnsi="Wingdings" w:hint="default"/>
      </w:rPr>
    </w:lvl>
  </w:abstractNum>
  <w:abstractNum w:abstractNumId="4" w15:restartNumberingAfterBreak="0">
    <w:nsid w:val="7877518A"/>
    <w:multiLevelType w:val="hybridMultilevel"/>
    <w:tmpl w:val="BCA244F8"/>
    <w:lvl w:ilvl="0" w:tplc="5CDAA5CC">
      <w:start w:val="1"/>
      <w:numFmt w:val="bullet"/>
      <w:lvlText w:val="•"/>
      <w:lvlJc w:val="left"/>
      <w:pPr>
        <w:tabs>
          <w:tab w:val="num" w:pos="720"/>
        </w:tabs>
        <w:ind w:left="720" w:hanging="360"/>
      </w:pPr>
      <w:rPr>
        <w:rFonts w:ascii="Arial" w:hAnsi="Arial" w:hint="default"/>
      </w:rPr>
    </w:lvl>
    <w:lvl w:ilvl="1" w:tplc="3524327C">
      <w:start w:val="21140"/>
      <w:numFmt w:val="bullet"/>
      <w:lvlText w:val="•"/>
      <w:lvlJc w:val="left"/>
      <w:pPr>
        <w:tabs>
          <w:tab w:val="num" w:pos="1440"/>
        </w:tabs>
        <w:ind w:left="1440" w:hanging="360"/>
      </w:pPr>
      <w:rPr>
        <w:rFonts w:ascii="Arial" w:hAnsi="Arial" w:hint="default"/>
      </w:rPr>
    </w:lvl>
    <w:lvl w:ilvl="2" w:tplc="2B70C006" w:tentative="1">
      <w:start w:val="1"/>
      <w:numFmt w:val="bullet"/>
      <w:lvlText w:val="•"/>
      <w:lvlJc w:val="left"/>
      <w:pPr>
        <w:tabs>
          <w:tab w:val="num" w:pos="2160"/>
        </w:tabs>
        <w:ind w:left="2160" w:hanging="360"/>
      </w:pPr>
      <w:rPr>
        <w:rFonts w:ascii="Arial" w:hAnsi="Arial" w:hint="default"/>
      </w:rPr>
    </w:lvl>
    <w:lvl w:ilvl="3" w:tplc="34983C96" w:tentative="1">
      <w:start w:val="1"/>
      <w:numFmt w:val="bullet"/>
      <w:lvlText w:val="•"/>
      <w:lvlJc w:val="left"/>
      <w:pPr>
        <w:tabs>
          <w:tab w:val="num" w:pos="2880"/>
        </w:tabs>
        <w:ind w:left="2880" w:hanging="360"/>
      </w:pPr>
      <w:rPr>
        <w:rFonts w:ascii="Arial" w:hAnsi="Arial" w:hint="default"/>
      </w:rPr>
    </w:lvl>
    <w:lvl w:ilvl="4" w:tplc="C24C8DE0" w:tentative="1">
      <w:start w:val="1"/>
      <w:numFmt w:val="bullet"/>
      <w:lvlText w:val="•"/>
      <w:lvlJc w:val="left"/>
      <w:pPr>
        <w:tabs>
          <w:tab w:val="num" w:pos="3600"/>
        </w:tabs>
        <w:ind w:left="3600" w:hanging="360"/>
      </w:pPr>
      <w:rPr>
        <w:rFonts w:ascii="Arial" w:hAnsi="Arial" w:hint="default"/>
      </w:rPr>
    </w:lvl>
    <w:lvl w:ilvl="5" w:tplc="6302E3E2" w:tentative="1">
      <w:start w:val="1"/>
      <w:numFmt w:val="bullet"/>
      <w:lvlText w:val="•"/>
      <w:lvlJc w:val="left"/>
      <w:pPr>
        <w:tabs>
          <w:tab w:val="num" w:pos="4320"/>
        </w:tabs>
        <w:ind w:left="4320" w:hanging="360"/>
      </w:pPr>
      <w:rPr>
        <w:rFonts w:ascii="Arial" w:hAnsi="Arial" w:hint="default"/>
      </w:rPr>
    </w:lvl>
    <w:lvl w:ilvl="6" w:tplc="FC4816EE" w:tentative="1">
      <w:start w:val="1"/>
      <w:numFmt w:val="bullet"/>
      <w:lvlText w:val="•"/>
      <w:lvlJc w:val="left"/>
      <w:pPr>
        <w:tabs>
          <w:tab w:val="num" w:pos="5040"/>
        </w:tabs>
        <w:ind w:left="5040" w:hanging="360"/>
      </w:pPr>
      <w:rPr>
        <w:rFonts w:ascii="Arial" w:hAnsi="Arial" w:hint="default"/>
      </w:rPr>
    </w:lvl>
    <w:lvl w:ilvl="7" w:tplc="134CBB02" w:tentative="1">
      <w:start w:val="1"/>
      <w:numFmt w:val="bullet"/>
      <w:lvlText w:val="•"/>
      <w:lvlJc w:val="left"/>
      <w:pPr>
        <w:tabs>
          <w:tab w:val="num" w:pos="5760"/>
        </w:tabs>
        <w:ind w:left="5760" w:hanging="360"/>
      </w:pPr>
      <w:rPr>
        <w:rFonts w:ascii="Arial" w:hAnsi="Arial" w:hint="default"/>
      </w:rPr>
    </w:lvl>
    <w:lvl w:ilvl="8" w:tplc="C4E88DA6" w:tentative="1">
      <w:start w:val="1"/>
      <w:numFmt w:val="bullet"/>
      <w:lvlText w:val="•"/>
      <w:lvlJc w:val="left"/>
      <w:pPr>
        <w:tabs>
          <w:tab w:val="num" w:pos="6480"/>
        </w:tabs>
        <w:ind w:left="6480" w:hanging="360"/>
      </w:pPr>
      <w:rPr>
        <w:rFonts w:ascii="Arial" w:hAnsi="Arial" w:hint="default"/>
      </w:rPr>
    </w:lvl>
  </w:abstractNum>
  <w:num w:numId="1">
    <w:abstractNumId w:val="2"/>
  </w:num>
  <w:num w:numId="2">
    <w:abstractNumId w:val="3"/>
  </w:num>
  <w:num w:numId="3">
    <w:abstractNumId w:val="0"/>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4C91"/>
    <w:rsid w:val="0000044C"/>
    <w:rsid w:val="000109F2"/>
    <w:rsid w:val="000266EB"/>
    <w:rsid w:val="000467EF"/>
    <w:rsid w:val="000538DA"/>
    <w:rsid w:val="000761B7"/>
    <w:rsid w:val="00085FEE"/>
    <w:rsid w:val="0008601C"/>
    <w:rsid w:val="00086E85"/>
    <w:rsid w:val="00091678"/>
    <w:rsid w:val="000E590E"/>
    <w:rsid w:val="0012251D"/>
    <w:rsid w:val="0012607E"/>
    <w:rsid w:val="00157D42"/>
    <w:rsid w:val="00184A5D"/>
    <w:rsid w:val="00184D00"/>
    <w:rsid w:val="0018780C"/>
    <w:rsid w:val="00194FA8"/>
    <w:rsid w:val="00195A67"/>
    <w:rsid w:val="001966DB"/>
    <w:rsid w:val="001C5ABB"/>
    <w:rsid w:val="00215745"/>
    <w:rsid w:val="00222D44"/>
    <w:rsid w:val="00263930"/>
    <w:rsid w:val="002B0285"/>
    <w:rsid w:val="002D0BC7"/>
    <w:rsid w:val="002D28EC"/>
    <w:rsid w:val="002D468D"/>
    <w:rsid w:val="002E4F7F"/>
    <w:rsid w:val="002F044B"/>
    <w:rsid w:val="003868E8"/>
    <w:rsid w:val="00390F99"/>
    <w:rsid w:val="003C42E7"/>
    <w:rsid w:val="003D425F"/>
    <w:rsid w:val="003F03B9"/>
    <w:rsid w:val="00466E59"/>
    <w:rsid w:val="00471BF5"/>
    <w:rsid w:val="004744EF"/>
    <w:rsid w:val="004D03B5"/>
    <w:rsid w:val="0050496E"/>
    <w:rsid w:val="00506405"/>
    <w:rsid w:val="005A322C"/>
    <w:rsid w:val="00602EA5"/>
    <w:rsid w:val="00631A9D"/>
    <w:rsid w:val="00652FF2"/>
    <w:rsid w:val="00690076"/>
    <w:rsid w:val="006C3335"/>
    <w:rsid w:val="007038FF"/>
    <w:rsid w:val="00734BAA"/>
    <w:rsid w:val="00753FF4"/>
    <w:rsid w:val="0076109A"/>
    <w:rsid w:val="007E7F5C"/>
    <w:rsid w:val="0088330D"/>
    <w:rsid w:val="008A4B89"/>
    <w:rsid w:val="008B17A8"/>
    <w:rsid w:val="008C4899"/>
    <w:rsid w:val="008D20D5"/>
    <w:rsid w:val="008D4E73"/>
    <w:rsid w:val="008E4513"/>
    <w:rsid w:val="009059B3"/>
    <w:rsid w:val="0090603B"/>
    <w:rsid w:val="00906FB8"/>
    <w:rsid w:val="00930BEF"/>
    <w:rsid w:val="0099146E"/>
    <w:rsid w:val="009A5800"/>
    <w:rsid w:val="009F18D1"/>
    <w:rsid w:val="00A23902"/>
    <w:rsid w:val="00A24279"/>
    <w:rsid w:val="00A25247"/>
    <w:rsid w:val="00A53F57"/>
    <w:rsid w:val="00A706DF"/>
    <w:rsid w:val="00AA074D"/>
    <w:rsid w:val="00AB64D7"/>
    <w:rsid w:val="00AC3F81"/>
    <w:rsid w:val="00AC4E65"/>
    <w:rsid w:val="00B24C5E"/>
    <w:rsid w:val="00B573BB"/>
    <w:rsid w:val="00B66A3A"/>
    <w:rsid w:val="00C01ABF"/>
    <w:rsid w:val="00C63654"/>
    <w:rsid w:val="00C90341"/>
    <w:rsid w:val="00CF6969"/>
    <w:rsid w:val="00D0295C"/>
    <w:rsid w:val="00D12508"/>
    <w:rsid w:val="00D172FB"/>
    <w:rsid w:val="00D33155"/>
    <w:rsid w:val="00D44FC3"/>
    <w:rsid w:val="00D66CF0"/>
    <w:rsid w:val="00D82999"/>
    <w:rsid w:val="00DA262F"/>
    <w:rsid w:val="00DA4AD4"/>
    <w:rsid w:val="00DF7A8B"/>
    <w:rsid w:val="00E2491C"/>
    <w:rsid w:val="00E36DD2"/>
    <w:rsid w:val="00E44A65"/>
    <w:rsid w:val="00E51DC7"/>
    <w:rsid w:val="00E62F2F"/>
    <w:rsid w:val="00E7335A"/>
    <w:rsid w:val="00E816BF"/>
    <w:rsid w:val="00E94C91"/>
    <w:rsid w:val="00EC5699"/>
    <w:rsid w:val="00ED2D95"/>
    <w:rsid w:val="00F15720"/>
    <w:rsid w:val="00F235E8"/>
    <w:rsid w:val="00F7091D"/>
    <w:rsid w:val="00FD3FFE"/>
    <w:rsid w:val="00FD4129"/>
    <w:rsid w:val="00FD7BC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53F21379"/>
  <w15:chartTrackingRefBased/>
  <w15:docId w15:val="{94528306-8B12-4049-B7F1-E482923C5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4C91"/>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Fußnote,Fußnotentext Char,Fußnotentext Char1 Char1,Fußnotentext Char Char Char Char,Fußnotentext Char1 Char Char Char,Fußnotentext Char Char,Fußnotentext Char1 Char Char Char Char,Fußnotentext Char Char Char Char Char Char,Fußn,o"/>
    <w:basedOn w:val="Normal"/>
    <w:link w:val="FootnoteTextChar"/>
    <w:uiPriority w:val="99"/>
    <w:unhideWhenUsed/>
    <w:qFormat/>
    <w:rsid w:val="00E94C91"/>
    <w:pPr>
      <w:spacing w:after="0" w:line="240" w:lineRule="auto"/>
    </w:pPr>
    <w:rPr>
      <w:rFonts w:ascii="Times New Roman" w:hAnsi="Times New Roman" w:cs="Times New Roman"/>
      <w:sz w:val="18"/>
      <w:szCs w:val="18"/>
    </w:rPr>
  </w:style>
  <w:style w:type="character" w:customStyle="1" w:styleId="FootnoteTextChar">
    <w:name w:val="Footnote Text Char"/>
    <w:aliases w:val="Footnote Char,Fußnote Char,Fußnotentext Char Char1,Fußnotentext Char1 Char1 Char,Fußnotentext Char Char Char Char Char,Fußnotentext Char1 Char Char Char Char1,Fußnotentext Char Char Char,Fußnotentext Char1 Char Char Char Char Char"/>
    <w:basedOn w:val="DefaultParagraphFont"/>
    <w:link w:val="FootnoteText"/>
    <w:uiPriority w:val="99"/>
    <w:qFormat/>
    <w:rsid w:val="00E94C91"/>
    <w:rPr>
      <w:rFonts w:ascii="Times New Roman" w:hAnsi="Times New Roman" w:cs="Times New Roman"/>
      <w:sz w:val="18"/>
      <w:szCs w:val="18"/>
    </w:rPr>
  </w:style>
  <w:style w:type="character" w:styleId="FootnoteReference">
    <w:name w:val="footnote reference"/>
    <w:aliases w:val="Footnote Reference Number,SUPERS,Footnote Reference Superscript,Footnote symbol,fr,Stinking Styles22,BVI fnr,(Footnote Reference),Footnote reference number,note TESI,EN Footnote Reference,Voetnootverwijzing,Times 10 Point,No,number,FR"/>
    <w:basedOn w:val="DefaultParagraphFont"/>
    <w:link w:val="FootnoteRefernece"/>
    <w:uiPriority w:val="99"/>
    <w:unhideWhenUsed/>
    <w:qFormat/>
    <w:rsid w:val="00E94C91"/>
    <w:rPr>
      <w:vertAlign w:val="superscript"/>
    </w:rPr>
  </w:style>
  <w:style w:type="paragraph" w:customStyle="1" w:styleId="FootnoteRefernece">
    <w:name w:val="Footnote Refernece"/>
    <w:aliases w:val="ftref,Odwołanie przypisu,Footnotes refss,Ref,de nota al pie,-E Fußnotenzeichen,E,E FNZ"/>
    <w:basedOn w:val="Normal"/>
    <w:next w:val="Normal"/>
    <w:link w:val="FootnoteReference"/>
    <w:uiPriority w:val="99"/>
    <w:rsid w:val="00E94C91"/>
    <w:pPr>
      <w:spacing w:line="240" w:lineRule="exact"/>
      <w:jc w:val="both"/>
    </w:pPr>
    <w:rPr>
      <w:sz w:val="22"/>
      <w:vertAlign w:val="superscript"/>
    </w:rPr>
  </w:style>
  <w:style w:type="paragraph" w:styleId="ListParagraph">
    <w:name w:val="List Paragraph"/>
    <w:aliases w:val="2,Strip,Numbered Para 1,Dot pt,No Spacing1,List Paragraph Char Char Char,Indicator Text,List Paragraph1,Bullet Points,MAIN CONTENT,IFCL - List Paragraph,List Paragraph12,OBC Bullet,F5 List Paragraph,Colorful List - Accent 11"/>
    <w:basedOn w:val="Normal"/>
    <w:link w:val="ListParagraphChar"/>
    <w:uiPriority w:val="34"/>
    <w:qFormat/>
    <w:rsid w:val="00E94C91"/>
    <w:pPr>
      <w:ind w:left="720"/>
      <w:contextualSpacing/>
    </w:pPr>
  </w:style>
  <w:style w:type="character" w:customStyle="1" w:styleId="ListParagraphChar">
    <w:name w:val="List Paragraph Char"/>
    <w:aliases w:val="2 Char,Strip Char,Numbered Para 1 Char,Dot pt Char,No Spacing1 Char,List Paragraph Char Char Char Char,Indicator Text Char,List Paragraph1 Char,Bullet Points Char,MAIN CONTENT Char,IFCL - List Paragraph Char,List Paragraph12 Char"/>
    <w:link w:val="ListParagraph"/>
    <w:uiPriority w:val="34"/>
    <w:qFormat/>
    <w:locked/>
    <w:rsid w:val="00E94C91"/>
    <w:rPr>
      <w:sz w:val="24"/>
    </w:rPr>
  </w:style>
  <w:style w:type="paragraph" w:styleId="Header">
    <w:name w:val="header"/>
    <w:basedOn w:val="Normal"/>
    <w:link w:val="HeaderChar"/>
    <w:uiPriority w:val="99"/>
    <w:unhideWhenUsed/>
    <w:rsid w:val="0012251D"/>
    <w:pPr>
      <w:tabs>
        <w:tab w:val="center" w:pos="4513"/>
        <w:tab w:val="right" w:pos="9026"/>
      </w:tabs>
      <w:spacing w:after="0" w:line="240" w:lineRule="auto"/>
    </w:pPr>
  </w:style>
  <w:style w:type="character" w:customStyle="1" w:styleId="HeaderChar">
    <w:name w:val="Header Char"/>
    <w:basedOn w:val="DefaultParagraphFont"/>
    <w:link w:val="Header"/>
    <w:uiPriority w:val="99"/>
    <w:rsid w:val="0012251D"/>
    <w:rPr>
      <w:sz w:val="24"/>
    </w:rPr>
  </w:style>
  <w:style w:type="paragraph" w:styleId="Footer">
    <w:name w:val="footer"/>
    <w:basedOn w:val="Normal"/>
    <w:link w:val="FooterChar"/>
    <w:uiPriority w:val="99"/>
    <w:unhideWhenUsed/>
    <w:rsid w:val="0012251D"/>
    <w:pPr>
      <w:tabs>
        <w:tab w:val="center" w:pos="4513"/>
        <w:tab w:val="right" w:pos="9026"/>
      </w:tabs>
      <w:spacing w:after="0" w:line="240" w:lineRule="auto"/>
    </w:pPr>
  </w:style>
  <w:style w:type="character" w:customStyle="1" w:styleId="FooterChar">
    <w:name w:val="Footer Char"/>
    <w:basedOn w:val="DefaultParagraphFont"/>
    <w:link w:val="Footer"/>
    <w:uiPriority w:val="99"/>
    <w:rsid w:val="0012251D"/>
    <w:rPr>
      <w:sz w:val="24"/>
    </w:rPr>
  </w:style>
  <w:style w:type="character" w:styleId="CommentReference">
    <w:name w:val="annotation reference"/>
    <w:basedOn w:val="DefaultParagraphFont"/>
    <w:uiPriority w:val="99"/>
    <w:semiHidden/>
    <w:unhideWhenUsed/>
    <w:rsid w:val="007E7F5C"/>
    <w:rPr>
      <w:sz w:val="16"/>
      <w:szCs w:val="16"/>
    </w:rPr>
  </w:style>
  <w:style w:type="paragraph" w:styleId="CommentText">
    <w:name w:val="annotation text"/>
    <w:basedOn w:val="Normal"/>
    <w:link w:val="CommentTextChar"/>
    <w:uiPriority w:val="99"/>
    <w:semiHidden/>
    <w:unhideWhenUsed/>
    <w:rsid w:val="007E7F5C"/>
    <w:pPr>
      <w:spacing w:line="240" w:lineRule="auto"/>
    </w:pPr>
    <w:rPr>
      <w:sz w:val="20"/>
      <w:szCs w:val="20"/>
    </w:rPr>
  </w:style>
  <w:style w:type="character" w:customStyle="1" w:styleId="CommentTextChar">
    <w:name w:val="Comment Text Char"/>
    <w:basedOn w:val="DefaultParagraphFont"/>
    <w:link w:val="CommentText"/>
    <w:uiPriority w:val="99"/>
    <w:semiHidden/>
    <w:rsid w:val="007E7F5C"/>
    <w:rPr>
      <w:sz w:val="20"/>
      <w:szCs w:val="20"/>
    </w:rPr>
  </w:style>
  <w:style w:type="paragraph" w:styleId="CommentSubject">
    <w:name w:val="annotation subject"/>
    <w:basedOn w:val="CommentText"/>
    <w:next w:val="CommentText"/>
    <w:link w:val="CommentSubjectChar"/>
    <w:uiPriority w:val="99"/>
    <w:semiHidden/>
    <w:unhideWhenUsed/>
    <w:rsid w:val="007E7F5C"/>
    <w:rPr>
      <w:b/>
      <w:bCs/>
    </w:rPr>
  </w:style>
  <w:style w:type="character" w:customStyle="1" w:styleId="CommentSubjectChar">
    <w:name w:val="Comment Subject Char"/>
    <w:basedOn w:val="CommentTextChar"/>
    <w:link w:val="CommentSubject"/>
    <w:uiPriority w:val="99"/>
    <w:semiHidden/>
    <w:rsid w:val="007E7F5C"/>
    <w:rPr>
      <w:b/>
      <w:bCs/>
      <w:sz w:val="20"/>
      <w:szCs w:val="20"/>
    </w:rPr>
  </w:style>
  <w:style w:type="paragraph" w:styleId="BalloonText">
    <w:name w:val="Balloon Text"/>
    <w:basedOn w:val="Normal"/>
    <w:link w:val="BalloonTextChar"/>
    <w:uiPriority w:val="99"/>
    <w:semiHidden/>
    <w:unhideWhenUsed/>
    <w:rsid w:val="007E7F5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7F5C"/>
    <w:rPr>
      <w:rFonts w:ascii="Segoe UI" w:hAnsi="Segoe UI" w:cs="Segoe UI"/>
      <w:sz w:val="18"/>
      <w:szCs w:val="18"/>
    </w:rPr>
  </w:style>
  <w:style w:type="paragraph" w:customStyle="1" w:styleId="bildes">
    <w:name w:val="bildes"/>
    <w:basedOn w:val="Normal"/>
    <w:next w:val="Normal"/>
    <w:uiPriority w:val="99"/>
    <w:rsid w:val="00FD4129"/>
    <w:pPr>
      <w:spacing w:before="120" w:after="60" w:line="276" w:lineRule="auto"/>
      <w:ind w:firstLine="720"/>
      <w:jc w:val="center"/>
      <w:textAlignment w:val="baseline"/>
    </w:pPr>
    <w:rPr>
      <w:rFonts w:ascii="Times New Roman" w:hAnsi="Times New Roman"/>
      <w:szCs w:val="26"/>
      <w:vertAlign w:val="superscript"/>
    </w:rPr>
  </w:style>
  <w:style w:type="paragraph" w:customStyle="1" w:styleId="apaka">
    <w:name w:val="apakša"/>
    <w:basedOn w:val="FootnoteText"/>
    <w:link w:val="apakaChar"/>
    <w:qFormat/>
    <w:rsid w:val="00FD4129"/>
    <w:pPr>
      <w:spacing w:before="120" w:line="276" w:lineRule="auto"/>
      <w:ind w:firstLine="720"/>
      <w:jc w:val="both"/>
    </w:pPr>
    <w:rPr>
      <w:rFonts w:eastAsia="Times New Roman"/>
      <w:bCs/>
      <w:sz w:val="16"/>
      <w:szCs w:val="16"/>
    </w:rPr>
  </w:style>
  <w:style w:type="character" w:customStyle="1" w:styleId="apakaChar">
    <w:name w:val="apakša Char"/>
    <w:basedOn w:val="DefaultParagraphFont"/>
    <w:link w:val="apaka"/>
    <w:rsid w:val="00FD4129"/>
    <w:rPr>
      <w:rFonts w:ascii="Times New Roman" w:eastAsia="Times New Roman" w:hAnsi="Times New Roman" w:cs="Times New Roman"/>
      <w:bCs/>
      <w:sz w:val="16"/>
      <w:szCs w:val="16"/>
    </w:rPr>
  </w:style>
  <w:style w:type="character" w:styleId="Hyperlink">
    <w:name w:val="Hyperlink"/>
    <w:basedOn w:val="DefaultParagraphFont"/>
    <w:uiPriority w:val="99"/>
    <w:unhideWhenUsed/>
    <w:rsid w:val="00FD4129"/>
    <w:rPr>
      <w:color w:val="0563C1" w:themeColor="hyperlink"/>
      <w:u w:val="single"/>
    </w:rPr>
  </w:style>
  <w:style w:type="character" w:styleId="UnresolvedMention">
    <w:name w:val="Unresolved Mention"/>
    <w:basedOn w:val="DefaultParagraphFont"/>
    <w:uiPriority w:val="99"/>
    <w:semiHidden/>
    <w:unhideWhenUsed/>
    <w:rsid w:val="00390F9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411385">
      <w:bodyDiv w:val="1"/>
      <w:marLeft w:val="0"/>
      <w:marRight w:val="0"/>
      <w:marTop w:val="0"/>
      <w:marBottom w:val="0"/>
      <w:divBdr>
        <w:top w:val="none" w:sz="0" w:space="0" w:color="auto"/>
        <w:left w:val="none" w:sz="0" w:space="0" w:color="auto"/>
        <w:bottom w:val="none" w:sz="0" w:space="0" w:color="auto"/>
        <w:right w:val="none" w:sz="0" w:space="0" w:color="auto"/>
      </w:divBdr>
      <w:divsChild>
        <w:div w:id="1437871738">
          <w:marLeft w:val="0"/>
          <w:marRight w:val="0"/>
          <w:marTop w:val="0"/>
          <w:marBottom w:val="0"/>
          <w:divBdr>
            <w:top w:val="none" w:sz="0" w:space="0" w:color="auto"/>
            <w:left w:val="none" w:sz="0" w:space="0" w:color="auto"/>
            <w:bottom w:val="none" w:sz="0" w:space="0" w:color="auto"/>
            <w:right w:val="none" w:sz="0" w:space="0" w:color="auto"/>
          </w:divBdr>
        </w:div>
      </w:divsChild>
    </w:div>
    <w:div w:id="718210121">
      <w:bodyDiv w:val="1"/>
      <w:marLeft w:val="0"/>
      <w:marRight w:val="0"/>
      <w:marTop w:val="0"/>
      <w:marBottom w:val="0"/>
      <w:divBdr>
        <w:top w:val="none" w:sz="0" w:space="0" w:color="auto"/>
        <w:left w:val="none" w:sz="0" w:space="0" w:color="auto"/>
        <w:bottom w:val="none" w:sz="0" w:space="0" w:color="auto"/>
        <w:right w:val="none" w:sz="0" w:space="0" w:color="auto"/>
      </w:divBdr>
      <w:divsChild>
        <w:div w:id="1714963518">
          <w:marLeft w:val="547"/>
          <w:marRight w:val="0"/>
          <w:marTop w:val="240"/>
          <w:marBottom w:val="240"/>
          <w:divBdr>
            <w:top w:val="none" w:sz="0" w:space="0" w:color="auto"/>
            <w:left w:val="none" w:sz="0" w:space="0" w:color="auto"/>
            <w:bottom w:val="none" w:sz="0" w:space="0" w:color="auto"/>
            <w:right w:val="none" w:sz="0" w:space="0" w:color="auto"/>
          </w:divBdr>
        </w:div>
      </w:divsChild>
    </w:div>
    <w:div w:id="1159425195">
      <w:bodyDiv w:val="1"/>
      <w:marLeft w:val="0"/>
      <w:marRight w:val="0"/>
      <w:marTop w:val="0"/>
      <w:marBottom w:val="0"/>
      <w:divBdr>
        <w:top w:val="none" w:sz="0" w:space="0" w:color="auto"/>
        <w:left w:val="none" w:sz="0" w:space="0" w:color="auto"/>
        <w:bottom w:val="none" w:sz="0" w:space="0" w:color="auto"/>
        <w:right w:val="none" w:sz="0" w:space="0" w:color="auto"/>
      </w:divBdr>
      <w:divsChild>
        <w:div w:id="884947327">
          <w:marLeft w:val="547"/>
          <w:marRight w:val="0"/>
          <w:marTop w:val="240"/>
          <w:marBottom w:val="240"/>
          <w:divBdr>
            <w:top w:val="none" w:sz="0" w:space="0" w:color="auto"/>
            <w:left w:val="none" w:sz="0" w:space="0" w:color="auto"/>
            <w:bottom w:val="none" w:sz="0" w:space="0" w:color="auto"/>
            <w:right w:val="none" w:sz="0" w:space="0" w:color="auto"/>
          </w:divBdr>
        </w:div>
      </w:divsChild>
    </w:div>
    <w:div w:id="1213032321">
      <w:bodyDiv w:val="1"/>
      <w:marLeft w:val="0"/>
      <w:marRight w:val="0"/>
      <w:marTop w:val="0"/>
      <w:marBottom w:val="0"/>
      <w:divBdr>
        <w:top w:val="none" w:sz="0" w:space="0" w:color="auto"/>
        <w:left w:val="none" w:sz="0" w:space="0" w:color="auto"/>
        <w:bottom w:val="none" w:sz="0" w:space="0" w:color="auto"/>
        <w:right w:val="none" w:sz="0" w:space="0" w:color="auto"/>
      </w:divBdr>
      <w:divsChild>
        <w:div w:id="1901091955">
          <w:marLeft w:val="547"/>
          <w:marRight w:val="0"/>
          <w:marTop w:val="200"/>
          <w:marBottom w:val="0"/>
          <w:divBdr>
            <w:top w:val="none" w:sz="0" w:space="0" w:color="auto"/>
            <w:left w:val="none" w:sz="0" w:space="0" w:color="auto"/>
            <w:bottom w:val="none" w:sz="0" w:space="0" w:color="auto"/>
            <w:right w:val="none" w:sz="0" w:space="0" w:color="auto"/>
          </w:divBdr>
        </w:div>
        <w:div w:id="390036202">
          <w:marLeft w:val="1627"/>
          <w:marRight w:val="0"/>
          <w:marTop w:val="120"/>
          <w:marBottom w:val="120"/>
          <w:divBdr>
            <w:top w:val="none" w:sz="0" w:space="0" w:color="auto"/>
            <w:left w:val="none" w:sz="0" w:space="0" w:color="auto"/>
            <w:bottom w:val="none" w:sz="0" w:space="0" w:color="auto"/>
            <w:right w:val="none" w:sz="0" w:space="0" w:color="auto"/>
          </w:divBdr>
        </w:div>
        <w:div w:id="993681505">
          <w:marLeft w:val="1627"/>
          <w:marRight w:val="0"/>
          <w:marTop w:val="120"/>
          <w:marBottom w:val="120"/>
          <w:divBdr>
            <w:top w:val="none" w:sz="0" w:space="0" w:color="auto"/>
            <w:left w:val="none" w:sz="0" w:space="0" w:color="auto"/>
            <w:bottom w:val="none" w:sz="0" w:space="0" w:color="auto"/>
            <w:right w:val="none" w:sz="0" w:space="0" w:color="auto"/>
          </w:divBdr>
        </w:div>
        <w:div w:id="651252284">
          <w:marLeft w:val="1627"/>
          <w:marRight w:val="0"/>
          <w:marTop w:val="120"/>
          <w:marBottom w:val="120"/>
          <w:divBdr>
            <w:top w:val="none" w:sz="0" w:space="0" w:color="auto"/>
            <w:left w:val="none" w:sz="0" w:space="0" w:color="auto"/>
            <w:bottom w:val="none" w:sz="0" w:space="0" w:color="auto"/>
            <w:right w:val="none" w:sz="0" w:space="0" w:color="auto"/>
          </w:divBdr>
        </w:div>
        <w:div w:id="1418942710">
          <w:marLeft w:val="547"/>
          <w:marRight w:val="0"/>
          <w:marTop w:val="120"/>
          <w:marBottom w:val="120"/>
          <w:divBdr>
            <w:top w:val="none" w:sz="0" w:space="0" w:color="auto"/>
            <w:left w:val="none" w:sz="0" w:space="0" w:color="auto"/>
            <w:bottom w:val="none" w:sz="0" w:space="0" w:color="auto"/>
            <w:right w:val="none" w:sz="0" w:space="0" w:color="auto"/>
          </w:divBdr>
        </w:div>
        <w:div w:id="814562763">
          <w:marLeft w:val="1627"/>
          <w:marRight w:val="0"/>
          <w:marTop w:val="120"/>
          <w:marBottom w:val="120"/>
          <w:divBdr>
            <w:top w:val="none" w:sz="0" w:space="0" w:color="auto"/>
            <w:left w:val="none" w:sz="0" w:space="0" w:color="auto"/>
            <w:bottom w:val="none" w:sz="0" w:space="0" w:color="auto"/>
            <w:right w:val="none" w:sz="0" w:space="0" w:color="auto"/>
          </w:divBdr>
        </w:div>
        <w:div w:id="360057802">
          <w:marLeft w:val="1627"/>
          <w:marRight w:val="0"/>
          <w:marTop w:val="120"/>
          <w:marBottom w:val="120"/>
          <w:divBdr>
            <w:top w:val="none" w:sz="0" w:space="0" w:color="auto"/>
            <w:left w:val="none" w:sz="0" w:space="0" w:color="auto"/>
            <w:bottom w:val="none" w:sz="0" w:space="0" w:color="auto"/>
            <w:right w:val="none" w:sz="0" w:space="0" w:color="auto"/>
          </w:divBdr>
        </w:div>
        <w:div w:id="1783920784">
          <w:marLeft w:val="1627"/>
          <w:marRight w:val="0"/>
          <w:marTop w:val="120"/>
          <w:marBottom w:val="120"/>
          <w:divBdr>
            <w:top w:val="none" w:sz="0" w:space="0" w:color="auto"/>
            <w:left w:val="none" w:sz="0" w:space="0" w:color="auto"/>
            <w:bottom w:val="none" w:sz="0" w:space="0" w:color="auto"/>
            <w:right w:val="none" w:sz="0" w:space="0" w:color="auto"/>
          </w:divBdr>
        </w:div>
      </w:divsChild>
    </w:div>
    <w:div w:id="1317034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3BACE6-0838-41D0-A554-C49AA3830F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TotalTime>
  <Pages>4</Pages>
  <Words>6157</Words>
  <Characters>3510</Characters>
  <Application>Microsoft Office Word</Application>
  <DocSecurity>0</DocSecurity>
  <Lines>29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Helēna Rimša</dc:creator>
  <cp:keywords/>
  <dc:description/>
  <cp:lastModifiedBy>Līga Dreijalte</cp:lastModifiedBy>
  <cp:revision>18</cp:revision>
  <cp:lastPrinted>2019-11-04T07:04:00Z</cp:lastPrinted>
  <dcterms:created xsi:type="dcterms:W3CDTF">2019-11-04T13:20:00Z</dcterms:created>
  <dcterms:modified xsi:type="dcterms:W3CDTF">2019-11-04T15:23:00Z</dcterms:modified>
</cp:coreProperties>
</file>