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DD0C" w14:textId="77777777" w:rsidR="0030119C" w:rsidRPr="0030119C" w:rsidRDefault="0030119C" w:rsidP="0030119C">
      <w:pPr>
        <w:pStyle w:val="VirsrkastsOtrais"/>
        <w:numPr>
          <w:ilvl w:val="0"/>
          <w:numId w:val="0"/>
        </w:numPr>
        <w:spacing w:before="120" w:after="120"/>
        <w:ind w:left="142"/>
        <w:contextualSpacing w:val="0"/>
        <w:jc w:val="right"/>
        <w:rPr>
          <w:rFonts w:asciiTheme="minorHAnsi" w:hAnsiTheme="minorHAnsi" w:cstheme="minorHAnsi"/>
        </w:rPr>
      </w:pPr>
      <w:bookmarkStart w:id="0" w:name="_GoBack"/>
      <w:r w:rsidRPr="0030119C">
        <w:rPr>
          <w:rFonts w:asciiTheme="minorHAnsi" w:hAnsiTheme="minorHAnsi" w:cstheme="minorHAnsi"/>
        </w:rPr>
        <w:t>Latvijas Nacionālais enerģētikas un klimata plāns 2030. gadam </w:t>
      </w:r>
    </w:p>
    <w:p w14:paraId="54E3D965" w14:textId="77777777" w:rsidR="0030119C" w:rsidRPr="0030119C" w:rsidRDefault="0030119C" w:rsidP="0030119C">
      <w:pPr>
        <w:pStyle w:val="Heading1"/>
        <w:numPr>
          <w:ilvl w:val="0"/>
          <w:numId w:val="0"/>
        </w:numPr>
        <w:ind w:left="709"/>
        <w:jc w:val="right"/>
        <w:rPr>
          <w:rFonts w:asciiTheme="minorHAnsi" w:hAnsiTheme="minorHAnsi" w:cstheme="minorHAnsi"/>
        </w:rPr>
      </w:pPr>
      <w:bookmarkStart w:id="1" w:name="_Toc532910027"/>
      <w:r w:rsidRPr="0030119C">
        <w:rPr>
          <w:rFonts w:asciiTheme="minorHAnsi" w:hAnsiTheme="minorHAnsi" w:cstheme="minorHAnsi"/>
        </w:rPr>
        <w:t>2.pielikums</w:t>
      </w:r>
      <w:bookmarkEnd w:id="1"/>
      <w:r w:rsidRPr="0030119C">
        <w:rPr>
          <w:rFonts w:asciiTheme="minorHAnsi" w:hAnsiTheme="minorHAnsi" w:cstheme="minorHAnsi"/>
        </w:rPr>
        <w:t> </w:t>
      </w:r>
    </w:p>
    <w:p w14:paraId="4417CED5" w14:textId="77777777" w:rsidR="0030119C" w:rsidRPr="0030119C" w:rsidRDefault="0030119C" w:rsidP="0030119C">
      <w:pPr>
        <w:pStyle w:val="Heading1"/>
        <w:numPr>
          <w:ilvl w:val="0"/>
          <w:numId w:val="0"/>
        </w:numPr>
        <w:ind w:left="709"/>
        <w:jc w:val="center"/>
        <w:rPr>
          <w:rFonts w:asciiTheme="minorHAnsi" w:eastAsia="Calibri" w:hAnsiTheme="minorHAnsi" w:cstheme="minorHAnsi"/>
          <w:noProof/>
          <w:szCs w:val="28"/>
          <w:lang w:eastAsia="lv-LV" w:bidi="lv-LV"/>
        </w:rPr>
      </w:pPr>
      <w:bookmarkStart w:id="2" w:name="_Toc532910028"/>
      <w:bookmarkStart w:id="3" w:name="_Hlk529787106"/>
      <w:bookmarkEnd w:id="0"/>
      <w:r w:rsidRPr="0030119C">
        <w:rPr>
          <w:rFonts w:asciiTheme="minorHAnsi" w:eastAsia="Calibri" w:hAnsiTheme="minorHAnsi" w:cstheme="minorHAnsi"/>
          <w:noProof/>
          <w:szCs w:val="28"/>
          <w:lang w:eastAsia="lv-LV" w:bidi="lv-LV"/>
        </w:rPr>
        <w:t>Indikatīvā ERAF un KF sasaiste ar Plānu</w:t>
      </w:r>
      <w:bookmarkEnd w:id="2"/>
    </w:p>
    <w:bookmarkEnd w:id="3"/>
    <w:p w14:paraId="6066A4BB" w14:textId="77777777" w:rsidR="0030119C" w:rsidRPr="0030119C" w:rsidRDefault="0030119C" w:rsidP="0030119C">
      <w:pPr>
        <w:spacing w:before="120" w:after="120" w:line="240" w:lineRule="auto"/>
        <w:ind w:right="-309"/>
        <w:jc w:val="center"/>
        <w:rPr>
          <w:rFonts w:eastAsia="Calibri" w:cstheme="minorHAnsi"/>
          <w:b/>
          <w:bCs/>
          <w:noProof/>
          <w:sz w:val="28"/>
          <w:szCs w:val="28"/>
          <w:vertAlign w:val="superscript"/>
          <w:lang w:eastAsia="lv-LV" w:bidi="lv-LV"/>
        </w:rPr>
      </w:pPr>
      <w:r w:rsidRPr="0030119C">
        <w:rPr>
          <w:rFonts w:eastAsia="Calibri" w:cstheme="minorHAnsi"/>
          <w:b/>
          <w:noProof/>
          <w:sz w:val="28"/>
          <w:szCs w:val="28"/>
          <w:lang w:eastAsia="lv-LV" w:bidi="lv-LV"/>
        </w:rPr>
        <w:t>1.tabula. Indikatīvā informācija par kopīgo ERAF un Kohēzijas fonda rezultātu rādītāju atbilstību Plāna rādītājiem</w:t>
      </w:r>
    </w:p>
    <w:tbl>
      <w:tblPr>
        <w:tblW w:w="14468" w:type="dxa"/>
        <w:tblInd w:w="93" w:type="dxa"/>
        <w:tblLook w:val="04A0" w:firstRow="1" w:lastRow="0" w:firstColumn="1" w:lastColumn="0" w:noHBand="0" w:noVBand="1"/>
      </w:tblPr>
      <w:tblGrid>
        <w:gridCol w:w="1733"/>
        <w:gridCol w:w="6473"/>
        <w:gridCol w:w="6262"/>
      </w:tblGrid>
      <w:tr w:rsidR="0030119C" w:rsidRPr="0030119C" w14:paraId="29576748" w14:textId="77777777" w:rsidTr="006B5EFD">
        <w:trPr>
          <w:trHeight w:val="186"/>
          <w:tblHeader/>
        </w:trPr>
        <w:tc>
          <w:tcPr>
            <w:tcW w:w="17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CA9497" w14:textId="77777777" w:rsidR="0030119C" w:rsidRPr="0030119C" w:rsidRDefault="0030119C" w:rsidP="000165BF">
            <w:pPr>
              <w:spacing w:after="0" w:line="240" w:lineRule="auto"/>
              <w:jc w:val="center"/>
              <w:rPr>
                <w:rFonts w:eastAsia="Times New Roman" w:cstheme="minorHAnsi"/>
                <w:b/>
                <w:bCs/>
                <w:noProof/>
                <w:color w:val="000000"/>
                <w:sz w:val="20"/>
                <w:szCs w:val="20"/>
                <w:lang w:eastAsia="lv-LV" w:bidi="lv-LV"/>
              </w:rPr>
            </w:pPr>
            <w:bookmarkStart w:id="4" w:name="_Hlk527912224"/>
            <w:r w:rsidRPr="0030119C">
              <w:rPr>
                <w:rFonts w:eastAsia="Calibri" w:cstheme="minorHAnsi"/>
                <w:b/>
                <w:noProof/>
                <w:color w:val="000000"/>
                <w:sz w:val="20"/>
                <w:szCs w:val="20"/>
                <w:lang w:eastAsia="lv-LV" w:bidi="lv-LV"/>
              </w:rPr>
              <w:t>Politikas mērķis</w:t>
            </w:r>
          </w:p>
        </w:tc>
        <w:tc>
          <w:tcPr>
            <w:tcW w:w="6473" w:type="dxa"/>
            <w:tcBorders>
              <w:top w:val="single" w:sz="4" w:space="0" w:color="auto"/>
              <w:left w:val="nil"/>
              <w:bottom w:val="single" w:sz="4" w:space="0" w:color="auto"/>
              <w:right w:val="single" w:sz="4" w:space="0" w:color="auto"/>
            </w:tcBorders>
            <w:shd w:val="clear" w:color="auto" w:fill="F2F2F2"/>
            <w:vAlign w:val="center"/>
            <w:hideMark/>
          </w:tcPr>
          <w:p w14:paraId="62B34BF4" w14:textId="77777777" w:rsidR="0030119C" w:rsidRPr="0030119C" w:rsidRDefault="0030119C" w:rsidP="000165BF">
            <w:pPr>
              <w:spacing w:after="0" w:line="240" w:lineRule="auto"/>
              <w:jc w:val="center"/>
              <w:rPr>
                <w:rFonts w:eastAsia="Times New Roman" w:cstheme="minorHAnsi"/>
                <w:b/>
                <w:bCs/>
                <w:noProof/>
                <w:color w:val="000000"/>
                <w:sz w:val="20"/>
                <w:szCs w:val="20"/>
                <w:lang w:eastAsia="lv-LV" w:bidi="lv-LV"/>
              </w:rPr>
            </w:pPr>
            <w:r w:rsidRPr="0030119C">
              <w:rPr>
                <w:rFonts w:eastAsia="Calibri" w:cstheme="minorHAnsi"/>
                <w:b/>
                <w:noProof/>
                <w:color w:val="000000"/>
                <w:sz w:val="20"/>
                <w:szCs w:val="20"/>
                <w:lang w:eastAsia="lv-LV" w:bidi="lv-LV"/>
              </w:rPr>
              <w:t>EFAF un KF fondu rezultāti</w:t>
            </w:r>
            <w:r w:rsidRPr="0030119C">
              <w:rPr>
                <w:rFonts w:eastAsia="Calibri" w:cstheme="minorHAnsi"/>
                <w:b/>
                <w:noProof/>
                <w:color w:val="000000"/>
                <w:sz w:val="20"/>
                <w:szCs w:val="20"/>
                <w:vertAlign w:val="superscript"/>
                <w:lang w:eastAsia="lv-LV" w:bidi="lv-LV"/>
              </w:rPr>
              <w:footnoteReference w:id="1"/>
            </w:r>
          </w:p>
        </w:tc>
        <w:tc>
          <w:tcPr>
            <w:tcW w:w="6262" w:type="dxa"/>
            <w:tcBorders>
              <w:top w:val="single" w:sz="4" w:space="0" w:color="auto"/>
              <w:left w:val="nil"/>
              <w:bottom w:val="single" w:sz="4" w:space="0" w:color="auto"/>
              <w:right w:val="single" w:sz="4" w:space="0" w:color="auto"/>
            </w:tcBorders>
            <w:shd w:val="clear" w:color="auto" w:fill="F2F2F2"/>
            <w:vAlign w:val="center"/>
            <w:hideMark/>
          </w:tcPr>
          <w:p w14:paraId="1375CD73" w14:textId="77777777" w:rsidR="0030119C" w:rsidRPr="0030119C" w:rsidRDefault="0030119C" w:rsidP="000165BF">
            <w:pPr>
              <w:spacing w:after="0" w:line="240" w:lineRule="auto"/>
              <w:jc w:val="center"/>
              <w:rPr>
                <w:rFonts w:eastAsia="Calibri" w:cstheme="minorHAnsi"/>
                <w:b/>
                <w:noProof/>
                <w:color w:val="000000"/>
                <w:sz w:val="20"/>
                <w:szCs w:val="20"/>
                <w:lang w:eastAsia="lv-LV" w:bidi="lv-LV"/>
              </w:rPr>
            </w:pPr>
            <w:r w:rsidRPr="0030119C">
              <w:rPr>
                <w:rFonts w:eastAsia="Calibri" w:cstheme="minorHAnsi"/>
                <w:b/>
                <w:noProof/>
                <w:color w:val="000000"/>
                <w:sz w:val="20"/>
                <w:szCs w:val="20"/>
                <w:lang w:eastAsia="lv-LV" w:bidi="lv-LV"/>
              </w:rPr>
              <w:t>Plāna rezultāti</w:t>
            </w:r>
            <w:r w:rsidRPr="0030119C">
              <w:rPr>
                <w:rStyle w:val="FootnoteReference"/>
                <w:rFonts w:eastAsia="Calibri" w:cstheme="minorHAnsi"/>
                <w:b/>
                <w:noProof/>
                <w:color w:val="000000"/>
                <w:sz w:val="20"/>
                <w:szCs w:val="20"/>
                <w:lang w:eastAsia="lv-LV" w:bidi="lv-LV"/>
              </w:rPr>
              <w:footnoteReference w:id="2"/>
            </w:r>
          </w:p>
        </w:tc>
      </w:tr>
      <w:tr w:rsidR="0030119C" w:rsidRPr="0030119C" w14:paraId="1960C284" w14:textId="77777777" w:rsidTr="006B5EFD">
        <w:trPr>
          <w:trHeight w:val="2091"/>
        </w:trPr>
        <w:tc>
          <w:tcPr>
            <w:tcW w:w="1733" w:type="dxa"/>
            <w:vMerge w:val="restart"/>
            <w:tcBorders>
              <w:top w:val="nil"/>
              <w:left w:val="single" w:sz="4" w:space="0" w:color="auto"/>
              <w:bottom w:val="single" w:sz="4" w:space="0" w:color="auto"/>
              <w:right w:val="single" w:sz="4" w:space="0" w:color="auto"/>
            </w:tcBorders>
            <w:vAlign w:val="center"/>
            <w:hideMark/>
          </w:tcPr>
          <w:p w14:paraId="1921F8F8" w14:textId="77777777" w:rsidR="0030119C" w:rsidRPr="0030119C" w:rsidRDefault="0030119C" w:rsidP="000165BF">
            <w:pPr>
              <w:spacing w:after="0" w:line="240" w:lineRule="auto"/>
              <w:jc w:val="center"/>
              <w:rPr>
                <w:rFonts w:eastAsia="Times New Roman" w:cstheme="minorHAnsi"/>
                <w:b/>
                <w:bCs/>
                <w:noProof/>
                <w:color w:val="000000"/>
                <w:sz w:val="22"/>
                <w:lang w:eastAsia="lv-LV" w:bidi="lv-LV"/>
              </w:rPr>
            </w:pPr>
            <w:r w:rsidRPr="0030119C">
              <w:rPr>
                <w:rFonts w:eastAsia="Calibri" w:cstheme="minorHAnsi"/>
                <w:b/>
                <w:noProof/>
                <w:color w:val="000000"/>
                <w:sz w:val="22"/>
                <w:lang w:eastAsia="lv-LV" w:bidi="lv-LV"/>
              </w:rPr>
              <w:t>1. Viedāka Eiropa, veicinot inovatīvas un viedas ekonomiskās pārmaiņas</w:t>
            </w:r>
          </w:p>
        </w:tc>
        <w:tc>
          <w:tcPr>
            <w:tcW w:w="6473" w:type="dxa"/>
            <w:tcBorders>
              <w:top w:val="nil"/>
              <w:left w:val="nil"/>
              <w:bottom w:val="single" w:sz="4" w:space="0" w:color="auto"/>
              <w:right w:val="single" w:sz="4" w:space="0" w:color="auto"/>
            </w:tcBorders>
            <w:vAlign w:val="center"/>
            <w:hideMark/>
          </w:tcPr>
          <w:p w14:paraId="47590455"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w:t>
            </w:r>
            <w:r w:rsidRPr="0030119C">
              <w:rPr>
                <w:rFonts w:eastAsia="Calibri" w:cstheme="minorHAnsi"/>
                <w:noProof/>
                <w:color w:val="000000"/>
                <w:sz w:val="22"/>
                <w:vertAlign w:val="superscript"/>
                <w:lang w:eastAsia="lv-LV" w:bidi="lv-LV"/>
              </w:rPr>
              <w:footnoteReference w:id="3"/>
            </w:r>
            <w:r w:rsidRPr="0030119C">
              <w:rPr>
                <w:rFonts w:eastAsia="Calibri" w:cstheme="minorHAnsi"/>
                <w:noProof/>
                <w:color w:val="000000"/>
                <w:sz w:val="22"/>
                <w:lang w:eastAsia="lv-LV" w:bidi="lv-LV"/>
              </w:rPr>
              <w:t xml:space="preserve">01 – Atbalstītajās struktūrās izveidotās darbvietas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02 – Publisko atbalstu papildinošās privātās investīcijas (tai skaitā: dotācijas, finanšu instrumenti)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03 – MVU, kas ievieš produktu vai procesu inovāciju</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04 – MVU, kas ievieš tirgvedības vai organizatorisku inovāciju</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05 – MVU, kas inovē sava uzņēmuma iekšienē</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06 – Eiropas Patentu birojam iesniegtie patentu pieteikumi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07 – Preču zīmju un dizainparaugu pieteikumi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08 – Publiskā un privātā sektora koppublikācijas</w:t>
            </w:r>
          </w:p>
        </w:tc>
        <w:tc>
          <w:tcPr>
            <w:tcW w:w="6262" w:type="dxa"/>
            <w:vMerge w:val="restart"/>
            <w:tcBorders>
              <w:top w:val="nil"/>
              <w:left w:val="nil"/>
              <w:bottom w:val="single" w:sz="4" w:space="0" w:color="auto"/>
              <w:right w:val="single" w:sz="4" w:space="0" w:color="auto"/>
            </w:tcBorders>
            <w:hideMark/>
          </w:tcPr>
          <w:p w14:paraId="3D07FA3C" w14:textId="77777777" w:rsidR="0030119C" w:rsidRPr="0030119C" w:rsidRDefault="0030119C" w:rsidP="000165BF">
            <w:pPr>
              <w:numPr>
                <w:ilvl w:val="0"/>
                <w:numId w:val="3"/>
              </w:numPr>
              <w:spacing w:after="0" w:line="240" w:lineRule="auto"/>
              <w:jc w:val="both"/>
              <w:rPr>
                <w:rFonts w:eastAsia="Calibri" w:cstheme="minorHAnsi"/>
                <w:noProof/>
                <w:color w:val="000000"/>
                <w:sz w:val="22"/>
              </w:rPr>
            </w:pPr>
            <w:r w:rsidRPr="0030119C">
              <w:rPr>
                <w:rFonts w:eastAsia="Calibri" w:cstheme="minorHAnsi"/>
                <w:noProof/>
                <w:color w:val="000000"/>
                <w:sz w:val="22"/>
              </w:rPr>
              <w:t>Inovatīvu produktu apgrozījums</w:t>
            </w:r>
          </w:p>
          <w:p w14:paraId="7617A2F7" w14:textId="77777777" w:rsidR="0030119C" w:rsidRPr="0030119C" w:rsidRDefault="0030119C" w:rsidP="000165BF">
            <w:pPr>
              <w:numPr>
                <w:ilvl w:val="0"/>
                <w:numId w:val="3"/>
              </w:numPr>
              <w:spacing w:after="0" w:line="240" w:lineRule="auto"/>
              <w:jc w:val="both"/>
              <w:rPr>
                <w:rFonts w:eastAsia="Calibri" w:cstheme="minorHAnsi"/>
                <w:noProof/>
                <w:color w:val="000000"/>
                <w:sz w:val="22"/>
              </w:rPr>
            </w:pPr>
            <w:r w:rsidRPr="0030119C">
              <w:rPr>
                <w:rFonts w:eastAsia="Calibri" w:cstheme="minorHAnsi"/>
                <w:noProof/>
                <w:color w:val="000000"/>
                <w:sz w:val="22"/>
              </w:rPr>
              <w:t>Inovatīvu uzņēmumu īpatsvars</w:t>
            </w:r>
          </w:p>
          <w:p w14:paraId="03D3CF67" w14:textId="77777777" w:rsidR="0030119C" w:rsidRPr="0030119C" w:rsidRDefault="0030119C" w:rsidP="000165BF">
            <w:pPr>
              <w:numPr>
                <w:ilvl w:val="0"/>
                <w:numId w:val="3"/>
              </w:numPr>
              <w:spacing w:after="0" w:line="240" w:lineRule="auto"/>
              <w:jc w:val="both"/>
              <w:rPr>
                <w:rFonts w:eastAsia="Calibri" w:cstheme="minorHAnsi"/>
                <w:noProof/>
                <w:color w:val="000000"/>
                <w:sz w:val="22"/>
              </w:rPr>
            </w:pPr>
            <w:r w:rsidRPr="0030119C">
              <w:rPr>
                <w:rFonts w:eastAsia="Calibri" w:cstheme="minorHAnsi"/>
                <w:noProof/>
                <w:color w:val="000000"/>
                <w:sz w:val="22"/>
              </w:rPr>
              <w:t>Augsto tehnoloģiju nozaru eksporta īpatsvars</w:t>
            </w:r>
          </w:p>
          <w:p w14:paraId="6FC844A8" w14:textId="77777777" w:rsidR="0030119C" w:rsidRPr="0030119C" w:rsidRDefault="0030119C" w:rsidP="000165BF">
            <w:pPr>
              <w:numPr>
                <w:ilvl w:val="0"/>
                <w:numId w:val="3"/>
              </w:numPr>
              <w:spacing w:after="0" w:line="240" w:lineRule="auto"/>
              <w:jc w:val="both"/>
              <w:rPr>
                <w:rFonts w:eastAsia="Calibri" w:cstheme="minorHAnsi"/>
                <w:noProof/>
                <w:color w:val="000000"/>
                <w:sz w:val="22"/>
              </w:rPr>
            </w:pPr>
            <w:r w:rsidRPr="0030119C">
              <w:rPr>
                <w:rFonts w:eastAsia="Calibri" w:cstheme="minorHAnsi"/>
                <w:noProof/>
                <w:color w:val="000000"/>
                <w:sz w:val="22"/>
              </w:rPr>
              <w:t>Reģistrēto intelektuālā īpašuma vienību skaitsun ieņēmumi no tiem</w:t>
            </w:r>
          </w:p>
          <w:p w14:paraId="70FEE19B" w14:textId="77777777" w:rsidR="0030119C" w:rsidRPr="0030119C" w:rsidRDefault="0030119C" w:rsidP="000165BF">
            <w:pPr>
              <w:numPr>
                <w:ilvl w:val="0"/>
                <w:numId w:val="3"/>
              </w:numPr>
              <w:spacing w:after="0" w:line="240" w:lineRule="auto"/>
              <w:jc w:val="both"/>
              <w:rPr>
                <w:rFonts w:eastAsia="Calibri" w:cstheme="minorHAnsi"/>
                <w:noProof/>
                <w:color w:val="000000"/>
                <w:sz w:val="22"/>
              </w:rPr>
            </w:pPr>
            <w:r w:rsidRPr="0030119C">
              <w:rPr>
                <w:rFonts w:eastAsia="Calibri" w:cstheme="minorHAnsi"/>
                <w:noProof/>
                <w:color w:val="000000"/>
                <w:sz w:val="22"/>
              </w:rPr>
              <w:t>Zinātnē nodarbināto skaits</w:t>
            </w:r>
          </w:p>
          <w:p w14:paraId="7D21EBD2" w14:textId="77777777" w:rsidR="0030119C" w:rsidRPr="0030119C" w:rsidRDefault="0030119C" w:rsidP="000165BF">
            <w:pPr>
              <w:numPr>
                <w:ilvl w:val="0"/>
                <w:numId w:val="3"/>
              </w:numPr>
              <w:spacing w:after="0" w:line="240" w:lineRule="auto"/>
              <w:jc w:val="both"/>
              <w:rPr>
                <w:rFonts w:eastAsia="Calibri" w:cstheme="minorHAnsi"/>
                <w:noProof/>
                <w:color w:val="000000"/>
                <w:sz w:val="22"/>
              </w:rPr>
            </w:pPr>
            <w:r w:rsidRPr="0030119C">
              <w:rPr>
                <w:rFonts w:eastAsia="Calibri" w:cstheme="minorHAnsi"/>
                <w:noProof/>
                <w:color w:val="000000"/>
                <w:sz w:val="22"/>
              </w:rPr>
              <w:t>Pētniecībā un inovācijā ieguldītais un piesaistītais ārvalstu finansējums</w:t>
            </w:r>
          </w:p>
        </w:tc>
      </w:tr>
      <w:tr w:rsidR="0030119C" w:rsidRPr="0030119C" w14:paraId="1138AF74" w14:textId="77777777" w:rsidTr="006B5EFD">
        <w:trPr>
          <w:trHeight w:val="1030"/>
        </w:trPr>
        <w:tc>
          <w:tcPr>
            <w:tcW w:w="0" w:type="auto"/>
            <w:vMerge/>
            <w:tcBorders>
              <w:top w:val="nil"/>
              <w:left w:val="single" w:sz="4" w:space="0" w:color="auto"/>
              <w:bottom w:val="single" w:sz="4" w:space="0" w:color="auto"/>
              <w:right w:val="single" w:sz="4" w:space="0" w:color="auto"/>
            </w:tcBorders>
            <w:vAlign w:val="center"/>
            <w:hideMark/>
          </w:tcPr>
          <w:p w14:paraId="3012F2BC"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61F6D349"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11 – Jaunu publisko digitālo pakalpojumu un lietotņu lietotāji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12 – Uzņēmumu izstrādāto jauno digitālo produktu, pakalpojumu un lietotņu lietotāji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13 – Uzņēmumi, kas panākuši augstu digitālo intensitāti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14 – Uzņēmumi, kas izmanto publiskos digitālos pakalpojumus</w:t>
            </w:r>
          </w:p>
        </w:tc>
        <w:tc>
          <w:tcPr>
            <w:tcW w:w="0" w:type="auto"/>
            <w:vMerge/>
            <w:tcBorders>
              <w:top w:val="nil"/>
              <w:left w:val="nil"/>
              <w:bottom w:val="single" w:sz="4" w:space="0" w:color="auto"/>
              <w:right w:val="single" w:sz="4" w:space="0" w:color="auto"/>
            </w:tcBorders>
            <w:vAlign w:val="center"/>
            <w:hideMark/>
          </w:tcPr>
          <w:p w14:paraId="5514922D" w14:textId="77777777" w:rsidR="0030119C" w:rsidRPr="0030119C" w:rsidRDefault="0030119C" w:rsidP="000165BF">
            <w:pPr>
              <w:spacing w:after="0" w:line="240" w:lineRule="auto"/>
              <w:rPr>
                <w:rFonts w:eastAsia="Calibri" w:cstheme="minorHAnsi"/>
                <w:noProof/>
                <w:color w:val="000000"/>
                <w:sz w:val="22"/>
                <w:lang w:eastAsia="lv-LV" w:bidi="lv-LV"/>
              </w:rPr>
            </w:pPr>
          </w:p>
        </w:tc>
      </w:tr>
      <w:tr w:rsidR="0030119C" w:rsidRPr="0030119C" w14:paraId="61399DE1" w14:textId="77777777" w:rsidTr="006B5EFD">
        <w:trPr>
          <w:trHeight w:val="416"/>
        </w:trPr>
        <w:tc>
          <w:tcPr>
            <w:tcW w:w="0" w:type="auto"/>
            <w:vMerge/>
            <w:tcBorders>
              <w:top w:val="nil"/>
              <w:left w:val="single" w:sz="4" w:space="0" w:color="auto"/>
              <w:bottom w:val="single" w:sz="4" w:space="0" w:color="auto"/>
              <w:right w:val="single" w:sz="4" w:space="0" w:color="auto"/>
            </w:tcBorders>
            <w:vAlign w:val="center"/>
            <w:hideMark/>
          </w:tcPr>
          <w:p w14:paraId="46AFA638"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5B888B35"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RKR 16 – Atbalstītie straujas izaugsmes uzņēmumi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17 – 3 gadus veci uzņēmumi, kas joprojām darbojas tirgū</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18 – MVU, kuri izmanto inkubatora pakalpojumus vienu gadu pēc inkubatora izveides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19 – Uzņēmumi ar lielāku apgrozījumu</w:t>
            </w:r>
          </w:p>
          <w:p w14:paraId="20515A6E"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lastRenderedPageBreak/>
              <w:t>RKR 25 – Pievienotā vērtība uz vienu darbinieku atbalstītajos MVU</w:t>
            </w:r>
          </w:p>
        </w:tc>
        <w:tc>
          <w:tcPr>
            <w:tcW w:w="0" w:type="auto"/>
            <w:vMerge/>
            <w:tcBorders>
              <w:top w:val="nil"/>
              <w:left w:val="nil"/>
              <w:bottom w:val="single" w:sz="4" w:space="0" w:color="auto"/>
              <w:right w:val="single" w:sz="4" w:space="0" w:color="auto"/>
            </w:tcBorders>
            <w:vAlign w:val="center"/>
            <w:hideMark/>
          </w:tcPr>
          <w:p w14:paraId="6C06F032" w14:textId="77777777" w:rsidR="0030119C" w:rsidRPr="0030119C" w:rsidRDefault="0030119C" w:rsidP="000165BF">
            <w:pPr>
              <w:spacing w:after="0" w:line="240" w:lineRule="auto"/>
              <w:rPr>
                <w:rFonts w:eastAsia="Calibri" w:cstheme="minorHAnsi"/>
                <w:noProof/>
                <w:color w:val="000000"/>
                <w:sz w:val="22"/>
                <w:lang w:eastAsia="lv-LV" w:bidi="lv-LV"/>
              </w:rPr>
            </w:pPr>
          </w:p>
        </w:tc>
      </w:tr>
      <w:tr w:rsidR="0030119C" w:rsidRPr="0030119C" w14:paraId="67A4A121" w14:textId="77777777" w:rsidTr="006B5EFD">
        <w:trPr>
          <w:trHeight w:val="1020"/>
        </w:trPr>
        <w:tc>
          <w:tcPr>
            <w:tcW w:w="0" w:type="auto"/>
            <w:vMerge/>
            <w:tcBorders>
              <w:top w:val="nil"/>
              <w:left w:val="single" w:sz="4" w:space="0" w:color="auto"/>
              <w:bottom w:val="single" w:sz="4" w:space="0" w:color="auto"/>
              <w:right w:val="single" w:sz="4" w:space="0" w:color="auto"/>
            </w:tcBorders>
            <w:vAlign w:val="center"/>
            <w:hideMark/>
          </w:tcPr>
          <w:p w14:paraId="7A6ABA58"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6B7BBA9A"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24 – MVU, kuri gūst labumu no prasmju pilnveides darbībām, ko īsteno vietēja/reģionāla ekosistēma</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97 – Atbalstītās māceklības MVU</w:t>
            </w:r>
          </w:p>
          <w:p w14:paraId="04B290DF"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98 — MVU darbinieki, kuri iegūst profesionālo tālākizglītību un apmācību (</w:t>
            </w:r>
            <w:r w:rsidRPr="0030119C">
              <w:rPr>
                <w:rFonts w:eastAsia="Calibri" w:cstheme="minorHAnsi"/>
                <w:i/>
                <w:noProof/>
                <w:color w:val="000000"/>
                <w:sz w:val="22"/>
                <w:lang w:eastAsia="lv-LV" w:bidi="lv-LV"/>
              </w:rPr>
              <w:t>CVET</w:t>
            </w:r>
            <w:r w:rsidRPr="0030119C">
              <w:rPr>
                <w:rFonts w:eastAsia="Calibri" w:cstheme="minorHAnsi"/>
                <w:noProof/>
                <w:color w:val="000000"/>
                <w:sz w:val="22"/>
                <w:lang w:eastAsia="lv-LV" w:bidi="lv-LV"/>
              </w:rPr>
              <w:t>) (pēc prasmju veida: tehniskas, vadības, uzņēmējdarbības, zaļās un citas prasmes)</w:t>
            </w:r>
          </w:p>
          <w:p w14:paraId="516C7647"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RKR 99 — MVU darbinieki, kuri iziet alternatīvu apmācību saistībā ar zinātnesietilpīgu pakalpojumu darbībām (</w:t>
            </w:r>
            <w:r w:rsidRPr="0030119C">
              <w:rPr>
                <w:rFonts w:eastAsia="Calibri" w:cstheme="minorHAnsi"/>
                <w:i/>
                <w:noProof/>
                <w:color w:val="000000"/>
                <w:sz w:val="22"/>
                <w:lang w:eastAsia="lv-LV" w:bidi="lv-LV"/>
              </w:rPr>
              <w:t>KISA</w:t>
            </w:r>
            <w:r w:rsidRPr="0030119C">
              <w:rPr>
                <w:rFonts w:eastAsia="Calibri" w:cstheme="minorHAnsi"/>
                <w:noProof/>
                <w:color w:val="000000"/>
                <w:sz w:val="22"/>
                <w:lang w:eastAsia="lv-LV" w:bidi="lv-LV"/>
              </w:rPr>
              <w:t>) (pēc prasmju veida: tehniskas, vadības, uzņēmējdarbības, zaļās un citas prasmes)</w:t>
            </w:r>
          </w:p>
          <w:p w14:paraId="490275A2"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100 — MVU darbinieki, kuri iziet formālu apmācību prasmju pilnveidei (pēc prasmju veida: tehniskas, vadības, uzņēmējdarbības, zaļās un citas prasmes)</w:t>
            </w:r>
          </w:p>
        </w:tc>
        <w:tc>
          <w:tcPr>
            <w:tcW w:w="6262" w:type="dxa"/>
            <w:tcBorders>
              <w:top w:val="nil"/>
              <w:left w:val="nil"/>
              <w:bottom w:val="single" w:sz="4" w:space="0" w:color="auto"/>
              <w:right w:val="single" w:sz="4" w:space="0" w:color="auto"/>
            </w:tcBorders>
            <w:hideMark/>
          </w:tcPr>
          <w:p w14:paraId="7E679AA5"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Neaatiecas uz Plāna aptvērumu</w:t>
            </w:r>
          </w:p>
        </w:tc>
      </w:tr>
      <w:tr w:rsidR="0030119C" w:rsidRPr="0030119C" w14:paraId="5510E91C" w14:textId="77777777" w:rsidTr="006B5EFD">
        <w:trPr>
          <w:trHeight w:val="2805"/>
        </w:trPr>
        <w:tc>
          <w:tcPr>
            <w:tcW w:w="1733" w:type="dxa"/>
            <w:vMerge w:val="restart"/>
            <w:tcBorders>
              <w:top w:val="nil"/>
              <w:left w:val="single" w:sz="4" w:space="0" w:color="auto"/>
              <w:bottom w:val="single" w:sz="4" w:space="0" w:color="auto"/>
              <w:right w:val="single" w:sz="4" w:space="0" w:color="auto"/>
            </w:tcBorders>
            <w:vAlign w:val="center"/>
            <w:hideMark/>
          </w:tcPr>
          <w:p w14:paraId="31C64C20" w14:textId="77777777" w:rsidR="0030119C" w:rsidRPr="0030119C" w:rsidRDefault="0030119C" w:rsidP="000165BF">
            <w:pPr>
              <w:spacing w:after="0" w:line="240" w:lineRule="auto"/>
              <w:jc w:val="center"/>
              <w:rPr>
                <w:rFonts w:eastAsia="Times New Roman" w:cstheme="minorHAnsi"/>
                <w:b/>
                <w:bCs/>
                <w:noProof/>
                <w:color w:val="000000"/>
                <w:sz w:val="22"/>
                <w:lang w:eastAsia="lv-LV" w:bidi="lv-LV"/>
              </w:rPr>
            </w:pPr>
            <w:r w:rsidRPr="0030119C">
              <w:rPr>
                <w:rFonts w:eastAsia="Calibri" w:cstheme="minorHAnsi"/>
                <w:b/>
                <w:noProof/>
                <w:color w:val="000000"/>
                <w:sz w:val="22"/>
                <w:lang w:eastAsia="lv-LV" w:bidi="lv-LV"/>
              </w:rPr>
              <w:t xml:space="preserve">2. Zaļāka Eiropa ar zemām oglekļa emisijām, veicinot tīru un taisnīgu enerģētikas pārkārtošanu, “zaļas” un “zilas” investīcijas, aprites ekonomiku, pielāgošanos klimata pārmaiņām un </w:t>
            </w:r>
            <w:r w:rsidRPr="0030119C">
              <w:rPr>
                <w:rFonts w:eastAsia="Calibri" w:cstheme="minorHAnsi"/>
                <w:b/>
                <w:noProof/>
                <w:color w:val="000000"/>
                <w:sz w:val="22"/>
                <w:lang w:eastAsia="lv-LV" w:bidi="lv-LV"/>
              </w:rPr>
              <w:lastRenderedPageBreak/>
              <w:t>risku novēršanu un pārvaldību</w:t>
            </w:r>
          </w:p>
        </w:tc>
        <w:tc>
          <w:tcPr>
            <w:tcW w:w="6473" w:type="dxa"/>
            <w:tcBorders>
              <w:top w:val="nil"/>
              <w:left w:val="nil"/>
              <w:bottom w:val="single" w:sz="4" w:space="0" w:color="auto"/>
              <w:right w:val="single" w:sz="4" w:space="0" w:color="auto"/>
            </w:tcBorders>
            <w:vAlign w:val="center"/>
            <w:hideMark/>
          </w:tcPr>
          <w:p w14:paraId="1F633900"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lastRenderedPageBreak/>
              <w:t>RKR 26 – Gada enerģijas galapatēriņš (tai skaitā: dzīvojamajās, privātajās nedzīvojamajās un publiskajās nedzīvojamajās ēkās)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27 – Mājsaimniecības, kuru mājoklī uzlabota energoefektivitāte</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28 – Ēkas ar uzlabotu energoefektivitātes klasi (tai skaitā: dzīvojamās, privātās nedzīvojamās un publiskās nedzīvojamās ēkas)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29 – Aplēstās siltumnīcefekta gāzu emisijas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30 – Uzņēmumi ar uzlabotu energoefektivitāti</w:t>
            </w:r>
          </w:p>
        </w:tc>
        <w:tc>
          <w:tcPr>
            <w:tcW w:w="6262" w:type="dxa"/>
            <w:tcBorders>
              <w:top w:val="nil"/>
              <w:left w:val="nil"/>
              <w:bottom w:val="single" w:sz="4" w:space="0" w:color="auto"/>
              <w:right w:val="single" w:sz="4" w:space="0" w:color="auto"/>
            </w:tcBorders>
            <w:hideMark/>
          </w:tcPr>
          <w:p w14:paraId="3C8E7284"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Energoresursu kopējais patēriņš (kopā un atsevišķās tautsaimniecības nozarēs)</w:t>
            </w:r>
          </w:p>
          <w:p w14:paraId="3FCC10AA"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Kopējais enerģijas galapatēriņš (kopā un atsevišķās tautsaimniecības nozarēs);</w:t>
            </w:r>
          </w:p>
          <w:p w14:paraId="12A81404"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Ēku skaits, kurās ir veikti energoefekvitātes uzlabošanas pasākumi;</w:t>
            </w:r>
          </w:p>
          <w:p w14:paraId="55149127"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Veiktie energoefektivitātes pasākumi uzņēmumos;</w:t>
            </w:r>
          </w:p>
          <w:p w14:paraId="11116BBF"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Nodrošinātais enerģijas galapatēriņa ietaupījums;</w:t>
            </w:r>
          </w:p>
          <w:p w14:paraId="645F4B69"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Īpatnējais siltumenerģijas patēriņš ēkās;</w:t>
            </w:r>
          </w:p>
          <w:p w14:paraId="36DCF0DC" w14:textId="77777777" w:rsidR="0030119C" w:rsidRPr="0030119C" w:rsidRDefault="0030119C" w:rsidP="000165BF">
            <w:pPr>
              <w:numPr>
                <w:ilvl w:val="0"/>
                <w:numId w:val="4"/>
              </w:numPr>
              <w:spacing w:after="0" w:line="240" w:lineRule="auto"/>
              <w:jc w:val="both"/>
              <w:rPr>
                <w:rFonts w:eastAsia="Calibri" w:cstheme="minorHAnsi"/>
                <w:noProof/>
                <w:color w:val="000000"/>
                <w:sz w:val="22"/>
              </w:rPr>
            </w:pPr>
            <w:r w:rsidRPr="0030119C">
              <w:rPr>
                <w:rFonts w:eastAsia="Calibri" w:cstheme="minorHAnsi"/>
                <w:noProof/>
                <w:color w:val="000000"/>
                <w:sz w:val="22"/>
              </w:rPr>
              <w:t>SEG emisiju apjoms</w:t>
            </w:r>
          </w:p>
        </w:tc>
      </w:tr>
      <w:tr w:rsidR="0030119C" w:rsidRPr="0030119C" w14:paraId="31A114A7" w14:textId="77777777" w:rsidTr="006B5EFD">
        <w:trPr>
          <w:trHeight w:val="1020"/>
        </w:trPr>
        <w:tc>
          <w:tcPr>
            <w:tcW w:w="0" w:type="auto"/>
            <w:vMerge/>
            <w:tcBorders>
              <w:top w:val="nil"/>
              <w:left w:val="single" w:sz="4" w:space="0" w:color="auto"/>
              <w:bottom w:val="single" w:sz="4" w:space="0" w:color="auto"/>
              <w:right w:val="single" w:sz="4" w:space="0" w:color="auto"/>
            </w:tcBorders>
            <w:vAlign w:val="center"/>
            <w:hideMark/>
          </w:tcPr>
          <w:p w14:paraId="04CBB210"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157ACFF4"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31 – Kopējā saražotā atjaunojamā enerģija (tai skaitā: elektroenerģija, siltumenerģija)</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32 – Atjaunojamā enerģija: tīklam pieslēgtā jauda (kas nodota ekspluatācijā) </w:t>
            </w:r>
          </w:p>
        </w:tc>
        <w:tc>
          <w:tcPr>
            <w:tcW w:w="6262" w:type="dxa"/>
            <w:tcBorders>
              <w:top w:val="nil"/>
              <w:left w:val="nil"/>
              <w:bottom w:val="single" w:sz="4" w:space="0" w:color="auto"/>
              <w:right w:val="single" w:sz="4" w:space="0" w:color="auto"/>
            </w:tcBorders>
            <w:hideMark/>
          </w:tcPr>
          <w:p w14:paraId="238889B3" w14:textId="77777777" w:rsidR="0030119C" w:rsidRPr="0030119C" w:rsidRDefault="0030119C" w:rsidP="000165BF">
            <w:pPr>
              <w:numPr>
                <w:ilvl w:val="0"/>
                <w:numId w:val="5"/>
              </w:numPr>
              <w:spacing w:after="0" w:line="240" w:lineRule="auto"/>
              <w:jc w:val="both"/>
              <w:rPr>
                <w:rFonts w:eastAsia="Calibri" w:cstheme="minorHAnsi"/>
                <w:noProof/>
                <w:color w:val="000000"/>
                <w:sz w:val="22"/>
              </w:rPr>
            </w:pPr>
            <w:r w:rsidRPr="0030119C">
              <w:rPr>
                <w:rFonts w:eastAsia="Calibri" w:cstheme="minorHAnsi"/>
                <w:noProof/>
                <w:color w:val="000000"/>
                <w:sz w:val="22"/>
              </w:rPr>
              <w:t>Kopējā saražotā atjaunojamā enerģija</w:t>
            </w:r>
          </w:p>
          <w:p w14:paraId="48176B7F" w14:textId="77777777" w:rsidR="0030119C" w:rsidRPr="0030119C" w:rsidRDefault="0030119C" w:rsidP="000165BF">
            <w:pPr>
              <w:numPr>
                <w:ilvl w:val="0"/>
                <w:numId w:val="5"/>
              </w:numPr>
              <w:spacing w:after="0" w:line="240" w:lineRule="auto"/>
              <w:jc w:val="both"/>
              <w:rPr>
                <w:rFonts w:eastAsia="Calibri" w:cstheme="minorHAnsi"/>
                <w:noProof/>
                <w:color w:val="000000"/>
                <w:sz w:val="22"/>
              </w:rPr>
            </w:pPr>
            <w:r w:rsidRPr="0030119C">
              <w:rPr>
                <w:rFonts w:eastAsia="Calibri" w:cstheme="minorHAnsi"/>
                <w:noProof/>
                <w:color w:val="000000"/>
                <w:sz w:val="22"/>
              </w:rPr>
              <w:t>AER īpatsvars saražotās elektroenerģijas apjomā</w:t>
            </w:r>
          </w:p>
          <w:p w14:paraId="4583CE50" w14:textId="77777777" w:rsidR="0030119C" w:rsidRPr="0030119C" w:rsidRDefault="0030119C" w:rsidP="000165BF">
            <w:pPr>
              <w:numPr>
                <w:ilvl w:val="0"/>
                <w:numId w:val="5"/>
              </w:numPr>
              <w:spacing w:after="0" w:line="240" w:lineRule="auto"/>
              <w:jc w:val="both"/>
              <w:rPr>
                <w:rFonts w:eastAsia="Calibri" w:cstheme="minorHAnsi"/>
                <w:noProof/>
                <w:color w:val="000000"/>
                <w:sz w:val="22"/>
              </w:rPr>
            </w:pPr>
            <w:r w:rsidRPr="0030119C">
              <w:rPr>
                <w:rFonts w:eastAsia="Calibri" w:cstheme="minorHAnsi"/>
                <w:noProof/>
                <w:color w:val="000000"/>
                <w:sz w:val="22"/>
              </w:rPr>
              <w:t>AER īpatsvars centralizētās siltumapgādē un aukstumapgādē</w:t>
            </w:r>
          </w:p>
          <w:p w14:paraId="6C8EB178" w14:textId="77777777" w:rsidR="0030119C" w:rsidRPr="0030119C" w:rsidRDefault="0030119C" w:rsidP="000165BF">
            <w:pPr>
              <w:numPr>
                <w:ilvl w:val="0"/>
                <w:numId w:val="5"/>
              </w:numPr>
              <w:spacing w:after="0" w:line="240" w:lineRule="auto"/>
              <w:jc w:val="both"/>
              <w:rPr>
                <w:rFonts w:eastAsia="Calibri" w:cstheme="minorHAnsi"/>
                <w:noProof/>
                <w:color w:val="000000"/>
                <w:sz w:val="22"/>
              </w:rPr>
            </w:pPr>
            <w:r w:rsidRPr="0030119C">
              <w:rPr>
                <w:rFonts w:eastAsia="Calibri" w:cstheme="minorHAnsi"/>
                <w:noProof/>
                <w:color w:val="000000"/>
                <w:sz w:val="22"/>
              </w:rPr>
              <w:t>AER īpatsvars transportā</w:t>
            </w:r>
          </w:p>
          <w:p w14:paraId="393B43B4" w14:textId="77777777" w:rsidR="0030119C" w:rsidRPr="0030119C" w:rsidRDefault="0030119C" w:rsidP="000165BF">
            <w:pPr>
              <w:numPr>
                <w:ilvl w:val="0"/>
                <w:numId w:val="5"/>
              </w:numPr>
              <w:spacing w:after="0" w:line="240" w:lineRule="auto"/>
              <w:jc w:val="both"/>
              <w:rPr>
                <w:rFonts w:eastAsia="Calibri" w:cstheme="minorHAnsi"/>
                <w:noProof/>
                <w:color w:val="000000"/>
                <w:sz w:val="22"/>
              </w:rPr>
            </w:pPr>
            <w:r w:rsidRPr="0030119C">
              <w:rPr>
                <w:rFonts w:eastAsia="Calibri" w:cstheme="minorHAnsi"/>
                <w:noProof/>
                <w:color w:val="000000"/>
                <w:sz w:val="22"/>
              </w:rPr>
              <w:t>AER jauda</w:t>
            </w:r>
          </w:p>
        </w:tc>
      </w:tr>
      <w:tr w:rsidR="0030119C" w:rsidRPr="0030119C" w14:paraId="66A21C92" w14:textId="77777777" w:rsidTr="006B5EFD">
        <w:trPr>
          <w:trHeight w:val="1020"/>
        </w:trPr>
        <w:tc>
          <w:tcPr>
            <w:tcW w:w="0" w:type="auto"/>
            <w:vMerge/>
            <w:tcBorders>
              <w:top w:val="nil"/>
              <w:left w:val="single" w:sz="4" w:space="0" w:color="auto"/>
              <w:bottom w:val="single" w:sz="4" w:space="0" w:color="auto"/>
              <w:right w:val="single" w:sz="4" w:space="0" w:color="auto"/>
            </w:tcBorders>
            <w:vAlign w:val="center"/>
            <w:hideMark/>
          </w:tcPr>
          <w:p w14:paraId="0BA2105B"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635A23AF"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33 – Viedajiem tīkliem pieslēgtie lietotāji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34 – Viedo tīklu projektu izvēršana</w:t>
            </w:r>
          </w:p>
        </w:tc>
        <w:tc>
          <w:tcPr>
            <w:tcW w:w="6262" w:type="dxa"/>
            <w:tcBorders>
              <w:top w:val="nil"/>
              <w:left w:val="nil"/>
              <w:bottom w:val="single" w:sz="4" w:space="0" w:color="auto"/>
              <w:right w:val="single" w:sz="4" w:space="0" w:color="auto"/>
            </w:tcBorders>
            <w:hideMark/>
          </w:tcPr>
          <w:p w14:paraId="1417EC5C" w14:textId="77777777" w:rsidR="0030119C" w:rsidRPr="0030119C" w:rsidRDefault="0030119C" w:rsidP="000165BF">
            <w:pPr>
              <w:numPr>
                <w:ilvl w:val="0"/>
                <w:numId w:val="6"/>
              </w:numPr>
              <w:spacing w:after="0" w:line="240" w:lineRule="auto"/>
              <w:jc w:val="both"/>
              <w:rPr>
                <w:rFonts w:eastAsia="Calibri" w:cstheme="minorHAnsi"/>
                <w:noProof/>
                <w:color w:val="000000"/>
                <w:sz w:val="22"/>
              </w:rPr>
            </w:pPr>
            <w:r w:rsidRPr="0030119C">
              <w:rPr>
                <w:rFonts w:eastAsia="Calibri" w:cstheme="minorHAnsi"/>
                <w:noProof/>
                <w:color w:val="000000"/>
                <w:sz w:val="22"/>
              </w:rPr>
              <w:t>Viedajiem tīkliem pieslēgtie lietotāji</w:t>
            </w:r>
          </w:p>
          <w:p w14:paraId="74D33B98" w14:textId="77777777" w:rsidR="0030119C" w:rsidRPr="0030119C" w:rsidRDefault="0030119C" w:rsidP="000165BF">
            <w:pPr>
              <w:numPr>
                <w:ilvl w:val="0"/>
                <w:numId w:val="6"/>
              </w:numPr>
              <w:spacing w:after="0" w:line="240" w:lineRule="auto"/>
              <w:jc w:val="both"/>
              <w:rPr>
                <w:rFonts w:eastAsia="Calibri" w:cstheme="minorHAnsi"/>
                <w:noProof/>
                <w:color w:val="000000"/>
                <w:sz w:val="22"/>
              </w:rPr>
            </w:pPr>
            <w:r w:rsidRPr="0030119C">
              <w:rPr>
                <w:rFonts w:eastAsia="Times New Roman" w:cstheme="minorHAnsi"/>
                <w:noProof/>
                <w:color w:val="000000"/>
                <w:sz w:val="22"/>
              </w:rPr>
              <w:t>Rekonsutruētie vai jaunuzbūvētie tīkli;</w:t>
            </w:r>
          </w:p>
        </w:tc>
      </w:tr>
      <w:tr w:rsidR="0030119C" w:rsidRPr="0030119C" w14:paraId="42E5FEC9" w14:textId="77777777" w:rsidTr="006B5EFD">
        <w:trPr>
          <w:trHeight w:val="1545"/>
        </w:trPr>
        <w:tc>
          <w:tcPr>
            <w:tcW w:w="0" w:type="auto"/>
            <w:vMerge/>
            <w:tcBorders>
              <w:top w:val="nil"/>
              <w:left w:val="single" w:sz="4" w:space="0" w:color="auto"/>
              <w:bottom w:val="single" w:sz="4" w:space="0" w:color="auto"/>
              <w:right w:val="single" w:sz="4" w:space="0" w:color="auto"/>
            </w:tcBorders>
            <w:vAlign w:val="center"/>
            <w:hideMark/>
          </w:tcPr>
          <w:p w14:paraId="742EEBAC"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47140F22"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35 – Iedzīvotāji, kuri gūst labumu no pretplūdu pasākumiem</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36 – Iedzīvotāji, kuri gūst labumu no pasākumiem aizsardzībai pret meža ugunsgrēkiem</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37 – Iedzīvotāji, kuri gūst labumu no pasākumiem aizsardzībai pret klimatiskām dabas katastrofām (kas nav plūdi un meža ugunsgrēki)</w:t>
            </w:r>
          </w:p>
          <w:p w14:paraId="679569AF"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96 – Iedzīvotāji, kuri gūst labumu no pasākumiem aizsardzībai pret neklimatiskiem dabas riskiem un ar cilvēka darbību saistītiem riskiem</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38 – Aplēstais vidējais reaģēšanas laiks katastrofas gadījumā</w:t>
            </w:r>
          </w:p>
        </w:tc>
        <w:tc>
          <w:tcPr>
            <w:tcW w:w="6262" w:type="dxa"/>
            <w:tcBorders>
              <w:top w:val="nil"/>
              <w:left w:val="nil"/>
              <w:bottom w:val="single" w:sz="4" w:space="0" w:color="auto"/>
              <w:right w:val="single" w:sz="4" w:space="0" w:color="auto"/>
            </w:tcBorders>
            <w:hideMark/>
          </w:tcPr>
          <w:p w14:paraId="6A0452B6"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w:t>
            </w:r>
          </w:p>
        </w:tc>
      </w:tr>
      <w:tr w:rsidR="0030119C" w:rsidRPr="0030119C" w14:paraId="22F3C34D" w14:textId="77777777" w:rsidTr="006B5EFD">
        <w:trPr>
          <w:trHeight w:val="982"/>
        </w:trPr>
        <w:tc>
          <w:tcPr>
            <w:tcW w:w="0" w:type="auto"/>
            <w:vMerge/>
            <w:tcBorders>
              <w:top w:val="nil"/>
              <w:left w:val="single" w:sz="4" w:space="0" w:color="auto"/>
              <w:bottom w:val="single" w:sz="4" w:space="0" w:color="auto"/>
              <w:right w:val="single" w:sz="4" w:space="0" w:color="auto"/>
            </w:tcBorders>
            <w:vAlign w:val="center"/>
            <w:hideMark/>
          </w:tcPr>
          <w:p w14:paraId="0C6C49BA"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31551CD8"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41 – Iedzīvotāji, kuri pieslēgti uzlabotai ūdensapgādei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42 – Iedzīvotāji, kuri pieslēgti vismaz otrējai notekūdeņu attīrīšanai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43 – Ūdens zudumi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44 – Pienācīgi attīrīti notekūdeņi </w:t>
            </w:r>
          </w:p>
        </w:tc>
        <w:tc>
          <w:tcPr>
            <w:tcW w:w="6262" w:type="dxa"/>
            <w:tcBorders>
              <w:top w:val="nil"/>
              <w:left w:val="nil"/>
              <w:bottom w:val="single" w:sz="4" w:space="0" w:color="auto"/>
              <w:right w:val="single" w:sz="4" w:space="0" w:color="auto"/>
            </w:tcBorders>
            <w:hideMark/>
          </w:tcPr>
          <w:p w14:paraId="29404DC2"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 (ir iekļaujams udensapgādes un notekūdeņu apsaimniekošanas politikas plānošanas dokumentos)</w:t>
            </w:r>
          </w:p>
        </w:tc>
      </w:tr>
      <w:tr w:rsidR="0030119C" w:rsidRPr="0030119C" w14:paraId="741B0B3F" w14:textId="77777777" w:rsidTr="006B5EFD">
        <w:trPr>
          <w:trHeight w:val="1464"/>
        </w:trPr>
        <w:tc>
          <w:tcPr>
            <w:tcW w:w="0" w:type="auto"/>
            <w:vMerge/>
            <w:tcBorders>
              <w:top w:val="nil"/>
              <w:left w:val="single" w:sz="4" w:space="0" w:color="auto"/>
              <w:bottom w:val="single" w:sz="4" w:space="0" w:color="auto"/>
              <w:right w:val="single" w:sz="4" w:space="0" w:color="auto"/>
            </w:tcBorders>
            <w:vAlign w:val="center"/>
            <w:hideMark/>
          </w:tcPr>
          <w:p w14:paraId="7C9820CF"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732F9C1C"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46 – Iedzīvotāji, kuriem pieejamas atkritumu pārstrādes iekārtas un nelielas atkritumu apsaimniekošanas sistēmas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47 – pārstrādātie atkritumi</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48 – pārstrādātie atkritumi, ko izmanto par izejvielām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49 – Reģenerētie atkritumi</w:t>
            </w:r>
          </w:p>
        </w:tc>
        <w:tc>
          <w:tcPr>
            <w:tcW w:w="6262" w:type="dxa"/>
            <w:tcBorders>
              <w:top w:val="nil"/>
              <w:left w:val="nil"/>
              <w:bottom w:val="single" w:sz="4" w:space="0" w:color="auto"/>
              <w:right w:val="single" w:sz="4" w:space="0" w:color="auto"/>
            </w:tcBorders>
            <w:hideMark/>
          </w:tcPr>
          <w:p w14:paraId="0484C235"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 (ir iekļaujams atkritumu apsaimniekošanas politikas plānošanas dokumentos)</w:t>
            </w:r>
          </w:p>
        </w:tc>
      </w:tr>
      <w:tr w:rsidR="0030119C" w:rsidRPr="0030119C" w14:paraId="21DF68DC" w14:textId="77777777" w:rsidTr="006B5EFD">
        <w:trPr>
          <w:trHeight w:val="1530"/>
        </w:trPr>
        <w:tc>
          <w:tcPr>
            <w:tcW w:w="0" w:type="auto"/>
            <w:vMerge/>
            <w:tcBorders>
              <w:top w:val="nil"/>
              <w:left w:val="single" w:sz="4" w:space="0" w:color="auto"/>
              <w:bottom w:val="single" w:sz="4" w:space="0" w:color="auto"/>
              <w:right w:val="single" w:sz="4" w:space="0" w:color="auto"/>
            </w:tcBorders>
            <w:vAlign w:val="center"/>
            <w:hideMark/>
          </w:tcPr>
          <w:p w14:paraId="4C8B5F3B"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19D13147"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50 – Iedzīvotāji, kuri gūst labumu no gaisa kvalitātes pasākumiem</w:t>
            </w:r>
          </w:p>
          <w:p w14:paraId="095C3847"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95 – Iedzīvotāji, kuriem ir piekļuve jaunai vai modernizētai zaļajai infrastruktūrai pilsētu teritorijās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51 – Iedzīvotāji, kuri gūst labumu no trokšņa samazināšanas pasākumiem</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52 – Sanētā zeme, ko izmanto apzaļumotām teritorijām, sociālajiem mājokļiem un ekonomiskām vai kopienas darbībām</w:t>
            </w:r>
          </w:p>
        </w:tc>
        <w:tc>
          <w:tcPr>
            <w:tcW w:w="6262" w:type="dxa"/>
            <w:tcBorders>
              <w:top w:val="nil"/>
              <w:left w:val="nil"/>
              <w:bottom w:val="single" w:sz="4" w:space="0" w:color="auto"/>
              <w:right w:val="single" w:sz="4" w:space="0" w:color="auto"/>
            </w:tcBorders>
            <w:hideMark/>
          </w:tcPr>
          <w:p w14:paraId="31E7BA36"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 (ir iekļaujams Latvijas rīcības plānā gaisa piesārņojošo vielu emisiju samazināšanai)</w:t>
            </w:r>
          </w:p>
        </w:tc>
      </w:tr>
      <w:tr w:rsidR="0030119C" w:rsidRPr="0030119C" w14:paraId="25C80C3A" w14:textId="77777777" w:rsidTr="006B5EFD">
        <w:trPr>
          <w:trHeight w:val="1020"/>
        </w:trPr>
        <w:tc>
          <w:tcPr>
            <w:tcW w:w="1733" w:type="dxa"/>
            <w:vMerge w:val="restart"/>
            <w:tcBorders>
              <w:top w:val="nil"/>
              <w:left w:val="single" w:sz="4" w:space="0" w:color="auto"/>
              <w:bottom w:val="single" w:sz="4" w:space="0" w:color="auto"/>
              <w:right w:val="single" w:sz="4" w:space="0" w:color="auto"/>
            </w:tcBorders>
            <w:hideMark/>
          </w:tcPr>
          <w:p w14:paraId="12C67F17" w14:textId="77777777" w:rsidR="0030119C" w:rsidRPr="0030119C" w:rsidRDefault="0030119C" w:rsidP="000165BF">
            <w:pPr>
              <w:spacing w:after="0" w:line="240" w:lineRule="auto"/>
              <w:jc w:val="center"/>
              <w:rPr>
                <w:rFonts w:eastAsia="Times New Roman" w:cstheme="minorHAnsi"/>
                <w:b/>
                <w:bCs/>
                <w:noProof/>
                <w:color w:val="000000"/>
                <w:sz w:val="22"/>
                <w:lang w:eastAsia="lv-LV" w:bidi="lv-LV"/>
              </w:rPr>
            </w:pPr>
            <w:r w:rsidRPr="0030119C">
              <w:rPr>
                <w:rFonts w:eastAsia="Calibri" w:cstheme="minorHAnsi"/>
                <w:b/>
                <w:noProof/>
                <w:color w:val="000000"/>
                <w:sz w:val="22"/>
                <w:lang w:eastAsia="lv-LV" w:bidi="lv-LV"/>
              </w:rPr>
              <w:lastRenderedPageBreak/>
              <w:t>3. Ciešāk savienota Eiropa, uzlabojot mobilitāti un reģionālo IKT savienotību</w:t>
            </w:r>
          </w:p>
        </w:tc>
        <w:tc>
          <w:tcPr>
            <w:tcW w:w="6473" w:type="dxa"/>
            <w:tcBorders>
              <w:top w:val="nil"/>
              <w:left w:val="nil"/>
              <w:bottom w:val="single" w:sz="4" w:space="0" w:color="auto"/>
              <w:right w:val="single" w:sz="4" w:space="0" w:color="auto"/>
            </w:tcBorders>
            <w:vAlign w:val="center"/>
            <w:hideMark/>
          </w:tcPr>
          <w:p w14:paraId="64064D8D"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53 – Mājsaimniecības, kas abonē platjoslas pieslēgumu ļoti augstas veiktspējas tīklam</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54 – Uzņēmumi, kas abonē platjoslas pieslēgumu ļoti augstas veiktspējas tīklam</w:t>
            </w:r>
          </w:p>
        </w:tc>
        <w:tc>
          <w:tcPr>
            <w:tcW w:w="6262" w:type="dxa"/>
            <w:tcBorders>
              <w:top w:val="nil"/>
              <w:left w:val="nil"/>
              <w:bottom w:val="single" w:sz="4" w:space="0" w:color="auto"/>
              <w:right w:val="single" w:sz="4" w:space="0" w:color="auto"/>
            </w:tcBorders>
            <w:hideMark/>
          </w:tcPr>
          <w:p w14:paraId="60D9FCE7"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w:t>
            </w:r>
          </w:p>
        </w:tc>
      </w:tr>
      <w:tr w:rsidR="0030119C" w:rsidRPr="0030119C" w14:paraId="2DA52168" w14:textId="77777777" w:rsidTr="006B5EFD">
        <w:trPr>
          <w:trHeight w:val="1020"/>
        </w:trPr>
        <w:tc>
          <w:tcPr>
            <w:tcW w:w="0" w:type="auto"/>
            <w:vMerge/>
            <w:tcBorders>
              <w:top w:val="nil"/>
              <w:left w:val="single" w:sz="4" w:space="0" w:color="auto"/>
              <w:bottom w:val="single" w:sz="4" w:space="0" w:color="auto"/>
              <w:right w:val="single" w:sz="4" w:space="0" w:color="auto"/>
            </w:tcBorders>
            <w:vAlign w:val="center"/>
            <w:hideMark/>
          </w:tcPr>
          <w:p w14:paraId="0689CC8A"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6F7877D6"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55 – Jaunuzbūvēto, rekonstruēto vai modernizēto autoceļu lietotāji </w:t>
            </w:r>
          </w:p>
          <w:p w14:paraId="7B9A454C"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56 – Laika ietaupījums no uzlabotas autoceļu infrastruktūras</w:t>
            </w:r>
          </w:p>
          <w:p w14:paraId="68617EDA"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101 – Laika ietaupījums no uzlabotas dzelzceļa infrastruktūras </w:t>
            </w:r>
          </w:p>
        </w:tc>
        <w:tc>
          <w:tcPr>
            <w:tcW w:w="6262" w:type="dxa"/>
            <w:tcBorders>
              <w:top w:val="nil"/>
              <w:left w:val="nil"/>
              <w:bottom w:val="single" w:sz="4" w:space="0" w:color="auto"/>
              <w:right w:val="single" w:sz="4" w:space="0" w:color="auto"/>
            </w:tcBorders>
            <w:hideMark/>
          </w:tcPr>
          <w:p w14:paraId="7F4C4FFA" w14:textId="77777777" w:rsidR="0030119C" w:rsidRPr="0030119C" w:rsidRDefault="0030119C" w:rsidP="000165BF">
            <w:pPr>
              <w:numPr>
                <w:ilvl w:val="0"/>
                <w:numId w:val="7"/>
              </w:numPr>
              <w:spacing w:after="0" w:line="240" w:lineRule="auto"/>
              <w:ind w:left="227" w:hanging="227"/>
              <w:jc w:val="both"/>
              <w:rPr>
                <w:rFonts w:eastAsia="Calibri" w:cstheme="minorHAnsi"/>
                <w:noProof/>
                <w:color w:val="000000"/>
                <w:sz w:val="22"/>
              </w:rPr>
            </w:pPr>
            <w:r w:rsidRPr="0030119C">
              <w:rPr>
                <w:rFonts w:eastAsia="Calibri" w:cstheme="minorHAnsi"/>
                <w:noProof/>
                <w:color w:val="000000"/>
                <w:sz w:val="22"/>
              </w:rPr>
              <w:t>Jaunuzbūvēto, rekonstruēto vai modernizēto autoceļu garums</w:t>
            </w:r>
          </w:p>
        </w:tc>
      </w:tr>
      <w:tr w:rsidR="0030119C" w:rsidRPr="0030119C" w14:paraId="25E4B112" w14:textId="77777777" w:rsidTr="006B5EFD">
        <w:trPr>
          <w:trHeight w:val="1338"/>
        </w:trPr>
        <w:tc>
          <w:tcPr>
            <w:tcW w:w="0" w:type="auto"/>
            <w:vMerge/>
            <w:tcBorders>
              <w:top w:val="nil"/>
              <w:left w:val="single" w:sz="4" w:space="0" w:color="auto"/>
              <w:bottom w:val="single" w:sz="4" w:space="0" w:color="auto"/>
              <w:right w:val="single" w:sz="4" w:space="0" w:color="auto"/>
            </w:tcBorders>
            <w:vAlign w:val="center"/>
            <w:hideMark/>
          </w:tcPr>
          <w:p w14:paraId="32FF68BA"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0B616829"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57 – Ekspluatācijā esošo Eiropas Dzelzceļa satiksmes vadības sistēmas standartiem atbilstošo sliežu ceļu garums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58 – Pa atbalstītajiem sliežu ceļiem gadā pārvadāto pasažieru skaits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59 – Pa dzelzceļu pārvadātās kravas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60 – Pa iekšējiem ūdensceļiem pārvadātās kravas </w:t>
            </w:r>
          </w:p>
        </w:tc>
        <w:tc>
          <w:tcPr>
            <w:tcW w:w="6262" w:type="dxa"/>
            <w:tcBorders>
              <w:top w:val="nil"/>
              <w:left w:val="nil"/>
              <w:bottom w:val="single" w:sz="4" w:space="0" w:color="auto"/>
              <w:right w:val="single" w:sz="4" w:space="0" w:color="auto"/>
            </w:tcBorders>
            <w:hideMark/>
          </w:tcPr>
          <w:p w14:paraId="32E5B666" w14:textId="77777777" w:rsidR="0030119C" w:rsidRPr="0030119C" w:rsidRDefault="0030119C" w:rsidP="000165BF">
            <w:pPr>
              <w:numPr>
                <w:ilvl w:val="0"/>
                <w:numId w:val="8"/>
              </w:numPr>
              <w:spacing w:after="0" w:line="240" w:lineRule="auto"/>
              <w:ind w:left="227" w:hanging="227"/>
              <w:jc w:val="both"/>
              <w:rPr>
                <w:rFonts w:eastAsia="Calibri" w:cstheme="minorHAnsi"/>
                <w:noProof/>
                <w:color w:val="000000"/>
                <w:sz w:val="22"/>
              </w:rPr>
            </w:pPr>
            <w:r w:rsidRPr="0030119C">
              <w:rPr>
                <w:rFonts w:eastAsia="Calibri" w:cstheme="minorHAnsi"/>
                <w:noProof/>
                <w:color w:val="000000"/>
                <w:sz w:val="22"/>
              </w:rPr>
              <w:t>Pa dzelzceļā pārvadāto pasažieru skaits;</w:t>
            </w:r>
          </w:p>
          <w:p w14:paraId="3193482A" w14:textId="77777777" w:rsidR="0030119C" w:rsidRPr="0030119C" w:rsidRDefault="0030119C" w:rsidP="000165BF">
            <w:pPr>
              <w:numPr>
                <w:ilvl w:val="0"/>
                <w:numId w:val="8"/>
              </w:numPr>
              <w:spacing w:after="0" w:line="240" w:lineRule="auto"/>
              <w:ind w:left="227" w:hanging="227"/>
              <w:jc w:val="both"/>
              <w:rPr>
                <w:rFonts w:eastAsia="Calibri" w:cstheme="minorHAnsi"/>
                <w:noProof/>
                <w:color w:val="000000"/>
                <w:sz w:val="22"/>
              </w:rPr>
            </w:pPr>
            <w:r w:rsidRPr="0030119C">
              <w:rPr>
                <w:rFonts w:eastAsia="Calibri" w:cstheme="minorHAnsi"/>
                <w:noProof/>
                <w:color w:val="000000"/>
                <w:sz w:val="22"/>
              </w:rPr>
              <w:t>Pa dzelzceļu pārvadāto kravu skaits</w:t>
            </w:r>
          </w:p>
          <w:p w14:paraId="7A443651" w14:textId="77777777" w:rsidR="0030119C" w:rsidRPr="0030119C" w:rsidRDefault="0030119C" w:rsidP="000165BF">
            <w:pPr>
              <w:spacing w:after="0" w:line="240" w:lineRule="auto"/>
              <w:ind w:left="227" w:hanging="227"/>
              <w:jc w:val="both"/>
              <w:rPr>
                <w:rFonts w:eastAsia="Calibri" w:cstheme="minorHAnsi"/>
                <w:noProof/>
                <w:color w:val="000000"/>
                <w:sz w:val="22"/>
              </w:rPr>
            </w:pPr>
          </w:p>
        </w:tc>
      </w:tr>
      <w:tr w:rsidR="0030119C" w:rsidRPr="0030119C" w14:paraId="045CDE00" w14:textId="77777777" w:rsidTr="006B5EFD">
        <w:trPr>
          <w:trHeight w:val="719"/>
        </w:trPr>
        <w:tc>
          <w:tcPr>
            <w:tcW w:w="0" w:type="auto"/>
            <w:vMerge/>
            <w:tcBorders>
              <w:top w:val="nil"/>
              <w:left w:val="single" w:sz="4" w:space="0" w:color="auto"/>
              <w:bottom w:val="single" w:sz="4" w:space="0" w:color="auto"/>
              <w:right w:val="single" w:sz="4" w:space="0" w:color="auto"/>
            </w:tcBorders>
            <w:vAlign w:val="center"/>
            <w:hideMark/>
          </w:tcPr>
          <w:p w14:paraId="5169CBE4"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62BFC730"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62 – Videi draudzīgajā sabiedriskajā transportā pārvadāto pasažieru skaits</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64 – Atdalītas veloinfrastruktūras lietotāju skaits gadā</w:t>
            </w:r>
          </w:p>
        </w:tc>
        <w:tc>
          <w:tcPr>
            <w:tcW w:w="6262" w:type="dxa"/>
            <w:tcBorders>
              <w:top w:val="nil"/>
              <w:left w:val="nil"/>
              <w:bottom w:val="single" w:sz="4" w:space="0" w:color="auto"/>
              <w:right w:val="single" w:sz="4" w:space="0" w:color="auto"/>
            </w:tcBorders>
            <w:hideMark/>
          </w:tcPr>
          <w:p w14:paraId="724962B6" w14:textId="77777777" w:rsidR="0030119C" w:rsidRPr="0030119C" w:rsidRDefault="0030119C" w:rsidP="000165BF">
            <w:pPr>
              <w:pStyle w:val="ListParagraph"/>
              <w:numPr>
                <w:ilvl w:val="0"/>
                <w:numId w:val="25"/>
              </w:numPr>
              <w:spacing w:after="0" w:line="240" w:lineRule="auto"/>
              <w:ind w:left="227" w:hanging="227"/>
              <w:contextualSpacing w:val="0"/>
              <w:rPr>
                <w:rFonts w:eastAsia="Calibri" w:cstheme="minorHAnsi"/>
                <w:noProof/>
                <w:color w:val="000000"/>
                <w:sz w:val="22"/>
                <w:lang w:eastAsia="lv-LV" w:bidi="lv-LV"/>
              </w:rPr>
            </w:pPr>
            <w:r w:rsidRPr="0030119C">
              <w:rPr>
                <w:rFonts w:eastAsia="Calibri" w:cstheme="minorHAnsi"/>
                <w:noProof/>
                <w:color w:val="000000"/>
                <w:sz w:val="22"/>
                <w:lang w:eastAsia="lv-LV" w:bidi="lv-LV"/>
              </w:rPr>
              <w:t>Videi draudzīgajā sabiedriskajā transportā pārvadāto pasažieru skaits</w:t>
            </w:r>
          </w:p>
        </w:tc>
      </w:tr>
      <w:tr w:rsidR="0030119C" w:rsidRPr="0030119C" w14:paraId="24341B06" w14:textId="77777777" w:rsidTr="006B5EFD">
        <w:trPr>
          <w:trHeight w:val="447"/>
        </w:trPr>
        <w:tc>
          <w:tcPr>
            <w:tcW w:w="1733" w:type="dxa"/>
            <w:vMerge w:val="restart"/>
            <w:tcBorders>
              <w:top w:val="nil"/>
              <w:left w:val="single" w:sz="4" w:space="0" w:color="auto"/>
              <w:bottom w:val="single" w:sz="4" w:space="0" w:color="auto"/>
              <w:right w:val="single" w:sz="4" w:space="0" w:color="auto"/>
            </w:tcBorders>
            <w:vAlign w:val="center"/>
            <w:hideMark/>
          </w:tcPr>
          <w:p w14:paraId="79BD5F78" w14:textId="77777777" w:rsidR="0030119C" w:rsidRPr="0030119C" w:rsidRDefault="0030119C" w:rsidP="000165BF">
            <w:pPr>
              <w:spacing w:after="0" w:line="240" w:lineRule="auto"/>
              <w:jc w:val="center"/>
              <w:rPr>
                <w:rFonts w:eastAsia="Times New Roman" w:cstheme="minorHAnsi"/>
                <w:b/>
                <w:bCs/>
                <w:noProof/>
                <w:color w:val="000000"/>
                <w:sz w:val="22"/>
                <w:lang w:eastAsia="lv-LV" w:bidi="lv-LV"/>
              </w:rPr>
            </w:pPr>
            <w:r w:rsidRPr="0030119C">
              <w:rPr>
                <w:rFonts w:eastAsia="Calibri" w:cstheme="minorHAnsi"/>
                <w:b/>
                <w:noProof/>
                <w:color w:val="000000"/>
                <w:sz w:val="22"/>
                <w:lang w:eastAsia="lv-LV" w:bidi="lv-LV"/>
              </w:rPr>
              <w:t>4. Sociālāka Eiropa, īstenojot Eiropas sociālo tiesību pīlāru</w:t>
            </w:r>
          </w:p>
        </w:tc>
        <w:tc>
          <w:tcPr>
            <w:tcW w:w="6473" w:type="dxa"/>
            <w:tcBorders>
              <w:top w:val="nil"/>
              <w:left w:val="nil"/>
              <w:bottom w:val="single" w:sz="4" w:space="0" w:color="auto"/>
              <w:right w:val="single" w:sz="4" w:space="0" w:color="auto"/>
            </w:tcBorders>
            <w:vAlign w:val="center"/>
            <w:hideMark/>
          </w:tcPr>
          <w:p w14:paraId="710464A5"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65 – Darba meklētāji, kuri gadā izmanto atbalstīto nodarbinātības dienestu pakalpojumus</w:t>
            </w:r>
          </w:p>
        </w:tc>
        <w:tc>
          <w:tcPr>
            <w:tcW w:w="6262" w:type="dxa"/>
            <w:tcBorders>
              <w:top w:val="nil"/>
              <w:left w:val="nil"/>
              <w:bottom w:val="single" w:sz="4" w:space="0" w:color="auto"/>
              <w:right w:val="single" w:sz="4" w:space="0" w:color="auto"/>
            </w:tcBorders>
            <w:hideMark/>
          </w:tcPr>
          <w:p w14:paraId="5095F711"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w:t>
            </w:r>
          </w:p>
        </w:tc>
      </w:tr>
      <w:tr w:rsidR="0030119C" w:rsidRPr="0030119C" w14:paraId="6CE9D6F4" w14:textId="77777777" w:rsidTr="006B5EFD">
        <w:trPr>
          <w:trHeight w:val="1275"/>
        </w:trPr>
        <w:tc>
          <w:tcPr>
            <w:tcW w:w="0" w:type="auto"/>
            <w:vMerge/>
            <w:tcBorders>
              <w:top w:val="nil"/>
              <w:left w:val="single" w:sz="4" w:space="0" w:color="auto"/>
              <w:bottom w:val="single" w:sz="4" w:space="0" w:color="auto"/>
              <w:right w:val="single" w:sz="4" w:space="0" w:color="auto"/>
            </w:tcBorders>
            <w:vAlign w:val="center"/>
            <w:hideMark/>
          </w:tcPr>
          <w:p w14:paraId="7DFD7278"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7F1D55C2"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66 – Uzbūvētās vai renovētās pagaidu uzņemšanas infrastruktūras izmantojuma līmenis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67 – Atjaunoto mājokļu izmantojuma līmenis – migranti, bēgļi un personas, kas saņēmušas starptautisko aizsardzību, vai uz to pieteikušās</w:t>
            </w:r>
          </w:p>
          <w:p w14:paraId="236FF089"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68 – Atjaunoto mājokļu izmantojuma līmenis – cits </w:t>
            </w:r>
          </w:p>
        </w:tc>
        <w:tc>
          <w:tcPr>
            <w:tcW w:w="6262" w:type="dxa"/>
            <w:tcBorders>
              <w:top w:val="nil"/>
              <w:left w:val="nil"/>
              <w:bottom w:val="single" w:sz="4" w:space="0" w:color="auto"/>
              <w:right w:val="single" w:sz="4" w:space="0" w:color="auto"/>
            </w:tcBorders>
            <w:hideMark/>
          </w:tcPr>
          <w:p w14:paraId="186B7164"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w:t>
            </w:r>
          </w:p>
        </w:tc>
      </w:tr>
      <w:tr w:rsidR="0030119C" w:rsidRPr="0030119C" w14:paraId="5E6A5A8C" w14:textId="77777777" w:rsidTr="006B5EFD">
        <w:trPr>
          <w:trHeight w:val="1020"/>
        </w:trPr>
        <w:tc>
          <w:tcPr>
            <w:tcW w:w="0" w:type="auto"/>
            <w:vMerge/>
            <w:tcBorders>
              <w:top w:val="nil"/>
              <w:left w:val="single" w:sz="4" w:space="0" w:color="auto"/>
              <w:bottom w:val="single" w:sz="4" w:space="0" w:color="auto"/>
              <w:right w:val="single" w:sz="4" w:space="0" w:color="auto"/>
            </w:tcBorders>
            <w:vAlign w:val="center"/>
            <w:hideMark/>
          </w:tcPr>
          <w:p w14:paraId="61E82F5F"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236E3C89"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RKR 70 – Atbalstīto bērnu aprūpes infrastruktūru izmantojušo bērnu skaits gadā</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71 – Atbalstīto izglītības infrastruktūru izmantojušo skolēnu/studentu skaits gadā</w:t>
            </w:r>
          </w:p>
        </w:tc>
        <w:tc>
          <w:tcPr>
            <w:tcW w:w="6262" w:type="dxa"/>
            <w:tcBorders>
              <w:top w:val="nil"/>
              <w:left w:val="nil"/>
              <w:bottom w:val="single" w:sz="4" w:space="0" w:color="auto"/>
              <w:right w:val="single" w:sz="4" w:space="0" w:color="auto"/>
            </w:tcBorders>
            <w:hideMark/>
          </w:tcPr>
          <w:p w14:paraId="57151242"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w:t>
            </w:r>
          </w:p>
        </w:tc>
      </w:tr>
      <w:tr w:rsidR="0030119C" w:rsidRPr="0030119C" w14:paraId="6BB05993" w14:textId="77777777" w:rsidTr="006B5EFD">
        <w:trPr>
          <w:trHeight w:val="1496"/>
        </w:trPr>
        <w:tc>
          <w:tcPr>
            <w:tcW w:w="0" w:type="auto"/>
            <w:vMerge/>
            <w:tcBorders>
              <w:top w:val="nil"/>
              <w:left w:val="single" w:sz="4" w:space="0" w:color="auto"/>
              <w:bottom w:val="single" w:sz="4" w:space="0" w:color="auto"/>
              <w:right w:val="single" w:sz="4" w:space="0" w:color="auto"/>
            </w:tcBorders>
            <w:vAlign w:val="center"/>
            <w:hideMark/>
          </w:tcPr>
          <w:p w14:paraId="31208E44" w14:textId="77777777" w:rsidR="0030119C" w:rsidRPr="0030119C" w:rsidRDefault="0030119C" w:rsidP="000165BF">
            <w:pPr>
              <w:spacing w:after="0" w:line="240" w:lineRule="auto"/>
              <w:rPr>
                <w:rFonts w:eastAsia="Times New Roman" w:cstheme="minorHAnsi"/>
                <w:b/>
                <w:bCs/>
                <w:noProof/>
                <w:color w:val="000000"/>
                <w:sz w:val="22"/>
                <w:lang w:eastAsia="lv-LV" w:bidi="lv-LV"/>
              </w:rPr>
            </w:pPr>
          </w:p>
        </w:tc>
        <w:tc>
          <w:tcPr>
            <w:tcW w:w="6473" w:type="dxa"/>
            <w:tcBorders>
              <w:top w:val="nil"/>
              <w:left w:val="nil"/>
              <w:bottom w:val="single" w:sz="4" w:space="0" w:color="auto"/>
              <w:right w:val="single" w:sz="4" w:space="0" w:color="auto"/>
            </w:tcBorders>
            <w:vAlign w:val="center"/>
            <w:hideMark/>
          </w:tcPr>
          <w:p w14:paraId="48FEA5A3" w14:textId="77777777" w:rsidR="0030119C" w:rsidRPr="0030119C" w:rsidRDefault="0030119C" w:rsidP="000165BF">
            <w:pPr>
              <w:spacing w:after="0" w:line="240" w:lineRule="auto"/>
              <w:rPr>
                <w:rFonts w:eastAsia="Times New Roman" w:cstheme="minorHAnsi"/>
                <w:noProof/>
                <w:color w:val="000000"/>
                <w:sz w:val="22"/>
                <w:lang w:eastAsia="lv-LV" w:bidi="lv-LV"/>
              </w:rPr>
            </w:pPr>
            <w:r w:rsidRPr="0030119C">
              <w:rPr>
                <w:rFonts w:eastAsia="Calibri" w:cstheme="minorHAnsi"/>
                <w:noProof/>
                <w:color w:val="000000"/>
                <w:sz w:val="22"/>
                <w:lang w:eastAsia="lv-LV" w:bidi="lv-LV"/>
              </w:rPr>
              <w:t xml:space="preserve">RKR 72 – Cilvēki, kam ir piekļuve uzlabotiem veselības aprūpes pakalpojumiem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RKR 73 – Atbalstīto veselības aprūpes iestāžu izmantojušo cilvēku skaits gadā</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74 – Atbalstīto sociālās aprūpes iestāžu izmantojušo cilvēku skaits gadā </w:t>
            </w:r>
            <w:r w:rsidRPr="0030119C">
              <w:rPr>
                <w:rFonts w:eastAsia="Times New Roman" w:cstheme="minorHAnsi"/>
                <w:noProof/>
                <w:color w:val="000000"/>
                <w:sz w:val="22"/>
                <w:lang w:eastAsia="lv-LV" w:bidi="lv-LV"/>
              </w:rPr>
              <w:br/>
            </w:r>
            <w:r w:rsidRPr="0030119C">
              <w:rPr>
                <w:rFonts w:eastAsia="Calibri" w:cstheme="minorHAnsi"/>
                <w:noProof/>
                <w:color w:val="000000"/>
                <w:sz w:val="22"/>
                <w:lang w:eastAsia="lv-LV" w:bidi="lv-LV"/>
              </w:rPr>
              <w:t xml:space="preserve">RKR 75 – Vidējais reaģēšanas laiks ārkārtas medicīniskās palīdzības sniegšanai atbalstītajā teritorijā </w:t>
            </w:r>
          </w:p>
        </w:tc>
        <w:tc>
          <w:tcPr>
            <w:tcW w:w="6262" w:type="dxa"/>
            <w:tcBorders>
              <w:top w:val="nil"/>
              <w:left w:val="nil"/>
              <w:bottom w:val="single" w:sz="4" w:space="0" w:color="auto"/>
              <w:right w:val="single" w:sz="4" w:space="0" w:color="auto"/>
            </w:tcBorders>
            <w:hideMark/>
          </w:tcPr>
          <w:p w14:paraId="6C253D5F" w14:textId="77777777" w:rsidR="0030119C" w:rsidRPr="0030119C" w:rsidRDefault="0030119C" w:rsidP="000165BF">
            <w:pPr>
              <w:spacing w:after="0" w:line="240" w:lineRule="auto"/>
              <w:rPr>
                <w:rFonts w:eastAsia="Calibri" w:cstheme="minorHAnsi"/>
                <w:noProof/>
                <w:color w:val="000000"/>
                <w:sz w:val="22"/>
                <w:lang w:eastAsia="lv-LV" w:bidi="lv-LV"/>
              </w:rPr>
            </w:pPr>
            <w:r w:rsidRPr="0030119C">
              <w:rPr>
                <w:rFonts w:eastAsia="Calibri" w:cstheme="minorHAnsi"/>
                <w:noProof/>
                <w:color w:val="000000"/>
                <w:sz w:val="22"/>
                <w:lang w:eastAsia="lv-LV" w:bidi="lv-LV"/>
              </w:rPr>
              <w:t>Neattiecas uz Plāna aptvērumu</w:t>
            </w:r>
          </w:p>
        </w:tc>
      </w:tr>
    </w:tbl>
    <w:bookmarkEnd w:id="4"/>
    <w:p w14:paraId="6769442D" w14:textId="77777777" w:rsidR="0030119C" w:rsidRPr="0030119C" w:rsidRDefault="0030119C" w:rsidP="0030119C">
      <w:pPr>
        <w:spacing w:before="120" w:after="120" w:line="240" w:lineRule="auto"/>
        <w:jc w:val="both"/>
        <w:rPr>
          <w:rFonts w:eastAsia="Calibri" w:cstheme="minorHAnsi"/>
          <w:noProof/>
          <w:sz w:val="20"/>
          <w:szCs w:val="20"/>
          <w:lang w:eastAsia="lv-LV" w:bidi="lv-LV"/>
        </w:rPr>
      </w:pPr>
      <w:r w:rsidRPr="0030119C">
        <w:rPr>
          <w:rFonts w:eastAsia="Calibri" w:cstheme="minorHAnsi"/>
          <w:noProof/>
          <w:sz w:val="20"/>
          <w:szCs w:val="20"/>
          <w:lang w:eastAsia="lv-LV" w:bidi="lv-LV"/>
        </w:rPr>
        <w:tab/>
      </w:r>
    </w:p>
    <w:p w14:paraId="4C696237" w14:textId="77777777" w:rsidR="0030119C" w:rsidRPr="0030119C" w:rsidRDefault="0030119C" w:rsidP="0030119C">
      <w:pPr>
        <w:spacing w:after="200" w:line="276" w:lineRule="auto"/>
        <w:rPr>
          <w:rFonts w:eastAsia="Calibri" w:cstheme="minorHAnsi"/>
          <w:noProof/>
          <w:sz w:val="20"/>
          <w:szCs w:val="20"/>
          <w:lang w:eastAsia="lv-LV" w:bidi="lv-LV"/>
        </w:rPr>
      </w:pPr>
      <w:r w:rsidRPr="0030119C">
        <w:rPr>
          <w:rFonts w:eastAsia="Calibri" w:cstheme="minorHAnsi"/>
          <w:noProof/>
          <w:sz w:val="20"/>
          <w:szCs w:val="20"/>
          <w:lang w:eastAsia="lv-LV" w:bidi="lv-LV"/>
        </w:rPr>
        <w:br w:type="page"/>
      </w:r>
    </w:p>
    <w:p w14:paraId="01E9B917" w14:textId="77777777" w:rsidR="0030119C" w:rsidRPr="0030119C" w:rsidRDefault="0030119C" w:rsidP="0030119C">
      <w:pPr>
        <w:spacing w:before="120" w:after="120" w:line="240" w:lineRule="auto"/>
        <w:jc w:val="center"/>
        <w:rPr>
          <w:rFonts w:eastAsia="Calibri" w:cstheme="minorHAnsi"/>
          <w:b/>
          <w:noProof/>
          <w:sz w:val="28"/>
          <w:szCs w:val="28"/>
          <w:lang w:eastAsia="lv-LV" w:bidi="lv-LV"/>
        </w:rPr>
      </w:pPr>
      <w:r w:rsidRPr="0030119C">
        <w:rPr>
          <w:rFonts w:eastAsia="Calibri" w:cstheme="minorHAnsi"/>
          <w:b/>
          <w:noProof/>
          <w:sz w:val="28"/>
          <w:szCs w:val="28"/>
          <w:lang w:eastAsia="lv-LV" w:bidi="lv-LV"/>
        </w:rPr>
        <w:lastRenderedPageBreak/>
        <w:t>2. tabula. Tematiskie veicinošie nosacījumi, ko piemēro ERAF, ESF+ un Kohēzijas fondam</w:t>
      </w:r>
    </w:p>
    <w:tbl>
      <w:tblPr>
        <w:tblStyle w:val="TableGrid2"/>
        <w:tblW w:w="14459" w:type="dxa"/>
        <w:jc w:val="center"/>
        <w:tblInd w:w="0" w:type="dxa"/>
        <w:tblLook w:val="04A0" w:firstRow="1" w:lastRow="0" w:firstColumn="1" w:lastColumn="0" w:noHBand="0" w:noVBand="1"/>
      </w:tblPr>
      <w:tblGrid>
        <w:gridCol w:w="1798"/>
        <w:gridCol w:w="2556"/>
        <w:gridCol w:w="2353"/>
        <w:gridCol w:w="4458"/>
        <w:gridCol w:w="3294"/>
      </w:tblGrid>
      <w:tr w:rsidR="0030119C" w:rsidRPr="0030119C" w14:paraId="7F2DBD13" w14:textId="77777777" w:rsidTr="006B5EFD">
        <w:trPr>
          <w:trHeight w:val="573"/>
          <w:tblHeader/>
          <w:jc w:val="center"/>
        </w:trPr>
        <w:tc>
          <w:tcPr>
            <w:tcW w:w="18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E6A6A" w14:textId="77777777" w:rsidR="0030119C" w:rsidRPr="0030119C" w:rsidRDefault="0030119C" w:rsidP="000165BF">
            <w:pPr>
              <w:jc w:val="center"/>
              <w:rPr>
                <w:rFonts w:asciiTheme="minorHAnsi" w:hAnsiTheme="minorHAnsi" w:cstheme="minorHAnsi"/>
                <w:b/>
                <w:noProof/>
                <w:szCs w:val="24"/>
              </w:rPr>
            </w:pPr>
            <w:r w:rsidRPr="0030119C">
              <w:rPr>
                <w:rFonts w:asciiTheme="minorHAnsi" w:hAnsiTheme="minorHAnsi" w:cstheme="minorHAnsi"/>
                <w:b/>
                <w:noProof/>
                <w:szCs w:val="24"/>
              </w:rPr>
              <w:t>Politikas mērķis</w:t>
            </w:r>
          </w:p>
        </w:tc>
        <w:tc>
          <w:tcPr>
            <w:tcW w:w="25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55427" w14:textId="77777777" w:rsidR="0030119C" w:rsidRPr="0030119C" w:rsidRDefault="0030119C" w:rsidP="000165BF">
            <w:pPr>
              <w:jc w:val="center"/>
              <w:rPr>
                <w:rFonts w:asciiTheme="minorHAnsi" w:hAnsiTheme="minorHAnsi" w:cstheme="minorHAnsi"/>
                <w:noProof/>
                <w:szCs w:val="24"/>
              </w:rPr>
            </w:pPr>
            <w:r w:rsidRPr="0030119C">
              <w:rPr>
                <w:rFonts w:asciiTheme="minorHAnsi" w:hAnsiTheme="minorHAnsi" w:cstheme="minorHAnsi"/>
                <w:b/>
                <w:noProof/>
                <w:szCs w:val="24"/>
              </w:rPr>
              <w:t>Konkrētais mērķis</w:t>
            </w:r>
          </w:p>
        </w:tc>
        <w:tc>
          <w:tcPr>
            <w:tcW w:w="24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AA3F73" w14:textId="77777777" w:rsidR="0030119C" w:rsidRPr="0030119C" w:rsidRDefault="0030119C" w:rsidP="000165BF">
            <w:pPr>
              <w:jc w:val="center"/>
              <w:rPr>
                <w:rFonts w:asciiTheme="minorHAnsi" w:hAnsiTheme="minorHAnsi" w:cstheme="minorHAnsi"/>
                <w:b/>
                <w:noProof/>
                <w:szCs w:val="24"/>
              </w:rPr>
            </w:pPr>
            <w:r w:rsidRPr="0030119C">
              <w:rPr>
                <w:rFonts w:asciiTheme="minorHAnsi" w:hAnsiTheme="minorHAnsi" w:cstheme="minorHAnsi"/>
                <w:b/>
                <w:noProof/>
                <w:szCs w:val="24"/>
              </w:rPr>
              <w:t>Veicinošā nosacījuma nosaukums</w:t>
            </w:r>
          </w:p>
        </w:tc>
        <w:tc>
          <w:tcPr>
            <w:tcW w:w="49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50EC2E" w14:textId="77777777" w:rsidR="0030119C" w:rsidRPr="0030119C" w:rsidRDefault="0030119C" w:rsidP="000165BF">
            <w:pPr>
              <w:ind w:left="34"/>
              <w:jc w:val="center"/>
              <w:rPr>
                <w:rFonts w:asciiTheme="minorHAnsi" w:hAnsiTheme="minorHAnsi" w:cstheme="minorHAnsi"/>
                <w:noProof/>
                <w:szCs w:val="24"/>
              </w:rPr>
            </w:pPr>
            <w:r w:rsidRPr="0030119C">
              <w:rPr>
                <w:rFonts w:asciiTheme="minorHAnsi" w:hAnsiTheme="minorHAnsi" w:cstheme="minorHAnsi"/>
                <w:b/>
                <w:noProof/>
                <w:szCs w:val="24"/>
              </w:rPr>
              <w:t>Veicinošā nosacījuma izpildes kritēriji</w:t>
            </w:r>
          </w:p>
        </w:tc>
        <w:tc>
          <w:tcPr>
            <w:tcW w:w="36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816C8B" w14:textId="77777777" w:rsidR="0030119C" w:rsidRPr="0030119C" w:rsidRDefault="0030119C" w:rsidP="000165BF">
            <w:pPr>
              <w:ind w:left="34"/>
              <w:jc w:val="center"/>
              <w:rPr>
                <w:rFonts w:asciiTheme="minorHAnsi" w:hAnsiTheme="minorHAnsi" w:cstheme="minorHAnsi"/>
                <w:b/>
                <w:noProof/>
                <w:szCs w:val="24"/>
              </w:rPr>
            </w:pPr>
            <w:r w:rsidRPr="0030119C">
              <w:rPr>
                <w:rFonts w:asciiTheme="minorHAnsi" w:hAnsiTheme="minorHAnsi" w:cstheme="minorHAnsi"/>
                <w:b/>
                <w:noProof/>
                <w:szCs w:val="24"/>
              </w:rPr>
              <w:t>Veicinošā nosacījuma sasaiste ar Plānu, tā izvērtējums Plānā</w:t>
            </w:r>
          </w:p>
        </w:tc>
      </w:tr>
      <w:tr w:rsidR="0030119C" w:rsidRPr="0030119C" w14:paraId="44F67A67" w14:textId="77777777" w:rsidTr="006B5EFD">
        <w:trPr>
          <w:trHeight w:val="573"/>
          <w:jc w:val="center"/>
        </w:trPr>
        <w:tc>
          <w:tcPr>
            <w:tcW w:w="1852" w:type="dxa"/>
            <w:tcBorders>
              <w:top w:val="single" w:sz="4" w:space="0" w:color="auto"/>
              <w:left w:val="single" w:sz="4" w:space="0" w:color="auto"/>
              <w:bottom w:val="single" w:sz="4" w:space="0" w:color="auto"/>
              <w:right w:val="single" w:sz="4" w:space="0" w:color="auto"/>
            </w:tcBorders>
            <w:hideMark/>
          </w:tcPr>
          <w:p w14:paraId="18BB8508"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1. Viedāka Eiropa, veicinot inovatīvas un viedas ekonomiskās pārmaiņas</w:t>
            </w:r>
          </w:p>
        </w:tc>
        <w:tc>
          <w:tcPr>
            <w:tcW w:w="2564" w:type="dxa"/>
            <w:tcBorders>
              <w:top w:val="single" w:sz="4" w:space="0" w:color="auto"/>
              <w:left w:val="single" w:sz="4" w:space="0" w:color="auto"/>
              <w:bottom w:val="single" w:sz="4" w:space="0" w:color="auto"/>
              <w:right w:val="single" w:sz="4" w:space="0" w:color="auto"/>
            </w:tcBorders>
          </w:tcPr>
          <w:p w14:paraId="6CEB329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1600848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Visi šā politikas mērķa konkrētie mērķi </w:t>
            </w:r>
          </w:p>
          <w:p w14:paraId="2CE9E9F8" w14:textId="77777777" w:rsidR="0030119C" w:rsidRPr="0030119C" w:rsidRDefault="0030119C" w:rsidP="000165BF">
            <w:pPr>
              <w:jc w:val="both"/>
              <w:rPr>
                <w:rFonts w:asciiTheme="minorHAnsi" w:hAnsiTheme="minorHAnsi" w:cstheme="minorHAnsi"/>
                <w:noProof/>
                <w:szCs w:val="24"/>
              </w:rPr>
            </w:pPr>
          </w:p>
          <w:p w14:paraId="24C19348" w14:textId="77777777" w:rsidR="0030119C" w:rsidRPr="0030119C" w:rsidRDefault="0030119C" w:rsidP="000165BF">
            <w:pPr>
              <w:jc w:val="both"/>
              <w:rPr>
                <w:rFonts w:asciiTheme="minorHAnsi" w:hAnsiTheme="minorHAnsi" w:cstheme="minorHAnsi"/>
                <w:noProof/>
                <w:szCs w:val="24"/>
              </w:rPr>
            </w:pPr>
          </w:p>
          <w:p w14:paraId="313BEFDF" w14:textId="77777777" w:rsidR="0030119C" w:rsidRPr="0030119C" w:rsidRDefault="0030119C" w:rsidP="000165BF">
            <w:pPr>
              <w:jc w:val="both"/>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tcPr>
          <w:p w14:paraId="636E191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Valsts vai reģionālas viedās specializācijas stratēģijas laba pārvaldība </w:t>
            </w:r>
          </w:p>
          <w:p w14:paraId="11C6B5AC" w14:textId="77777777" w:rsidR="0030119C" w:rsidRPr="0030119C" w:rsidRDefault="0030119C" w:rsidP="000165BF">
            <w:pPr>
              <w:jc w:val="both"/>
              <w:rPr>
                <w:rFonts w:asciiTheme="minorHAnsi" w:hAnsiTheme="minorHAnsi" w:cstheme="minorHAnsi"/>
                <w:noProof/>
                <w:szCs w:val="24"/>
              </w:rPr>
            </w:pPr>
          </w:p>
        </w:tc>
        <w:tc>
          <w:tcPr>
            <w:tcW w:w="4941" w:type="dxa"/>
            <w:tcBorders>
              <w:top w:val="single" w:sz="4" w:space="0" w:color="auto"/>
              <w:left w:val="single" w:sz="4" w:space="0" w:color="auto"/>
              <w:bottom w:val="single" w:sz="4" w:space="0" w:color="auto"/>
              <w:right w:val="single" w:sz="4" w:space="0" w:color="auto"/>
            </w:tcBorders>
            <w:hideMark/>
          </w:tcPr>
          <w:p w14:paraId="0F34412F" w14:textId="77777777" w:rsidR="0030119C" w:rsidRPr="0030119C" w:rsidRDefault="0030119C" w:rsidP="000165BF">
            <w:pPr>
              <w:ind w:left="34"/>
              <w:jc w:val="both"/>
              <w:rPr>
                <w:rFonts w:asciiTheme="minorHAnsi" w:hAnsiTheme="minorHAnsi" w:cstheme="minorHAnsi"/>
                <w:noProof/>
                <w:szCs w:val="24"/>
              </w:rPr>
            </w:pPr>
            <w:r w:rsidRPr="0030119C">
              <w:rPr>
                <w:rFonts w:asciiTheme="minorHAnsi" w:hAnsiTheme="minorHAnsi" w:cstheme="minorHAnsi"/>
                <w:noProof/>
                <w:szCs w:val="24"/>
              </w:rPr>
              <w:t>Viedās specializācijas stratēģiju (-as) balsta uz:</w:t>
            </w:r>
          </w:p>
          <w:p w14:paraId="62B5564E"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inovāciju izplatīšanas, tostarp digitalizācijas, trūkumu aktuālu analīzi;</w:t>
            </w:r>
          </w:p>
          <w:p w14:paraId="61BCCAF2"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 xml:space="preserve">tādas reģionālās/valsts kompetentās iestādes vai struktūras pastāvēšanu, kas ir atbildīga par viedās specializācijas stratēģijas pārvaldību; </w:t>
            </w:r>
          </w:p>
          <w:p w14:paraId="22C2933D"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monitoringa un novērtēšanas rīkiem, kas paredzēti, lai vērtētu virzību uz stratēģijas mērķu sasniegšanu;</w:t>
            </w:r>
          </w:p>
          <w:p w14:paraId="1D973F2A"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uzņēmējdarbības potenciāla atklāšanas procesa efektīvu darbību;</w:t>
            </w:r>
          </w:p>
          <w:p w14:paraId="4E5EE3FB"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darbībām, kas nepieciešamas, lai uzlabotu valstu vai reģionālās pētniecības un inovācijas sistēmas;</w:t>
            </w:r>
          </w:p>
          <w:p w14:paraId="295CF717"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rūpniecības restrukturizācijas darbībām;</w:t>
            </w:r>
          </w:p>
          <w:p w14:paraId="6E7FFE33"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starptautiskās sadarbības pasākumiem.</w:t>
            </w:r>
          </w:p>
        </w:tc>
        <w:tc>
          <w:tcPr>
            <w:tcW w:w="3642" w:type="dxa"/>
            <w:tcBorders>
              <w:top w:val="single" w:sz="4" w:space="0" w:color="auto"/>
              <w:left w:val="single" w:sz="4" w:space="0" w:color="auto"/>
              <w:bottom w:val="single" w:sz="4" w:space="0" w:color="auto"/>
              <w:right w:val="single" w:sz="4" w:space="0" w:color="auto"/>
            </w:tcBorders>
            <w:hideMark/>
          </w:tcPr>
          <w:p w14:paraId="3F47EA5B" w14:textId="1EC166F0" w:rsidR="0030119C" w:rsidRPr="0030119C" w:rsidRDefault="0030119C" w:rsidP="000165BF">
            <w:pPr>
              <w:ind w:left="34"/>
              <w:jc w:val="both"/>
              <w:rPr>
                <w:rFonts w:asciiTheme="minorHAnsi" w:hAnsiTheme="minorHAnsi" w:cstheme="minorHAnsi"/>
                <w:noProof/>
                <w:szCs w:val="24"/>
              </w:rPr>
            </w:pPr>
            <w:r w:rsidRPr="0030119C">
              <w:rPr>
                <w:rFonts w:asciiTheme="minorHAnsi" w:hAnsiTheme="minorHAnsi" w:cstheme="minorHAnsi"/>
                <w:noProof/>
                <w:szCs w:val="24"/>
              </w:rPr>
              <w:t>Plānā iekļautā inovāciju, pētniecības un dekarbonizācijas dimensija (Plāna 2.</w:t>
            </w:r>
            <w:r w:rsidR="000165BF">
              <w:rPr>
                <w:rFonts w:asciiTheme="minorHAnsi" w:hAnsiTheme="minorHAnsi" w:cstheme="minorHAnsi"/>
                <w:noProof/>
                <w:szCs w:val="24"/>
              </w:rPr>
              <w:t>6</w:t>
            </w:r>
            <w:r w:rsidRPr="0030119C">
              <w:rPr>
                <w:rFonts w:asciiTheme="minorHAnsi" w:hAnsiTheme="minorHAnsi" w:cstheme="minorHAnsi"/>
                <w:noProof/>
                <w:szCs w:val="24"/>
              </w:rPr>
              <w:t>., 3.5. un 4.</w:t>
            </w:r>
            <w:r w:rsidR="000165BF">
              <w:rPr>
                <w:rFonts w:asciiTheme="minorHAnsi" w:hAnsiTheme="minorHAnsi" w:cstheme="minorHAnsi"/>
                <w:noProof/>
                <w:szCs w:val="24"/>
              </w:rPr>
              <w:t>2</w:t>
            </w:r>
            <w:r w:rsidRPr="0030119C">
              <w:rPr>
                <w:rFonts w:asciiTheme="minorHAnsi" w:hAnsiTheme="minorHAnsi" w:cstheme="minorHAnsi"/>
                <w:noProof/>
                <w:szCs w:val="24"/>
              </w:rPr>
              <w:t>.nodaļa)</w:t>
            </w:r>
          </w:p>
        </w:tc>
      </w:tr>
      <w:tr w:rsidR="0030119C" w:rsidRPr="0030119C" w14:paraId="194AC311" w14:textId="77777777" w:rsidTr="006B5EFD">
        <w:trPr>
          <w:trHeight w:val="573"/>
          <w:jc w:val="center"/>
        </w:trPr>
        <w:tc>
          <w:tcPr>
            <w:tcW w:w="1852" w:type="dxa"/>
            <w:vMerge w:val="restart"/>
            <w:tcBorders>
              <w:top w:val="single" w:sz="4" w:space="0" w:color="auto"/>
              <w:left w:val="single" w:sz="4" w:space="0" w:color="auto"/>
              <w:bottom w:val="single" w:sz="4" w:space="0" w:color="auto"/>
              <w:right w:val="single" w:sz="4" w:space="0" w:color="auto"/>
            </w:tcBorders>
            <w:hideMark/>
          </w:tcPr>
          <w:p w14:paraId="3EC296FD"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 xml:space="preserve">2. Zaļāka Eiropa ar zemām oglekļa emisijām, veicinot tīru un taisnīgu enerģētikas pārkārtošanu, </w:t>
            </w:r>
            <w:r w:rsidRPr="0030119C">
              <w:rPr>
                <w:rFonts w:asciiTheme="minorHAnsi" w:hAnsiTheme="minorHAnsi" w:cstheme="minorHAnsi"/>
                <w:b/>
                <w:noProof/>
                <w:szCs w:val="24"/>
              </w:rPr>
              <w:lastRenderedPageBreak/>
              <w:t>“zaļas” un “zilas” investīcijas, aprites ekonomiku, pielāgošanos klimata pārmaiņām un risku novēršanu un pārvaldību</w:t>
            </w:r>
          </w:p>
        </w:tc>
        <w:tc>
          <w:tcPr>
            <w:tcW w:w="2564" w:type="dxa"/>
            <w:tcBorders>
              <w:top w:val="single" w:sz="4" w:space="0" w:color="auto"/>
              <w:left w:val="single" w:sz="4" w:space="0" w:color="auto"/>
              <w:bottom w:val="single" w:sz="4" w:space="0" w:color="auto"/>
              <w:right w:val="single" w:sz="4" w:space="0" w:color="auto"/>
            </w:tcBorders>
          </w:tcPr>
          <w:p w14:paraId="4A272C0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ERAF un Kohēzijas fonds. </w:t>
            </w:r>
          </w:p>
          <w:p w14:paraId="5BD099E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 2.1. Energoefektivitātes pasākumu veicināšana</w:t>
            </w:r>
          </w:p>
          <w:p w14:paraId="6CADF854" w14:textId="77777777" w:rsidR="0030119C" w:rsidRPr="0030119C" w:rsidRDefault="0030119C" w:rsidP="000165BF">
            <w:pPr>
              <w:jc w:val="both"/>
              <w:rPr>
                <w:rFonts w:asciiTheme="minorHAnsi" w:hAnsiTheme="minorHAnsi" w:cstheme="minorHAnsi"/>
                <w:noProof/>
                <w:szCs w:val="24"/>
              </w:rPr>
            </w:pPr>
          </w:p>
          <w:p w14:paraId="691CA98C" w14:textId="77777777" w:rsidR="0030119C" w:rsidRPr="0030119C" w:rsidRDefault="0030119C" w:rsidP="000165BF">
            <w:pPr>
              <w:jc w:val="both"/>
              <w:rPr>
                <w:rFonts w:asciiTheme="minorHAnsi" w:hAnsiTheme="minorHAnsi" w:cstheme="minorHAnsi"/>
                <w:noProof/>
                <w:szCs w:val="24"/>
              </w:rPr>
            </w:pPr>
          </w:p>
          <w:p w14:paraId="0BA14398" w14:textId="77777777" w:rsidR="0030119C" w:rsidRPr="0030119C" w:rsidRDefault="0030119C" w:rsidP="000165BF">
            <w:pPr>
              <w:jc w:val="both"/>
              <w:rPr>
                <w:rFonts w:asciiTheme="minorHAnsi" w:hAnsiTheme="minorHAnsi" w:cstheme="minorHAnsi"/>
                <w:noProof/>
                <w:szCs w:val="24"/>
              </w:rPr>
            </w:pPr>
          </w:p>
          <w:p w14:paraId="44AAC8A1" w14:textId="77777777" w:rsidR="0030119C" w:rsidRPr="0030119C" w:rsidRDefault="0030119C" w:rsidP="000165BF">
            <w:pPr>
              <w:jc w:val="both"/>
              <w:rPr>
                <w:rFonts w:asciiTheme="minorHAnsi" w:hAnsiTheme="minorHAnsi" w:cstheme="minorHAnsi"/>
                <w:noProof/>
                <w:szCs w:val="24"/>
              </w:rPr>
            </w:pPr>
          </w:p>
          <w:p w14:paraId="66DF9AFB" w14:textId="77777777" w:rsidR="0030119C" w:rsidRPr="0030119C" w:rsidRDefault="0030119C" w:rsidP="000165BF">
            <w:pPr>
              <w:jc w:val="right"/>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hideMark/>
          </w:tcPr>
          <w:p w14:paraId="2B498EDD" w14:textId="77777777" w:rsidR="0030119C" w:rsidRPr="0030119C" w:rsidRDefault="0030119C" w:rsidP="000165BF">
            <w:pPr>
              <w:jc w:val="both"/>
              <w:rPr>
                <w:rFonts w:asciiTheme="minorHAnsi" w:hAnsiTheme="minorHAnsi" w:cstheme="minorHAnsi"/>
                <w:i/>
                <w:noProof/>
                <w:szCs w:val="24"/>
              </w:rPr>
            </w:pPr>
            <w:r w:rsidRPr="0030119C">
              <w:rPr>
                <w:rFonts w:asciiTheme="minorHAnsi" w:hAnsiTheme="minorHAnsi" w:cstheme="minorHAnsi"/>
                <w:noProof/>
                <w:szCs w:val="24"/>
              </w:rPr>
              <w:lastRenderedPageBreak/>
              <w:t>Stratēģiskās politikas satvars, kas atbalsta dzīvojamo un nedzīvojamo ēku renovēšanu energoefektivitātes uzlabošanai</w:t>
            </w:r>
          </w:p>
        </w:tc>
        <w:tc>
          <w:tcPr>
            <w:tcW w:w="4941" w:type="dxa"/>
            <w:tcBorders>
              <w:top w:val="single" w:sz="4" w:space="0" w:color="auto"/>
              <w:left w:val="single" w:sz="4" w:space="0" w:color="auto"/>
              <w:bottom w:val="single" w:sz="4" w:space="0" w:color="auto"/>
              <w:right w:val="single" w:sz="4" w:space="0" w:color="auto"/>
            </w:tcBorders>
            <w:hideMark/>
          </w:tcPr>
          <w:p w14:paraId="3FFA7B8B" w14:textId="77777777" w:rsidR="0030119C" w:rsidRPr="0030119C" w:rsidRDefault="0030119C" w:rsidP="000165BF">
            <w:pPr>
              <w:numPr>
                <w:ilvl w:val="0"/>
                <w:numId w:val="10"/>
              </w:numPr>
              <w:jc w:val="both"/>
              <w:rPr>
                <w:rFonts w:asciiTheme="minorHAnsi" w:hAnsiTheme="minorHAnsi" w:cstheme="minorHAnsi"/>
                <w:noProof/>
                <w:szCs w:val="24"/>
              </w:rPr>
            </w:pPr>
            <w:r w:rsidRPr="0030119C">
              <w:rPr>
                <w:rFonts w:asciiTheme="minorHAnsi" w:hAnsiTheme="minorHAnsi" w:cstheme="minorHAnsi"/>
                <w:noProof/>
                <w:szCs w:val="24"/>
              </w:rPr>
              <w:t>Saskaņā ar Direktīvas 2010/31/ES par ēku energoefektivitāti, lai atbalstītu valsts dzīvojamo un nedzīvojamo ēku fonda renovāciju, ir pieņemta valsts ilgtermiņa renovācijas stratēģija, kas:</w:t>
            </w:r>
          </w:p>
          <w:p w14:paraId="07625360"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satur indikatīvus atskaites punktus attiecībā uz 2030. un 2040. gadu un mērķus 2050. gadam;</w:t>
            </w:r>
          </w:p>
          <w:p w14:paraId="62252F1D"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lastRenderedPageBreak/>
              <w:t>sniedz indikatīvu budžeta resursu izklāstu stratēģijas īstenošanas atbalstam;</w:t>
            </w:r>
          </w:p>
          <w:p w14:paraId="478D4FF0"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 xml:space="preserve">nosaka efektīvus mehānismus, kas paredzēti, lai veicinātu investīcijas ēku renovācijā.  </w:t>
            </w:r>
          </w:p>
          <w:p w14:paraId="13409351" w14:textId="77777777" w:rsidR="0030119C" w:rsidRPr="0030119C" w:rsidRDefault="0030119C" w:rsidP="000165BF">
            <w:pPr>
              <w:numPr>
                <w:ilvl w:val="0"/>
                <w:numId w:val="10"/>
              </w:numPr>
              <w:jc w:val="both"/>
              <w:rPr>
                <w:rFonts w:asciiTheme="minorHAnsi" w:hAnsiTheme="minorHAnsi" w:cstheme="minorHAnsi"/>
                <w:noProof/>
                <w:szCs w:val="24"/>
              </w:rPr>
            </w:pPr>
            <w:r w:rsidRPr="0030119C">
              <w:rPr>
                <w:rFonts w:asciiTheme="minorHAnsi" w:hAnsiTheme="minorHAnsi" w:cstheme="minorHAnsi"/>
                <w:noProof/>
                <w:szCs w:val="24"/>
              </w:rPr>
              <w:t xml:space="preserve">Energoefektivitātes uzlabošanas pasākumi nepieciešamo enerģijas ietaupījumu panākšanai. </w:t>
            </w:r>
          </w:p>
        </w:tc>
        <w:tc>
          <w:tcPr>
            <w:tcW w:w="3642" w:type="dxa"/>
            <w:tcBorders>
              <w:top w:val="single" w:sz="4" w:space="0" w:color="auto"/>
              <w:left w:val="single" w:sz="4" w:space="0" w:color="auto"/>
              <w:bottom w:val="single" w:sz="4" w:space="0" w:color="auto"/>
              <w:right w:val="single" w:sz="4" w:space="0" w:color="auto"/>
            </w:tcBorders>
            <w:hideMark/>
          </w:tcPr>
          <w:p w14:paraId="2F6037D5" w14:textId="592AF705"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Pānā iekļautā energoefektivitātes dimensija (Plāna 2.</w:t>
            </w:r>
            <w:r w:rsidR="000165BF">
              <w:rPr>
                <w:rFonts w:asciiTheme="minorHAnsi" w:hAnsiTheme="minorHAnsi" w:cstheme="minorHAnsi"/>
                <w:noProof/>
                <w:szCs w:val="24"/>
              </w:rPr>
              <w:t>3</w:t>
            </w:r>
            <w:r w:rsidRPr="0030119C">
              <w:rPr>
                <w:rFonts w:asciiTheme="minorHAnsi" w:hAnsiTheme="minorHAnsi" w:cstheme="minorHAnsi"/>
                <w:noProof/>
                <w:szCs w:val="24"/>
              </w:rPr>
              <w:t>.</w:t>
            </w:r>
            <w:r w:rsidR="000165BF">
              <w:rPr>
                <w:rFonts w:asciiTheme="minorHAnsi" w:hAnsiTheme="minorHAnsi" w:cstheme="minorHAnsi"/>
                <w:noProof/>
                <w:szCs w:val="24"/>
              </w:rPr>
              <w:t xml:space="preserve">, </w:t>
            </w:r>
            <w:r w:rsidRPr="0030119C">
              <w:rPr>
                <w:rFonts w:asciiTheme="minorHAnsi" w:hAnsiTheme="minorHAnsi" w:cstheme="minorHAnsi"/>
                <w:noProof/>
                <w:szCs w:val="24"/>
              </w:rPr>
              <w:t>3.2.</w:t>
            </w:r>
            <w:r w:rsidR="000165BF">
              <w:rPr>
                <w:rFonts w:asciiTheme="minorHAnsi" w:hAnsiTheme="minorHAnsi" w:cstheme="minorHAnsi"/>
                <w:noProof/>
                <w:szCs w:val="24"/>
              </w:rPr>
              <w:t>, 4.1.</w:t>
            </w:r>
            <w:r w:rsidRPr="0030119C">
              <w:rPr>
                <w:rFonts w:asciiTheme="minorHAnsi" w:hAnsiTheme="minorHAnsi" w:cstheme="minorHAnsi"/>
                <w:noProof/>
                <w:szCs w:val="24"/>
              </w:rPr>
              <w:t>nodaļa)</w:t>
            </w:r>
          </w:p>
        </w:tc>
      </w:tr>
      <w:tr w:rsidR="0030119C" w:rsidRPr="0030119C" w14:paraId="2BA0800A" w14:textId="77777777" w:rsidTr="006B5EFD">
        <w:trPr>
          <w:trHeight w:val="2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A3119"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hideMark/>
          </w:tcPr>
          <w:p w14:paraId="41AA88B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464AA46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2.1. Energoefektivitātes pasākumu veicināšana</w:t>
            </w:r>
          </w:p>
          <w:p w14:paraId="3891BC7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2.2. AE veicināšana, investējot ražošanas jaudā</w:t>
            </w:r>
          </w:p>
        </w:tc>
        <w:tc>
          <w:tcPr>
            <w:tcW w:w="2423" w:type="dxa"/>
            <w:tcBorders>
              <w:top w:val="single" w:sz="4" w:space="0" w:color="auto"/>
              <w:left w:val="single" w:sz="4" w:space="0" w:color="auto"/>
              <w:bottom w:val="single" w:sz="4" w:space="0" w:color="auto"/>
              <w:right w:val="single" w:sz="4" w:space="0" w:color="auto"/>
            </w:tcBorders>
            <w:hideMark/>
          </w:tcPr>
          <w:p w14:paraId="49F6F74B"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Enerģētikas nozares pārvaldība </w:t>
            </w:r>
          </w:p>
        </w:tc>
        <w:tc>
          <w:tcPr>
            <w:tcW w:w="4941" w:type="dxa"/>
            <w:tcBorders>
              <w:top w:val="single" w:sz="4" w:space="0" w:color="auto"/>
              <w:left w:val="single" w:sz="4" w:space="0" w:color="auto"/>
              <w:bottom w:val="single" w:sz="4" w:space="0" w:color="auto"/>
              <w:right w:val="single" w:sz="4" w:space="0" w:color="auto"/>
            </w:tcBorders>
            <w:hideMark/>
          </w:tcPr>
          <w:p w14:paraId="2279D39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pieņemts valsts enerģētikas un klimata plāns, un tas ietver:</w:t>
            </w:r>
          </w:p>
          <w:p w14:paraId="36B6E514" w14:textId="77777777" w:rsidR="0030119C" w:rsidRPr="0030119C" w:rsidRDefault="0030119C" w:rsidP="000165BF">
            <w:pPr>
              <w:numPr>
                <w:ilvl w:val="0"/>
                <w:numId w:val="11"/>
              </w:numPr>
              <w:ind w:left="317"/>
              <w:jc w:val="both"/>
              <w:rPr>
                <w:rFonts w:asciiTheme="minorHAnsi" w:hAnsiTheme="minorHAnsi" w:cstheme="minorHAnsi"/>
                <w:noProof/>
                <w:szCs w:val="24"/>
              </w:rPr>
            </w:pPr>
            <w:r w:rsidRPr="0030119C">
              <w:rPr>
                <w:rFonts w:asciiTheme="minorHAnsi" w:hAnsiTheme="minorHAnsi" w:cstheme="minorHAnsi"/>
                <w:noProof/>
                <w:szCs w:val="24"/>
              </w:rPr>
              <w:t>visus regulas par Enerģētikas savienības pārvaldību</w:t>
            </w:r>
            <w:r w:rsidRPr="0030119C">
              <w:rPr>
                <w:rFonts w:asciiTheme="minorHAnsi" w:hAnsiTheme="minorHAnsi" w:cstheme="minorHAnsi"/>
                <w:noProof/>
                <w:szCs w:val="24"/>
                <w:vertAlign w:val="superscript"/>
              </w:rPr>
              <w:footnoteReference w:id="4"/>
            </w:r>
            <w:r w:rsidRPr="0030119C">
              <w:rPr>
                <w:rFonts w:asciiTheme="minorHAnsi" w:hAnsiTheme="minorHAnsi" w:cstheme="minorHAnsi"/>
                <w:noProof/>
                <w:szCs w:val="24"/>
              </w:rPr>
              <w:t xml:space="preserve"> I pielikuma veidnē prasītos elementus;</w:t>
            </w:r>
          </w:p>
          <w:p w14:paraId="217F03F6" w14:textId="77777777" w:rsidR="0030119C" w:rsidRPr="0030119C" w:rsidRDefault="0030119C" w:rsidP="000165BF">
            <w:pPr>
              <w:numPr>
                <w:ilvl w:val="0"/>
                <w:numId w:val="11"/>
              </w:numPr>
              <w:ind w:left="317"/>
              <w:jc w:val="both"/>
              <w:rPr>
                <w:rFonts w:asciiTheme="minorHAnsi" w:hAnsiTheme="minorHAnsi" w:cstheme="minorHAnsi"/>
                <w:noProof/>
                <w:szCs w:val="24"/>
              </w:rPr>
            </w:pPr>
            <w:r w:rsidRPr="0030119C">
              <w:rPr>
                <w:rFonts w:asciiTheme="minorHAnsi" w:hAnsiTheme="minorHAnsi" w:cstheme="minorHAnsi"/>
                <w:noProof/>
                <w:szCs w:val="24"/>
              </w:rPr>
              <w:t>mazoglekļa enerģijas veicināšanas pasākumiem paredzēto finanšu resursu un mehānismu indikatīvu izklāstu.</w:t>
            </w:r>
          </w:p>
        </w:tc>
        <w:tc>
          <w:tcPr>
            <w:tcW w:w="3642" w:type="dxa"/>
            <w:tcBorders>
              <w:top w:val="single" w:sz="4" w:space="0" w:color="auto"/>
              <w:left w:val="single" w:sz="4" w:space="0" w:color="auto"/>
              <w:bottom w:val="single" w:sz="4" w:space="0" w:color="auto"/>
              <w:right w:val="single" w:sz="4" w:space="0" w:color="auto"/>
            </w:tcBorders>
            <w:hideMark/>
          </w:tcPr>
          <w:p w14:paraId="20C7CA1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Plāna apstiprināšana Ministru kabinetā paredzēta 2019.gada 4.ceturksnī</w:t>
            </w:r>
          </w:p>
        </w:tc>
      </w:tr>
      <w:tr w:rsidR="0030119C" w:rsidRPr="0030119C" w14:paraId="408A2A60" w14:textId="77777777" w:rsidTr="006B5EFD">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CD580"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4F776F7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33FCB5A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2.2. AE veicināšana, investējot ražošanas jaudā</w:t>
            </w:r>
          </w:p>
          <w:p w14:paraId="00D26839" w14:textId="77777777" w:rsidR="0030119C" w:rsidRPr="0030119C" w:rsidRDefault="0030119C" w:rsidP="000165BF">
            <w:pPr>
              <w:jc w:val="both"/>
              <w:rPr>
                <w:rFonts w:asciiTheme="minorHAnsi" w:hAnsiTheme="minorHAnsi" w:cstheme="minorHAnsi"/>
                <w:noProof/>
                <w:szCs w:val="24"/>
              </w:rPr>
            </w:pPr>
          </w:p>
          <w:p w14:paraId="22F4F2EE" w14:textId="77777777" w:rsidR="0030119C" w:rsidRPr="0030119C" w:rsidRDefault="0030119C" w:rsidP="000165BF">
            <w:pPr>
              <w:jc w:val="both"/>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hideMark/>
          </w:tcPr>
          <w:p w14:paraId="2A184BF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Efektīvi veicināt AE izmantošanu dažādās nozarēs un visā ES </w:t>
            </w:r>
          </w:p>
        </w:tc>
        <w:tc>
          <w:tcPr>
            <w:tcW w:w="4941" w:type="dxa"/>
            <w:tcBorders>
              <w:top w:val="single" w:sz="4" w:space="0" w:color="auto"/>
              <w:left w:val="single" w:sz="4" w:space="0" w:color="auto"/>
              <w:bottom w:val="single" w:sz="4" w:space="0" w:color="auto"/>
              <w:right w:val="single" w:sz="4" w:space="0" w:color="auto"/>
            </w:tcBorders>
            <w:hideMark/>
          </w:tcPr>
          <w:p w14:paraId="0127D86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sagatavoti pasākumi, kas nodrošina:</w:t>
            </w:r>
          </w:p>
          <w:p w14:paraId="70A4CA8E" w14:textId="77777777" w:rsidR="0030119C" w:rsidRPr="0030119C" w:rsidRDefault="0030119C" w:rsidP="000165BF">
            <w:pPr>
              <w:numPr>
                <w:ilvl w:val="0"/>
                <w:numId w:val="12"/>
              </w:numPr>
              <w:ind w:left="317" w:hanging="317"/>
              <w:jc w:val="both"/>
              <w:rPr>
                <w:rFonts w:asciiTheme="minorHAnsi" w:hAnsiTheme="minorHAnsi" w:cstheme="minorHAnsi"/>
                <w:noProof/>
                <w:szCs w:val="24"/>
              </w:rPr>
            </w:pPr>
            <w:r w:rsidRPr="0030119C">
              <w:rPr>
                <w:rFonts w:asciiTheme="minorHAnsi" w:hAnsiTheme="minorHAnsi" w:cstheme="minorHAnsi"/>
                <w:noProof/>
                <w:szCs w:val="24"/>
              </w:rPr>
              <w:t>atbilstību 2020. gada valsts AER saistošajam mērķim un līdz 2030. gadam – šai atskaites pozīcijai saskaņā ar pārstrādāto Direktīvu 2009/28/EK</w:t>
            </w:r>
            <w:r w:rsidRPr="0030119C">
              <w:rPr>
                <w:rFonts w:asciiTheme="minorHAnsi" w:hAnsiTheme="minorHAnsi" w:cstheme="minorHAnsi"/>
                <w:noProof/>
                <w:szCs w:val="24"/>
                <w:vertAlign w:val="superscript"/>
              </w:rPr>
              <w:footnoteReference w:id="5"/>
            </w:r>
          </w:p>
          <w:p w14:paraId="7CFB8C74" w14:textId="77777777" w:rsidR="0030119C" w:rsidRPr="0030119C" w:rsidRDefault="0030119C" w:rsidP="000165BF">
            <w:pPr>
              <w:numPr>
                <w:ilvl w:val="0"/>
                <w:numId w:val="12"/>
              </w:numPr>
              <w:ind w:left="317" w:hanging="317"/>
              <w:jc w:val="both"/>
              <w:rPr>
                <w:rFonts w:asciiTheme="minorHAnsi" w:hAnsiTheme="minorHAnsi" w:cstheme="minorHAnsi"/>
                <w:noProof/>
                <w:szCs w:val="24"/>
              </w:rPr>
            </w:pPr>
            <w:r w:rsidRPr="0030119C">
              <w:rPr>
                <w:rFonts w:asciiTheme="minorHAnsi" w:hAnsiTheme="minorHAnsi" w:cstheme="minorHAnsi"/>
                <w:noProof/>
                <w:szCs w:val="24"/>
              </w:rPr>
              <w:t xml:space="preserve">AER procentuālās daļas pieaugumu siltumapgādes un aukstumapgādes </w:t>
            </w:r>
            <w:r w:rsidRPr="0030119C">
              <w:rPr>
                <w:rFonts w:asciiTheme="minorHAnsi" w:hAnsiTheme="minorHAnsi" w:cstheme="minorHAnsi"/>
                <w:noProof/>
                <w:szCs w:val="24"/>
              </w:rPr>
              <w:lastRenderedPageBreak/>
              <w:t>nozarē par 1 procentpunktu gadā līdz 2030. gadam.</w:t>
            </w:r>
          </w:p>
        </w:tc>
        <w:tc>
          <w:tcPr>
            <w:tcW w:w="3642" w:type="dxa"/>
            <w:tcBorders>
              <w:top w:val="single" w:sz="4" w:space="0" w:color="auto"/>
              <w:left w:val="single" w:sz="4" w:space="0" w:color="auto"/>
              <w:bottom w:val="single" w:sz="4" w:space="0" w:color="auto"/>
              <w:right w:val="single" w:sz="4" w:space="0" w:color="auto"/>
            </w:tcBorders>
            <w:hideMark/>
          </w:tcPr>
          <w:p w14:paraId="59482A43" w14:textId="0105EAA9"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Plānā iekļautā dekarbonizācijas stratēģija (Plāna 2.</w:t>
            </w:r>
            <w:r w:rsidR="000165BF">
              <w:rPr>
                <w:rFonts w:asciiTheme="minorHAnsi" w:hAnsiTheme="minorHAnsi" w:cstheme="minorHAnsi"/>
                <w:noProof/>
                <w:szCs w:val="24"/>
              </w:rPr>
              <w:t>3</w:t>
            </w:r>
            <w:r w:rsidRPr="0030119C">
              <w:rPr>
                <w:rFonts w:asciiTheme="minorHAnsi" w:hAnsiTheme="minorHAnsi" w:cstheme="minorHAnsi"/>
                <w:noProof/>
                <w:szCs w:val="24"/>
              </w:rPr>
              <w:t xml:space="preserve">., 3.1. un </w:t>
            </w:r>
            <w:r w:rsidR="000165BF">
              <w:rPr>
                <w:rFonts w:asciiTheme="minorHAnsi" w:hAnsiTheme="minorHAnsi" w:cstheme="minorHAnsi"/>
                <w:noProof/>
                <w:szCs w:val="24"/>
              </w:rPr>
              <w:t xml:space="preserve">4.4., </w:t>
            </w:r>
            <w:r w:rsidRPr="0030119C">
              <w:rPr>
                <w:rFonts w:asciiTheme="minorHAnsi" w:hAnsiTheme="minorHAnsi" w:cstheme="minorHAnsi"/>
                <w:noProof/>
                <w:szCs w:val="24"/>
              </w:rPr>
              <w:t>4.</w:t>
            </w:r>
            <w:r w:rsidR="000165BF">
              <w:rPr>
                <w:rFonts w:asciiTheme="minorHAnsi" w:hAnsiTheme="minorHAnsi" w:cstheme="minorHAnsi"/>
                <w:noProof/>
                <w:szCs w:val="24"/>
              </w:rPr>
              <w:t>6., 4.7., 4.8., 4.9</w:t>
            </w:r>
            <w:r w:rsidRPr="0030119C">
              <w:rPr>
                <w:rFonts w:asciiTheme="minorHAnsi" w:hAnsiTheme="minorHAnsi" w:cstheme="minorHAnsi"/>
                <w:noProof/>
                <w:szCs w:val="24"/>
              </w:rPr>
              <w:t>.nodaļa)</w:t>
            </w:r>
          </w:p>
        </w:tc>
      </w:tr>
      <w:tr w:rsidR="0030119C" w:rsidRPr="0030119C" w14:paraId="5CAB967D" w14:textId="77777777" w:rsidTr="006B5EFD">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87D25"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0235A6D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5F4F75D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2.4. Veicināt pielāgošanos klimata pārmaiņām, risku novēršanu un noturību pret katastrofām</w:t>
            </w:r>
          </w:p>
          <w:p w14:paraId="066918EC" w14:textId="77777777" w:rsidR="0030119C" w:rsidRPr="0030119C" w:rsidRDefault="0030119C" w:rsidP="000165BF">
            <w:pPr>
              <w:jc w:val="both"/>
              <w:rPr>
                <w:rFonts w:asciiTheme="minorHAnsi" w:hAnsiTheme="minorHAnsi" w:cstheme="minorHAnsi"/>
                <w:noProof/>
                <w:szCs w:val="24"/>
              </w:rPr>
            </w:pPr>
          </w:p>
          <w:p w14:paraId="08EDCF5C" w14:textId="77777777" w:rsidR="0030119C" w:rsidRPr="0030119C" w:rsidRDefault="0030119C" w:rsidP="000165BF">
            <w:pPr>
              <w:jc w:val="both"/>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tcPr>
          <w:p w14:paraId="2638A3B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Efektīvs katastrofu risku pārvaldības satvars</w:t>
            </w:r>
          </w:p>
          <w:p w14:paraId="65EC514E" w14:textId="77777777" w:rsidR="0030119C" w:rsidRPr="0030119C" w:rsidRDefault="0030119C" w:rsidP="000165BF">
            <w:pPr>
              <w:jc w:val="both"/>
              <w:rPr>
                <w:rFonts w:asciiTheme="minorHAnsi" w:hAnsiTheme="minorHAnsi" w:cstheme="minorHAnsi"/>
                <w:noProof/>
                <w:szCs w:val="24"/>
              </w:rPr>
            </w:pPr>
          </w:p>
          <w:p w14:paraId="35F80A48" w14:textId="77777777" w:rsidR="0030119C" w:rsidRPr="0030119C" w:rsidRDefault="0030119C" w:rsidP="000165BF">
            <w:pPr>
              <w:jc w:val="both"/>
              <w:rPr>
                <w:rFonts w:asciiTheme="minorHAnsi" w:hAnsiTheme="minorHAnsi" w:cstheme="minorHAnsi"/>
                <w:noProof/>
                <w:szCs w:val="24"/>
              </w:rPr>
            </w:pPr>
          </w:p>
        </w:tc>
        <w:tc>
          <w:tcPr>
            <w:tcW w:w="4941" w:type="dxa"/>
            <w:tcBorders>
              <w:top w:val="single" w:sz="4" w:space="0" w:color="auto"/>
              <w:left w:val="single" w:sz="4" w:space="0" w:color="auto"/>
              <w:bottom w:val="single" w:sz="4" w:space="0" w:color="auto"/>
              <w:right w:val="single" w:sz="4" w:space="0" w:color="auto"/>
            </w:tcBorders>
          </w:tcPr>
          <w:p w14:paraId="07AF4A0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vai reģionālais katastrofu risku pārvaldības plāns, kas atbilst spēkā esošajām stratēģijām attiecībā uz pielāgošanos klimata pārmaiņām un kas ietver:</w:t>
            </w:r>
          </w:p>
          <w:p w14:paraId="6AB85253"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galveno risku aprakstu, kuri novērtēti saskaņā ar Lēmuma Nr. 1313/2013/ES 6. panta a) punkts noteikumiem; apraksts atspoguļo pašreizējos un ilgtermiņa (25 līdz 35 gadi) draudus. Attiecībā uz riskiem, kas saistīti ar klimatu, novērtējums balstās uz klimata pārmaiņu prognozēm un scenārijiem;</w:t>
            </w:r>
          </w:p>
          <w:p w14:paraId="3C3B1B2F"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lai risinātu galvenos identificētos riskus, aprakstu par pasākumiem katastrofu novēršanai, sagatavošanos tām un reaģēšanai. Proporcionāli riskiem un to ekonomiskajai ietekmei, spēju nepietiekamībai</w:t>
            </w:r>
            <w:r w:rsidRPr="0030119C">
              <w:rPr>
                <w:rFonts w:asciiTheme="minorHAnsi" w:hAnsiTheme="minorHAnsi" w:cstheme="minorHAnsi"/>
                <w:noProof/>
                <w:szCs w:val="24"/>
                <w:vertAlign w:val="superscript"/>
              </w:rPr>
              <w:footnoteReference w:id="6"/>
            </w:r>
            <w:r w:rsidRPr="0030119C">
              <w:rPr>
                <w:rFonts w:asciiTheme="minorHAnsi" w:hAnsiTheme="minorHAnsi" w:cstheme="minorHAnsi"/>
                <w:noProof/>
                <w:szCs w:val="24"/>
              </w:rPr>
              <w:t xml:space="preserve">, efektivitātei un iedarbīgumam, pasākumiem nosaka prioritāti, ņemot vērā iespējamās alternatīvas; </w:t>
            </w:r>
          </w:p>
          <w:p w14:paraId="428EBC88"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 xml:space="preserve">informāciju par budžeta un finanšu resursiem un mehānismiem, kas </w:t>
            </w:r>
            <w:r w:rsidRPr="0030119C">
              <w:rPr>
                <w:rFonts w:asciiTheme="minorHAnsi" w:hAnsiTheme="minorHAnsi" w:cstheme="minorHAnsi"/>
                <w:noProof/>
                <w:szCs w:val="24"/>
              </w:rPr>
              <w:lastRenderedPageBreak/>
              <w:t>pieejami, lai segtu darbības un uzturēšanas izmaksas, kas saistītas ar novēršanu, sagatavošanos un reaģēšanu.</w:t>
            </w:r>
          </w:p>
          <w:p w14:paraId="78E37ACE" w14:textId="77777777" w:rsidR="0030119C" w:rsidRPr="0030119C" w:rsidRDefault="0030119C" w:rsidP="000165BF">
            <w:pPr>
              <w:ind w:left="317"/>
              <w:jc w:val="both"/>
              <w:rPr>
                <w:rFonts w:asciiTheme="minorHAnsi" w:hAnsiTheme="minorHAnsi" w:cstheme="minorHAnsi"/>
                <w:noProof/>
                <w:szCs w:val="24"/>
              </w:rPr>
            </w:pPr>
          </w:p>
        </w:tc>
        <w:tc>
          <w:tcPr>
            <w:tcW w:w="3642" w:type="dxa"/>
            <w:tcBorders>
              <w:top w:val="single" w:sz="4" w:space="0" w:color="auto"/>
              <w:left w:val="single" w:sz="4" w:space="0" w:color="auto"/>
              <w:bottom w:val="single" w:sz="4" w:space="0" w:color="auto"/>
              <w:right w:val="single" w:sz="4" w:space="0" w:color="auto"/>
            </w:tcBorders>
            <w:hideMark/>
          </w:tcPr>
          <w:p w14:paraId="49EB2307" w14:textId="77777777" w:rsidR="0030119C" w:rsidRPr="0030119C" w:rsidRDefault="0030119C" w:rsidP="000165BF">
            <w:pPr>
              <w:rPr>
                <w:rFonts w:asciiTheme="minorHAnsi" w:hAnsiTheme="minorHAnsi" w:cstheme="minorHAnsi"/>
                <w:noProof/>
                <w:color w:val="000000"/>
                <w:szCs w:val="24"/>
              </w:rPr>
            </w:pPr>
            <w:r w:rsidRPr="0030119C">
              <w:rPr>
                <w:rFonts w:asciiTheme="minorHAnsi" w:hAnsiTheme="minorHAnsi" w:cstheme="minorHAnsi"/>
                <w:noProof/>
                <w:color w:val="000000"/>
                <w:szCs w:val="24"/>
              </w:rPr>
              <w:lastRenderedPageBreak/>
              <w:t>Neattiecas uz Plāna aptvērumu</w:t>
            </w:r>
          </w:p>
        </w:tc>
      </w:tr>
      <w:tr w:rsidR="0030119C" w:rsidRPr="0030119C" w14:paraId="080DE784" w14:textId="77777777" w:rsidTr="006B5EFD">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9162C"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00946AE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58D50BD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2.5. Veicināt ūdensefektivitāti</w:t>
            </w:r>
          </w:p>
          <w:p w14:paraId="0034D3C3" w14:textId="77777777" w:rsidR="0030119C" w:rsidRPr="0030119C" w:rsidRDefault="0030119C" w:rsidP="000165BF">
            <w:pPr>
              <w:jc w:val="both"/>
              <w:rPr>
                <w:rFonts w:asciiTheme="minorHAnsi" w:hAnsiTheme="minorHAnsi" w:cstheme="minorHAnsi"/>
                <w:noProof/>
                <w:szCs w:val="24"/>
              </w:rPr>
            </w:pPr>
          </w:p>
          <w:p w14:paraId="05ACA0CE" w14:textId="77777777" w:rsidR="0030119C" w:rsidRPr="0030119C" w:rsidRDefault="0030119C" w:rsidP="000165BF">
            <w:pPr>
              <w:jc w:val="both"/>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hideMark/>
          </w:tcPr>
          <w:p w14:paraId="4AA1C4D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Atjaunināts plāns par nepieciešamajām investīcijām ūdensapgādes un notekūdeņu nozarēs </w:t>
            </w:r>
          </w:p>
        </w:tc>
        <w:tc>
          <w:tcPr>
            <w:tcW w:w="4941" w:type="dxa"/>
            <w:tcBorders>
              <w:top w:val="single" w:sz="4" w:space="0" w:color="auto"/>
              <w:left w:val="single" w:sz="4" w:space="0" w:color="auto"/>
              <w:bottom w:val="single" w:sz="4" w:space="0" w:color="auto"/>
              <w:right w:val="single" w:sz="4" w:space="0" w:color="auto"/>
            </w:tcBorders>
            <w:hideMark/>
          </w:tcPr>
          <w:p w14:paraId="3B08872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investīciju plāns, un tas ietver:</w:t>
            </w:r>
          </w:p>
          <w:p w14:paraId="513625E8"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Komunālo notekūdeņu attīrīšanas direktīvas (KNAD) 91/271/EEK un Dzeramā ūdens direktīvas (DzŪD) 98/83/EK pašreizējās īstenošanas situācijas novērtējumu;</w:t>
            </w:r>
          </w:p>
          <w:p w14:paraId="25591258"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visu publisko investīciju identificēšanu un plānošanu, tostarp indikatīvu izmaksu aprēķinu:</w:t>
            </w:r>
          </w:p>
          <w:p w14:paraId="6521845F"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kas nepieciešamas, lai panāktu atbilstību KNAD, tostarp prioritārās kārtības noteikšanu attiecībā uz aglomerāciju lielumu un ietekmi uz vidi, norādot investīciju sadalījumu pēc notekūdeņu aglomerācijas;</w:t>
            </w:r>
          </w:p>
          <w:p w14:paraId="51E01883"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īstenotu DzŪD (Dzeramā ūdens direktīvu 98/83/EK); </w:t>
            </w:r>
          </w:p>
          <w:p w14:paraId="1D1937ED"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apmierinātu vajadzības, kuras izriet no ierosinātās pārstrādāšanas </w:t>
            </w:r>
            <w:r w:rsidRPr="0030119C">
              <w:rPr>
                <w:rFonts w:asciiTheme="minorHAnsi" w:hAnsiTheme="minorHAnsi" w:cstheme="minorHAnsi"/>
                <w:noProof/>
                <w:szCs w:val="24"/>
              </w:rPr>
              <w:lastRenderedPageBreak/>
              <w:t xml:space="preserve">(COM(2017)753 final), jo īpaši ņemot vērā pārskatītos kvalitātes parametrus, kas sīki izklāstīti I pielikumā; </w:t>
            </w:r>
          </w:p>
          <w:p w14:paraId="6B834CDF"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esošās notekūdeņu un ūdensapgādes infrastruktūras, tostarp tīklu, atjaunošanai nepieciešamo investīciju aprēķinu, kas balstīts uz to vecumu un nolietojuma plāniem;</w:t>
            </w:r>
          </w:p>
          <w:p w14:paraId="2728F5AF"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norādi par iespējamiem publiskā finansējuma avotiem, ja nepieciešams papildināt lietotājiem piemērotās maksas. </w:t>
            </w:r>
          </w:p>
        </w:tc>
        <w:tc>
          <w:tcPr>
            <w:tcW w:w="3642" w:type="dxa"/>
            <w:tcBorders>
              <w:top w:val="single" w:sz="4" w:space="0" w:color="auto"/>
              <w:left w:val="single" w:sz="4" w:space="0" w:color="auto"/>
              <w:bottom w:val="single" w:sz="4" w:space="0" w:color="auto"/>
              <w:right w:val="single" w:sz="4" w:space="0" w:color="auto"/>
            </w:tcBorders>
            <w:hideMark/>
          </w:tcPr>
          <w:p w14:paraId="6965F8FD" w14:textId="77777777" w:rsidR="0030119C" w:rsidRPr="0030119C" w:rsidRDefault="0030119C" w:rsidP="000165BF">
            <w:pPr>
              <w:rPr>
                <w:rFonts w:asciiTheme="minorHAnsi" w:hAnsiTheme="minorHAnsi" w:cstheme="minorHAnsi"/>
                <w:noProof/>
                <w:color w:val="000000"/>
                <w:szCs w:val="24"/>
              </w:rPr>
            </w:pPr>
            <w:r w:rsidRPr="0030119C">
              <w:rPr>
                <w:rFonts w:asciiTheme="minorHAnsi" w:hAnsiTheme="minorHAnsi" w:cstheme="minorHAnsi"/>
                <w:noProof/>
                <w:color w:val="000000"/>
                <w:szCs w:val="24"/>
              </w:rPr>
              <w:lastRenderedPageBreak/>
              <w:t>Neattiecas uz Plāna aptvērumu (ir iekļaujams udensapgādes un notekūdeņu apsaimniekošanas politikas plānošanas dokumentos)</w:t>
            </w:r>
          </w:p>
        </w:tc>
      </w:tr>
      <w:tr w:rsidR="0030119C" w:rsidRPr="0030119C" w14:paraId="089F0F3B" w14:textId="77777777" w:rsidTr="006B5EFD">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7721F"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hideMark/>
          </w:tcPr>
          <w:p w14:paraId="3961C77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772DB62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2.6. Attīstīt (pāriet uz) aprites ekonomiku, investējot atkritumu nozarē un resursu efektivitātē</w:t>
            </w:r>
          </w:p>
        </w:tc>
        <w:tc>
          <w:tcPr>
            <w:tcW w:w="2423" w:type="dxa"/>
            <w:tcBorders>
              <w:top w:val="single" w:sz="4" w:space="0" w:color="auto"/>
              <w:left w:val="single" w:sz="4" w:space="0" w:color="auto"/>
              <w:bottom w:val="single" w:sz="4" w:space="0" w:color="auto"/>
              <w:right w:val="single" w:sz="4" w:space="0" w:color="auto"/>
            </w:tcBorders>
            <w:hideMark/>
          </w:tcPr>
          <w:p w14:paraId="2FB30B6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Atjaunināts atkritumu apsaimniekošanas plāns </w:t>
            </w:r>
          </w:p>
        </w:tc>
        <w:tc>
          <w:tcPr>
            <w:tcW w:w="4941" w:type="dxa"/>
            <w:tcBorders>
              <w:top w:val="single" w:sz="4" w:space="0" w:color="auto"/>
              <w:left w:val="single" w:sz="4" w:space="0" w:color="auto"/>
              <w:bottom w:val="single" w:sz="4" w:space="0" w:color="auto"/>
              <w:right w:val="single" w:sz="4" w:space="0" w:color="auto"/>
            </w:tcBorders>
          </w:tcPr>
          <w:p w14:paraId="02C86E1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Saskaņā ar 28. pantu Direktīvā 2008/98/EK, kas grozīta ar Direktīvu ES 2018/xxxx, ir sagatavots(-i) atkritumu apsaimniekošanas plāns(-i), kas aptver visu dalībvalsts teritoriju un ietver:</w:t>
            </w:r>
          </w:p>
          <w:p w14:paraId="5E33563E"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pašreizējās atkritumu apsaimniekošanas situācijas attiecīgajā ģeogrāfiskajā vienībā analīzi, tostarp radīto atkritumu veidu, daudzumu un avotu, un to nākotnes attīstības novērtējumu, ņemot vērā to pasākumu paredzamo ietekmi, kas noteikti saskaņā ar 29. pantu Direktīvā 2008/98/EK, kas grozīta ar </w:t>
            </w:r>
            <w:r w:rsidRPr="0030119C">
              <w:rPr>
                <w:rFonts w:asciiTheme="minorHAnsi" w:hAnsiTheme="minorHAnsi" w:cstheme="minorHAnsi"/>
                <w:noProof/>
                <w:szCs w:val="24"/>
              </w:rPr>
              <w:lastRenderedPageBreak/>
              <w:t>Direktīvu 2018/xx/ES, izstrādātajās atkritumu novēršanas programmā(-ās);</w:t>
            </w:r>
          </w:p>
          <w:p w14:paraId="72808115"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esošo atkritumu savākšanas shēmu novērtējumu, tostarp dalītas savākšanas materiālo un teritoriālo segumu un pasākumus tās darbības uzlabošanai, kā arī novērtējumu par jaunu savākšanas shēmu nepieciešamību; </w:t>
            </w:r>
          </w:p>
          <w:p w14:paraId="46E4FD70"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investīciju nepietiekamības novērtējumu, kas pamato papildu vai uzlabotas atkritumu apsaimniekošanas infrastruktūras nepieciešamību, un informāciju par pieejamajiem ienākumu avotiem darbības un uzturēšanas izmaksu segšanai; </w:t>
            </w:r>
          </w:p>
          <w:p w14:paraId="59DB8070"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informāciju par turpmāk ierīkojamo atkritumu apstrādes objektu vietas izvēlei izmantojamajiem kritērijiem un to jaudu.</w:t>
            </w:r>
          </w:p>
          <w:p w14:paraId="54DB1EDB" w14:textId="77777777" w:rsidR="0030119C" w:rsidRPr="0030119C" w:rsidRDefault="0030119C" w:rsidP="000165BF">
            <w:pPr>
              <w:jc w:val="both"/>
              <w:rPr>
                <w:rFonts w:asciiTheme="minorHAnsi" w:hAnsiTheme="minorHAnsi" w:cstheme="minorHAnsi"/>
                <w:noProof/>
                <w:szCs w:val="24"/>
              </w:rPr>
            </w:pPr>
          </w:p>
        </w:tc>
        <w:tc>
          <w:tcPr>
            <w:tcW w:w="3642" w:type="dxa"/>
            <w:tcBorders>
              <w:top w:val="single" w:sz="4" w:space="0" w:color="auto"/>
              <w:left w:val="single" w:sz="4" w:space="0" w:color="auto"/>
              <w:bottom w:val="single" w:sz="4" w:space="0" w:color="auto"/>
              <w:right w:val="single" w:sz="4" w:space="0" w:color="auto"/>
            </w:tcBorders>
            <w:hideMark/>
          </w:tcPr>
          <w:p w14:paraId="753B8D0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 (ir iekļaujams atkritumu apsaimniekošanas politikas plānošanas dokumentos)</w:t>
            </w:r>
          </w:p>
        </w:tc>
      </w:tr>
      <w:tr w:rsidR="0030119C" w:rsidRPr="0030119C" w14:paraId="4B964F69" w14:textId="77777777" w:rsidTr="006B5EFD">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8064D"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hideMark/>
          </w:tcPr>
          <w:p w14:paraId="09B696D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ERAF un Kohēzijas fonds. </w:t>
            </w:r>
          </w:p>
          <w:p w14:paraId="3CC5419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2.6. Veicināt zaļo infrastruktūru </w:t>
            </w:r>
            <w:r w:rsidRPr="0030119C">
              <w:rPr>
                <w:rFonts w:asciiTheme="minorHAnsi" w:hAnsiTheme="minorHAnsi" w:cstheme="minorHAnsi"/>
                <w:noProof/>
                <w:szCs w:val="24"/>
              </w:rPr>
              <w:lastRenderedPageBreak/>
              <w:t>pilsētvidē un samazināt piesārņojumu</w:t>
            </w:r>
          </w:p>
        </w:tc>
        <w:tc>
          <w:tcPr>
            <w:tcW w:w="2423" w:type="dxa"/>
            <w:tcBorders>
              <w:top w:val="single" w:sz="4" w:space="0" w:color="auto"/>
              <w:left w:val="single" w:sz="4" w:space="0" w:color="auto"/>
              <w:bottom w:val="single" w:sz="4" w:space="0" w:color="auto"/>
              <w:right w:val="single" w:sz="4" w:space="0" w:color="auto"/>
            </w:tcBorders>
            <w:hideMark/>
          </w:tcPr>
          <w:p w14:paraId="76714FD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Prioritārās rīcības plāns nepieciešamajiem saglabāšanas pasākumiem, kuriem </w:t>
            </w:r>
            <w:r w:rsidRPr="0030119C">
              <w:rPr>
                <w:rFonts w:asciiTheme="minorHAnsi" w:hAnsiTheme="minorHAnsi" w:cstheme="minorHAnsi"/>
                <w:noProof/>
                <w:szCs w:val="24"/>
              </w:rPr>
              <w:lastRenderedPageBreak/>
              <w:t xml:space="preserve">nepieciešams Savienības līdzfinansējums </w:t>
            </w:r>
          </w:p>
        </w:tc>
        <w:tc>
          <w:tcPr>
            <w:tcW w:w="4941" w:type="dxa"/>
            <w:tcBorders>
              <w:top w:val="single" w:sz="4" w:space="0" w:color="auto"/>
              <w:left w:val="single" w:sz="4" w:space="0" w:color="auto"/>
              <w:bottom w:val="single" w:sz="4" w:space="0" w:color="auto"/>
              <w:right w:val="single" w:sz="4" w:space="0" w:color="auto"/>
            </w:tcBorders>
            <w:hideMark/>
          </w:tcPr>
          <w:p w14:paraId="7411923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Ir sagatavots prioritārās rīcības plāns saskaņā ar Direktīvas 92/43/EEK 8. pantu, un tas ietver:</w:t>
            </w:r>
          </w:p>
          <w:p w14:paraId="6124674E" w14:textId="77777777" w:rsidR="0030119C" w:rsidRPr="0030119C" w:rsidRDefault="0030119C" w:rsidP="000165BF">
            <w:pPr>
              <w:numPr>
                <w:ilvl w:val="0"/>
                <w:numId w:val="16"/>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visus elementus, kas prasīti prioritārās rīcības plāna 2021.–2027. gadam </w:t>
            </w:r>
            <w:r w:rsidRPr="0030119C">
              <w:rPr>
                <w:rFonts w:asciiTheme="minorHAnsi" w:hAnsiTheme="minorHAnsi" w:cstheme="minorHAnsi"/>
                <w:noProof/>
                <w:szCs w:val="24"/>
              </w:rPr>
              <w:lastRenderedPageBreak/>
              <w:t>veidnē un par kuriem vienojusies Komisija un dalībvalstis;</w:t>
            </w:r>
          </w:p>
          <w:p w14:paraId="4C9C153E" w14:textId="77777777" w:rsidR="0030119C" w:rsidRPr="0030119C" w:rsidRDefault="0030119C" w:rsidP="000165BF">
            <w:pPr>
              <w:numPr>
                <w:ilvl w:val="0"/>
                <w:numId w:val="16"/>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prioritāro pasākumu identifikāciju un finansiālo vajadzību aplēses. </w:t>
            </w:r>
          </w:p>
        </w:tc>
        <w:tc>
          <w:tcPr>
            <w:tcW w:w="3642" w:type="dxa"/>
            <w:tcBorders>
              <w:top w:val="single" w:sz="4" w:space="0" w:color="auto"/>
              <w:left w:val="single" w:sz="4" w:space="0" w:color="auto"/>
              <w:bottom w:val="single" w:sz="4" w:space="0" w:color="auto"/>
              <w:right w:val="single" w:sz="4" w:space="0" w:color="auto"/>
            </w:tcBorders>
            <w:hideMark/>
          </w:tcPr>
          <w:p w14:paraId="1AE7D9A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w:t>
            </w:r>
          </w:p>
        </w:tc>
      </w:tr>
      <w:tr w:rsidR="0030119C" w:rsidRPr="0030119C" w14:paraId="57762260" w14:textId="77777777" w:rsidTr="006B5EFD">
        <w:trPr>
          <w:trHeight w:val="609"/>
          <w:jc w:val="center"/>
        </w:trPr>
        <w:tc>
          <w:tcPr>
            <w:tcW w:w="1852" w:type="dxa"/>
            <w:vMerge w:val="restart"/>
            <w:tcBorders>
              <w:top w:val="single" w:sz="4" w:space="0" w:color="auto"/>
              <w:left w:val="single" w:sz="4" w:space="0" w:color="auto"/>
              <w:bottom w:val="single" w:sz="4" w:space="0" w:color="auto"/>
              <w:right w:val="single" w:sz="4" w:space="0" w:color="auto"/>
            </w:tcBorders>
            <w:hideMark/>
          </w:tcPr>
          <w:p w14:paraId="60714443"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3. Ciešāk savienota Eiropa, uzlabojot mobilitāti un reģionālo IKT savienotību</w:t>
            </w:r>
          </w:p>
        </w:tc>
        <w:tc>
          <w:tcPr>
            <w:tcW w:w="2564" w:type="dxa"/>
            <w:tcBorders>
              <w:top w:val="single" w:sz="4" w:space="0" w:color="auto"/>
              <w:left w:val="single" w:sz="4" w:space="0" w:color="auto"/>
              <w:bottom w:val="single" w:sz="4" w:space="0" w:color="auto"/>
              <w:right w:val="single" w:sz="4" w:space="0" w:color="auto"/>
            </w:tcBorders>
          </w:tcPr>
          <w:p w14:paraId="7454A55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6E58D79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3.1. Uzlabot digitālo savienotību </w:t>
            </w:r>
          </w:p>
          <w:p w14:paraId="6154CBE5" w14:textId="77777777" w:rsidR="0030119C" w:rsidRPr="0030119C" w:rsidRDefault="0030119C" w:rsidP="000165BF">
            <w:pPr>
              <w:jc w:val="both"/>
              <w:rPr>
                <w:rFonts w:asciiTheme="minorHAnsi" w:hAnsiTheme="minorHAnsi" w:cstheme="minorHAnsi"/>
                <w:noProof/>
                <w:szCs w:val="24"/>
              </w:rPr>
            </w:pPr>
          </w:p>
          <w:p w14:paraId="0D1F0801" w14:textId="77777777" w:rsidR="0030119C" w:rsidRPr="0030119C" w:rsidRDefault="0030119C" w:rsidP="000165BF">
            <w:pPr>
              <w:jc w:val="both"/>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hideMark/>
          </w:tcPr>
          <w:p w14:paraId="7A82D2D8"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Valsts vai reģionālais platjoslas plāns</w:t>
            </w:r>
          </w:p>
        </w:tc>
        <w:tc>
          <w:tcPr>
            <w:tcW w:w="4941" w:type="dxa"/>
            <w:tcBorders>
              <w:top w:val="single" w:sz="4" w:space="0" w:color="auto"/>
              <w:left w:val="single" w:sz="4" w:space="0" w:color="auto"/>
              <w:bottom w:val="single" w:sz="4" w:space="0" w:color="auto"/>
              <w:right w:val="single" w:sz="4" w:space="0" w:color="auto"/>
            </w:tcBorders>
            <w:hideMark/>
          </w:tcPr>
          <w:p w14:paraId="07DFA96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vai reģionālais platjoslas plāns, kas ietver:</w:t>
            </w:r>
          </w:p>
          <w:p w14:paraId="2A735EF1" w14:textId="77777777" w:rsidR="0030119C" w:rsidRPr="0030119C" w:rsidRDefault="0030119C" w:rsidP="000165BF">
            <w:pPr>
              <w:numPr>
                <w:ilvl w:val="0"/>
                <w:numId w:val="17"/>
              </w:numPr>
              <w:ind w:left="459"/>
              <w:jc w:val="both"/>
              <w:rPr>
                <w:rFonts w:asciiTheme="minorHAnsi" w:hAnsiTheme="minorHAnsi" w:cstheme="minorHAnsi"/>
                <w:noProof/>
                <w:szCs w:val="24"/>
              </w:rPr>
            </w:pPr>
            <w:r w:rsidRPr="0030119C">
              <w:rPr>
                <w:rFonts w:asciiTheme="minorHAnsi" w:hAnsiTheme="minorHAnsi" w:cstheme="minorHAnsi"/>
                <w:noProof/>
                <w:szCs w:val="24"/>
              </w:rPr>
              <w:t>novērtējumu par investīciju nepietiekamību, kas jārisina, lai sasniegtu ES gigabitu savienojamības mērķus</w:t>
            </w:r>
            <w:r w:rsidRPr="0030119C">
              <w:rPr>
                <w:rFonts w:asciiTheme="minorHAnsi" w:hAnsiTheme="minorHAnsi" w:cstheme="minorHAnsi"/>
                <w:noProof/>
                <w:szCs w:val="24"/>
                <w:vertAlign w:val="superscript"/>
              </w:rPr>
              <w:footnoteReference w:id="7"/>
            </w:r>
            <w:r w:rsidRPr="0030119C">
              <w:rPr>
                <w:rFonts w:asciiTheme="minorHAnsi" w:hAnsiTheme="minorHAnsi" w:cstheme="minorHAnsi"/>
                <w:noProof/>
                <w:szCs w:val="24"/>
              </w:rPr>
              <w:t>, kuri balstīti uz:</w:t>
            </w:r>
          </w:p>
          <w:p w14:paraId="270DFAB3" w14:textId="77777777" w:rsidR="0030119C" w:rsidRPr="0030119C" w:rsidRDefault="0030119C" w:rsidP="000165BF">
            <w:pPr>
              <w:numPr>
                <w:ilvl w:val="1"/>
                <w:numId w:val="17"/>
              </w:numPr>
              <w:ind w:left="912" w:hanging="284"/>
              <w:jc w:val="both"/>
              <w:rPr>
                <w:rFonts w:asciiTheme="minorHAnsi" w:hAnsiTheme="minorHAnsi" w:cstheme="minorHAnsi"/>
                <w:noProof/>
                <w:szCs w:val="24"/>
              </w:rPr>
            </w:pPr>
            <w:r w:rsidRPr="0030119C">
              <w:rPr>
                <w:rFonts w:asciiTheme="minorHAnsi" w:hAnsiTheme="minorHAnsi" w:cstheme="minorHAnsi"/>
                <w:noProof/>
                <w:szCs w:val="24"/>
              </w:rPr>
              <w:t xml:space="preserve"> neseno esošās privātās un publiskās infrastruktūras un pakalpojumu kvalitātes apzināšanu</w:t>
            </w:r>
            <w:r w:rsidRPr="0030119C">
              <w:rPr>
                <w:rFonts w:asciiTheme="minorHAnsi" w:hAnsiTheme="minorHAnsi" w:cstheme="minorHAnsi"/>
                <w:noProof/>
                <w:szCs w:val="24"/>
                <w:vertAlign w:val="superscript"/>
              </w:rPr>
              <w:footnoteReference w:id="8"/>
            </w:r>
            <w:r w:rsidRPr="0030119C">
              <w:rPr>
                <w:rFonts w:asciiTheme="minorHAnsi" w:hAnsiTheme="minorHAnsi" w:cstheme="minorHAnsi"/>
                <w:noProof/>
                <w:szCs w:val="24"/>
              </w:rPr>
              <w:t xml:space="preserve">, izmantojot standarta platjoslas pārklājuma rādītājus; </w:t>
            </w:r>
          </w:p>
          <w:p w14:paraId="5E5772E0" w14:textId="77777777" w:rsidR="0030119C" w:rsidRPr="0030119C" w:rsidRDefault="0030119C" w:rsidP="000165BF">
            <w:pPr>
              <w:numPr>
                <w:ilvl w:val="1"/>
                <w:numId w:val="17"/>
              </w:numPr>
              <w:ind w:left="912" w:hanging="284"/>
              <w:jc w:val="both"/>
              <w:rPr>
                <w:rFonts w:asciiTheme="minorHAnsi" w:hAnsiTheme="minorHAnsi" w:cstheme="minorHAnsi"/>
                <w:noProof/>
                <w:szCs w:val="24"/>
              </w:rPr>
            </w:pPr>
            <w:r w:rsidRPr="0030119C">
              <w:rPr>
                <w:rFonts w:asciiTheme="minorHAnsi" w:hAnsiTheme="minorHAnsi" w:cstheme="minorHAnsi"/>
                <w:noProof/>
                <w:szCs w:val="24"/>
              </w:rPr>
              <w:t>apspriešanos par plānotajām investīcijām;</w:t>
            </w:r>
          </w:p>
          <w:p w14:paraId="5BDEF103" w14:textId="77777777" w:rsidR="0030119C" w:rsidRPr="0030119C" w:rsidRDefault="0030119C" w:rsidP="000165BF">
            <w:pPr>
              <w:numPr>
                <w:ilvl w:val="0"/>
                <w:numId w:val="17"/>
              </w:numPr>
              <w:ind w:left="459"/>
              <w:jc w:val="both"/>
              <w:rPr>
                <w:rFonts w:asciiTheme="minorHAnsi" w:hAnsiTheme="minorHAnsi" w:cstheme="minorHAnsi"/>
                <w:noProof/>
                <w:szCs w:val="24"/>
              </w:rPr>
            </w:pPr>
            <w:r w:rsidRPr="0030119C">
              <w:rPr>
                <w:rFonts w:asciiTheme="minorHAnsi" w:hAnsiTheme="minorHAnsi" w:cstheme="minorHAnsi"/>
                <w:noProof/>
                <w:szCs w:val="24"/>
              </w:rPr>
              <w:t>tādas plānotas valsts intervences pamatojumu, kas balstās uz ilgtspējīgiem investīciju modeļiem, kuri:</w:t>
            </w:r>
          </w:p>
          <w:p w14:paraId="12D0E0AD" w14:textId="77777777" w:rsidR="0030119C" w:rsidRPr="0030119C" w:rsidRDefault="0030119C" w:rsidP="000165BF">
            <w:pPr>
              <w:numPr>
                <w:ilvl w:val="1"/>
                <w:numId w:val="17"/>
              </w:numPr>
              <w:ind w:left="912" w:hanging="284"/>
              <w:jc w:val="both"/>
              <w:rPr>
                <w:rFonts w:asciiTheme="minorHAnsi" w:hAnsiTheme="minorHAnsi" w:cstheme="minorHAnsi"/>
                <w:noProof/>
                <w:szCs w:val="24"/>
              </w:rPr>
            </w:pPr>
            <w:r w:rsidRPr="0030119C">
              <w:rPr>
                <w:rFonts w:asciiTheme="minorHAnsi" w:hAnsiTheme="minorHAnsi" w:cstheme="minorHAnsi"/>
                <w:noProof/>
                <w:szCs w:val="24"/>
              </w:rPr>
              <w:t xml:space="preserve">veicina atvērtas, kvalitatīvas un nākotnē izmantojamas infrastruktūras un pakalpojumu </w:t>
            </w:r>
            <w:r w:rsidRPr="0030119C">
              <w:rPr>
                <w:rFonts w:asciiTheme="minorHAnsi" w:hAnsiTheme="minorHAnsi" w:cstheme="minorHAnsi"/>
                <w:noProof/>
                <w:szCs w:val="24"/>
              </w:rPr>
              <w:lastRenderedPageBreak/>
              <w:t xml:space="preserve">pieejamību cenas ziņā un uzlabo piekļuvi tiem; </w:t>
            </w:r>
          </w:p>
          <w:p w14:paraId="7248057E" w14:textId="77777777" w:rsidR="0030119C" w:rsidRPr="0030119C" w:rsidRDefault="0030119C" w:rsidP="000165BF">
            <w:pPr>
              <w:numPr>
                <w:ilvl w:val="1"/>
                <w:numId w:val="17"/>
              </w:numPr>
              <w:ind w:left="912" w:hanging="284"/>
              <w:jc w:val="both"/>
              <w:rPr>
                <w:rFonts w:asciiTheme="minorHAnsi" w:hAnsiTheme="minorHAnsi" w:cstheme="minorHAnsi"/>
                <w:noProof/>
                <w:szCs w:val="24"/>
              </w:rPr>
            </w:pPr>
            <w:r w:rsidRPr="0030119C">
              <w:rPr>
                <w:rFonts w:asciiTheme="minorHAnsi" w:hAnsiTheme="minorHAnsi" w:cstheme="minorHAnsi"/>
                <w:noProof/>
                <w:szCs w:val="24"/>
              </w:rPr>
              <w:t>finansiālās palīdzības veidus pielāgo konstatētajām tirgus nepilnībām;</w:t>
            </w:r>
          </w:p>
          <w:p w14:paraId="500798E6" w14:textId="77777777" w:rsidR="0030119C" w:rsidRPr="0030119C" w:rsidRDefault="0030119C" w:rsidP="000165BF">
            <w:pPr>
              <w:numPr>
                <w:ilvl w:val="1"/>
                <w:numId w:val="17"/>
              </w:numPr>
              <w:ind w:left="912" w:hanging="284"/>
              <w:jc w:val="both"/>
              <w:rPr>
                <w:rFonts w:asciiTheme="minorHAnsi" w:hAnsiTheme="minorHAnsi" w:cstheme="minorHAnsi"/>
                <w:noProof/>
                <w:szCs w:val="24"/>
              </w:rPr>
            </w:pPr>
            <w:r w:rsidRPr="0030119C">
              <w:rPr>
                <w:rFonts w:asciiTheme="minorHAnsi" w:hAnsiTheme="minorHAnsi" w:cstheme="minorHAnsi"/>
                <w:noProof/>
                <w:szCs w:val="24"/>
              </w:rPr>
              <w:t>ļauj papildus kārtā izmantot dažādus finansējuma veidus no ES, valsts vai reģionālajiem resursiem;</w:t>
            </w:r>
          </w:p>
          <w:p w14:paraId="4E819F92" w14:textId="77777777" w:rsidR="0030119C" w:rsidRPr="0030119C" w:rsidRDefault="0030119C" w:rsidP="000165BF">
            <w:pPr>
              <w:numPr>
                <w:ilvl w:val="0"/>
                <w:numId w:val="17"/>
              </w:numPr>
              <w:ind w:left="459"/>
              <w:jc w:val="both"/>
              <w:rPr>
                <w:rFonts w:asciiTheme="minorHAnsi" w:hAnsiTheme="minorHAnsi" w:cstheme="minorHAnsi"/>
                <w:noProof/>
                <w:szCs w:val="24"/>
              </w:rPr>
            </w:pPr>
            <w:r w:rsidRPr="0030119C">
              <w:rPr>
                <w:rFonts w:asciiTheme="minorHAnsi" w:hAnsiTheme="minorHAnsi" w:cstheme="minorHAnsi"/>
                <w:noProof/>
                <w:szCs w:val="24"/>
              </w:rPr>
              <w:t>pasākumus, ar ko atbalsta pieprasījumu pēc ļoti augstas veiktspējas (</w:t>
            </w:r>
            <w:r w:rsidRPr="0030119C">
              <w:rPr>
                <w:rFonts w:asciiTheme="minorHAnsi" w:hAnsiTheme="minorHAnsi" w:cstheme="minorHAnsi"/>
                <w:i/>
                <w:noProof/>
                <w:szCs w:val="24"/>
              </w:rPr>
              <w:t>VHC</w:t>
            </w:r>
            <w:r w:rsidRPr="0030119C">
              <w:rPr>
                <w:rFonts w:asciiTheme="minorHAnsi" w:hAnsiTheme="minorHAnsi" w:cstheme="minorHAnsi"/>
                <w:noProof/>
                <w:szCs w:val="24"/>
              </w:rPr>
              <w:t>) tīkliem un to izmantošanu, tostarp darbības, ar kurām veicina minēto tīklu izvēršanu, jo īpaši īstenojot ES Platjoslas izmaksu samazināšanas direktīvu</w:t>
            </w:r>
            <w:r w:rsidRPr="0030119C">
              <w:rPr>
                <w:rFonts w:asciiTheme="minorHAnsi" w:hAnsiTheme="minorHAnsi" w:cstheme="minorHAnsi"/>
                <w:noProof/>
                <w:szCs w:val="24"/>
                <w:vertAlign w:val="superscript"/>
              </w:rPr>
              <w:footnoteReference w:id="9"/>
            </w:r>
            <w:r w:rsidRPr="0030119C">
              <w:rPr>
                <w:rFonts w:asciiTheme="minorHAnsi" w:hAnsiTheme="minorHAnsi" w:cstheme="minorHAnsi"/>
                <w:noProof/>
                <w:szCs w:val="24"/>
              </w:rPr>
              <w:t>;</w:t>
            </w:r>
          </w:p>
          <w:p w14:paraId="5DD39315" w14:textId="77777777" w:rsidR="0030119C" w:rsidRPr="0030119C" w:rsidRDefault="0030119C" w:rsidP="000165BF">
            <w:pPr>
              <w:numPr>
                <w:ilvl w:val="0"/>
                <w:numId w:val="17"/>
              </w:numPr>
              <w:ind w:left="459"/>
              <w:jc w:val="both"/>
              <w:rPr>
                <w:rFonts w:asciiTheme="minorHAnsi" w:hAnsiTheme="minorHAnsi" w:cstheme="minorHAnsi"/>
                <w:noProof/>
                <w:szCs w:val="24"/>
              </w:rPr>
            </w:pPr>
            <w:r w:rsidRPr="0030119C">
              <w:rPr>
                <w:rFonts w:asciiTheme="minorHAnsi" w:hAnsiTheme="minorHAnsi" w:cstheme="minorHAnsi"/>
                <w:noProof/>
                <w:szCs w:val="24"/>
              </w:rPr>
              <w:t>tehniskās palīdzības mehānismus, tostarp platjoslas kompetences birojus, ar kuriem stiprina vietējo ieinteresēto personu spējas un konsultē projektu virzītājus;</w:t>
            </w:r>
          </w:p>
          <w:p w14:paraId="18BE6DD0" w14:textId="77777777" w:rsidR="0030119C" w:rsidRPr="0030119C" w:rsidRDefault="0030119C" w:rsidP="000165BF">
            <w:pPr>
              <w:numPr>
                <w:ilvl w:val="0"/>
                <w:numId w:val="17"/>
              </w:numPr>
              <w:ind w:left="459"/>
              <w:jc w:val="both"/>
              <w:rPr>
                <w:rFonts w:asciiTheme="minorHAnsi" w:hAnsiTheme="minorHAnsi" w:cstheme="minorHAnsi"/>
                <w:noProof/>
                <w:szCs w:val="24"/>
                <w:u w:val="single"/>
              </w:rPr>
            </w:pPr>
            <w:r w:rsidRPr="0030119C">
              <w:rPr>
                <w:rFonts w:asciiTheme="minorHAnsi" w:hAnsiTheme="minorHAnsi" w:cstheme="minorHAnsi"/>
                <w:noProof/>
                <w:szCs w:val="24"/>
              </w:rPr>
              <w:t>uzraudzības mehānismus, kas balstīti uz standarta platjoslas pārklājuma rādītājiem.</w:t>
            </w:r>
          </w:p>
        </w:tc>
        <w:tc>
          <w:tcPr>
            <w:tcW w:w="3642" w:type="dxa"/>
            <w:tcBorders>
              <w:top w:val="single" w:sz="4" w:space="0" w:color="auto"/>
              <w:left w:val="single" w:sz="4" w:space="0" w:color="auto"/>
              <w:bottom w:val="single" w:sz="4" w:space="0" w:color="auto"/>
              <w:right w:val="single" w:sz="4" w:space="0" w:color="auto"/>
            </w:tcBorders>
            <w:hideMark/>
          </w:tcPr>
          <w:p w14:paraId="5C878E97"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w:t>
            </w:r>
          </w:p>
        </w:tc>
      </w:tr>
      <w:tr w:rsidR="0030119C" w:rsidRPr="0030119C" w14:paraId="54C085D0" w14:textId="77777777" w:rsidTr="006B5EFD">
        <w:trPr>
          <w:trHeight w:val="28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1AFD0"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hideMark/>
          </w:tcPr>
          <w:p w14:paraId="4392B0D4"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6D968EE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3.2. Izveidot ilgtspējīgu, klimatnoturīgu, intelektisku, drošu un intermodālu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w:t>
            </w:r>
          </w:p>
        </w:tc>
        <w:tc>
          <w:tcPr>
            <w:tcW w:w="2423" w:type="dxa"/>
            <w:vMerge w:val="restart"/>
            <w:tcBorders>
              <w:top w:val="single" w:sz="4" w:space="0" w:color="auto"/>
              <w:left w:val="single" w:sz="4" w:space="0" w:color="auto"/>
              <w:bottom w:val="single" w:sz="4" w:space="0" w:color="auto"/>
              <w:right w:val="single" w:sz="4" w:space="0" w:color="auto"/>
            </w:tcBorders>
            <w:hideMark/>
          </w:tcPr>
          <w:p w14:paraId="43F6191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Visaptveroša transporta plānošana atbilstošajā līmenī</w:t>
            </w:r>
          </w:p>
        </w:tc>
        <w:tc>
          <w:tcPr>
            <w:tcW w:w="4941" w:type="dxa"/>
            <w:vMerge w:val="restart"/>
            <w:tcBorders>
              <w:top w:val="single" w:sz="4" w:space="0" w:color="auto"/>
              <w:left w:val="single" w:sz="4" w:space="0" w:color="auto"/>
              <w:bottom w:val="single" w:sz="4" w:space="0" w:color="auto"/>
              <w:right w:val="single" w:sz="4" w:space="0" w:color="auto"/>
            </w:tcBorders>
            <w:hideMark/>
          </w:tcPr>
          <w:p w14:paraId="532DCFC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esošās un plānotās infrastruktūras multimodāla kartēšana līdz 2030. gadam, un tā:</w:t>
            </w:r>
          </w:p>
          <w:p w14:paraId="1F894DF4"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plānoto investīciju ekonomisko pamatojumu, kura pamatā ir pamatīga pieprasījuma analīze un satiksmes modelēšana, kurā būtu jāņem vērā dzelzceļa liberalizācijas paredzamā ietekme; </w:t>
            </w:r>
          </w:p>
          <w:p w14:paraId="71804DBF"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atspoguļo gaisa kvalitātes uzlabošanas plānus, jo īpaši ņemot vērā valstu dekarbonizācijas plānus;</w:t>
            </w:r>
          </w:p>
          <w:p w14:paraId="62339CDC"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investīcijas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pamattīkla koridoros, kas definēti Regulā (ES) 1316/2013, saskaņā ar attiecīgajiem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darba plāniem; </w:t>
            </w:r>
          </w:p>
          <w:p w14:paraId="71158327"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attiecībā uz investīcijām ārpus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pamattīkla nodrošina papildināmību, reģioniem un vietējām kopienām sniedzot pietiekamu savienojamību ar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pamattīklu un tā mezgliem;</w:t>
            </w:r>
          </w:p>
          <w:p w14:paraId="61556A33"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nodrošina dzelzceļu tīkla savstarpēju izmantojamību, izmantojot </w:t>
            </w:r>
            <w:r w:rsidRPr="0030119C">
              <w:rPr>
                <w:rFonts w:asciiTheme="minorHAnsi" w:hAnsiTheme="minorHAnsi" w:cstheme="minorHAnsi"/>
                <w:i/>
                <w:noProof/>
                <w:szCs w:val="24"/>
              </w:rPr>
              <w:t>baseline-3</w:t>
            </w:r>
            <w:r w:rsidRPr="0030119C">
              <w:rPr>
                <w:rFonts w:asciiTheme="minorHAnsi" w:hAnsiTheme="minorHAnsi" w:cstheme="minorHAnsi"/>
                <w:noProof/>
                <w:szCs w:val="24"/>
              </w:rPr>
              <w:t xml:space="preserve"> atbilstošas </w:t>
            </w:r>
            <w:r w:rsidRPr="0030119C">
              <w:rPr>
                <w:rFonts w:asciiTheme="minorHAnsi" w:hAnsiTheme="minorHAnsi" w:cstheme="minorHAnsi"/>
                <w:i/>
                <w:noProof/>
                <w:szCs w:val="24"/>
              </w:rPr>
              <w:t>ERTMS,</w:t>
            </w:r>
            <w:r w:rsidRPr="0030119C">
              <w:rPr>
                <w:rFonts w:asciiTheme="minorHAnsi" w:hAnsiTheme="minorHAnsi" w:cstheme="minorHAnsi"/>
                <w:noProof/>
                <w:szCs w:val="24"/>
              </w:rPr>
              <w:t xml:space="preserve"> aptveros un aptverot vismaz Eiropas izvēršanas plānu;</w:t>
            </w:r>
          </w:p>
          <w:p w14:paraId="24D80A42"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veicina multimodalitāti, nosakot multimodālo vai pārkraušanas kravu un </w:t>
            </w:r>
            <w:r w:rsidRPr="0030119C">
              <w:rPr>
                <w:rFonts w:asciiTheme="minorHAnsi" w:hAnsiTheme="minorHAnsi" w:cstheme="minorHAnsi"/>
                <w:noProof/>
                <w:szCs w:val="24"/>
              </w:rPr>
              <w:lastRenderedPageBreak/>
              <w:t>pasažieru termināļu un aktīvo mezglu vajadzības;</w:t>
            </w:r>
          </w:p>
          <w:p w14:paraId="0F0E56C1"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ietver pasākumus, kuru mērķis ir sekmēt alternatīvas degvielas saskaņā ar attiecīgajiem valstu politikas satvariem;</w:t>
            </w:r>
          </w:p>
          <w:p w14:paraId="3422D63F" w14:textId="77777777" w:rsidR="0030119C" w:rsidRPr="0030119C" w:rsidRDefault="0030119C" w:rsidP="000165BF">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ceļu satiksmes drošības risku novērtējumu saskaņā ar esošajām valstu ceļu satiksmes drošības stratēģijām, kā arī attiecīgo ceļu un to posmu kartēšanu un attiecīgo investīciju prioritāro secību; </w:t>
            </w:r>
          </w:p>
          <w:p w14:paraId="37820834" w14:textId="77777777" w:rsidR="0030119C" w:rsidRPr="0030119C" w:rsidRDefault="0030119C" w:rsidP="000165BF">
            <w:pPr>
              <w:numPr>
                <w:ilvl w:val="0"/>
                <w:numId w:val="18"/>
              </w:numPr>
              <w:jc w:val="both"/>
              <w:rPr>
                <w:rFonts w:asciiTheme="minorHAnsi" w:hAnsiTheme="minorHAnsi" w:cstheme="minorHAnsi"/>
                <w:noProof/>
                <w:szCs w:val="24"/>
                <w:u w:val="single"/>
              </w:rPr>
            </w:pPr>
            <w:r w:rsidRPr="0030119C">
              <w:rPr>
                <w:rFonts w:asciiTheme="minorHAnsi" w:hAnsiTheme="minorHAnsi" w:cstheme="minorHAnsi"/>
                <w:noProof/>
                <w:szCs w:val="24"/>
              </w:rPr>
              <w:t>sniedz informāciju par budžeta un finanšu resursiem, kas attiecas uz plānotajām investīcijām un nepieciešami esošās un plānotās infrastruktūras darbības un uzturēšanas izmaksu segšanai.</w:t>
            </w:r>
          </w:p>
        </w:tc>
        <w:tc>
          <w:tcPr>
            <w:tcW w:w="3642" w:type="dxa"/>
            <w:vMerge w:val="restart"/>
            <w:tcBorders>
              <w:top w:val="single" w:sz="4" w:space="0" w:color="auto"/>
              <w:left w:val="single" w:sz="4" w:space="0" w:color="auto"/>
              <w:bottom w:val="single" w:sz="4" w:space="0" w:color="auto"/>
              <w:right w:val="single" w:sz="4" w:space="0" w:color="auto"/>
            </w:tcBorders>
            <w:hideMark/>
          </w:tcPr>
          <w:p w14:paraId="12817A27"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Plāna dekarbonizācijas un energoefektivitātes dimensijas.</w:t>
            </w:r>
          </w:p>
          <w:p w14:paraId="0C37D3A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Detalizēti pasākumi un to izvērtējums ir iekļaujami transporta attīstības politikas plānošanas dokumentos</w:t>
            </w:r>
          </w:p>
        </w:tc>
      </w:tr>
      <w:tr w:rsidR="0030119C" w:rsidRPr="0030119C" w14:paraId="49D92A43" w14:textId="77777777" w:rsidTr="006B5EFD">
        <w:trPr>
          <w:trHeight w:val="3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DA60F7"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hideMark/>
          </w:tcPr>
          <w:p w14:paraId="6CC6CCD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3.3. Attīstīt ilgtspējīgu, klimatnoturīgu, intelektisku un intermodālu mobilitāti valstu, reģionu un vietējā līmenī, ietverot uzlabotu piekļuvi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un pārrobežu mobilitāti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DC168" w14:textId="77777777" w:rsidR="0030119C" w:rsidRPr="0030119C" w:rsidRDefault="0030119C" w:rsidP="000165BF">
            <w:pPr>
              <w:rPr>
                <w:rFonts w:asciiTheme="minorHAnsi" w:hAnsiTheme="minorHAnsi" w:cstheme="minorHAnsi"/>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17026" w14:textId="77777777" w:rsidR="0030119C" w:rsidRPr="0030119C" w:rsidRDefault="0030119C" w:rsidP="000165BF">
            <w:pPr>
              <w:rPr>
                <w:rFonts w:asciiTheme="minorHAnsi" w:hAnsiTheme="minorHAnsi" w:cstheme="minorHAnsi"/>
                <w:noProof/>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83293" w14:textId="77777777" w:rsidR="0030119C" w:rsidRPr="0030119C" w:rsidRDefault="0030119C" w:rsidP="000165BF">
            <w:pPr>
              <w:rPr>
                <w:rFonts w:asciiTheme="minorHAnsi" w:hAnsiTheme="minorHAnsi" w:cstheme="minorHAnsi"/>
                <w:noProof/>
                <w:szCs w:val="24"/>
              </w:rPr>
            </w:pPr>
          </w:p>
        </w:tc>
      </w:tr>
      <w:tr w:rsidR="0030119C" w:rsidRPr="0030119C" w14:paraId="02C8A9A1" w14:textId="77777777" w:rsidTr="006B5EFD">
        <w:trPr>
          <w:trHeight w:val="131"/>
          <w:jc w:val="center"/>
        </w:trPr>
        <w:tc>
          <w:tcPr>
            <w:tcW w:w="1852" w:type="dxa"/>
            <w:vMerge w:val="restart"/>
            <w:tcBorders>
              <w:top w:val="single" w:sz="4" w:space="0" w:color="auto"/>
              <w:left w:val="single" w:sz="4" w:space="0" w:color="auto"/>
              <w:bottom w:val="single" w:sz="4" w:space="0" w:color="auto"/>
              <w:right w:val="single" w:sz="4" w:space="0" w:color="auto"/>
            </w:tcBorders>
            <w:hideMark/>
          </w:tcPr>
          <w:p w14:paraId="2B3725A8"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4. Sociālāka Eiropa, īstenojot Eiropas sociālo tiesību pīlāru</w:t>
            </w:r>
          </w:p>
        </w:tc>
        <w:tc>
          <w:tcPr>
            <w:tcW w:w="2564" w:type="dxa"/>
            <w:tcBorders>
              <w:top w:val="single" w:sz="4" w:space="0" w:color="auto"/>
              <w:left w:val="single" w:sz="4" w:space="0" w:color="auto"/>
              <w:bottom w:val="single" w:sz="4" w:space="0" w:color="auto"/>
              <w:right w:val="single" w:sz="4" w:space="0" w:color="auto"/>
            </w:tcBorders>
            <w:hideMark/>
          </w:tcPr>
          <w:p w14:paraId="7DAC6549"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59B697C1"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4.1. Attīstot infrastruktūru, uzlabot darba tirgu efektivitāti un piekļuvi kvalitatīvai nodarbinātībai </w:t>
            </w:r>
          </w:p>
          <w:p w14:paraId="4CE8B93B"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ESF</w:t>
            </w:r>
          </w:p>
          <w:p w14:paraId="1716D86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4.1.1. Uzlabot visu darba meklētāju, tostarp jauniešu, un </w:t>
            </w:r>
            <w:r w:rsidRPr="0030119C">
              <w:rPr>
                <w:rFonts w:asciiTheme="minorHAnsi" w:hAnsiTheme="minorHAnsi" w:cstheme="minorHAnsi"/>
                <w:noProof/>
                <w:szCs w:val="24"/>
              </w:rPr>
              <w:lastRenderedPageBreak/>
              <w:t xml:space="preserve">neaktīvu personu piekļuvi nodarbinātībai un veicināt pašnodarbinātību un sociālo ekonomiku </w:t>
            </w:r>
          </w:p>
          <w:p w14:paraId="6279150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4.1.2. Modernizēt darba tirgus iestādes un pakalpojumus, lai nodrošinātu savlaicīgu un individuāli pielāgotu palīdzību un atbalstu atbilstībai starp piedāvājumu un pieprasījumu darba tirgū, pārmaiņām darba tirgū un darba tirgus mobilitātei </w:t>
            </w:r>
          </w:p>
        </w:tc>
        <w:tc>
          <w:tcPr>
            <w:tcW w:w="2423" w:type="dxa"/>
            <w:tcBorders>
              <w:top w:val="single" w:sz="4" w:space="0" w:color="auto"/>
              <w:left w:val="single" w:sz="4" w:space="0" w:color="auto"/>
              <w:bottom w:val="single" w:sz="4" w:space="0" w:color="auto"/>
              <w:right w:val="single" w:sz="4" w:space="0" w:color="auto"/>
            </w:tcBorders>
            <w:hideMark/>
          </w:tcPr>
          <w:p w14:paraId="5A28821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Stratēģiskās politikas satvars aktīvai darba tirgus politikai</w:t>
            </w:r>
          </w:p>
        </w:tc>
        <w:tc>
          <w:tcPr>
            <w:tcW w:w="4941" w:type="dxa"/>
            <w:tcBorders>
              <w:top w:val="single" w:sz="4" w:space="0" w:color="auto"/>
              <w:left w:val="single" w:sz="4" w:space="0" w:color="auto"/>
              <w:bottom w:val="single" w:sz="4" w:space="0" w:color="auto"/>
              <w:right w:val="single" w:sz="4" w:space="0" w:color="auto"/>
            </w:tcBorders>
            <w:hideMark/>
          </w:tcPr>
          <w:p w14:paraId="5F127574"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stratēģiskās politikas satvars aktīvai darba tirgus politikai, ņemot vērā nodarbinātības pamatnostādnes, un tas ietver:</w:t>
            </w:r>
          </w:p>
          <w:p w14:paraId="6230D495" w14:textId="77777777" w:rsidR="0030119C" w:rsidRPr="0030119C" w:rsidRDefault="0030119C" w:rsidP="000165BF">
            <w:pPr>
              <w:numPr>
                <w:ilvl w:val="0"/>
                <w:numId w:val="19"/>
              </w:numPr>
              <w:ind w:left="463" w:hanging="426"/>
              <w:jc w:val="both"/>
              <w:rPr>
                <w:rFonts w:asciiTheme="minorHAnsi" w:hAnsiTheme="minorHAnsi" w:cstheme="minorHAnsi"/>
                <w:noProof/>
                <w:szCs w:val="24"/>
              </w:rPr>
            </w:pPr>
            <w:r w:rsidRPr="0030119C">
              <w:rPr>
                <w:rFonts w:asciiTheme="minorHAnsi" w:hAnsiTheme="minorHAnsi" w:cstheme="minorHAnsi"/>
                <w:noProof/>
                <w:szCs w:val="24"/>
              </w:rPr>
              <w:t>kārtību, kādā veic darba meklētāju profilēšanu un to vajadzību novērtēšanu, tostarp uzņēmējdarbības iespējas;</w:t>
            </w:r>
          </w:p>
          <w:p w14:paraId="0658321F" w14:textId="77777777" w:rsidR="0030119C" w:rsidRPr="0030119C" w:rsidRDefault="0030119C" w:rsidP="000165BF">
            <w:pPr>
              <w:numPr>
                <w:ilvl w:val="0"/>
                <w:numId w:val="19"/>
              </w:numPr>
              <w:ind w:left="463" w:hanging="426"/>
              <w:jc w:val="both"/>
              <w:rPr>
                <w:rFonts w:asciiTheme="minorHAnsi" w:hAnsiTheme="minorHAnsi" w:cstheme="minorHAnsi"/>
                <w:noProof/>
                <w:szCs w:val="24"/>
              </w:rPr>
            </w:pPr>
            <w:r w:rsidRPr="0030119C">
              <w:rPr>
                <w:rFonts w:asciiTheme="minorHAnsi" w:hAnsiTheme="minorHAnsi" w:cstheme="minorHAnsi"/>
                <w:noProof/>
                <w:szCs w:val="24"/>
              </w:rPr>
              <w:lastRenderedPageBreak/>
              <w:t>informāciju par darba vietām un darba iespējām, ņemot vērā darba tirgus vajadzības;</w:t>
            </w:r>
          </w:p>
          <w:p w14:paraId="00878883" w14:textId="77777777" w:rsidR="0030119C" w:rsidRPr="0030119C" w:rsidRDefault="0030119C" w:rsidP="000165BF">
            <w:pPr>
              <w:numPr>
                <w:ilvl w:val="0"/>
                <w:numId w:val="19"/>
              </w:numPr>
              <w:ind w:left="463" w:hanging="426"/>
              <w:jc w:val="both"/>
              <w:rPr>
                <w:rFonts w:asciiTheme="minorHAnsi" w:hAnsiTheme="minorHAnsi" w:cstheme="minorHAnsi"/>
                <w:noProof/>
                <w:szCs w:val="24"/>
              </w:rPr>
            </w:pPr>
            <w:r w:rsidRPr="0030119C">
              <w:rPr>
                <w:rFonts w:asciiTheme="minorHAnsi" w:hAnsiTheme="minorHAnsi" w:cstheme="minorHAnsi"/>
                <w:noProof/>
                <w:szCs w:val="24"/>
              </w:rPr>
              <w:t xml:space="preserve">kārtību, kādā nodrošina, ka tā izstrādi, īstenošanu, uzraudzību un pārskatīšanu veic ciešā sadarbībā ar attiecīgajām ieinteresētajām personām; </w:t>
            </w:r>
          </w:p>
          <w:p w14:paraId="6A8CB45F" w14:textId="77777777" w:rsidR="0030119C" w:rsidRPr="0030119C" w:rsidRDefault="0030119C" w:rsidP="000165BF">
            <w:pPr>
              <w:numPr>
                <w:ilvl w:val="0"/>
                <w:numId w:val="19"/>
              </w:numPr>
              <w:ind w:left="463" w:hanging="426"/>
              <w:jc w:val="both"/>
              <w:rPr>
                <w:rFonts w:asciiTheme="minorHAnsi" w:hAnsiTheme="minorHAnsi" w:cstheme="minorHAnsi"/>
                <w:noProof/>
                <w:szCs w:val="24"/>
              </w:rPr>
            </w:pPr>
            <w:r w:rsidRPr="0030119C">
              <w:rPr>
                <w:rFonts w:asciiTheme="minorHAnsi" w:hAnsiTheme="minorHAnsi" w:cstheme="minorHAnsi"/>
                <w:noProof/>
                <w:szCs w:val="24"/>
              </w:rPr>
              <w:t xml:space="preserve">aktīvas darba tirgus politikas uzraudzības, novērtēšanas un pārskatīšanas kārtību;  </w:t>
            </w:r>
          </w:p>
          <w:p w14:paraId="32F095DA" w14:textId="77777777" w:rsidR="0030119C" w:rsidRPr="0030119C" w:rsidRDefault="0030119C" w:rsidP="000165BF">
            <w:pPr>
              <w:numPr>
                <w:ilvl w:val="0"/>
                <w:numId w:val="19"/>
              </w:numPr>
              <w:ind w:left="463" w:hanging="426"/>
              <w:jc w:val="both"/>
              <w:rPr>
                <w:rFonts w:asciiTheme="minorHAnsi" w:hAnsiTheme="minorHAnsi" w:cstheme="minorHAnsi"/>
                <w:noProof/>
                <w:szCs w:val="24"/>
              </w:rPr>
            </w:pPr>
            <w:r w:rsidRPr="0030119C">
              <w:rPr>
                <w:rFonts w:asciiTheme="minorHAnsi" w:hAnsiTheme="minorHAnsi" w:cstheme="minorHAnsi"/>
                <w:noProof/>
                <w:szCs w:val="24"/>
              </w:rPr>
              <w:t>attiecībā uz jaunatnes nodarbinātības intervencēm – uz pierādījumiem balstītas un mērķorientētas pieejas jauniešiem, kas nestrādā, nemācās un neapgūst arodu, tostarp informēšanas pasākumi, un pieejas, kas balstītas uz kvalitātes prasībām, ņemot vērā kvalitatīvas māceklības un stažēšanās kritērijus, tostarp Garantijas jauniešiem shēmas īstenošanas kontekstā.</w:t>
            </w:r>
          </w:p>
        </w:tc>
        <w:tc>
          <w:tcPr>
            <w:tcW w:w="3642" w:type="dxa"/>
            <w:tcBorders>
              <w:top w:val="single" w:sz="4" w:space="0" w:color="auto"/>
              <w:left w:val="single" w:sz="4" w:space="0" w:color="auto"/>
              <w:bottom w:val="single" w:sz="4" w:space="0" w:color="auto"/>
              <w:right w:val="single" w:sz="4" w:space="0" w:color="auto"/>
            </w:tcBorders>
            <w:hideMark/>
          </w:tcPr>
          <w:p w14:paraId="52B19C5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w:t>
            </w:r>
          </w:p>
        </w:tc>
      </w:tr>
      <w:tr w:rsidR="0030119C" w:rsidRPr="0030119C" w14:paraId="4AA44909" w14:textId="77777777" w:rsidTr="006B5EFD">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20330B"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5953179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63BE0B7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4.1. Attīstot infrastruktūru, uzlabot darba tirgu efektivitāti </w:t>
            </w:r>
            <w:r w:rsidRPr="0030119C">
              <w:rPr>
                <w:rFonts w:asciiTheme="minorHAnsi" w:hAnsiTheme="minorHAnsi" w:cstheme="minorHAnsi"/>
                <w:noProof/>
                <w:szCs w:val="24"/>
              </w:rPr>
              <w:lastRenderedPageBreak/>
              <w:t xml:space="preserve">un piekļuvi kvalitatīvai nodarbinātībai </w:t>
            </w:r>
          </w:p>
          <w:p w14:paraId="0CCA08B5" w14:textId="77777777" w:rsidR="0030119C" w:rsidRPr="0030119C" w:rsidRDefault="0030119C" w:rsidP="000165BF">
            <w:pPr>
              <w:jc w:val="both"/>
              <w:rPr>
                <w:rFonts w:asciiTheme="minorHAnsi" w:hAnsiTheme="minorHAnsi" w:cstheme="minorHAnsi"/>
                <w:noProof/>
                <w:szCs w:val="24"/>
              </w:rPr>
            </w:pPr>
          </w:p>
          <w:p w14:paraId="3DBCB7A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ESF</w:t>
            </w:r>
          </w:p>
          <w:p w14:paraId="0BDD9E51"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4.1.3. Veicināt darba un privātās dzīves līdzsvaru, tostarp piekļuvi bērnu aprūpes pakalpojumiem, veselīgu un labi pielāgotu darba vidi, kas mazina veselības riskus, darba ņēmēju pielāgošanos pārmaiņām un veselīgas un aktīvas vecumdienas</w:t>
            </w:r>
          </w:p>
        </w:tc>
        <w:tc>
          <w:tcPr>
            <w:tcW w:w="2423" w:type="dxa"/>
            <w:tcBorders>
              <w:top w:val="single" w:sz="4" w:space="0" w:color="auto"/>
              <w:left w:val="single" w:sz="4" w:space="0" w:color="auto"/>
              <w:bottom w:val="single" w:sz="4" w:space="0" w:color="auto"/>
              <w:right w:val="single" w:sz="4" w:space="0" w:color="auto"/>
            </w:tcBorders>
            <w:hideMark/>
          </w:tcPr>
          <w:p w14:paraId="500F427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Valsts dzimumu līdztiesības stratēģiskais satvars </w:t>
            </w:r>
          </w:p>
        </w:tc>
        <w:tc>
          <w:tcPr>
            <w:tcW w:w="4941" w:type="dxa"/>
            <w:tcBorders>
              <w:top w:val="single" w:sz="4" w:space="0" w:color="auto"/>
              <w:left w:val="single" w:sz="4" w:space="0" w:color="auto"/>
              <w:bottom w:val="single" w:sz="4" w:space="0" w:color="auto"/>
              <w:right w:val="single" w:sz="4" w:space="0" w:color="auto"/>
            </w:tcBorders>
            <w:hideMark/>
          </w:tcPr>
          <w:p w14:paraId="7474F204"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stratēģiskās politikas satvars dzimumu līdztiesības jomā, un tas ietver:</w:t>
            </w:r>
          </w:p>
          <w:p w14:paraId="45758527" w14:textId="77777777" w:rsidR="0030119C" w:rsidRPr="0030119C" w:rsidRDefault="0030119C" w:rsidP="000165BF">
            <w:pPr>
              <w:numPr>
                <w:ilvl w:val="0"/>
                <w:numId w:val="20"/>
              </w:numPr>
              <w:ind w:left="459"/>
              <w:jc w:val="both"/>
              <w:rPr>
                <w:rFonts w:asciiTheme="minorHAnsi" w:hAnsiTheme="minorHAnsi" w:cstheme="minorHAnsi"/>
                <w:bCs/>
                <w:noProof/>
                <w:szCs w:val="24"/>
              </w:rPr>
            </w:pPr>
            <w:r w:rsidRPr="0030119C">
              <w:rPr>
                <w:rFonts w:asciiTheme="minorHAnsi" w:hAnsiTheme="minorHAnsi" w:cstheme="minorHAnsi"/>
                <w:noProof/>
                <w:szCs w:val="24"/>
              </w:rPr>
              <w:t>uz pierādījumiem balstītu problēmu noteikšanu dzimumu līdztiesības jomā;</w:t>
            </w:r>
          </w:p>
          <w:p w14:paraId="48821331" w14:textId="77777777" w:rsidR="0030119C" w:rsidRPr="0030119C" w:rsidRDefault="0030119C" w:rsidP="000165BF">
            <w:pPr>
              <w:numPr>
                <w:ilvl w:val="0"/>
                <w:numId w:val="20"/>
              </w:numPr>
              <w:ind w:left="459"/>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pasākumus nodarbinātības, atalgojuma un pensiju atšķirības starp dzimumiem novēršanai un darba un privātās dzīves līdzsvara veicināšanai, tostarp uzlabojot piekļuvi agrīnajai pirmsskolas izglītībai un aprūpei, un mērķus; </w:t>
            </w:r>
          </w:p>
          <w:p w14:paraId="41271977" w14:textId="77777777" w:rsidR="0030119C" w:rsidRPr="0030119C" w:rsidRDefault="0030119C" w:rsidP="000165BF">
            <w:pPr>
              <w:numPr>
                <w:ilvl w:val="0"/>
                <w:numId w:val="20"/>
              </w:numPr>
              <w:ind w:left="459"/>
              <w:jc w:val="both"/>
              <w:rPr>
                <w:rFonts w:asciiTheme="minorHAnsi" w:hAnsiTheme="minorHAnsi" w:cstheme="minorHAnsi"/>
                <w:noProof/>
                <w:szCs w:val="24"/>
              </w:rPr>
            </w:pPr>
            <w:r w:rsidRPr="0030119C">
              <w:rPr>
                <w:rFonts w:asciiTheme="minorHAnsi" w:hAnsiTheme="minorHAnsi" w:cstheme="minorHAnsi"/>
                <w:noProof/>
                <w:szCs w:val="24"/>
              </w:rPr>
              <w:t>stratēģiskās politikas satvara un datu vākšanas metožu uzraudzības, novērtēšanas un pārskatīšanas kārtību;</w:t>
            </w:r>
          </w:p>
          <w:p w14:paraId="1408BBD5" w14:textId="77777777" w:rsidR="0030119C" w:rsidRPr="0030119C" w:rsidRDefault="0030119C" w:rsidP="000165BF">
            <w:pPr>
              <w:numPr>
                <w:ilvl w:val="0"/>
                <w:numId w:val="20"/>
              </w:numPr>
              <w:ind w:left="459"/>
              <w:jc w:val="both"/>
              <w:rPr>
                <w:rFonts w:asciiTheme="minorHAnsi" w:hAnsiTheme="minorHAnsi" w:cstheme="minorHAnsi"/>
                <w:noProof/>
                <w:szCs w:val="24"/>
              </w:rPr>
            </w:pPr>
            <w:r w:rsidRPr="0030119C">
              <w:rPr>
                <w:rFonts w:asciiTheme="minorHAnsi" w:hAnsiTheme="minorHAnsi" w:cstheme="minorHAnsi"/>
                <w:noProof/>
                <w:szCs w:val="24"/>
              </w:rPr>
              <w:t>kārtību, kādā nodrošina, ka tā izstrādi, īstenošanu, uzraudzību un pārskatīšanu veic ciešā sadarbībā ar līdztiesības struktūrām, sociālajiem partneriem un attiecīgajām pilsoniskās sabiedrības organizācijām.</w:t>
            </w:r>
          </w:p>
        </w:tc>
        <w:tc>
          <w:tcPr>
            <w:tcW w:w="3642" w:type="dxa"/>
            <w:tcBorders>
              <w:top w:val="single" w:sz="4" w:space="0" w:color="auto"/>
              <w:left w:val="single" w:sz="4" w:space="0" w:color="auto"/>
              <w:bottom w:val="single" w:sz="4" w:space="0" w:color="auto"/>
              <w:right w:val="single" w:sz="4" w:space="0" w:color="auto"/>
            </w:tcBorders>
            <w:hideMark/>
          </w:tcPr>
          <w:p w14:paraId="2E1A867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w:t>
            </w:r>
          </w:p>
        </w:tc>
      </w:tr>
      <w:tr w:rsidR="0030119C" w:rsidRPr="0030119C" w14:paraId="3E3B9EBE" w14:textId="77777777" w:rsidTr="006B5EFD">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2A9A6"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648314C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13C1F1F7"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4.2. Uzlabot piekļuvi iekļaujošiem un kvalitatīviem pakalpojumiem izglītībā, apmācībās un mūžizglītībā, attīstot infrastruktūru</w:t>
            </w:r>
          </w:p>
          <w:p w14:paraId="126C3D04" w14:textId="77777777" w:rsidR="0030119C" w:rsidRPr="0030119C" w:rsidRDefault="0030119C" w:rsidP="000165BF">
            <w:pPr>
              <w:jc w:val="both"/>
              <w:rPr>
                <w:rFonts w:asciiTheme="minorHAnsi" w:hAnsiTheme="minorHAnsi" w:cstheme="minorHAnsi"/>
                <w:noProof/>
                <w:szCs w:val="24"/>
              </w:rPr>
            </w:pPr>
          </w:p>
          <w:p w14:paraId="5D6D8357"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ESF</w:t>
            </w:r>
          </w:p>
          <w:p w14:paraId="4D5485F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4.2.1.</w:t>
            </w:r>
            <w:r w:rsidRPr="0030119C">
              <w:rPr>
                <w:rFonts w:asciiTheme="minorHAnsi" w:hAnsiTheme="minorHAnsi" w:cstheme="minorHAnsi"/>
                <w:noProof/>
                <w:szCs w:val="24"/>
              </w:rPr>
              <w:tab/>
              <w:t xml:space="preserve">Uzlabot izglītības un apmācības sistēmu kvalitāti, efektivitāti un atbilstību darba tirgum. </w:t>
            </w:r>
          </w:p>
          <w:p w14:paraId="3EA4E52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4.2.2.</w:t>
            </w:r>
            <w:r w:rsidRPr="0030119C">
              <w:rPr>
                <w:rFonts w:asciiTheme="minorHAnsi" w:hAnsiTheme="minorHAnsi" w:cstheme="minorHAnsi"/>
                <w:noProof/>
                <w:szCs w:val="24"/>
              </w:rPr>
              <w:tab/>
              <w:t xml:space="preserve">Veicināt elastīgu prasmju pilnveides un pārkvalifikācijas iespējas visiem, tostarp veicinot pārmaiņas karjerā un profesionālo mobilitāti. </w:t>
            </w:r>
          </w:p>
          <w:p w14:paraId="56F88D8B"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4.2.3. Veicināt kvalitatīvas un iekļaujošas izglītības un apmācības vienlīdzīgu pieejamību, sākot no agrīnās pirmsskolas izglītības un aprūpes līdz pat vispārējai un profesionālajai izglītībai un apmācībai un terciārajam līmenim, jo īpaši nelabvēlīgā stāvoklī esošām grupām.</w:t>
            </w:r>
          </w:p>
        </w:tc>
        <w:tc>
          <w:tcPr>
            <w:tcW w:w="2423" w:type="dxa"/>
            <w:tcBorders>
              <w:top w:val="single" w:sz="4" w:space="0" w:color="auto"/>
              <w:left w:val="single" w:sz="4" w:space="0" w:color="auto"/>
              <w:bottom w:val="single" w:sz="4" w:space="0" w:color="auto"/>
              <w:right w:val="single" w:sz="4" w:space="0" w:color="auto"/>
            </w:tcBorders>
            <w:hideMark/>
          </w:tcPr>
          <w:p w14:paraId="185AEF0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Stratēģiskās politikas satvars izglītībai un apmācībai visos līmeņos</w:t>
            </w:r>
          </w:p>
        </w:tc>
        <w:tc>
          <w:tcPr>
            <w:tcW w:w="4941" w:type="dxa"/>
            <w:tcBorders>
              <w:top w:val="single" w:sz="4" w:space="0" w:color="auto"/>
              <w:left w:val="single" w:sz="4" w:space="0" w:color="auto"/>
              <w:bottom w:val="single" w:sz="4" w:space="0" w:color="auto"/>
              <w:right w:val="single" w:sz="4" w:space="0" w:color="auto"/>
            </w:tcBorders>
            <w:hideMark/>
          </w:tcPr>
          <w:p w14:paraId="7391B297"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Ir sagatavots valsts vai reģionāls stratēģiskās politikas satvars izglītības un apmācības sistēmai, un tas ietver: </w:t>
            </w:r>
          </w:p>
          <w:p w14:paraId="377D4823"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t xml:space="preserve">uz pierādījumiem balstītas prasmju prognozēšanas un paredzēšanas sistēmas, kā arī absolventu gaitu apzināšanas mehānismus un pakalpojumus kvalitatīvu un efektīvu konsultāciju sniegšanai visu vecumu audzēkņiem; </w:t>
            </w:r>
          </w:p>
          <w:p w14:paraId="5C45352A"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pasākumus kvalitatīvas, atbilstīgas un iekļaujošas izglītības un apmācības nodrošināšanai un galveno kompetenču ieguvei visos līmeņos, tostarp augstākajā izglītībā; </w:t>
            </w:r>
          </w:p>
          <w:p w14:paraId="66156CEA"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t xml:space="preserve">koordinācijas mehānismus visos izglītības un apmācības līmeņos, tostarp terciārajā izglītībā, un skaidru pienākumu sadali starp attiecīgajām valsts un/vai reģionālajām struktūrām; </w:t>
            </w:r>
          </w:p>
          <w:p w14:paraId="5F0032FC"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t xml:space="preserve">stratēģiskās politikas satvara uzraudzības, novērtēšanas un pārskatīšanas kārtību; </w:t>
            </w:r>
          </w:p>
          <w:p w14:paraId="25B0CF8E"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t xml:space="preserve">pasākumus, kas vērsti uz mazprasmīgiem, mazkvalificētiem pieaugušajiem un pieaugušajiem ar nelabvēlīgu sociāli ekonomisko vidi, un prasmju pilnveides ceļu; </w:t>
            </w:r>
          </w:p>
          <w:p w14:paraId="0B17448B"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t>pasākumus, ar ko attiecībā uz piemērotām mācīšanās metodēm atbalsta skolotājus, pasniedzējus un akadēmiskos mācībspēkus, kā arī galveno kompetenču novērtējumu un apstiprinājumu;</w:t>
            </w:r>
          </w:p>
          <w:p w14:paraId="16AD46B0" w14:textId="77777777" w:rsidR="0030119C" w:rsidRPr="0030119C" w:rsidRDefault="0030119C" w:rsidP="000165BF">
            <w:pPr>
              <w:numPr>
                <w:ilvl w:val="0"/>
                <w:numId w:val="21"/>
              </w:numPr>
              <w:jc w:val="both"/>
              <w:rPr>
                <w:rFonts w:asciiTheme="minorHAnsi" w:hAnsiTheme="minorHAnsi" w:cstheme="minorHAnsi"/>
                <w:noProof/>
                <w:szCs w:val="24"/>
              </w:rPr>
            </w:pPr>
            <w:r w:rsidRPr="0030119C">
              <w:rPr>
                <w:rFonts w:asciiTheme="minorHAnsi" w:hAnsiTheme="minorHAnsi" w:cstheme="minorHAnsi"/>
                <w:noProof/>
                <w:szCs w:val="24"/>
              </w:rPr>
              <w:t xml:space="preserve">pasākumus, ar ko veicina audzēkņu un mācībspēku mobilitāti un izglītības un apmācības pakalpojumu sniedzēju </w:t>
            </w:r>
            <w:r w:rsidRPr="0030119C">
              <w:rPr>
                <w:rFonts w:asciiTheme="minorHAnsi" w:hAnsiTheme="minorHAnsi" w:cstheme="minorHAnsi"/>
                <w:noProof/>
                <w:szCs w:val="24"/>
              </w:rPr>
              <w:lastRenderedPageBreak/>
              <w:t>starptautisko sadarbību, tostarp atzīstot mācību rezultātus un kvalifikāciju.</w:t>
            </w:r>
          </w:p>
        </w:tc>
        <w:tc>
          <w:tcPr>
            <w:tcW w:w="3642" w:type="dxa"/>
            <w:tcBorders>
              <w:top w:val="single" w:sz="4" w:space="0" w:color="auto"/>
              <w:left w:val="single" w:sz="4" w:space="0" w:color="auto"/>
              <w:bottom w:val="single" w:sz="4" w:space="0" w:color="auto"/>
              <w:right w:val="single" w:sz="4" w:space="0" w:color="auto"/>
            </w:tcBorders>
            <w:hideMark/>
          </w:tcPr>
          <w:p w14:paraId="107D9EA3"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w:t>
            </w:r>
          </w:p>
        </w:tc>
      </w:tr>
      <w:tr w:rsidR="0030119C" w:rsidRPr="0030119C" w14:paraId="48A5BBA5" w14:textId="77777777" w:rsidTr="006B5EFD">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5BC76"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5E5BC1B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0124B62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4.3. Palielināt marginalizētu kopienu, migrantu un nelabvēlīgā situācijā esošo grupu sociāli ekonomisko integrāciju, izmantojot integrētus pasākumus, tostarp mājokļa un sociālo pakalpojumu jomā. </w:t>
            </w:r>
          </w:p>
          <w:p w14:paraId="786C89A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ESF</w:t>
            </w:r>
          </w:p>
          <w:p w14:paraId="76E987D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4.3.1</w:t>
            </w:r>
            <w:r w:rsidRPr="0030119C">
              <w:rPr>
                <w:rFonts w:asciiTheme="minorHAnsi" w:hAnsiTheme="minorHAnsi" w:cstheme="minorHAnsi"/>
                <w:noProof/>
                <w:szCs w:val="24"/>
              </w:rPr>
              <w:tab/>
              <w:t xml:space="preserve">Veicināt aktīvu iekļaušanu, tostarp lai veicinātu vienlīdzīgas iespējas un aktīvu līdzdalību un uzlabotu nodarbināmību </w:t>
            </w:r>
          </w:p>
          <w:p w14:paraId="780CFCB9" w14:textId="77777777" w:rsidR="0030119C" w:rsidRPr="0030119C" w:rsidRDefault="0030119C" w:rsidP="000165BF">
            <w:pPr>
              <w:jc w:val="both"/>
              <w:rPr>
                <w:rFonts w:asciiTheme="minorHAnsi" w:hAnsiTheme="minorHAnsi" w:cstheme="minorHAnsi"/>
                <w:noProof/>
                <w:szCs w:val="24"/>
              </w:rPr>
            </w:pPr>
          </w:p>
        </w:tc>
        <w:tc>
          <w:tcPr>
            <w:tcW w:w="2423" w:type="dxa"/>
            <w:tcBorders>
              <w:top w:val="single" w:sz="4" w:space="0" w:color="auto"/>
              <w:left w:val="single" w:sz="4" w:space="0" w:color="auto"/>
              <w:bottom w:val="single" w:sz="4" w:space="0" w:color="auto"/>
              <w:right w:val="single" w:sz="4" w:space="0" w:color="auto"/>
            </w:tcBorders>
            <w:hideMark/>
          </w:tcPr>
          <w:p w14:paraId="2548394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Valsts stratēģiskās politikas satvars sociālās iekļaušanas un nabadzības mazināšanas jomā</w:t>
            </w:r>
          </w:p>
        </w:tc>
        <w:tc>
          <w:tcPr>
            <w:tcW w:w="4941" w:type="dxa"/>
            <w:tcBorders>
              <w:top w:val="single" w:sz="4" w:space="0" w:color="auto"/>
              <w:left w:val="single" w:sz="4" w:space="0" w:color="auto"/>
              <w:bottom w:val="single" w:sz="4" w:space="0" w:color="auto"/>
              <w:right w:val="single" w:sz="4" w:space="0" w:color="auto"/>
            </w:tcBorders>
            <w:hideMark/>
          </w:tcPr>
          <w:p w14:paraId="5EC9F3D7"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stratēģiskās politikas satvars sociālās iekļaušanas un nabadzības mazināšanas jomā, un tas ietver:</w:t>
            </w:r>
          </w:p>
          <w:p w14:paraId="049C6EE7" w14:textId="77777777" w:rsidR="0030119C" w:rsidRPr="0030119C" w:rsidRDefault="0030119C" w:rsidP="000165BF">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uz pierādījumiem balstītus secinājumus par nabadzību un sociālo atstumtību, tostarp par bērnu nabadzību, bezpajumtniecību, teritoriālo un izglītības segregāciju, ierobežotu piekļuvi pamatpakalpojumiem un infrastruktūrai, un par neaizsargāto personu īpašajām vajadzībām;</w:t>
            </w:r>
          </w:p>
          <w:p w14:paraId="005747B3" w14:textId="77777777" w:rsidR="0030119C" w:rsidRPr="0030119C" w:rsidRDefault="0030119C" w:rsidP="000165BF">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pasākumus, ar ko novērš un apkaro segregāciju visās jomās, tostarp nodrošinot pienācīgu ienākumu atbalstu, un ietver iekļaujošu darba tirgu un piekļuvi kvalitatīviem pakalpojumiem, kas paredzēti neaizsargātām personām, tostarp migrantiem; </w:t>
            </w:r>
          </w:p>
          <w:p w14:paraId="2F663ED9" w14:textId="77777777" w:rsidR="0030119C" w:rsidRPr="0030119C" w:rsidRDefault="0030119C" w:rsidP="000165BF">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pasākumus pārejai no institucionālās aprūpes uz aprūpi vietējā kopienā;</w:t>
            </w:r>
          </w:p>
          <w:p w14:paraId="0085D3BE" w14:textId="77777777" w:rsidR="0030119C" w:rsidRPr="0030119C" w:rsidRDefault="0030119C" w:rsidP="000165BF">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kārtību, kādā nodrošina, ka tā izstrādi, īstenošanu, uzraudzību un pārskatīšanu veic ciešā sadarbībā ar </w:t>
            </w:r>
            <w:r w:rsidRPr="0030119C">
              <w:rPr>
                <w:rFonts w:asciiTheme="minorHAnsi" w:hAnsiTheme="minorHAnsi" w:cstheme="minorHAnsi"/>
                <w:noProof/>
                <w:szCs w:val="24"/>
              </w:rPr>
              <w:lastRenderedPageBreak/>
              <w:t>sociālajiem partneriem un attiecīgajām pilsoniskās sabiedrības organizācijām.</w:t>
            </w:r>
          </w:p>
        </w:tc>
        <w:tc>
          <w:tcPr>
            <w:tcW w:w="3642" w:type="dxa"/>
            <w:tcBorders>
              <w:top w:val="single" w:sz="4" w:space="0" w:color="auto"/>
              <w:left w:val="single" w:sz="4" w:space="0" w:color="auto"/>
              <w:bottom w:val="single" w:sz="4" w:space="0" w:color="auto"/>
              <w:right w:val="single" w:sz="4" w:space="0" w:color="auto"/>
            </w:tcBorders>
          </w:tcPr>
          <w:p w14:paraId="2918D7C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Plānā iekļautie nosacījumi enerģētiskās nabadzības mazināšanai</w:t>
            </w:r>
          </w:p>
          <w:p w14:paraId="391A7FCD" w14:textId="77777777" w:rsidR="0030119C" w:rsidRPr="0030119C" w:rsidRDefault="0030119C" w:rsidP="000165BF">
            <w:pPr>
              <w:jc w:val="both"/>
              <w:rPr>
                <w:rFonts w:asciiTheme="minorHAnsi" w:hAnsiTheme="minorHAnsi" w:cstheme="minorHAnsi"/>
                <w:noProof/>
                <w:szCs w:val="24"/>
              </w:rPr>
            </w:pPr>
          </w:p>
        </w:tc>
      </w:tr>
      <w:tr w:rsidR="0030119C" w:rsidRPr="0030119C" w14:paraId="4BD61C91" w14:textId="77777777" w:rsidTr="006B5EFD">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C74C6"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hideMark/>
          </w:tcPr>
          <w:p w14:paraId="73B87C8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ESF</w:t>
            </w:r>
          </w:p>
          <w:p w14:paraId="078D8A5B"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4.3.2</w:t>
            </w:r>
            <w:r w:rsidRPr="0030119C">
              <w:rPr>
                <w:rFonts w:asciiTheme="minorHAnsi" w:hAnsiTheme="minorHAnsi" w:cstheme="minorHAnsi"/>
                <w:noProof/>
                <w:szCs w:val="24"/>
              </w:rPr>
              <w:tab/>
              <w:t>Veicināt marginalizēto kopienu, piemēram, romu, sociālekonomisko integrāciju.</w:t>
            </w:r>
          </w:p>
        </w:tc>
        <w:tc>
          <w:tcPr>
            <w:tcW w:w="2423" w:type="dxa"/>
            <w:tcBorders>
              <w:top w:val="single" w:sz="4" w:space="0" w:color="auto"/>
              <w:left w:val="single" w:sz="4" w:space="0" w:color="auto"/>
              <w:bottom w:val="single" w:sz="4" w:space="0" w:color="auto"/>
              <w:right w:val="single" w:sz="4" w:space="0" w:color="auto"/>
            </w:tcBorders>
            <w:hideMark/>
          </w:tcPr>
          <w:p w14:paraId="5C0173B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Romu integrācijas valsts stratēģija</w:t>
            </w:r>
          </w:p>
        </w:tc>
        <w:tc>
          <w:tcPr>
            <w:tcW w:w="4941" w:type="dxa"/>
            <w:tcBorders>
              <w:top w:val="single" w:sz="4" w:space="0" w:color="auto"/>
              <w:left w:val="single" w:sz="4" w:space="0" w:color="auto"/>
              <w:bottom w:val="single" w:sz="4" w:space="0" w:color="auto"/>
              <w:right w:val="single" w:sz="4" w:space="0" w:color="auto"/>
            </w:tcBorders>
            <w:hideMark/>
          </w:tcPr>
          <w:p w14:paraId="3EC1F9B8" w14:textId="77777777" w:rsidR="0030119C" w:rsidRPr="0030119C" w:rsidRDefault="0030119C" w:rsidP="000165BF">
            <w:pPr>
              <w:jc w:val="both"/>
              <w:rPr>
                <w:rFonts w:asciiTheme="minorHAnsi" w:eastAsia="Times New Roman" w:hAnsiTheme="minorHAnsi" w:cstheme="minorHAnsi"/>
                <w:noProof/>
                <w:szCs w:val="24"/>
              </w:rPr>
            </w:pPr>
            <w:r w:rsidRPr="0030119C">
              <w:rPr>
                <w:rFonts w:asciiTheme="minorHAnsi" w:hAnsiTheme="minorHAnsi" w:cstheme="minorHAnsi"/>
                <w:noProof/>
                <w:szCs w:val="24"/>
              </w:rPr>
              <w:t>Ir sagatavota romu integrācijas valsts stratēģija (</w:t>
            </w:r>
            <w:r w:rsidRPr="0030119C">
              <w:rPr>
                <w:rFonts w:asciiTheme="minorHAnsi" w:hAnsiTheme="minorHAnsi" w:cstheme="minorHAnsi"/>
                <w:i/>
                <w:noProof/>
                <w:szCs w:val="24"/>
              </w:rPr>
              <w:t>NRIS</w:t>
            </w:r>
            <w:r w:rsidRPr="0030119C">
              <w:rPr>
                <w:rFonts w:asciiTheme="minorHAnsi" w:hAnsiTheme="minorHAnsi" w:cstheme="minorHAnsi"/>
                <w:noProof/>
                <w:szCs w:val="24"/>
              </w:rPr>
              <w:t>), kas ietver:</w:t>
            </w:r>
          </w:p>
          <w:p w14:paraId="3295DC70" w14:textId="77777777" w:rsidR="0030119C" w:rsidRPr="0030119C" w:rsidRDefault="0030119C" w:rsidP="000165BF">
            <w:pPr>
              <w:numPr>
                <w:ilvl w:val="0"/>
                <w:numId w:val="23"/>
              </w:numPr>
              <w:ind w:left="360"/>
              <w:jc w:val="both"/>
              <w:rPr>
                <w:rFonts w:asciiTheme="minorHAnsi" w:eastAsia="Times New Roman" w:hAnsiTheme="minorHAnsi" w:cstheme="minorHAnsi"/>
                <w:noProof/>
                <w:szCs w:val="24"/>
              </w:rPr>
            </w:pPr>
            <w:r w:rsidRPr="0030119C">
              <w:rPr>
                <w:rFonts w:asciiTheme="minorHAnsi" w:hAnsiTheme="minorHAnsi" w:cstheme="minorHAnsi"/>
                <w:noProof/>
                <w:szCs w:val="24"/>
              </w:rPr>
              <w:t>pasākumus romu integrācijas paātrināšanai, segregācijas novēršanai un izskaušanai, ņemot vērā dzimumu dimensiju un gados jauno romu stāvokli, un pasākumus, un pamatprasību noteikšanu, izmērāmus starpposma mērķus, un galamērķus;</w:t>
            </w:r>
          </w:p>
          <w:p w14:paraId="3A36914D" w14:textId="77777777" w:rsidR="0030119C" w:rsidRPr="0030119C" w:rsidRDefault="0030119C" w:rsidP="000165BF">
            <w:pPr>
              <w:numPr>
                <w:ilvl w:val="0"/>
                <w:numId w:val="23"/>
              </w:numPr>
              <w:ind w:left="360"/>
              <w:jc w:val="both"/>
              <w:rPr>
                <w:rFonts w:asciiTheme="minorHAnsi" w:hAnsiTheme="minorHAnsi" w:cstheme="minorHAnsi"/>
                <w:noProof/>
                <w:szCs w:val="24"/>
              </w:rPr>
            </w:pPr>
            <w:r w:rsidRPr="0030119C">
              <w:rPr>
                <w:rFonts w:asciiTheme="minorHAnsi" w:hAnsiTheme="minorHAnsi" w:cstheme="minorHAnsi"/>
                <w:noProof/>
                <w:szCs w:val="24"/>
              </w:rPr>
              <w:t>romu integrācijas pasākumu uzraudzības, novērtēšanas un pārskatīšanas kārtību;</w:t>
            </w:r>
          </w:p>
          <w:p w14:paraId="5A70FDEE" w14:textId="77777777" w:rsidR="0030119C" w:rsidRPr="0030119C" w:rsidRDefault="0030119C" w:rsidP="000165BF">
            <w:pPr>
              <w:numPr>
                <w:ilvl w:val="0"/>
                <w:numId w:val="23"/>
              </w:numPr>
              <w:ind w:left="360"/>
              <w:jc w:val="both"/>
              <w:rPr>
                <w:rFonts w:asciiTheme="minorHAnsi" w:eastAsia="Times New Roman" w:hAnsiTheme="minorHAnsi" w:cstheme="minorHAnsi"/>
                <w:noProof/>
                <w:szCs w:val="24"/>
              </w:rPr>
            </w:pPr>
            <w:r w:rsidRPr="0030119C">
              <w:rPr>
                <w:rFonts w:asciiTheme="minorHAnsi" w:hAnsiTheme="minorHAnsi" w:cstheme="minorHAnsi"/>
                <w:noProof/>
                <w:szCs w:val="24"/>
              </w:rPr>
              <w:t>kārtību romu iekļaušanas pasākumu integrēšanai reģionālajā un vietējā līmenī;</w:t>
            </w:r>
          </w:p>
          <w:p w14:paraId="3BCA6DD3" w14:textId="77777777" w:rsidR="0030119C" w:rsidRPr="0030119C" w:rsidRDefault="0030119C" w:rsidP="000165BF">
            <w:pPr>
              <w:numPr>
                <w:ilvl w:val="0"/>
                <w:numId w:val="23"/>
              </w:numPr>
              <w:ind w:left="360"/>
              <w:jc w:val="both"/>
              <w:rPr>
                <w:rFonts w:asciiTheme="minorHAnsi" w:eastAsia="Times New Roman" w:hAnsiTheme="minorHAnsi" w:cstheme="minorHAnsi"/>
                <w:noProof/>
                <w:szCs w:val="24"/>
              </w:rPr>
            </w:pPr>
            <w:r w:rsidRPr="0030119C">
              <w:rPr>
                <w:rFonts w:asciiTheme="minorHAnsi" w:hAnsiTheme="minorHAnsi" w:cstheme="minorHAnsi"/>
                <w:noProof/>
                <w:szCs w:val="24"/>
              </w:rPr>
              <w:t>kārtību, kādā nodrošina, ka tās izstrādi, īstenošanu, uzraudzību un pārskatīšanu veic ciešā sadarbībā ar romu pilsonisko sadarbību un visām citām ieinteresētajām personām, tostarp reģionālajā un vietējā līmenī.</w:t>
            </w:r>
          </w:p>
        </w:tc>
        <w:tc>
          <w:tcPr>
            <w:tcW w:w="3642" w:type="dxa"/>
            <w:tcBorders>
              <w:top w:val="single" w:sz="4" w:space="0" w:color="auto"/>
              <w:left w:val="single" w:sz="4" w:space="0" w:color="auto"/>
              <w:bottom w:val="single" w:sz="4" w:space="0" w:color="auto"/>
              <w:right w:val="single" w:sz="4" w:space="0" w:color="auto"/>
            </w:tcBorders>
            <w:hideMark/>
          </w:tcPr>
          <w:p w14:paraId="5FE413B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Neattiecas uz Plāna aptvērumu</w:t>
            </w:r>
          </w:p>
        </w:tc>
      </w:tr>
      <w:tr w:rsidR="0030119C" w:rsidRPr="0030119C" w14:paraId="66997E84" w14:textId="77777777" w:rsidTr="006B5EFD">
        <w:trPr>
          <w:trHeight w:val="1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2B785" w14:textId="77777777" w:rsidR="0030119C" w:rsidRPr="0030119C" w:rsidRDefault="0030119C" w:rsidP="000165BF">
            <w:pPr>
              <w:rPr>
                <w:rFonts w:asciiTheme="minorHAnsi" w:hAnsiTheme="minorHAnsi" w:cstheme="minorHAnsi"/>
                <w:b/>
                <w:noProof/>
                <w:szCs w:val="24"/>
              </w:rPr>
            </w:pPr>
          </w:p>
        </w:tc>
        <w:tc>
          <w:tcPr>
            <w:tcW w:w="2564" w:type="dxa"/>
            <w:tcBorders>
              <w:top w:val="single" w:sz="4" w:space="0" w:color="auto"/>
              <w:left w:val="single" w:sz="4" w:space="0" w:color="auto"/>
              <w:bottom w:val="single" w:sz="4" w:space="0" w:color="auto"/>
              <w:right w:val="single" w:sz="4" w:space="0" w:color="auto"/>
            </w:tcBorders>
          </w:tcPr>
          <w:p w14:paraId="1917692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322985C9"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4.4. nodrošināt vienādu piekļuvi veselības aprūpei, tostarp </w:t>
            </w:r>
            <w:r w:rsidRPr="0030119C">
              <w:rPr>
                <w:rFonts w:asciiTheme="minorHAnsi" w:hAnsiTheme="minorHAnsi" w:cstheme="minorHAnsi"/>
                <w:noProof/>
                <w:szCs w:val="24"/>
              </w:rPr>
              <w:lastRenderedPageBreak/>
              <w:t>primārajai aprūpei, attīstot infrastruktūru;</w:t>
            </w:r>
          </w:p>
          <w:p w14:paraId="7DFE4596" w14:textId="77777777" w:rsidR="0030119C" w:rsidRPr="0030119C" w:rsidRDefault="0030119C" w:rsidP="000165BF">
            <w:pPr>
              <w:jc w:val="both"/>
              <w:rPr>
                <w:rFonts w:asciiTheme="minorHAnsi" w:hAnsiTheme="minorHAnsi" w:cstheme="minorHAnsi"/>
                <w:noProof/>
                <w:szCs w:val="24"/>
              </w:rPr>
            </w:pPr>
          </w:p>
          <w:p w14:paraId="1EC075F8"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ESF</w:t>
            </w:r>
          </w:p>
          <w:p w14:paraId="587A62E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4.3.4.</w:t>
            </w:r>
            <w:r w:rsidRPr="0030119C">
              <w:rPr>
                <w:rFonts w:asciiTheme="minorHAnsi" w:hAnsiTheme="minorHAnsi" w:cstheme="minorHAnsi"/>
                <w:noProof/>
                <w:szCs w:val="24"/>
              </w:rPr>
              <w:tab/>
              <w:t>Uzlabot vienlīdzīgu un savlaicīgu piekļuvi kvalitatīviem, ilgtspējīgiem un izmaksu ziņā pieejamiem pakalpojumiem; uzlabot veselības aprūpes sistēmu pieejamību, efektivitāti un izturētspēju; uzlabot piekļuvi ilgtermiņa aprūpes pakalpojumiem.</w:t>
            </w:r>
          </w:p>
        </w:tc>
        <w:tc>
          <w:tcPr>
            <w:tcW w:w="2423" w:type="dxa"/>
            <w:tcBorders>
              <w:top w:val="single" w:sz="4" w:space="0" w:color="auto"/>
              <w:left w:val="single" w:sz="4" w:space="0" w:color="auto"/>
              <w:bottom w:val="single" w:sz="4" w:space="0" w:color="auto"/>
              <w:right w:val="single" w:sz="4" w:space="0" w:color="auto"/>
            </w:tcBorders>
            <w:hideMark/>
          </w:tcPr>
          <w:p w14:paraId="6A31913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Stratēģiskās politikas satvars veselības aizsardzības jomā </w:t>
            </w:r>
          </w:p>
        </w:tc>
        <w:tc>
          <w:tcPr>
            <w:tcW w:w="4941" w:type="dxa"/>
            <w:tcBorders>
              <w:top w:val="single" w:sz="4" w:space="0" w:color="auto"/>
              <w:left w:val="single" w:sz="4" w:space="0" w:color="auto"/>
              <w:bottom w:val="single" w:sz="4" w:space="0" w:color="auto"/>
              <w:right w:val="single" w:sz="4" w:space="0" w:color="auto"/>
            </w:tcBorders>
          </w:tcPr>
          <w:p w14:paraId="0A9C952B"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ieviests valsts vai reģionāls stratēģiskās politikas satvars veselības aizsardzības jomā, un tas ietver:</w:t>
            </w:r>
          </w:p>
          <w:p w14:paraId="34135037" w14:textId="77777777" w:rsidR="0030119C" w:rsidRPr="0030119C" w:rsidRDefault="0030119C" w:rsidP="000165BF">
            <w:pPr>
              <w:numPr>
                <w:ilvl w:val="0"/>
                <w:numId w:val="24"/>
              </w:num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veselības aprūpes un ilgtermiņa aprūpes vajadzību apzināšanu, tostarp attiecībā uz medicīnisko personālu, lai nodrošinātu ilgtspējīgus un saskaņotus pasākumus; </w:t>
            </w:r>
          </w:p>
          <w:p w14:paraId="63F90D4B" w14:textId="77777777" w:rsidR="0030119C" w:rsidRPr="0030119C" w:rsidRDefault="0030119C" w:rsidP="000165BF">
            <w:pPr>
              <w:numPr>
                <w:ilvl w:val="0"/>
                <w:numId w:val="24"/>
              </w:numPr>
              <w:jc w:val="both"/>
              <w:rPr>
                <w:rFonts w:asciiTheme="minorHAnsi" w:hAnsiTheme="minorHAnsi" w:cstheme="minorHAnsi"/>
                <w:noProof/>
                <w:szCs w:val="24"/>
              </w:rPr>
            </w:pPr>
            <w:r w:rsidRPr="0030119C">
              <w:rPr>
                <w:rFonts w:asciiTheme="minorHAnsi" w:hAnsiTheme="minorHAnsi" w:cstheme="minorHAnsi"/>
                <w:noProof/>
                <w:szCs w:val="24"/>
              </w:rPr>
              <w:t>pasākumus veselības aprūpes un ilgtermiņa aprūpes pakalpojumu efektivitātes, ilgtspējas, piekļūstamības un pieejamības cenas ziņā nodrošināšanai, tostarp īpašu uzmanību pievēršot personām, kuras ir atstumtas no veselības aprūpes un ilgtermiņa aprūpes sistēmām;</w:t>
            </w:r>
          </w:p>
          <w:p w14:paraId="647FE2BE" w14:textId="77777777" w:rsidR="0030119C" w:rsidRPr="0030119C" w:rsidRDefault="0030119C" w:rsidP="000165BF">
            <w:pPr>
              <w:numPr>
                <w:ilvl w:val="0"/>
                <w:numId w:val="24"/>
              </w:numPr>
              <w:jc w:val="both"/>
              <w:rPr>
                <w:rFonts w:asciiTheme="minorHAnsi" w:hAnsiTheme="minorHAnsi" w:cstheme="minorHAnsi"/>
                <w:noProof/>
                <w:szCs w:val="24"/>
              </w:rPr>
            </w:pPr>
            <w:r w:rsidRPr="0030119C">
              <w:rPr>
                <w:rFonts w:asciiTheme="minorHAnsi" w:hAnsiTheme="minorHAnsi" w:cstheme="minorHAnsi"/>
                <w:noProof/>
                <w:szCs w:val="24"/>
              </w:rPr>
              <w:t>pasākumus, kas veicina pakalpojumu sniegšanu vietējā kopienā, tostarp profilakses un primārās veselības aprūpes pakalpojumus, aprūpi mājās un pakalpojumus vietējā kopienā.</w:t>
            </w:r>
          </w:p>
          <w:p w14:paraId="192A6D77" w14:textId="77777777" w:rsidR="0030119C" w:rsidRPr="0030119C" w:rsidRDefault="0030119C" w:rsidP="000165BF">
            <w:pPr>
              <w:jc w:val="both"/>
              <w:rPr>
                <w:rFonts w:asciiTheme="minorHAnsi" w:hAnsiTheme="minorHAnsi" w:cstheme="minorHAnsi"/>
                <w:noProof/>
                <w:szCs w:val="24"/>
              </w:rPr>
            </w:pPr>
          </w:p>
        </w:tc>
        <w:tc>
          <w:tcPr>
            <w:tcW w:w="3642" w:type="dxa"/>
            <w:tcBorders>
              <w:top w:val="single" w:sz="4" w:space="0" w:color="auto"/>
              <w:left w:val="single" w:sz="4" w:space="0" w:color="auto"/>
              <w:bottom w:val="single" w:sz="4" w:space="0" w:color="auto"/>
              <w:right w:val="single" w:sz="4" w:space="0" w:color="auto"/>
            </w:tcBorders>
            <w:hideMark/>
          </w:tcPr>
          <w:p w14:paraId="0BB62AED"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Neattiecas uz Plāna aptvērumu</w:t>
            </w:r>
          </w:p>
        </w:tc>
      </w:tr>
    </w:tbl>
    <w:p w14:paraId="5F855675" w14:textId="77777777" w:rsidR="000165BF" w:rsidRDefault="000165BF" w:rsidP="000165BF">
      <w:pPr>
        <w:tabs>
          <w:tab w:val="left" w:pos="7230"/>
        </w:tabs>
        <w:jc w:val="both"/>
        <w:rPr>
          <w:sz w:val="28"/>
          <w:szCs w:val="28"/>
        </w:rPr>
      </w:pPr>
    </w:p>
    <w:p w14:paraId="76A6F2EA" w14:textId="5B08111C" w:rsidR="000165BF" w:rsidRDefault="000165BF" w:rsidP="000165BF">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1492E27A" w14:textId="77777777" w:rsidR="000165BF" w:rsidRDefault="000165BF" w:rsidP="000165BF">
      <w:pPr>
        <w:tabs>
          <w:tab w:val="left" w:pos="7230"/>
        </w:tabs>
        <w:rPr>
          <w:sz w:val="28"/>
          <w:szCs w:val="28"/>
        </w:rPr>
      </w:pPr>
    </w:p>
    <w:p w14:paraId="34EAD514" w14:textId="1952B267" w:rsidR="00D82336" w:rsidRPr="0030119C" w:rsidRDefault="000165BF" w:rsidP="000165BF">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D82336" w:rsidRPr="0030119C" w:rsidSect="000165BF">
      <w:headerReference w:type="default" r:id="rId7"/>
      <w:footerReference w:type="default" r:id="rId8"/>
      <w:footerReference w:type="first" r:id="rId9"/>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61863" w14:textId="77777777" w:rsidR="0030119C" w:rsidRDefault="0030119C" w:rsidP="0030119C">
      <w:pPr>
        <w:spacing w:after="0" w:line="240" w:lineRule="auto"/>
      </w:pPr>
      <w:r>
        <w:separator/>
      </w:r>
    </w:p>
  </w:endnote>
  <w:endnote w:type="continuationSeparator" w:id="0">
    <w:p w14:paraId="487F7092" w14:textId="77777777" w:rsidR="0030119C" w:rsidRDefault="0030119C" w:rsidP="0030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BEA4" w14:textId="1621B230" w:rsidR="0030119C" w:rsidRPr="00B66CC3" w:rsidRDefault="0030119C">
    <w:pPr>
      <w:pStyle w:val="Footer"/>
      <w:rPr>
        <w:sz w:val="20"/>
        <w:szCs w:val="20"/>
      </w:rPr>
    </w:pPr>
    <w:r w:rsidRPr="00B66CC3">
      <w:rPr>
        <w:sz w:val="20"/>
        <w:szCs w:val="20"/>
      </w:rPr>
      <w:fldChar w:fldCharType="begin"/>
    </w:r>
    <w:r w:rsidRPr="00B66CC3">
      <w:rPr>
        <w:sz w:val="20"/>
        <w:szCs w:val="20"/>
      </w:rPr>
      <w:instrText xml:space="preserve"> FILENAME   \* MERGEFORMAT </w:instrText>
    </w:r>
    <w:r w:rsidRPr="00B66CC3">
      <w:rPr>
        <w:sz w:val="20"/>
        <w:szCs w:val="20"/>
      </w:rPr>
      <w:fldChar w:fldCharType="separate"/>
    </w:r>
    <w:r w:rsidR="00B678AF">
      <w:rPr>
        <w:noProof/>
        <w:sz w:val="20"/>
        <w:szCs w:val="20"/>
      </w:rPr>
      <w:t>EMp2_11112019_NEKP2030.docx</w:t>
    </w:r>
    <w:r w:rsidRPr="00B66CC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E1DD" w14:textId="3D4AC4B3" w:rsidR="00B66CC3" w:rsidRPr="00B66CC3" w:rsidRDefault="00B66CC3">
    <w:pPr>
      <w:pStyle w:val="Footer"/>
      <w:rPr>
        <w:sz w:val="20"/>
        <w:szCs w:val="20"/>
      </w:rPr>
    </w:pPr>
    <w:r w:rsidRPr="00B66CC3">
      <w:rPr>
        <w:sz w:val="20"/>
        <w:szCs w:val="20"/>
      </w:rPr>
      <w:fldChar w:fldCharType="begin"/>
    </w:r>
    <w:r w:rsidRPr="00B66CC3">
      <w:rPr>
        <w:sz w:val="20"/>
        <w:szCs w:val="20"/>
      </w:rPr>
      <w:instrText xml:space="preserve"> FILENAME   \* MERGEFORMAT </w:instrText>
    </w:r>
    <w:r w:rsidRPr="00B66CC3">
      <w:rPr>
        <w:sz w:val="20"/>
        <w:szCs w:val="20"/>
      </w:rPr>
      <w:fldChar w:fldCharType="separate"/>
    </w:r>
    <w:r w:rsidR="00B678AF">
      <w:rPr>
        <w:noProof/>
        <w:sz w:val="20"/>
        <w:szCs w:val="20"/>
      </w:rPr>
      <w:t>EMp2_11112019_NEKP2030.docx</w:t>
    </w:r>
    <w:r w:rsidRPr="00B66CC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20DB" w14:textId="77777777" w:rsidR="0030119C" w:rsidRDefault="0030119C" w:rsidP="0030119C">
      <w:pPr>
        <w:spacing w:after="0" w:line="240" w:lineRule="auto"/>
      </w:pPr>
      <w:r>
        <w:separator/>
      </w:r>
    </w:p>
  </w:footnote>
  <w:footnote w:type="continuationSeparator" w:id="0">
    <w:p w14:paraId="2E00B5EC" w14:textId="77777777" w:rsidR="0030119C" w:rsidRDefault="0030119C" w:rsidP="0030119C">
      <w:pPr>
        <w:spacing w:after="0" w:line="240" w:lineRule="auto"/>
      </w:pPr>
      <w:r>
        <w:continuationSeparator/>
      </w:r>
    </w:p>
  </w:footnote>
  <w:footnote w:id="1">
    <w:p w14:paraId="4A8FCA76" w14:textId="77777777" w:rsidR="0030119C" w:rsidRPr="0030119C" w:rsidRDefault="0030119C" w:rsidP="0030119C">
      <w:pPr>
        <w:pStyle w:val="FootnoteText"/>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 xml:space="preserve"> Priekšlikums Eiropas Parlamenta un Padomes Regulai par Eiropas Reģionālās attīstības fondu un Kohēzijas fondu, kā arī ieviešanas priekšnosacījumus</w:t>
      </w:r>
    </w:p>
    <w:p w14:paraId="0956E371" w14:textId="77777777" w:rsidR="0030119C" w:rsidRPr="0030119C" w:rsidRDefault="0030119C" w:rsidP="0030119C">
      <w:pPr>
        <w:pStyle w:val="FootnoteText"/>
        <w:rPr>
          <w:rFonts w:asciiTheme="minorHAnsi" w:hAnsiTheme="minorHAnsi" w:cstheme="minorHAnsi"/>
        </w:rPr>
      </w:pPr>
      <w:r w:rsidRPr="0030119C">
        <w:rPr>
          <w:rFonts w:asciiTheme="minorHAnsi" w:hAnsiTheme="minorHAnsi" w:cstheme="minorHAnsi"/>
        </w:rPr>
        <w:t>Priekšlikums Eiropas Parlamenta un Padomes Regulai,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p w14:paraId="65601FF8" w14:textId="77777777" w:rsidR="0030119C" w:rsidRPr="0030119C" w:rsidRDefault="0030119C" w:rsidP="0030119C">
      <w:pPr>
        <w:pStyle w:val="FootnoteText"/>
        <w:rPr>
          <w:rFonts w:asciiTheme="minorHAnsi" w:hAnsiTheme="minorHAnsi" w:cstheme="minorHAnsi"/>
        </w:rPr>
      </w:pPr>
      <w:r w:rsidRPr="0030119C">
        <w:rPr>
          <w:rFonts w:asciiTheme="minorHAnsi" w:hAnsiTheme="minorHAnsi" w:cstheme="minorHAnsi"/>
        </w:rPr>
        <w:t>Vienošanās par rādītāju sarakstu vēl nav panākta, tāpēc iespējams tie var būtiski mainīties</w:t>
      </w:r>
    </w:p>
  </w:footnote>
  <w:footnote w:id="2">
    <w:p w14:paraId="33B75698" w14:textId="77777777" w:rsidR="0030119C" w:rsidRPr="0030119C" w:rsidRDefault="0030119C" w:rsidP="0030119C">
      <w:pPr>
        <w:pStyle w:val="FootnoteText"/>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 xml:space="preserve"> Rezultātu mērvienības kā Plāna projektā noteikts</w:t>
      </w:r>
    </w:p>
  </w:footnote>
  <w:footnote w:id="3">
    <w:p w14:paraId="1B81D578" w14:textId="77777777" w:rsidR="0030119C" w:rsidRPr="0030119C" w:rsidRDefault="0030119C" w:rsidP="0030119C">
      <w:pPr>
        <w:pStyle w:val="FootnoteText"/>
        <w:ind w:left="480" w:hanging="480"/>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 xml:space="preserve"> RKR: Reģionālās politikas kopīgais rezultātu rādītājs.</w:t>
      </w:r>
    </w:p>
  </w:footnote>
  <w:footnote w:id="4">
    <w:p w14:paraId="5EE724AC" w14:textId="77777777" w:rsidR="0030119C" w:rsidRPr="0030119C" w:rsidRDefault="0030119C" w:rsidP="0030119C">
      <w:pPr>
        <w:pStyle w:val="FootnoteText"/>
        <w:rPr>
          <w:rFonts w:asciiTheme="minorHAnsi" w:hAnsiTheme="minorHAnsi" w:cstheme="minorHAnsi"/>
          <w:sz w:val="20"/>
          <w:szCs w:val="20"/>
        </w:rPr>
      </w:pPr>
      <w:r w:rsidRPr="0030119C">
        <w:rPr>
          <w:rStyle w:val="FootnoteReference"/>
          <w:rFonts w:asciiTheme="minorHAnsi" w:hAnsiTheme="minorHAnsi" w:cstheme="minorHAnsi"/>
        </w:rPr>
        <w:footnoteRef/>
      </w:r>
      <w:r w:rsidRPr="0030119C">
        <w:rPr>
          <w:rFonts w:asciiTheme="minorHAnsi" w:hAnsiTheme="minorHAnsi" w:cstheme="minorHAnsi"/>
        </w:rPr>
        <w:tab/>
        <w:t>OV [vēl nav pieņemta].</w:t>
      </w:r>
    </w:p>
  </w:footnote>
  <w:footnote w:id="5">
    <w:p w14:paraId="6476D0A5" w14:textId="77777777" w:rsidR="0030119C" w:rsidRPr="0030119C" w:rsidRDefault="0030119C" w:rsidP="0030119C">
      <w:pPr>
        <w:pStyle w:val="FootnoteText"/>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 xml:space="preserve"> </w:t>
      </w:r>
      <w:r w:rsidRPr="0030119C">
        <w:rPr>
          <w:rFonts w:asciiTheme="minorHAnsi" w:hAnsiTheme="minorHAnsi" w:cstheme="minorHAnsi"/>
        </w:rPr>
        <w:tab/>
        <w:t>OV [vēl nav pieņemta].</w:t>
      </w:r>
    </w:p>
  </w:footnote>
  <w:footnote w:id="6">
    <w:p w14:paraId="3D2F34F1" w14:textId="77777777" w:rsidR="0030119C" w:rsidRPr="0030119C" w:rsidRDefault="0030119C" w:rsidP="0030119C">
      <w:pPr>
        <w:pStyle w:val="FootnoteText"/>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ab/>
        <w:t xml:space="preserve">Kā novērtēts riska pārvaldības spēju </w:t>
      </w:r>
      <w:proofErr w:type="spellStart"/>
      <w:r w:rsidRPr="0030119C">
        <w:rPr>
          <w:rFonts w:asciiTheme="minorHAnsi" w:hAnsiTheme="minorHAnsi" w:cstheme="minorHAnsi"/>
        </w:rPr>
        <w:t>izvērtējumā</w:t>
      </w:r>
      <w:proofErr w:type="spellEnd"/>
      <w:r w:rsidRPr="0030119C">
        <w:rPr>
          <w:rFonts w:asciiTheme="minorHAnsi" w:hAnsiTheme="minorHAnsi" w:cstheme="minorHAnsi"/>
        </w:rPr>
        <w:t>, kas prasīts Lēmuma Nr. 1313/2013 6. panta c) punktā.</w:t>
      </w:r>
    </w:p>
  </w:footnote>
  <w:footnote w:id="7">
    <w:p w14:paraId="570EC3B6" w14:textId="77777777" w:rsidR="0030119C" w:rsidRPr="0030119C" w:rsidRDefault="0030119C" w:rsidP="0030119C">
      <w:pPr>
        <w:pStyle w:val="FootnoteText"/>
        <w:rPr>
          <w:rFonts w:asciiTheme="minorHAnsi" w:hAnsiTheme="minorHAnsi" w:cstheme="minorHAnsi"/>
          <w:sz w:val="20"/>
          <w:szCs w:val="20"/>
        </w:rPr>
      </w:pPr>
      <w:r w:rsidRPr="0030119C">
        <w:rPr>
          <w:rStyle w:val="FootnoteReference"/>
          <w:rFonts w:asciiTheme="minorHAnsi" w:hAnsiTheme="minorHAnsi" w:cstheme="minorHAnsi"/>
        </w:rPr>
        <w:footnoteRef/>
      </w:r>
      <w:r w:rsidRPr="0030119C">
        <w:rPr>
          <w:rFonts w:asciiTheme="minorHAnsi" w:hAnsiTheme="minorHAnsi" w:cstheme="minorHAnsi"/>
        </w:rPr>
        <w:tab/>
        <w:t>Kā noteikts Eiropas Komisijas paziņojumā: “Virzība uz Eiropas Gigabitu sabiedrību”, COM(2016)587, https://ec.europa.eu/digital-single-market/en/policies/improving-connectivity-and-access.</w:t>
      </w:r>
    </w:p>
  </w:footnote>
  <w:footnote w:id="8">
    <w:p w14:paraId="6C7705DD" w14:textId="77777777" w:rsidR="0030119C" w:rsidRPr="0030119C" w:rsidRDefault="0030119C" w:rsidP="0030119C">
      <w:pPr>
        <w:pStyle w:val="FootnoteText"/>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 xml:space="preserve"> Saskaņā ar 22. pantu [priekšlikumā] Eiropas Parlamenta un Padomes direktīvai par Eiropas elektronisko sakaru kodeksa izveidi.</w:t>
      </w:r>
    </w:p>
  </w:footnote>
  <w:footnote w:id="9">
    <w:p w14:paraId="2D28ECF1" w14:textId="77777777" w:rsidR="0030119C" w:rsidRPr="0030119C" w:rsidRDefault="0030119C" w:rsidP="0030119C">
      <w:pPr>
        <w:pStyle w:val="FootnoteText"/>
        <w:rPr>
          <w:rFonts w:asciiTheme="minorHAnsi" w:hAnsiTheme="minorHAnsi" w:cstheme="minorHAnsi"/>
        </w:rPr>
      </w:pPr>
      <w:r w:rsidRPr="0030119C">
        <w:rPr>
          <w:rStyle w:val="FootnoteReference"/>
          <w:rFonts w:asciiTheme="minorHAnsi" w:hAnsiTheme="minorHAnsi" w:cstheme="minorHAnsi"/>
        </w:rPr>
        <w:footnoteRef/>
      </w:r>
      <w:r w:rsidRPr="0030119C">
        <w:rPr>
          <w:rFonts w:asciiTheme="minorHAnsi" w:hAnsiTheme="minorHAnsi" w:cstheme="minorHAnsi"/>
        </w:rPr>
        <w:t xml:space="preserve"> Direktīva 2014/61/ES.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265099"/>
      <w:docPartObj>
        <w:docPartGallery w:val="Page Numbers (Top of Page)"/>
        <w:docPartUnique/>
      </w:docPartObj>
    </w:sdtPr>
    <w:sdtEndPr>
      <w:rPr>
        <w:noProof/>
      </w:rPr>
    </w:sdtEndPr>
    <w:sdtContent>
      <w:p w14:paraId="320435F1" w14:textId="77777777" w:rsidR="0030119C" w:rsidRDefault="003011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963E62" w14:textId="77777777" w:rsidR="0030119C" w:rsidRDefault="0030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26D"/>
    <w:multiLevelType w:val="hybridMultilevel"/>
    <w:tmpl w:val="3404C7C2"/>
    <w:lvl w:ilvl="0" w:tplc="0809000F">
      <w:start w:val="1"/>
      <w:numFmt w:val="decimal"/>
      <w:lvlText w:val="%1."/>
      <w:lvlJc w:val="left"/>
      <w:pPr>
        <w:ind w:left="816" w:hanging="360"/>
      </w:pPr>
    </w:lvl>
    <w:lvl w:ilvl="1" w:tplc="08090019">
      <w:start w:val="1"/>
      <w:numFmt w:val="lowerLetter"/>
      <w:lvlText w:val="%2."/>
      <w:lvlJc w:val="left"/>
      <w:pPr>
        <w:ind w:left="1536" w:hanging="360"/>
      </w:pPr>
    </w:lvl>
    <w:lvl w:ilvl="2" w:tplc="0809001B">
      <w:start w:val="1"/>
      <w:numFmt w:val="lowerRoman"/>
      <w:lvlText w:val="%3."/>
      <w:lvlJc w:val="right"/>
      <w:pPr>
        <w:ind w:left="2256" w:hanging="180"/>
      </w:pPr>
    </w:lvl>
    <w:lvl w:ilvl="3" w:tplc="0809000F">
      <w:start w:val="1"/>
      <w:numFmt w:val="decimal"/>
      <w:lvlText w:val="%4."/>
      <w:lvlJc w:val="left"/>
      <w:pPr>
        <w:ind w:left="2976" w:hanging="360"/>
      </w:pPr>
    </w:lvl>
    <w:lvl w:ilvl="4" w:tplc="08090019">
      <w:start w:val="1"/>
      <w:numFmt w:val="lowerLetter"/>
      <w:lvlText w:val="%5."/>
      <w:lvlJc w:val="left"/>
      <w:pPr>
        <w:ind w:left="3696" w:hanging="360"/>
      </w:pPr>
    </w:lvl>
    <w:lvl w:ilvl="5" w:tplc="0809001B">
      <w:start w:val="1"/>
      <w:numFmt w:val="lowerRoman"/>
      <w:lvlText w:val="%6."/>
      <w:lvlJc w:val="right"/>
      <w:pPr>
        <w:ind w:left="4416" w:hanging="180"/>
      </w:pPr>
    </w:lvl>
    <w:lvl w:ilvl="6" w:tplc="0809000F">
      <w:start w:val="1"/>
      <w:numFmt w:val="decimal"/>
      <w:lvlText w:val="%7."/>
      <w:lvlJc w:val="left"/>
      <w:pPr>
        <w:ind w:left="5136" w:hanging="360"/>
      </w:pPr>
    </w:lvl>
    <w:lvl w:ilvl="7" w:tplc="08090019">
      <w:start w:val="1"/>
      <w:numFmt w:val="lowerLetter"/>
      <w:lvlText w:val="%8."/>
      <w:lvlJc w:val="left"/>
      <w:pPr>
        <w:ind w:left="5856" w:hanging="360"/>
      </w:pPr>
    </w:lvl>
    <w:lvl w:ilvl="8" w:tplc="0809001B">
      <w:start w:val="1"/>
      <w:numFmt w:val="lowerRoman"/>
      <w:lvlText w:val="%9."/>
      <w:lvlJc w:val="right"/>
      <w:pPr>
        <w:ind w:left="6576" w:hanging="180"/>
      </w:pPr>
    </w:lvl>
  </w:abstractNum>
  <w:abstractNum w:abstractNumId="1" w15:restartNumberingAfterBreak="0">
    <w:nsid w:val="0C9E2AB3"/>
    <w:multiLevelType w:val="hybridMultilevel"/>
    <w:tmpl w:val="C54C770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E771D3"/>
    <w:multiLevelType w:val="hybridMultilevel"/>
    <w:tmpl w:val="F3A6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314C35"/>
    <w:multiLevelType w:val="hybridMultilevel"/>
    <w:tmpl w:val="BF42F0B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D0906"/>
    <w:multiLevelType w:val="hybridMultilevel"/>
    <w:tmpl w:val="A1B4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3A20A7"/>
    <w:multiLevelType w:val="hybridMultilevel"/>
    <w:tmpl w:val="E21CE0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B04906"/>
    <w:multiLevelType w:val="hybridMultilevel"/>
    <w:tmpl w:val="5914D6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31208A"/>
    <w:multiLevelType w:val="hybridMultilevel"/>
    <w:tmpl w:val="E180A65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E90ECC"/>
    <w:multiLevelType w:val="hybridMultilevel"/>
    <w:tmpl w:val="AC9082F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3" w15:restartNumberingAfterBreak="0">
    <w:nsid w:val="573A2723"/>
    <w:multiLevelType w:val="hybridMultilevel"/>
    <w:tmpl w:val="68C4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611FD6"/>
    <w:multiLevelType w:val="hybridMultilevel"/>
    <w:tmpl w:val="23A24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12042E6"/>
    <w:multiLevelType w:val="hybridMultilevel"/>
    <w:tmpl w:val="73DE6D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B351DD8"/>
    <w:multiLevelType w:val="hybridMultilevel"/>
    <w:tmpl w:val="518E0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5A6D18"/>
    <w:multiLevelType w:val="hybridMultilevel"/>
    <w:tmpl w:val="DC2E63D0"/>
    <w:lvl w:ilvl="0" w:tplc="0809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E712280"/>
    <w:multiLevelType w:val="hybridMultilevel"/>
    <w:tmpl w:val="7A68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B84B18"/>
    <w:multiLevelType w:val="hybridMultilevel"/>
    <w:tmpl w:val="17AEC9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643DD8"/>
    <w:multiLevelType w:val="hybridMultilevel"/>
    <w:tmpl w:val="74F2F21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461830"/>
    <w:multiLevelType w:val="hybridMultilevel"/>
    <w:tmpl w:val="1FAEB8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B244A1"/>
    <w:multiLevelType w:val="hybridMultilevel"/>
    <w:tmpl w:val="4BE2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575BDE"/>
    <w:multiLevelType w:val="hybridMultilevel"/>
    <w:tmpl w:val="3F8673A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4C5FC9"/>
    <w:multiLevelType w:val="hybridMultilevel"/>
    <w:tmpl w:val="F24AB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8"/>
  </w:num>
  <w:num w:numId="6">
    <w:abstractNumId w:val="13"/>
  </w:num>
  <w:num w:numId="7">
    <w:abstractNumId w:val="3"/>
  </w:num>
  <w:num w:numId="8">
    <w:abstractNumId w:val="6"/>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9C"/>
    <w:rsid w:val="000165BF"/>
    <w:rsid w:val="0030119C"/>
    <w:rsid w:val="00532C12"/>
    <w:rsid w:val="00631A9D"/>
    <w:rsid w:val="0074294E"/>
    <w:rsid w:val="00873CDE"/>
    <w:rsid w:val="00A24279"/>
    <w:rsid w:val="00B573BB"/>
    <w:rsid w:val="00B66CC3"/>
    <w:rsid w:val="00B678AF"/>
    <w:rsid w:val="00DE1A2E"/>
    <w:rsid w:val="00E8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5409"/>
  <w15:chartTrackingRefBased/>
  <w15:docId w15:val="{A296FD85-EC41-4AE4-A9C9-F624B63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9C"/>
    <w:rPr>
      <w:sz w:val="24"/>
    </w:rPr>
  </w:style>
  <w:style w:type="paragraph" w:styleId="Heading1">
    <w:name w:val="heading 1"/>
    <w:basedOn w:val="Normal"/>
    <w:next w:val="Normal"/>
    <w:link w:val="Heading1Char"/>
    <w:uiPriority w:val="9"/>
    <w:qFormat/>
    <w:rsid w:val="0030119C"/>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30119C"/>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30119C"/>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30119C"/>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9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30119C"/>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30119C"/>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30119C"/>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30119C"/>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30119C"/>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30119C"/>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30119C"/>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0119C"/>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30119C"/>
    <w:rPr>
      <w:sz w:val="24"/>
    </w:rPr>
  </w:style>
  <w:style w:type="character" w:customStyle="1" w:styleId="VirsrkastsOtraisRakstz">
    <w:name w:val="Virsrkasts Otrais Rakstz."/>
    <w:basedOn w:val="DefaultParagraphFont"/>
    <w:link w:val="VirsrkastsOtrais"/>
    <w:locked/>
    <w:rsid w:val="0030119C"/>
    <w:rPr>
      <w:rFonts w:ascii="Cambria" w:hAnsi="Cambria"/>
      <w:b/>
      <w:sz w:val="28"/>
      <w:szCs w:val="28"/>
      <w:lang w:val="x-none"/>
    </w:rPr>
  </w:style>
  <w:style w:type="paragraph" w:customStyle="1" w:styleId="VirsrkastsOtrais">
    <w:name w:val="Virsrkasts Otrais"/>
    <w:basedOn w:val="ListParagraph"/>
    <w:link w:val="VirsrkastsOtraisRakstz"/>
    <w:qFormat/>
    <w:rsid w:val="0030119C"/>
    <w:pPr>
      <w:numPr>
        <w:ilvl w:val="1"/>
        <w:numId w:val="2"/>
      </w:numPr>
      <w:spacing w:after="0" w:line="240" w:lineRule="auto"/>
    </w:pPr>
    <w:rPr>
      <w:rFonts w:ascii="Cambria" w:hAnsi="Cambria"/>
      <w:b/>
      <w:sz w:val="28"/>
      <w:szCs w:val="28"/>
      <w:lang w:val="x-none"/>
    </w:rPr>
  </w:style>
  <w:style w:type="table" w:customStyle="1" w:styleId="TableGrid2">
    <w:name w:val="Table Grid2"/>
    <w:basedOn w:val="TableNormal"/>
    <w:next w:val="TableGrid"/>
    <w:uiPriority w:val="59"/>
    <w:rsid w:val="0030119C"/>
    <w:pPr>
      <w:spacing w:after="0" w:line="240" w:lineRule="auto"/>
    </w:pPr>
    <w:rPr>
      <w:rFonts w:ascii="Calibri" w:eastAsia="Calibri" w:hAnsi="Calibri" w:cs="Times New Roman"/>
      <w:lang w:eastAsia="lv-LV" w:bidi="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19C"/>
    <w:rPr>
      <w:sz w:val="24"/>
    </w:rPr>
  </w:style>
  <w:style w:type="paragraph" w:styleId="Footer">
    <w:name w:val="footer"/>
    <w:basedOn w:val="Normal"/>
    <w:link w:val="FooterChar"/>
    <w:uiPriority w:val="99"/>
    <w:unhideWhenUsed/>
    <w:rsid w:val="00301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9C"/>
    <w:rPr>
      <w:sz w:val="24"/>
    </w:rPr>
  </w:style>
  <w:style w:type="character" w:styleId="CommentReference">
    <w:name w:val="annotation reference"/>
    <w:basedOn w:val="DefaultParagraphFont"/>
    <w:uiPriority w:val="99"/>
    <w:semiHidden/>
    <w:unhideWhenUsed/>
    <w:rsid w:val="0074294E"/>
    <w:rPr>
      <w:sz w:val="16"/>
      <w:szCs w:val="16"/>
    </w:rPr>
  </w:style>
  <w:style w:type="paragraph" w:styleId="CommentText">
    <w:name w:val="annotation text"/>
    <w:basedOn w:val="Normal"/>
    <w:link w:val="CommentTextChar"/>
    <w:uiPriority w:val="99"/>
    <w:semiHidden/>
    <w:unhideWhenUsed/>
    <w:rsid w:val="0074294E"/>
    <w:pPr>
      <w:spacing w:line="240" w:lineRule="auto"/>
    </w:pPr>
    <w:rPr>
      <w:sz w:val="20"/>
      <w:szCs w:val="20"/>
    </w:rPr>
  </w:style>
  <w:style w:type="character" w:customStyle="1" w:styleId="CommentTextChar">
    <w:name w:val="Comment Text Char"/>
    <w:basedOn w:val="DefaultParagraphFont"/>
    <w:link w:val="CommentText"/>
    <w:uiPriority w:val="99"/>
    <w:semiHidden/>
    <w:rsid w:val="0074294E"/>
    <w:rPr>
      <w:sz w:val="20"/>
      <w:szCs w:val="20"/>
    </w:rPr>
  </w:style>
  <w:style w:type="paragraph" w:styleId="CommentSubject">
    <w:name w:val="annotation subject"/>
    <w:basedOn w:val="CommentText"/>
    <w:next w:val="CommentText"/>
    <w:link w:val="CommentSubjectChar"/>
    <w:uiPriority w:val="99"/>
    <w:semiHidden/>
    <w:unhideWhenUsed/>
    <w:rsid w:val="0074294E"/>
    <w:rPr>
      <w:b/>
      <w:bCs/>
    </w:rPr>
  </w:style>
  <w:style w:type="character" w:customStyle="1" w:styleId="CommentSubjectChar">
    <w:name w:val="Comment Subject Char"/>
    <w:basedOn w:val="CommentTextChar"/>
    <w:link w:val="CommentSubject"/>
    <w:uiPriority w:val="99"/>
    <w:semiHidden/>
    <w:rsid w:val="0074294E"/>
    <w:rPr>
      <w:b/>
      <w:bCs/>
      <w:sz w:val="20"/>
      <w:szCs w:val="20"/>
    </w:rPr>
  </w:style>
  <w:style w:type="paragraph" w:styleId="BalloonText">
    <w:name w:val="Balloon Text"/>
    <w:basedOn w:val="Normal"/>
    <w:link w:val="BalloonTextChar"/>
    <w:uiPriority w:val="99"/>
    <w:semiHidden/>
    <w:unhideWhenUsed/>
    <w:rsid w:val="0074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17215</Words>
  <Characters>9813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dc:title>
  <dc:subject/>
  <dc:creator>Helēna Rimša</dc:creator>
  <cp:keywords/>
  <dc:description>Helena.Rimsa@em.gov.lv, 67013244</dc:description>
  <cp:lastModifiedBy>Helēna Rimša</cp:lastModifiedBy>
  <cp:revision>8</cp:revision>
  <dcterms:created xsi:type="dcterms:W3CDTF">2019-10-28T07:48:00Z</dcterms:created>
  <dcterms:modified xsi:type="dcterms:W3CDTF">2019-11-11T21:35:00Z</dcterms:modified>
</cp:coreProperties>
</file>