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007C9" w14:textId="6F53E2F2" w:rsidR="00FA4414" w:rsidRDefault="00A83263" w:rsidP="00A83263">
      <w:pPr>
        <w:shd w:val="clear" w:color="auto" w:fill="FFFFFF"/>
        <w:contextualSpacing/>
        <w:jc w:val="center"/>
        <w:rPr>
          <w:b/>
          <w:sz w:val="26"/>
          <w:szCs w:val="26"/>
          <w:lang w:val="lv-LV"/>
        </w:rPr>
      </w:pPr>
      <w:bookmarkStart w:id="0" w:name="_Hlk58398606"/>
      <w:bookmarkStart w:id="1" w:name="_Hlk58435028"/>
      <w:bookmarkStart w:id="2" w:name="OLE_LINK3"/>
      <w:bookmarkStart w:id="3" w:name="OLE_LINK1"/>
      <w:bookmarkStart w:id="4" w:name="OLE_LINK2"/>
      <w:r w:rsidRPr="006640AA">
        <w:rPr>
          <w:b/>
          <w:sz w:val="26"/>
          <w:szCs w:val="26"/>
          <w:lang w:val="lv-LV"/>
        </w:rPr>
        <w:t xml:space="preserve">Ministru kabineta noteikumu projekta </w:t>
      </w:r>
      <w:r w:rsidRPr="006640AA">
        <w:rPr>
          <w:b/>
          <w:bCs/>
          <w:sz w:val="26"/>
          <w:szCs w:val="26"/>
          <w:lang w:val="lv-LV"/>
        </w:rPr>
        <w:t xml:space="preserve">“Grozījumi </w:t>
      </w:r>
      <w:r w:rsidR="006D4FBA">
        <w:rPr>
          <w:b/>
          <w:bCs/>
          <w:sz w:val="26"/>
          <w:szCs w:val="26"/>
          <w:lang w:val="lv-LV"/>
        </w:rPr>
        <w:t xml:space="preserve">Ministru </w:t>
      </w:r>
      <w:r w:rsidRPr="00A83263">
        <w:rPr>
          <w:b/>
          <w:bCs/>
          <w:sz w:val="26"/>
          <w:szCs w:val="26"/>
          <w:lang w:val="lv-LV"/>
        </w:rPr>
        <w:t>kabineta 2020.</w:t>
      </w:r>
      <w:r w:rsidR="006B0913">
        <w:rPr>
          <w:b/>
          <w:bCs/>
          <w:sz w:val="26"/>
          <w:szCs w:val="26"/>
          <w:lang w:val="lv-LV"/>
        </w:rPr>
        <w:t xml:space="preserve"> </w:t>
      </w:r>
      <w:r w:rsidRPr="00A83263">
        <w:rPr>
          <w:b/>
          <w:bCs/>
          <w:sz w:val="26"/>
          <w:szCs w:val="26"/>
          <w:lang w:val="lv-LV"/>
        </w:rPr>
        <w:t xml:space="preserve">gada </w:t>
      </w:r>
      <w:r w:rsidR="00AD3629">
        <w:rPr>
          <w:b/>
          <w:bCs/>
          <w:sz w:val="26"/>
          <w:szCs w:val="26"/>
          <w:lang w:val="lv-LV"/>
        </w:rPr>
        <w:t>29</w:t>
      </w:r>
      <w:r w:rsidRPr="00A83263">
        <w:rPr>
          <w:b/>
          <w:bCs/>
          <w:sz w:val="26"/>
          <w:szCs w:val="26"/>
          <w:lang w:val="lv-LV"/>
        </w:rPr>
        <w:t>.</w:t>
      </w:r>
      <w:r w:rsidR="006B0913">
        <w:rPr>
          <w:b/>
          <w:bCs/>
          <w:sz w:val="26"/>
          <w:szCs w:val="26"/>
          <w:lang w:val="lv-LV"/>
        </w:rPr>
        <w:t xml:space="preserve"> </w:t>
      </w:r>
      <w:r w:rsidR="00AD3629">
        <w:rPr>
          <w:b/>
          <w:bCs/>
          <w:sz w:val="26"/>
          <w:szCs w:val="26"/>
          <w:lang w:val="lv-LV"/>
        </w:rPr>
        <w:t>septembra</w:t>
      </w:r>
      <w:r w:rsidRPr="00A83263">
        <w:rPr>
          <w:b/>
          <w:bCs/>
          <w:sz w:val="26"/>
          <w:szCs w:val="26"/>
          <w:lang w:val="lv-LV"/>
        </w:rPr>
        <w:t xml:space="preserve"> noteikumos Nr.</w:t>
      </w:r>
      <w:r w:rsidR="006B0913">
        <w:rPr>
          <w:b/>
          <w:bCs/>
          <w:sz w:val="26"/>
          <w:szCs w:val="26"/>
          <w:lang w:val="lv-LV"/>
        </w:rPr>
        <w:t xml:space="preserve"> </w:t>
      </w:r>
      <w:r w:rsidR="00AD3629">
        <w:rPr>
          <w:b/>
          <w:bCs/>
          <w:sz w:val="26"/>
          <w:szCs w:val="26"/>
          <w:lang w:val="lv-LV"/>
        </w:rPr>
        <w:t>602</w:t>
      </w:r>
      <w:r w:rsidRPr="00A83263">
        <w:rPr>
          <w:b/>
          <w:bCs/>
          <w:sz w:val="26"/>
          <w:szCs w:val="26"/>
          <w:lang w:val="lv-LV"/>
        </w:rPr>
        <w:t xml:space="preserve"> “</w:t>
      </w:r>
      <w:r w:rsidR="00AD3629" w:rsidRPr="00AD3629">
        <w:rPr>
          <w:b/>
          <w:bCs/>
          <w:sz w:val="26"/>
          <w:szCs w:val="26"/>
          <w:lang w:val="lv-LV"/>
        </w:rPr>
        <w:t>Nekustamā īpašuma darījumu starpnieka profesionālās darbības civiltiesiskās atbildības apdrošināšanas noteikumi</w:t>
      </w:r>
      <w:r w:rsidRPr="006640AA">
        <w:rPr>
          <w:b/>
          <w:bCs/>
          <w:sz w:val="26"/>
          <w:szCs w:val="26"/>
          <w:lang w:val="lv-LV"/>
        </w:rPr>
        <w:t>”” sākotnējās</w:t>
      </w:r>
      <w:r w:rsidRPr="006640AA">
        <w:rPr>
          <w:b/>
          <w:sz w:val="26"/>
          <w:szCs w:val="26"/>
          <w:lang w:val="lv-LV"/>
        </w:rPr>
        <w:t xml:space="preserve"> ietekmes novērtējuma ziņojums (anotācija)</w:t>
      </w:r>
      <w:bookmarkEnd w:id="0"/>
      <w:bookmarkEnd w:id="1"/>
    </w:p>
    <w:p w14:paraId="49A5134C" w14:textId="77777777" w:rsidR="00286A8E" w:rsidRPr="006640AA" w:rsidRDefault="00286A8E" w:rsidP="00A83263">
      <w:pPr>
        <w:shd w:val="clear" w:color="auto" w:fill="FFFFFF"/>
        <w:contextualSpacing/>
        <w:jc w:val="center"/>
        <w:rPr>
          <w:b/>
          <w:sz w:val="26"/>
          <w:szCs w:val="26"/>
          <w:lang w:val="lv-LV"/>
        </w:rPr>
      </w:pPr>
    </w:p>
    <w:tbl>
      <w:tblPr>
        <w:tblStyle w:val="TableGrid"/>
        <w:tblW w:w="935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167"/>
        <w:gridCol w:w="7184"/>
      </w:tblGrid>
      <w:tr w:rsidR="00FE3D8C" w:rsidRPr="006640AA" w14:paraId="47A77C9D" w14:textId="77777777" w:rsidTr="00C72D2B">
        <w:trPr>
          <w:trHeight w:val="280"/>
          <w:tblCellSpacing w:w="20" w:type="dxa"/>
        </w:trPr>
        <w:tc>
          <w:tcPr>
            <w:tcW w:w="9351" w:type="dxa"/>
            <w:gridSpan w:val="2"/>
            <w:vAlign w:val="center"/>
          </w:tcPr>
          <w:p w14:paraId="67F1F095" w14:textId="1A0B8496" w:rsidR="00FE3D8C" w:rsidRPr="006640AA" w:rsidRDefault="00FE3D8C" w:rsidP="00DD6B81">
            <w:pPr>
              <w:contextualSpacing/>
              <w:jc w:val="center"/>
              <w:rPr>
                <w:b/>
                <w:sz w:val="26"/>
                <w:szCs w:val="26"/>
                <w:lang w:val="lv-LV"/>
              </w:rPr>
            </w:pPr>
            <w:r w:rsidRPr="006640AA">
              <w:rPr>
                <w:rFonts w:eastAsia="Times New Roman"/>
                <w:b/>
                <w:bCs/>
                <w:iCs/>
                <w:sz w:val="26"/>
                <w:szCs w:val="26"/>
                <w:lang w:val="lv-LV" w:eastAsia="lv-LV"/>
              </w:rPr>
              <w:t>Tiesību akta projekta anotācijas kopsavilkums</w:t>
            </w:r>
          </w:p>
        </w:tc>
      </w:tr>
      <w:tr w:rsidR="00FE3D8C" w:rsidRPr="00A978C3" w14:paraId="562FF486" w14:textId="77777777" w:rsidTr="00C72D2B">
        <w:trPr>
          <w:trHeight w:val="1851"/>
          <w:tblCellSpacing w:w="20" w:type="dxa"/>
        </w:trPr>
        <w:tc>
          <w:tcPr>
            <w:tcW w:w="2122" w:type="dxa"/>
          </w:tcPr>
          <w:p w14:paraId="7F646FDE" w14:textId="741D956A" w:rsidR="00FE3D8C" w:rsidRPr="006640AA" w:rsidRDefault="00FE3D8C" w:rsidP="00DD6B81">
            <w:pPr>
              <w:contextualSpacing/>
              <w:rPr>
                <w:b/>
                <w:sz w:val="26"/>
                <w:szCs w:val="26"/>
                <w:lang w:val="lv-LV"/>
              </w:rPr>
            </w:pPr>
            <w:r w:rsidRPr="006640AA">
              <w:rPr>
                <w:rFonts w:eastAsia="Times New Roman"/>
                <w:iCs/>
                <w:sz w:val="26"/>
                <w:szCs w:val="26"/>
                <w:lang w:val="lv-LV" w:eastAsia="lv-LV"/>
              </w:rPr>
              <w:t xml:space="preserve">Mērķis, risinājums un projekta spēkā stāšanās laiks </w:t>
            </w:r>
          </w:p>
        </w:tc>
        <w:tc>
          <w:tcPr>
            <w:tcW w:w="7229" w:type="dxa"/>
          </w:tcPr>
          <w:p w14:paraId="4B2499E0" w14:textId="39935EC5" w:rsidR="00E54104" w:rsidRPr="007E4FE6" w:rsidRDefault="004A6D94" w:rsidP="00FA4414">
            <w:pPr>
              <w:contextualSpacing/>
              <w:jc w:val="both"/>
              <w:rPr>
                <w:rFonts w:eastAsia="Times New Roman"/>
                <w:iCs/>
                <w:sz w:val="26"/>
                <w:szCs w:val="26"/>
                <w:lang w:val="lv-LV"/>
              </w:rPr>
            </w:pPr>
            <w:r>
              <w:rPr>
                <w:iCs/>
                <w:sz w:val="26"/>
                <w:szCs w:val="26"/>
                <w:lang w:val="lv-LV"/>
              </w:rPr>
              <w:t>Nav attiecināms.</w:t>
            </w:r>
          </w:p>
        </w:tc>
      </w:tr>
    </w:tbl>
    <w:p w14:paraId="4F03DE00" w14:textId="29ECC9FB" w:rsidR="00310924" w:rsidRPr="006640AA" w:rsidRDefault="00310924" w:rsidP="00B043DE">
      <w:pPr>
        <w:shd w:val="clear" w:color="auto" w:fill="FFFFFF"/>
        <w:contextualSpacing/>
        <w:jc w:val="center"/>
        <w:rPr>
          <w:b/>
          <w:sz w:val="26"/>
          <w:szCs w:val="26"/>
          <w:lang w:val="lv-LV"/>
        </w:rPr>
      </w:pPr>
    </w:p>
    <w:tbl>
      <w:tblPr>
        <w:tblW w:w="934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57" w:type="dxa"/>
          <w:bottom w:w="30" w:type="dxa"/>
          <w:right w:w="57" w:type="dxa"/>
        </w:tblCellMar>
        <w:tblLook w:val="04A0" w:firstRow="1" w:lastRow="0" w:firstColumn="1" w:lastColumn="0" w:noHBand="0" w:noVBand="1"/>
      </w:tblPr>
      <w:tblGrid>
        <w:gridCol w:w="473"/>
        <w:gridCol w:w="2062"/>
        <w:gridCol w:w="6813"/>
      </w:tblGrid>
      <w:tr w:rsidR="00844176" w:rsidRPr="006640AA" w14:paraId="02364BB3" w14:textId="77777777" w:rsidTr="00C72D2B">
        <w:trPr>
          <w:trHeight w:val="307"/>
          <w:tblCellSpacing w:w="20" w:type="dxa"/>
        </w:trPr>
        <w:tc>
          <w:tcPr>
            <w:tcW w:w="9348" w:type="dxa"/>
            <w:gridSpan w:val="3"/>
            <w:hideMark/>
          </w:tcPr>
          <w:bookmarkEnd w:id="2"/>
          <w:bookmarkEnd w:id="3"/>
          <w:bookmarkEnd w:id="4"/>
          <w:p w14:paraId="12E54FE2" w14:textId="77777777" w:rsidR="00844176" w:rsidRPr="006640AA" w:rsidRDefault="00844176" w:rsidP="00B043DE">
            <w:pPr>
              <w:tabs>
                <w:tab w:val="left" w:pos="5888"/>
              </w:tabs>
              <w:contextualSpacing/>
              <w:jc w:val="center"/>
              <w:rPr>
                <w:rFonts w:eastAsia="Times New Roman"/>
                <w:sz w:val="26"/>
                <w:szCs w:val="26"/>
                <w:lang w:val="lv-LV" w:eastAsia="lv-LV"/>
              </w:rPr>
            </w:pPr>
            <w:r w:rsidRPr="006640AA">
              <w:rPr>
                <w:b/>
                <w:sz w:val="26"/>
                <w:szCs w:val="26"/>
                <w:lang w:val="lv-LV"/>
              </w:rPr>
              <w:t>I. Tiesību akta projekta izstrādes nepieciešamība</w:t>
            </w:r>
          </w:p>
        </w:tc>
      </w:tr>
      <w:tr w:rsidR="00844176" w:rsidRPr="00922D66" w14:paraId="7F385C9A" w14:textId="77777777" w:rsidTr="00C72D2B">
        <w:trPr>
          <w:trHeight w:val="405"/>
          <w:tblCellSpacing w:w="20" w:type="dxa"/>
        </w:trPr>
        <w:tc>
          <w:tcPr>
            <w:tcW w:w="418" w:type="dxa"/>
            <w:hideMark/>
          </w:tcPr>
          <w:p w14:paraId="7802C726"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t>1.</w:t>
            </w:r>
          </w:p>
        </w:tc>
        <w:tc>
          <w:tcPr>
            <w:tcW w:w="1883" w:type="dxa"/>
            <w:hideMark/>
          </w:tcPr>
          <w:p w14:paraId="1D9EF4B2"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t>Pamatojums</w:t>
            </w:r>
          </w:p>
        </w:tc>
        <w:tc>
          <w:tcPr>
            <w:tcW w:w="7047" w:type="dxa"/>
            <w:hideMark/>
          </w:tcPr>
          <w:p w14:paraId="79DF1BBF" w14:textId="0123D58E" w:rsidR="003F2AC0" w:rsidRPr="006640AA" w:rsidRDefault="00644379" w:rsidP="00836F80">
            <w:pPr>
              <w:spacing w:after="160" w:line="256" w:lineRule="auto"/>
              <w:contextualSpacing/>
              <w:jc w:val="both"/>
              <w:rPr>
                <w:sz w:val="26"/>
                <w:szCs w:val="26"/>
                <w:lang w:val="lv-LV"/>
              </w:rPr>
            </w:pPr>
            <w:r w:rsidRPr="006640AA">
              <w:rPr>
                <w:bCs/>
                <w:sz w:val="26"/>
                <w:szCs w:val="26"/>
                <w:lang w:val="lv-LV"/>
              </w:rPr>
              <w:t>Ministru kabineta noteikumu projekts</w:t>
            </w:r>
            <w:r w:rsidRPr="006640AA">
              <w:rPr>
                <w:rFonts w:eastAsia="Times New Roman"/>
                <w:iCs/>
                <w:sz w:val="26"/>
                <w:szCs w:val="26"/>
                <w:lang w:val="lv-LV"/>
              </w:rPr>
              <w:t xml:space="preserve"> </w:t>
            </w:r>
            <w:r w:rsidRPr="003B6C58">
              <w:rPr>
                <w:sz w:val="26"/>
                <w:szCs w:val="26"/>
                <w:lang w:val="lv-LV"/>
              </w:rPr>
              <w:t xml:space="preserve">“Grozījumi </w:t>
            </w:r>
            <w:r w:rsidR="006D4FBA">
              <w:rPr>
                <w:sz w:val="26"/>
                <w:szCs w:val="26"/>
                <w:lang w:val="lv-LV"/>
              </w:rPr>
              <w:t xml:space="preserve">Ministru </w:t>
            </w:r>
            <w:r w:rsidRPr="003B6C58">
              <w:rPr>
                <w:sz w:val="26"/>
                <w:szCs w:val="26"/>
                <w:lang w:val="lv-LV"/>
              </w:rPr>
              <w:t xml:space="preserve">kabineta 2020. gada 29. septembra noteikumos Nr. 602 “Nekustamā īpašuma darījumu starpnieka profesionālās darbības civiltiesiskās atbildības apdrošināšanas noteikumi”” (turpmāk – </w:t>
            </w:r>
            <w:r w:rsidR="003D0F93" w:rsidRPr="003B6C58">
              <w:rPr>
                <w:rFonts w:eastAsia="Times New Roman"/>
                <w:iCs/>
                <w:sz w:val="26"/>
                <w:szCs w:val="26"/>
                <w:lang w:val="lv-LV"/>
              </w:rPr>
              <w:t>MK Noteikumu projekts</w:t>
            </w:r>
            <w:r w:rsidRPr="003B6C58">
              <w:rPr>
                <w:rFonts w:eastAsia="Times New Roman"/>
                <w:iCs/>
                <w:sz w:val="26"/>
                <w:szCs w:val="26"/>
                <w:lang w:val="lv-LV"/>
              </w:rPr>
              <w:t>)</w:t>
            </w:r>
            <w:r w:rsidR="003D0F93" w:rsidRPr="003B6C58" w:rsidDel="003D0F93">
              <w:rPr>
                <w:rFonts w:eastAsia="Times New Roman"/>
                <w:iCs/>
                <w:sz w:val="26"/>
                <w:szCs w:val="26"/>
                <w:lang w:val="lv-LV"/>
              </w:rPr>
              <w:t xml:space="preserve"> </w:t>
            </w:r>
            <w:r w:rsidR="00A658C7" w:rsidRPr="006640AA">
              <w:rPr>
                <w:rFonts w:eastAsiaTheme="minorHAnsi"/>
                <w:sz w:val="26"/>
                <w:szCs w:val="26"/>
                <w:lang w:val="lv-LV"/>
              </w:rPr>
              <w:t>sagatavots pēc Ekonomikas ministrijas iniciatīvas, lai precizētu normatīvā akta normas</w:t>
            </w:r>
            <w:r w:rsidR="008E69F8">
              <w:rPr>
                <w:rFonts w:eastAsiaTheme="minorHAnsi"/>
                <w:sz w:val="26"/>
                <w:szCs w:val="26"/>
                <w:lang w:val="lv-LV"/>
              </w:rPr>
              <w:t>.</w:t>
            </w:r>
          </w:p>
        </w:tc>
      </w:tr>
      <w:tr w:rsidR="00844176" w:rsidRPr="00922D66" w14:paraId="62EDED08" w14:textId="77777777" w:rsidTr="00C72D2B">
        <w:trPr>
          <w:trHeight w:val="465"/>
          <w:tblCellSpacing w:w="20" w:type="dxa"/>
        </w:trPr>
        <w:tc>
          <w:tcPr>
            <w:tcW w:w="418" w:type="dxa"/>
            <w:hideMark/>
          </w:tcPr>
          <w:p w14:paraId="304587A4"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t>2.</w:t>
            </w:r>
          </w:p>
        </w:tc>
        <w:tc>
          <w:tcPr>
            <w:tcW w:w="1883" w:type="dxa"/>
            <w:hideMark/>
          </w:tcPr>
          <w:p w14:paraId="40AD4671" w14:textId="044133EA" w:rsidR="00844176" w:rsidRPr="006640AA" w:rsidRDefault="00844176" w:rsidP="00B043DE">
            <w:pPr>
              <w:contextualSpacing/>
              <w:rPr>
                <w:rFonts w:eastAsia="Times New Roman"/>
                <w:sz w:val="26"/>
                <w:szCs w:val="26"/>
                <w:lang w:val="lv-LV" w:eastAsia="lv-LV"/>
              </w:rPr>
            </w:pPr>
            <w:r w:rsidRPr="006640AA">
              <w:rPr>
                <w:sz w:val="26"/>
                <w:szCs w:val="26"/>
                <w:lang w:val="lv-LV"/>
              </w:rPr>
              <w:t>Pašreizējā situācija un problēmas, kuru risināšanai tiesību akta projekts izstrādāts, tiesiskā regulējuma mērķis un būtība</w:t>
            </w:r>
          </w:p>
        </w:tc>
        <w:tc>
          <w:tcPr>
            <w:tcW w:w="7047" w:type="dxa"/>
          </w:tcPr>
          <w:p w14:paraId="7EBA2E2B" w14:textId="705077EC" w:rsidR="0051173D" w:rsidRPr="003C25D1" w:rsidRDefault="0051173D" w:rsidP="004259BC">
            <w:pPr>
              <w:spacing w:before="120"/>
              <w:jc w:val="both"/>
              <w:rPr>
                <w:rFonts w:eastAsia="Times New Roman"/>
                <w:iCs/>
                <w:sz w:val="26"/>
                <w:szCs w:val="26"/>
                <w:lang w:val="lv-LV" w:eastAsia="lv-LV"/>
              </w:rPr>
            </w:pPr>
            <w:r w:rsidRPr="003C25D1">
              <w:rPr>
                <w:sz w:val="26"/>
                <w:szCs w:val="26"/>
                <w:lang w:val="lv-LV"/>
              </w:rPr>
              <w:t>Ministru kabineta 2020.</w:t>
            </w:r>
            <w:r w:rsidR="00A239BC" w:rsidRPr="003C25D1">
              <w:rPr>
                <w:sz w:val="26"/>
                <w:szCs w:val="26"/>
                <w:lang w:val="lv-LV"/>
              </w:rPr>
              <w:t xml:space="preserve"> </w:t>
            </w:r>
            <w:r w:rsidRPr="003C25D1">
              <w:rPr>
                <w:sz w:val="26"/>
                <w:szCs w:val="26"/>
                <w:lang w:val="lv-LV"/>
              </w:rPr>
              <w:t xml:space="preserve">gada </w:t>
            </w:r>
            <w:r w:rsidR="00A907C8" w:rsidRPr="003C25D1">
              <w:rPr>
                <w:sz w:val="26"/>
                <w:szCs w:val="26"/>
                <w:lang w:val="lv-LV"/>
              </w:rPr>
              <w:t>29</w:t>
            </w:r>
            <w:r w:rsidRPr="003C25D1">
              <w:rPr>
                <w:sz w:val="26"/>
                <w:szCs w:val="26"/>
                <w:lang w:val="lv-LV"/>
              </w:rPr>
              <w:t>.</w:t>
            </w:r>
            <w:r w:rsidR="00A239BC" w:rsidRPr="003C25D1">
              <w:rPr>
                <w:sz w:val="26"/>
                <w:szCs w:val="26"/>
                <w:lang w:val="lv-LV"/>
              </w:rPr>
              <w:t xml:space="preserve"> </w:t>
            </w:r>
            <w:r w:rsidR="00A907C8" w:rsidRPr="003C25D1">
              <w:rPr>
                <w:sz w:val="26"/>
                <w:szCs w:val="26"/>
                <w:lang w:val="lv-LV"/>
              </w:rPr>
              <w:t>septembra</w:t>
            </w:r>
            <w:r w:rsidRPr="003C25D1">
              <w:rPr>
                <w:sz w:val="26"/>
                <w:szCs w:val="26"/>
                <w:lang w:val="lv-LV"/>
              </w:rPr>
              <w:t xml:space="preserve"> noteikumi Nr.</w:t>
            </w:r>
            <w:r w:rsidR="00A239BC" w:rsidRPr="003C25D1">
              <w:rPr>
                <w:sz w:val="26"/>
                <w:szCs w:val="26"/>
                <w:lang w:val="lv-LV"/>
              </w:rPr>
              <w:t xml:space="preserve"> </w:t>
            </w:r>
            <w:r w:rsidR="00A907C8" w:rsidRPr="003C25D1">
              <w:rPr>
                <w:sz w:val="26"/>
                <w:szCs w:val="26"/>
                <w:lang w:val="lv-LV"/>
              </w:rPr>
              <w:t>602</w:t>
            </w:r>
            <w:r w:rsidRPr="003C25D1">
              <w:rPr>
                <w:sz w:val="26"/>
                <w:szCs w:val="26"/>
                <w:lang w:val="lv-LV"/>
              </w:rPr>
              <w:t xml:space="preserve"> “</w:t>
            </w:r>
            <w:r w:rsidR="00A907C8" w:rsidRPr="003C25D1">
              <w:rPr>
                <w:sz w:val="26"/>
                <w:szCs w:val="26"/>
                <w:lang w:val="lv-LV"/>
              </w:rPr>
              <w:t>Nekustamā īpašuma darījumu starpnieka profesionālās darbības civiltiesiskās atbildības apdrošināšanas noteikumi</w:t>
            </w:r>
            <w:r w:rsidRPr="003C25D1">
              <w:rPr>
                <w:sz w:val="26"/>
                <w:szCs w:val="26"/>
                <w:lang w:val="lv-LV"/>
              </w:rPr>
              <w:t>”</w:t>
            </w:r>
            <w:r w:rsidR="004259BC" w:rsidRPr="003C25D1">
              <w:rPr>
                <w:sz w:val="26"/>
                <w:szCs w:val="26"/>
                <w:lang w:val="lv-LV"/>
              </w:rPr>
              <w:t xml:space="preserve"> (turpmāk – MK Noteikumi Nr.</w:t>
            </w:r>
            <w:r w:rsidR="00A907C8" w:rsidRPr="003C25D1">
              <w:rPr>
                <w:sz w:val="26"/>
                <w:szCs w:val="26"/>
                <w:lang w:val="lv-LV"/>
              </w:rPr>
              <w:t>602</w:t>
            </w:r>
            <w:r w:rsidR="004259BC" w:rsidRPr="003C25D1">
              <w:rPr>
                <w:sz w:val="26"/>
                <w:szCs w:val="26"/>
                <w:lang w:val="lv-LV"/>
              </w:rPr>
              <w:t>)</w:t>
            </w:r>
            <w:r w:rsidRPr="003C25D1">
              <w:rPr>
                <w:sz w:val="26"/>
                <w:szCs w:val="26"/>
                <w:lang w:val="lv-LV"/>
              </w:rPr>
              <w:t xml:space="preserve"> tika </w:t>
            </w:r>
            <w:r w:rsidR="00300615" w:rsidRPr="003C25D1">
              <w:rPr>
                <w:rFonts w:eastAsia="Times New Roman"/>
                <w:iCs/>
                <w:sz w:val="26"/>
                <w:szCs w:val="26"/>
                <w:lang w:val="lv-LV" w:eastAsia="lv-LV"/>
              </w:rPr>
              <w:t>izstrādāt</w:t>
            </w:r>
            <w:r w:rsidR="006F04B5" w:rsidRPr="003C25D1">
              <w:rPr>
                <w:rFonts w:eastAsia="Times New Roman"/>
                <w:iCs/>
                <w:sz w:val="26"/>
                <w:szCs w:val="26"/>
                <w:lang w:val="lv-LV" w:eastAsia="lv-LV"/>
              </w:rPr>
              <w:t>i</w:t>
            </w:r>
            <w:r w:rsidR="00300615" w:rsidRPr="003C25D1">
              <w:rPr>
                <w:rFonts w:eastAsia="Times New Roman"/>
                <w:iCs/>
                <w:sz w:val="26"/>
                <w:szCs w:val="26"/>
                <w:lang w:val="lv-LV" w:eastAsia="lv-LV"/>
              </w:rPr>
              <w:t xml:space="preserve">, pamatojoties uz </w:t>
            </w:r>
            <w:r w:rsidR="00300615" w:rsidRPr="003C25D1">
              <w:rPr>
                <w:sz w:val="26"/>
                <w:szCs w:val="26"/>
                <w:lang w:val="lv-LV"/>
              </w:rPr>
              <w:t>Nekustamā īpašuma darījumu starpnieku darbības likuma</w:t>
            </w:r>
            <w:r w:rsidR="006F04B5" w:rsidRPr="003C25D1">
              <w:rPr>
                <w:sz w:val="26"/>
                <w:szCs w:val="26"/>
                <w:lang w:val="lv-LV"/>
              </w:rPr>
              <w:t xml:space="preserve"> (turpmāk – Likums)</w:t>
            </w:r>
            <w:r w:rsidR="00300615" w:rsidRPr="003C25D1">
              <w:rPr>
                <w:sz w:val="26"/>
                <w:szCs w:val="26"/>
                <w:lang w:val="lv-LV"/>
              </w:rPr>
              <w:t xml:space="preserve"> </w:t>
            </w:r>
            <w:r w:rsidR="003106D5" w:rsidRPr="003C25D1">
              <w:rPr>
                <w:sz w:val="26"/>
                <w:szCs w:val="26"/>
                <w:lang w:val="lv-LV"/>
              </w:rPr>
              <w:t>9</w:t>
            </w:r>
            <w:r w:rsidR="00300615" w:rsidRPr="003C25D1">
              <w:rPr>
                <w:rFonts w:eastAsia="Times New Roman"/>
                <w:iCs/>
                <w:sz w:val="26"/>
                <w:szCs w:val="26"/>
                <w:lang w:val="lv-LV" w:eastAsia="lv-LV"/>
              </w:rPr>
              <w:t>. pant</w:t>
            </w:r>
            <w:r w:rsidR="003106D5" w:rsidRPr="003C25D1">
              <w:rPr>
                <w:rFonts w:eastAsia="Times New Roman"/>
                <w:iCs/>
                <w:sz w:val="26"/>
                <w:szCs w:val="26"/>
                <w:lang w:val="lv-LV" w:eastAsia="lv-LV"/>
              </w:rPr>
              <w:t>a trešo daļu.</w:t>
            </w:r>
          </w:p>
          <w:p w14:paraId="76BDA6EB" w14:textId="25E8D5F0" w:rsidR="00763E37" w:rsidRPr="003C25D1" w:rsidRDefault="00763E37" w:rsidP="00D83021">
            <w:pPr>
              <w:ind w:firstLine="533"/>
              <w:jc w:val="both"/>
              <w:rPr>
                <w:rFonts w:eastAsia="Times New Roman"/>
                <w:iCs/>
                <w:sz w:val="26"/>
                <w:szCs w:val="26"/>
                <w:highlight w:val="yellow"/>
                <w:lang w:val="lv-LV" w:eastAsia="lv-LV"/>
              </w:rPr>
            </w:pPr>
            <w:r w:rsidRPr="003C25D1">
              <w:rPr>
                <w:rFonts w:eastAsia="Times New Roman"/>
                <w:iCs/>
                <w:sz w:val="26"/>
                <w:szCs w:val="26"/>
                <w:lang w:val="lv-LV" w:eastAsia="lv-LV"/>
              </w:rPr>
              <w:t>2020.</w:t>
            </w:r>
            <w:r w:rsidR="00D84436" w:rsidRPr="003C25D1">
              <w:rPr>
                <w:rFonts w:eastAsia="Times New Roman"/>
                <w:iCs/>
                <w:sz w:val="26"/>
                <w:szCs w:val="26"/>
                <w:lang w:val="lv-LV" w:eastAsia="lv-LV"/>
              </w:rPr>
              <w:t xml:space="preserve"> </w:t>
            </w:r>
            <w:r w:rsidRPr="003C25D1">
              <w:rPr>
                <w:rFonts w:eastAsia="Times New Roman"/>
                <w:iCs/>
                <w:sz w:val="26"/>
                <w:szCs w:val="26"/>
                <w:lang w:val="lv-LV" w:eastAsia="lv-LV"/>
              </w:rPr>
              <w:t>gada 1.</w:t>
            </w:r>
            <w:r w:rsidR="00D84436" w:rsidRPr="003C25D1">
              <w:rPr>
                <w:rFonts w:eastAsia="Times New Roman"/>
                <w:iCs/>
                <w:sz w:val="26"/>
                <w:szCs w:val="26"/>
                <w:lang w:val="lv-LV" w:eastAsia="lv-LV"/>
              </w:rPr>
              <w:t xml:space="preserve"> </w:t>
            </w:r>
            <w:r w:rsidRPr="003C25D1">
              <w:rPr>
                <w:rFonts w:eastAsia="Times New Roman"/>
                <w:iCs/>
                <w:sz w:val="26"/>
                <w:szCs w:val="26"/>
                <w:lang w:val="lv-LV" w:eastAsia="lv-LV"/>
              </w:rPr>
              <w:t xml:space="preserve">augustā stājās spēkā </w:t>
            </w:r>
            <w:r w:rsidR="006F04B5" w:rsidRPr="003C25D1">
              <w:rPr>
                <w:sz w:val="26"/>
                <w:szCs w:val="26"/>
                <w:lang w:val="lv-LV"/>
              </w:rPr>
              <w:t>L</w:t>
            </w:r>
            <w:r w:rsidRPr="003C25D1">
              <w:rPr>
                <w:sz w:val="26"/>
                <w:szCs w:val="26"/>
                <w:lang w:val="lv-LV"/>
              </w:rPr>
              <w:t>ikums</w:t>
            </w:r>
            <w:r w:rsidRPr="003C25D1">
              <w:rPr>
                <w:rFonts w:eastAsia="Times New Roman"/>
                <w:iCs/>
                <w:sz w:val="26"/>
                <w:szCs w:val="26"/>
                <w:lang w:val="lv-LV" w:eastAsia="lv-LV"/>
              </w:rPr>
              <w:t xml:space="preserve">, kas paredz regulēt nekustamā īpašuma darījumu starpnieku (turpmāk – starpnieki) profesionālās darbības tiesiskos pamatus un nodrošināt šo personu profesionālās darbības uzraudzību, lai novērstu noziedzīgi iegūtu līdzekļu legalizāciju, terorisma un </w:t>
            </w:r>
            <w:proofErr w:type="spellStart"/>
            <w:r w:rsidRPr="003C25D1">
              <w:rPr>
                <w:rFonts w:eastAsia="Times New Roman"/>
                <w:iCs/>
                <w:sz w:val="26"/>
                <w:szCs w:val="26"/>
                <w:lang w:val="lv-LV" w:eastAsia="lv-LV"/>
              </w:rPr>
              <w:t>proliferācijas</w:t>
            </w:r>
            <w:proofErr w:type="spellEnd"/>
            <w:r w:rsidRPr="003C25D1">
              <w:rPr>
                <w:rFonts w:eastAsia="Times New Roman"/>
                <w:iCs/>
                <w:sz w:val="26"/>
                <w:szCs w:val="26"/>
                <w:lang w:val="lv-LV" w:eastAsia="lv-LV"/>
              </w:rPr>
              <w:t xml:space="preserve"> finansēšanu un sekmētu stabilu, drošu un uzticamu starpniecības pakalpojumu sniegšanu. Saskaņā ar  Likuma </w:t>
            </w:r>
            <w:r w:rsidR="006A030F" w:rsidRPr="003C25D1">
              <w:rPr>
                <w:rFonts w:eastAsia="Times New Roman"/>
                <w:iCs/>
                <w:sz w:val="26"/>
                <w:szCs w:val="26"/>
                <w:lang w:val="lv-LV" w:eastAsia="lv-LV"/>
              </w:rPr>
              <w:t>9</w:t>
            </w:r>
            <w:r w:rsidRPr="003C25D1">
              <w:rPr>
                <w:rFonts w:eastAsia="Times New Roman"/>
                <w:iCs/>
                <w:sz w:val="26"/>
                <w:szCs w:val="26"/>
                <w:lang w:val="lv-LV" w:eastAsia="lv-LV"/>
              </w:rPr>
              <w:t>. pant</w:t>
            </w:r>
            <w:r w:rsidR="006A030F" w:rsidRPr="003C25D1">
              <w:rPr>
                <w:rFonts w:eastAsia="Times New Roman"/>
                <w:iCs/>
                <w:sz w:val="26"/>
                <w:szCs w:val="26"/>
                <w:lang w:val="lv-LV" w:eastAsia="lv-LV"/>
              </w:rPr>
              <w:t>a trešo daļu</w:t>
            </w:r>
            <w:r w:rsidRPr="003C25D1">
              <w:rPr>
                <w:rFonts w:eastAsia="Times New Roman"/>
                <w:iCs/>
                <w:sz w:val="26"/>
                <w:szCs w:val="26"/>
                <w:lang w:val="lv-LV" w:eastAsia="lv-LV"/>
              </w:rPr>
              <w:t xml:space="preserve"> </w:t>
            </w:r>
            <w:r w:rsidR="007100EE" w:rsidRPr="003C25D1">
              <w:rPr>
                <w:rFonts w:eastAsia="Times New Roman"/>
                <w:iCs/>
                <w:sz w:val="26"/>
                <w:szCs w:val="26"/>
                <w:lang w:val="lv-LV" w:eastAsia="lv-LV"/>
              </w:rPr>
              <w:t xml:space="preserve">starpnieks apdrošina savas profesionālās darbības civiltiesisko atbildību. </w:t>
            </w:r>
            <w:r w:rsidR="00C856AC" w:rsidRPr="003C25D1">
              <w:rPr>
                <w:rFonts w:eastAsia="Times New Roman"/>
                <w:iCs/>
                <w:sz w:val="26"/>
                <w:szCs w:val="26"/>
                <w:lang w:val="lv-LV" w:eastAsia="lv-LV"/>
              </w:rPr>
              <w:t>S</w:t>
            </w:r>
            <w:r w:rsidRPr="003C25D1">
              <w:rPr>
                <w:rFonts w:eastAsia="Times New Roman"/>
                <w:iCs/>
                <w:sz w:val="26"/>
                <w:szCs w:val="26"/>
                <w:lang w:val="lv-LV" w:eastAsia="lv-LV"/>
              </w:rPr>
              <w:t>tarpniek</w:t>
            </w:r>
            <w:r w:rsidR="008A44F0" w:rsidRPr="003C25D1">
              <w:rPr>
                <w:rFonts w:eastAsia="Times New Roman"/>
                <w:iCs/>
                <w:sz w:val="26"/>
                <w:szCs w:val="26"/>
                <w:lang w:val="lv-LV" w:eastAsia="lv-LV"/>
              </w:rPr>
              <w:t>a</w:t>
            </w:r>
            <w:r w:rsidRPr="003C25D1">
              <w:rPr>
                <w:rFonts w:eastAsia="Times New Roman"/>
                <w:iCs/>
                <w:sz w:val="26"/>
                <w:szCs w:val="26"/>
                <w:lang w:val="lv-LV" w:eastAsia="lv-LV"/>
              </w:rPr>
              <w:t xml:space="preserve"> </w:t>
            </w:r>
            <w:r w:rsidR="007100EE" w:rsidRPr="003C25D1">
              <w:rPr>
                <w:rFonts w:eastAsia="Times New Roman"/>
                <w:iCs/>
                <w:sz w:val="26"/>
                <w:szCs w:val="26"/>
                <w:lang w:val="lv-LV" w:eastAsia="lv-LV"/>
              </w:rPr>
              <w:t xml:space="preserve">civiltiesiskās atbildības apdrošināšanas kārtība ir </w:t>
            </w:r>
            <w:r w:rsidR="00F94F1A">
              <w:rPr>
                <w:rFonts w:eastAsia="Times New Roman"/>
                <w:iCs/>
                <w:sz w:val="26"/>
                <w:szCs w:val="26"/>
                <w:lang w:val="lv-LV" w:eastAsia="lv-LV"/>
              </w:rPr>
              <w:t xml:space="preserve">noteikta </w:t>
            </w:r>
            <w:r w:rsidR="00C856AC" w:rsidRPr="003C25D1">
              <w:rPr>
                <w:sz w:val="26"/>
                <w:szCs w:val="26"/>
                <w:lang w:val="lv-LV"/>
              </w:rPr>
              <w:t>MK Noteikumos Nr.</w:t>
            </w:r>
            <w:r w:rsidR="007100EE" w:rsidRPr="003C25D1">
              <w:rPr>
                <w:sz w:val="26"/>
                <w:szCs w:val="26"/>
                <w:lang w:val="lv-LV"/>
              </w:rPr>
              <w:t>602</w:t>
            </w:r>
            <w:r w:rsidRPr="00D71A4D">
              <w:rPr>
                <w:rFonts w:eastAsia="Times New Roman"/>
                <w:iCs/>
                <w:sz w:val="26"/>
                <w:szCs w:val="26"/>
                <w:lang w:val="lv-LV" w:eastAsia="lv-LV"/>
              </w:rPr>
              <w:t xml:space="preserve">. </w:t>
            </w:r>
          </w:p>
          <w:p w14:paraId="0ACF8C1F" w14:textId="55830778" w:rsidR="00D0113D" w:rsidRPr="003C25D1" w:rsidRDefault="00D0113D" w:rsidP="00D0113D">
            <w:pPr>
              <w:spacing w:before="120"/>
              <w:jc w:val="both"/>
              <w:rPr>
                <w:rFonts w:eastAsia="Times New Roman"/>
                <w:iCs/>
                <w:sz w:val="26"/>
                <w:szCs w:val="26"/>
                <w:highlight w:val="yellow"/>
                <w:lang w:val="lv-LV"/>
              </w:rPr>
            </w:pPr>
            <w:r w:rsidRPr="00D832BD">
              <w:rPr>
                <w:rFonts w:eastAsia="Times New Roman"/>
                <w:iCs/>
                <w:sz w:val="26"/>
                <w:szCs w:val="26"/>
                <w:lang w:val="lv-LV"/>
              </w:rPr>
              <w:t>MK Noteikumi Nr.</w:t>
            </w:r>
            <w:r w:rsidR="00E702E2" w:rsidRPr="00D832BD">
              <w:rPr>
                <w:rFonts w:eastAsia="Times New Roman"/>
                <w:iCs/>
                <w:sz w:val="26"/>
                <w:szCs w:val="26"/>
                <w:lang w:val="lv-LV"/>
              </w:rPr>
              <w:t>602</w:t>
            </w:r>
            <w:r w:rsidRPr="00D832BD">
              <w:rPr>
                <w:rFonts w:eastAsia="Times New Roman"/>
                <w:iCs/>
                <w:sz w:val="26"/>
                <w:szCs w:val="26"/>
                <w:lang w:val="lv-LV"/>
              </w:rPr>
              <w:t xml:space="preserve"> paredz, ka </w:t>
            </w:r>
            <w:r w:rsidR="00E702E2">
              <w:rPr>
                <w:rFonts w:eastAsia="Times New Roman"/>
                <w:iCs/>
                <w:sz w:val="26"/>
                <w:szCs w:val="26"/>
                <w:lang w:val="lv-LV"/>
              </w:rPr>
              <w:t>c</w:t>
            </w:r>
            <w:r w:rsidR="00E702E2" w:rsidRPr="00E702E2">
              <w:rPr>
                <w:rFonts w:eastAsia="Times New Roman"/>
                <w:iCs/>
                <w:sz w:val="26"/>
                <w:szCs w:val="26"/>
                <w:lang w:val="lv-LV"/>
              </w:rPr>
              <w:t xml:space="preserve">iviltiesiskās atbildības apdrošināšanas līgumu var noslēgt individuāli (attiecībā uz fizisku personu) starp vienu starpnieku un apdrošinātāju vai kolektīvi (attiecībā uz juridisku personu vai personālsabiedrību), iekļaujot tajā vienlaikus vairākus starpniekus, kuri strādā juridiskajā personā vai </w:t>
            </w:r>
            <w:r w:rsidR="00E702E2" w:rsidRPr="00E702E2">
              <w:rPr>
                <w:rFonts w:eastAsia="Times New Roman"/>
                <w:iCs/>
                <w:sz w:val="26"/>
                <w:szCs w:val="26"/>
                <w:lang w:val="lv-LV"/>
              </w:rPr>
              <w:lastRenderedPageBreak/>
              <w:t>personālsabiedrībā</w:t>
            </w:r>
            <w:r w:rsidRPr="00E702E2">
              <w:rPr>
                <w:rFonts w:eastAsia="Times New Roman"/>
                <w:iCs/>
                <w:sz w:val="26"/>
                <w:szCs w:val="26"/>
                <w:lang w:val="lv-LV"/>
              </w:rPr>
              <w:t xml:space="preserve">. Ekonomikas ministrija ir saņēmusi </w:t>
            </w:r>
            <w:r w:rsidR="00E702E2" w:rsidRPr="00E702E2">
              <w:rPr>
                <w:rFonts w:eastAsia="Times New Roman"/>
                <w:iCs/>
                <w:sz w:val="26"/>
                <w:szCs w:val="26"/>
                <w:lang w:val="lv-LV"/>
              </w:rPr>
              <w:t>civiltiesiskās atbildības apdrošināšanas</w:t>
            </w:r>
            <w:r w:rsidR="00E702E2">
              <w:rPr>
                <w:rFonts w:eastAsia="Times New Roman"/>
                <w:iCs/>
                <w:sz w:val="26"/>
                <w:szCs w:val="26"/>
                <w:lang w:val="lv-LV"/>
              </w:rPr>
              <w:t xml:space="preserve"> polises</w:t>
            </w:r>
            <w:r w:rsidR="00D832BD">
              <w:rPr>
                <w:rFonts w:eastAsia="Times New Roman"/>
                <w:iCs/>
                <w:sz w:val="26"/>
                <w:szCs w:val="26"/>
                <w:lang w:val="lv-LV"/>
              </w:rPr>
              <w:t xml:space="preserve"> (attiecībā uz juridisku personu vai personālsabiedrību)</w:t>
            </w:r>
            <w:r w:rsidR="00E702E2">
              <w:rPr>
                <w:rFonts w:eastAsia="Times New Roman"/>
                <w:iCs/>
                <w:sz w:val="26"/>
                <w:szCs w:val="26"/>
                <w:lang w:val="lv-LV"/>
              </w:rPr>
              <w:t>, kurās</w:t>
            </w:r>
            <w:r w:rsidRPr="00E702E2">
              <w:rPr>
                <w:rFonts w:eastAsia="Times New Roman"/>
                <w:iCs/>
                <w:sz w:val="26"/>
                <w:szCs w:val="26"/>
                <w:lang w:val="lv-LV"/>
              </w:rPr>
              <w:t xml:space="preserve"> MK noteikumu Nr.</w:t>
            </w:r>
            <w:r w:rsidR="00E702E2" w:rsidRPr="00E702E2">
              <w:rPr>
                <w:rFonts w:eastAsia="Times New Roman"/>
                <w:iCs/>
                <w:sz w:val="26"/>
                <w:szCs w:val="26"/>
                <w:lang w:val="lv-LV"/>
              </w:rPr>
              <w:t>602</w:t>
            </w:r>
            <w:r w:rsidRPr="00E702E2">
              <w:rPr>
                <w:rFonts w:eastAsia="Times New Roman"/>
                <w:iCs/>
                <w:sz w:val="26"/>
                <w:szCs w:val="26"/>
                <w:lang w:val="lv-LV"/>
              </w:rPr>
              <w:t xml:space="preserve"> </w:t>
            </w:r>
            <w:r w:rsidR="00E702E2" w:rsidRPr="00E702E2">
              <w:rPr>
                <w:rFonts w:eastAsia="Times New Roman"/>
                <w:iCs/>
                <w:sz w:val="26"/>
                <w:szCs w:val="26"/>
                <w:lang w:val="lv-LV"/>
              </w:rPr>
              <w:t>4</w:t>
            </w:r>
            <w:r w:rsidRPr="00E702E2">
              <w:rPr>
                <w:rFonts w:eastAsia="Times New Roman"/>
                <w:iCs/>
                <w:sz w:val="26"/>
                <w:szCs w:val="26"/>
                <w:lang w:val="lv-LV"/>
              </w:rPr>
              <w:t>.</w:t>
            </w:r>
            <w:r w:rsidR="00D84436" w:rsidRPr="00E702E2">
              <w:rPr>
                <w:rFonts w:eastAsia="Times New Roman"/>
                <w:iCs/>
                <w:sz w:val="26"/>
                <w:szCs w:val="26"/>
                <w:lang w:val="lv-LV"/>
              </w:rPr>
              <w:t xml:space="preserve"> </w:t>
            </w:r>
            <w:r w:rsidRPr="00E702E2">
              <w:rPr>
                <w:rFonts w:eastAsia="Times New Roman"/>
                <w:iCs/>
                <w:sz w:val="26"/>
                <w:szCs w:val="26"/>
                <w:lang w:val="lv-LV"/>
              </w:rPr>
              <w:t>punkt</w:t>
            </w:r>
            <w:r w:rsidR="00E702E2" w:rsidRPr="00E702E2">
              <w:rPr>
                <w:rFonts w:eastAsia="Times New Roman"/>
                <w:iCs/>
                <w:sz w:val="26"/>
                <w:szCs w:val="26"/>
                <w:lang w:val="lv-LV"/>
              </w:rPr>
              <w:t>s</w:t>
            </w:r>
            <w:r w:rsidRPr="00E702E2">
              <w:rPr>
                <w:rFonts w:eastAsia="Times New Roman"/>
                <w:iCs/>
                <w:sz w:val="26"/>
                <w:szCs w:val="26"/>
                <w:lang w:val="lv-LV"/>
              </w:rPr>
              <w:t xml:space="preserve"> </w:t>
            </w:r>
            <w:r w:rsidR="00E702E2" w:rsidRPr="00E702E2">
              <w:rPr>
                <w:rFonts w:eastAsia="Times New Roman"/>
                <w:iCs/>
                <w:sz w:val="26"/>
                <w:szCs w:val="26"/>
                <w:lang w:val="lv-LV"/>
              </w:rPr>
              <w:t xml:space="preserve">tiek </w:t>
            </w:r>
            <w:r w:rsidR="00E702E2">
              <w:rPr>
                <w:rFonts w:eastAsia="Times New Roman"/>
                <w:iCs/>
                <w:sz w:val="26"/>
                <w:szCs w:val="26"/>
                <w:lang w:val="lv-LV"/>
              </w:rPr>
              <w:t xml:space="preserve">tulkots </w:t>
            </w:r>
            <w:r w:rsidR="00E702E2" w:rsidRPr="00D832BD">
              <w:rPr>
                <w:rFonts w:eastAsia="Times New Roman"/>
                <w:iCs/>
                <w:sz w:val="26"/>
                <w:szCs w:val="26"/>
                <w:lang w:val="lv-LV"/>
              </w:rPr>
              <w:t>atšķirīgi.</w:t>
            </w:r>
            <w:r w:rsidRPr="00D832BD">
              <w:rPr>
                <w:rFonts w:eastAsia="Times New Roman"/>
                <w:iCs/>
                <w:sz w:val="26"/>
                <w:szCs w:val="26"/>
                <w:lang w:val="lv-LV"/>
              </w:rPr>
              <w:t xml:space="preserve"> P</w:t>
            </w:r>
            <w:r w:rsidR="00C14F34">
              <w:rPr>
                <w:rFonts w:eastAsia="Times New Roman"/>
                <w:iCs/>
                <w:sz w:val="26"/>
                <w:szCs w:val="26"/>
                <w:lang w:val="lv-LV"/>
              </w:rPr>
              <w:t>roti</w:t>
            </w:r>
            <w:r w:rsidRPr="00D832BD">
              <w:rPr>
                <w:rFonts w:eastAsia="Times New Roman"/>
                <w:iCs/>
                <w:sz w:val="26"/>
                <w:szCs w:val="26"/>
                <w:lang w:val="lv-LV"/>
              </w:rPr>
              <w:t xml:space="preserve">, </w:t>
            </w:r>
            <w:r w:rsidR="00D832BD" w:rsidRPr="00D832BD">
              <w:rPr>
                <w:rFonts w:eastAsia="Times New Roman"/>
                <w:iCs/>
                <w:sz w:val="26"/>
                <w:szCs w:val="26"/>
                <w:lang w:val="lv-LV"/>
              </w:rPr>
              <w:t>civiltiesiskās atbildības apdrošināšanas polis</w:t>
            </w:r>
            <w:r w:rsidR="00D832BD">
              <w:rPr>
                <w:rFonts w:eastAsia="Times New Roman"/>
                <w:iCs/>
                <w:sz w:val="26"/>
                <w:szCs w:val="26"/>
                <w:lang w:val="lv-LV"/>
              </w:rPr>
              <w:t>ē kā apdrošinātais dažos gadījumos ir</w:t>
            </w:r>
            <w:r w:rsidR="00A1086A">
              <w:rPr>
                <w:rFonts w:eastAsia="Times New Roman"/>
                <w:iCs/>
                <w:sz w:val="26"/>
                <w:szCs w:val="26"/>
                <w:lang w:val="lv-LV"/>
              </w:rPr>
              <w:t xml:space="preserve"> </w:t>
            </w:r>
            <w:r w:rsidR="0016441A">
              <w:rPr>
                <w:rFonts w:eastAsia="Times New Roman"/>
                <w:iCs/>
                <w:sz w:val="26"/>
                <w:szCs w:val="26"/>
                <w:lang w:val="lv-LV"/>
              </w:rPr>
              <w:t>norādīta</w:t>
            </w:r>
            <w:r w:rsidR="00D832BD">
              <w:rPr>
                <w:rFonts w:eastAsia="Times New Roman"/>
                <w:iCs/>
                <w:sz w:val="26"/>
                <w:szCs w:val="26"/>
                <w:lang w:val="lv-LV"/>
              </w:rPr>
              <w:t xml:space="preserve"> juridiskā persona, citos</w:t>
            </w:r>
            <w:r w:rsidR="007E0FCF">
              <w:rPr>
                <w:rFonts w:eastAsia="Times New Roman"/>
                <w:iCs/>
                <w:sz w:val="26"/>
                <w:szCs w:val="26"/>
                <w:lang w:val="lv-LV"/>
              </w:rPr>
              <w:t xml:space="preserve"> </w:t>
            </w:r>
            <w:r w:rsidR="00F94F1A">
              <w:rPr>
                <w:rFonts w:eastAsia="Times New Roman"/>
                <w:iCs/>
                <w:sz w:val="26"/>
                <w:szCs w:val="26"/>
                <w:lang w:val="lv-LV"/>
              </w:rPr>
              <w:t>–</w:t>
            </w:r>
            <w:r w:rsidR="00D832BD">
              <w:rPr>
                <w:rFonts w:eastAsia="Times New Roman"/>
                <w:iCs/>
                <w:sz w:val="26"/>
                <w:szCs w:val="26"/>
                <w:lang w:val="lv-LV"/>
              </w:rPr>
              <w:t xml:space="preserve"> fizisk</w:t>
            </w:r>
            <w:r w:rsidR="00B610FA">
              <w:rPr>
                <w:rFonts w:eastAsia="Times New Roman"/>
                <w:iCs/>
                <w:sz w:val="26"/>
                <w:szCs w:val="26"/>
                <w:lang w:val="lv-LV"/>
              </w:rPr>
              <w:t>a</w:t>
            </w:r>
            <w:r w:rsidR="00D832BD">
              <w:rPr>
                <w:rFonts w:eastAsia="Times New Roman"/>
                <w:iCs/>
                <w:sz w:val="26"/>
                <w:szCs w:val="26"/>
                <w:lang w:val="lv-LV"/>
              </w:rPr>
              <w:t xml:space="preserve"> persona</w:t>
            </w:r>
            <w:r w:rsidR="006A01DA">
              <w:rPr>
                <w:rFonts w:eastAsia="Times New Roman"/>
                <w:iCs/>
                <w:sz w:val="26"/>
                <w:szCs w:val="26"/>
                <w:lang w:val="lv-LV"/>
              </w:rPr>
              <w:t>/</w:t>
            </w:r>
            <w:proofErr w:type="spellStart"/>
            <w:r w:rsidR="006A01DA">
              <w:rPr>
                <w:rFonts w:eastAsia="Times New Roman"/>
                <w:iCs/>
                <w:sz w:val="26"/>
                <w:szCs w:val="26"/>
                <w:lang w:val="lv-LV"/>
              </w:rPr>
              <w:t>as</w:t>
            </w:r>
            <w:proofErr w:type="spellEnd"/>
            <w:r w:rsidR="00D832BD">
              <w:rPr>
                <w:rFonts w:eastAsia="Times New Roman"/>
                <w:iCs/>
                <w:sz w:val="26"/>
                <w:szCs w:val="26"/>
                <w:lang w:val="lv-LV"/>
              </w:rPr>
              <w:t>.</w:t>
            </w:r>
            <w:r w:rsidR="00D832BD" w:rsidRPr="00D832BD">
              <w:rPr>
                <w:rFonts w:eastAsia="Times New Roman"/>
                <w:iCs/>
                <w:sz w:val="26"/>
                <w:szCs w:val="26"/>
                <w:lang w:val="lv-LV"/>
              </w:rPr>
              <w:t xml:space="preserve"> </w:t>
            </w:r>
          </w:p>
          <w:p w14:paraId="61E434EE" w14:textId="4FE3382E" w:rsidR="00D0113D" w:rsidRPr="003C25D1" w:rsidRDefault="00D0113D" w:rsidP="00D0113D">
            <w:pPr>
              <w:spacing w:before="120"/>
              <w:jc w:val="both"/>
              <w:rPr>
                <w:rFonts w:eastAsia="Times New Roman"/>
                <w:iCs/>
                <w:sz w:val="26"/>
                <w:szCs w:val="26"/>
                <w:highlight w:val="yellow"/>
                <w:lang w:val="lv-LV"/>
              </w:rPr>
            </w:pPr>
            <w:r w:rsidRPr="006A01DA">
              <w:rPr>
                <w:rFonts w:eastAsia="Times New Roman"/>
                <w:iCs/>
                <w:sz w:val="26"/>
                <w:szCs w:val="26"/>
                <w:lang w:val="lv-LV"/>
              </w:rPr>
              <w:t>MK Noteikumu projekts paredz precizēt MK Noteikumu Nr.</w:t>
            </w:r>
            <w:r w:rsidR="006A01DA" w:rsidRPr="006A01DA">
              <w:rPr>
                <w:rFonts w:eastAsia="Times New Roman"/>
                <w:iCs/>
                <w:sz w:val="26"/>
                <w:szCs w:val="26"/>
                <w:lang w:val="lv-LV"/>
              </w:rPr>
              <w:t>602</w:t>
            </w:r>
            <w:r w:rsidRPr="006A01DA">
              <w:rPr>
                <w:rFonts w:eastAsia="Times New Roman"/>
                <w:iCs/>
                <w:sz w:val="26"/>
                <w:szCs w:val="26"/>
                <w:lang w:val="lv-LV"/>
              </w:rPr>
              <w:t xml:space="preserve"> </w:t>
            </w:r>
            <w:r w:rsidR="006A01DA" w:rsidRPr="006A01DA">
              <w:rPr>
                <w:rFonts w:eastAsia="Times New Roman"/>
                <w:iCs/>
                <w:sz w:val="26"/>
                <w:szCs w:val="26"/>
                <w:lang w:val="lv-LV"/>
              </w:rPr>
              <w:t>4</w:t>
            </w:r>
            <w:r w:rsidRPr="006A01DA">
              <w:rPr>
                <w:rFonts w:eastAsia="Times New Roman"/>
                <w:iCs/>
                <w:sz w:val="26"/>
                <w:szCs w:val="26"/>
                <w:lang w:val="lv-LV"/>
              </w:rPr>
              <w:t>.</w:t>
            </w:r>
            <w:r w:rsidR="00D84436" w:rsidRPr="006A01DA">
              <w:rPr>
                <w:rFonts w:eastAsia="Times New Roman"/>
                <w:iCs/>
                <w:sz w:val="26"/>
                <w:szCs w:val="26"/>
                <w:lang w:val="lv-LV"/>
              </w:rPr>
              <w:t xml:space="preserve"> </w:t>
            </w:r>
            <w:r w:rsidRPr="006A01DA">
              <w:rPr>
                <w:rFonts w:eastAsia="Times New Roman"/>
                <w:iCs/>
                <w:sz w:val="26"/>
                <w:szCs w:val="26"/>
                <w:lang w:val="lv-LV"/>
              </w:rPr>
              <w:t xml:space="preserve">punktu, nosakot, ka </w:t>
            </w:r>
            <w:r w:rsidR="006A01DA" w:rsidRPr="006A01DA">
              <w:rPr>
                <w:rFonts w:eastAsia="Times New Roman"/>
                <w:iCs/>
                <w:sz w:val="26"/>
                <w:szCs w:val="26"/>
                <w:lang w:val="lv-LV"/>
              </w:rPr>
              <w:t>starpnieks kā juridiskā persona vai personālsabiedrība atbildības apdrošināšanas līgumu slēdz starp vienu starpnieku un apdrošinātāju  vai kolektīvi, iekļaujot tajā vienlaikus vairākus starpniekus, kuri juridiskās personas vai personālsabiedrības vārdā sniedz nekustamā īpašuma darījumu starpniecības pakalpojumus</w:t>
            </w:r>
            <w:r w:rsidR="006A01DA">
              <w:rPr>
                <w:rFonts w:eastAsia="Times New Roman"/>
                <w:iCs/>
                <w:sz w:val="26"/>
                <w:szCs w:val="26"/>
                <w:lang w:val="lv-LV"/>
              </w:rPr>
              <w:t>.</w:t>
            </w:r>
          </w:p>
          <w:p w14:paraId="4AEF3ADC" w14:textId="4383C75F" w:rsidR="001D6554" w:rsidRPr="00A54A30" w:rsidRDefault="00CD2A99" w:rsidP="001D6554">
            <w:pPr>
              <w:spacing w:before="120"/>
              <w:jc w:val="both"/>
              <w:rPr>
                <w:rFonts w:eastAsia="Times New Roman"/>
                <w:iCs/>
                <w:sz w:val="26"/>
                <w:szCs w:val="26"/>
                <w:highlight w:val="yellow"/>
                <w:lang w:val="lv-LV"/>
              </w:rPr>
            </w:pPr>
            <w:r w:rsidRPr="00D832BD">
              <w:rPr>
                <w:rFonts w:eastAsia="Times New Roman"/>
                <w:iCs/>
                <w:sz w:val="26"/>
                <w:szCs w:val="26"/>
                <w:lang w:val="lv-LV"/>
              </w:rPr>
              <w:t>MK Noteikumi Nr.602 paredz, ka</w:t>
            </w:r>
            <w:r w:rsidRPr="00CD2A99">
              <w:rPr>
                <w:lang w:val="lv-LV"/>
              </w:rPr>
              <w:t xml:space="preserve"> </w:t>
            </w:r>
            <w:r w:rsidR="00C447E0" w:rsidRPr="00C447E0">
              <w:rPr>
                <w:sz w:val="26"/>
                <w:szCs w:val="26"/>
                <w:lang w:val="lv-LV"/>
              </w:rPr>
              <w:t>m</w:t>
            </w:r>
            <w:r w:rsidRPr="00CD2A99">
              <w:rPr>
                <w:rFonts w:eastAsia="Times New Roman"/>
                <w:iCs/>
                <w:sz w:val="26"/>
                <w:szCs w:val="26"/>
                <w:lang w:val="lv-LV"/>
              </w:rPr>
              <w:t xml:space="preserve">inimālais starpnieka profesionālās darbības civiltiesiskās atbildības apdrošināšanas limits ir 50 000 </w:t>
            </w:r>
            <w:proofErr w:type="spellStart"/>
            <w:r w:rsidRPr="00047D6C">
              <w:rPr>
                <w:rFonts w:eastAsia="Times New Roman"/>
                <w:i/>
                <w:sz w:val="26"/>
                <w:szCs w:val="26"/>
                <w:lang w:val="lv-LV"/>
              </w:rPr>
              <w:t>euro</w:t>
            </w:r>
            <w:proofErr w:type="spellEnd"/>
            <w:r w:rsidRPr="00CD2A99">
              <w:rPr>
                <w:rFonts w:eastAsia="Times New Roman"/>
                <w:iCs/>
                <w:sz w:val="26"/>
                <w:szCs w:val="26"/>
                <w:lang w:val="lv-LV"/>
              </w:rPr>
              <w:t xml:space="preserve"> gadā</w:t>
            </w:r>
            <w:r>
              <w:rPr>
                <w:rFonts w:eastAsia="Times New Roman"/>
                <w:iCs/>
                <w:sz w:val="26"/>
                <w:szCs w:val="26"/>
                <w:lang w:val="lv-LV"/>
              </w:rPr>
              <w:t xml:space="preserve">. </w:t>
            </w:r>
            <w:r w:rsidR="006A6A8D">
              <w:rPr>
                <w:rFonts w:eastAsia="Times New Roman"/>
                <w:iCs/>
                <w:sz w:val="26"/>
                <w:szCs w:val="26"/>
                <w:lang w:val="lv-LV"/>
              </w:rPr>
              <w:t xml:space="preserve">Nodrošinot praktisku starpnieku reģistrēšanu, </w:t>
            </w:r>
            <w:r w:rsidR="001D6554" w:rsidRPr="00CD2A99">
              <w:rPr>
                <w:rFonts w:eastAsia="Times New Roman"/>
                <w:iCs/>
                <w:sz w:val="26"/>
                <w:szCs w:val="26"/>
                <w:lang w:val="lv-LV"/>
              </w:rPr>
              <w:t xml:space="preserve">Ekonomikas ministrija ir saņēmusi </w:t>
            </w:r>
            <w:r w:rsidR="001D6554" w:rsidRPr="00CD2A99">
              <w:rPr>
                <w:rFonts w:eastAsia="Times New Roman"/>
                <w:iCs/>
                <w:sz w:val="26"/>
                <w:szCs w:val="26"/>
                <w:lang w:val="lv-LV" w:eastAsia="lv-LV"/>
              </w:rPr>
              <w:t>starpnieku</w:t>
            </w:r>
            <w:r w:rsidR="00FC3B49">
              <w:rPr>
                <w:rFonts w:eastAsia="Times New Roman"/>
                <w:iCs/>
                <w:sz w:val="26"/>
                <w:szCs w:val="26"/>
                <w:lang w:val="lv-LV" w:eastAsia="lv-LV"/>
              </w:rPr>
              <w:t xml:space="preserve"> (juridiskās personas vai personālsabiedrības)</w:t>
            </w:r>
            <w:r w:rsidR="001D6554" w:rsidRPr="00CD2A99">
              <w:rPr>
                <w:rFonts w:eastAsia="Times New Roman"/>
                <w:iCs/>
                <w:sz w:val="26"/>
                <w:szCs w:val="26"/>
                <w:lang w:val="lv-LV" w:eastAsia="lv-LV"/>
              </w:rPr>
              <w:t xml:space="preserve"> </w:t>
            </w:r>
            <w:r w:rsidRPr="00CD2A99">
              <w:rPr>
                <w:rFonts w:eastAsia="Times New Roman"/>
                <w:iCs/>
                <w:sz w:val="26"/>
                <w:szCs w:val="26"/>
                <w:lang w:val="lv-LV" w:eastAsia="lv-LV"/>
              </w:rPr>
              <w:t>civiltiesiskās atbildības apdrošināšanas polis</w:t>
            </w:r>
            <w:r>
              <w:rPr>
                <w:rFonts w:eastAsia="Times New Roman"/>
                <w:iCs/>
                <w:sz w:val="26"/>
                <w:szCs w:val="26"/>
                <w:lang w:val="lv-LV" w:eastAsia="lv-LV"/>
              </w:rPr>
              <w:t>es</w:t>
            </w:r>
            <w:r w:rsidR="00FC3B49">
              <w:rPr>
                <w:rFonts w:eastAsia="Times New Roman"/>
                <w:iCs/>
                <w:sz w:val="26"/>
                <w:szCs w:val="26"/>
                <w:lang w:val="lv-LV" w:eastAsia="lv-LV"/>
              </w:rPr>
              <w:t xml:space="preserve"> ar </w:t>
            </w:r>
            <w:r w:rsidR="006A6A8D">
              <w:rPr>
                <w:rFonts w:eastAsia="Times New Roman"/>
                <w:iCs/>
                <w:sz w:val="26"/>
                <w:szCs w:val="26"/>
                <w:lang w:val="lv-LV" w:eastAsia="lv-LV"/>
              </w:rPr>
              <w:t>dažādiem</w:t>
            </w:r>
            <w:r w:rsidR="00FC3B49">
              <w:rPr>
                <w:rFonts w:eastAsia="Times New Roman"/>
                <w:iCs/>
                <w:sz w:val="26"/>
                <w:szCs w:val="26"/>
                <w:lang w:val="lv-LV" w:eastAsia="lv-LV"/>
              </w:rPr>
              <w:t xml:space="preserve"> </w:t>
            </w:r>
            <w:r w:rsidR="00FC3B49" w:rsidRPr="00FC3B49">
              <w:rPr>
                <w:rFonts w:eastAsia="Times New Roman"/>
                <w:iCs/>
                <w:sz w:val="26"/>
                <w:szCs w:val="26"/>
                <w:lang w:val="lv-LV" w:eastAsia="lv-LV"/>
              </w:rPr>
              <w:t>civiltiesiskās atbildības apdrošināšanas limit</w:t>
            </w:r>
            <w:r w:rsidR="006A6A8D">
              <w:rPr>
                <w:rFonts w:eastAsia="Times New Roman"/>
                <w:iCs/>
                <w:sz w:val="26"/>
                <w:szCs w:val="26"/>
                <w:lang w:val="lv-LV" w:eastAsia="lv-LV"/>
              </w:rPr>
              <w:t>iem</w:t>
            </w:r>
            <w:r w:rsidR="00FC3B49">
              <w:rPr>
                <w:rFonts w:eastAsia="Times New Roman"/>
                <w:iCs/>
                <w:sz w:val="26"/>
                <w:szCs w:val="26"/>
                <w:lang w:val="lv-LV" w:eastAsia="lv-LV"/>
              </w:rPr>
              <w:t>. Proti, ja juridiskās personas vai personālsabiedrības vārdā</w:t>
            </w:r>
            <w:r w:rsidR="009B082E">
              <w:rPr>
                <w:rFonts w:eastAsia="Times New Roman"/>
                <w:iCs/>
                <w:sz w:val="26"/>
                <w:szCs w:val="26"/>
                <w:lang w:val="lv-LV" w:eastAsia="lv-LV"/>
              </w:rPr>
              <w:t xml:space="preserve"> </w:t>
            </w:r>
            <w:r w:rsidR="009B082E" w:rsidRPr="00A54A30">
              <w:rPr>
                <w:sz w:val="26"/>
                <w:szCs w:val="26"/>
                <w:lang w:val="lv-LV"/>
              </w:rPr>
              <w:t>nekustamā īpašuma darījumu starpniecības pakalpojumus</w:t>
            </w:r>
            <w:r w:rsidR="009B082E">
              <w:rPr>
                <w:sz w:val="26"/>
                <w:szCs w:val="26"/>
                <w:lang w:val="lv-LV"/>
              </w:rPr>
              <w:t xml:space="preserve"> sniedz</w:t>
            </w:r>
            <w:r w:rsidR="00FC3B49">
              <w:rPr>
                <w:rFonts w:eastAsia="Times New Roman"/>
                <w:iCs/>
                <w:sz w:val="26"/>
                <w:szCs w:val="26"/>
                <w:lang w:val="lv-LV" w:eastAsia="lv-LV"/>
              </w:rPr>
              <w:t xml:space="preserve"> divas fiziskās</w:t>
            </w:r>
            <w:r w:rsidR="00A54A30" w:rsidRPr="00A54A30">
              <w:rPr>
                <w:sz w:val="26"/>
                <w:szCs w:val="26"/>
                <w:lang w:val="lv-LV"/>
              </w:rPr>
              <w:t xml:space="preserve"> personas</w:t>
            </w:r>
            <w:r w:rsidR="009B082E">
              <w:rPr>
                <w:sz w:val="26"/>
                <w:szCs w:val="26"/>
                <w:lang w:val="lv-LV"/>
              </w:rPr>
              <w:t>, tad praksē</w:t>
            </w:r>
            <w:r w:rsidR="00A54A30" w:rsidRPr="00A54A30">
              <w:rPr>
                <w:sz w:val="26"/>
                <w:szCs w:val="26"/>
                <w:lang w:val="lv-LV"/>
              </w:rPr>
              <w:t xml:space="preserve"> </w:t>
            </w:r>
            <w:r w:rsidR="00FC3B49">
              <w:rPr>
                <w:sz w:val="26"/>
                <w:szCs w:val="26"/>
                <w:lang w:val="lv-LV"/>
              </w:rPr>
              <w:t xml:space="preserve">ir saņemtas </w:t>
            </w:r>
            <w:r w:rsidR="00FC3B49" w:rsidRPr="00CD2A99">
              <w:rPr>
                <w:rFonts w:eastAsia="Times New Roman"/>
                <w:iCs/>
                <w:sz w:val="26"/>
                <w:szCs w:val="26"/>
                <w:lang w:val="lv-LV" w:eastAsia="lv-LV"/>
              </w:rPr>
              <w:t>civiltiesiskās atbildības apdrošināšanas polis</w:t>
            </w:r>
            <w:r w:rsidR="00FC3B49">
              <w:rPr>
                <w:rFonts w:eastAsia="Times New Roman"/>
                <w:iCs/>
                <w:sz w:val="26"/>
                <w:szCs w:val="26"/>
                <w:lang w:val="lv-LV" w:eastAsia="lv-LV"/>
              </w:rPr>
              <w:t xml:space="preserve">es ar limitu 50 000 </w:t>
            </w:r>
            <w:proofErr w:type="spellStart"/>
            <w:r w:rsidR="00FC3B49" w:rsidRPr="00047D6C">
              <w:rPr>
                <w:rFonts w:eastAsia="Times New Roman"/>
                <w:i/>
                <w:sz w:val="26"/>
                <w:szCs w:val="26"/>
                <w:lang w:val="lv-LV" w:eastAsia="lv-LV"/>
              </w:rPr>
              <w:t>euro</w:t>
            </w:r>
            <w:proofErr w:type="spellEnd"/>
            <w:r w:rsidR="00FC3B49">
              <w:rPr>
                <w:rFonts w:eastAsia="Times New Roman"/>
                <w:iCs/>
                <w:sz w:val="26"/>
                <w:szCs w:val="26"/>
                <w:lang w:val="lv-LV" w:eastAsia="lv-LV"/>
              </w:rPr>
              <w:t xml:space="preserve"> gadā, </w:t>
            </w:r>
            <w:r w:rsidR="009F5B4E">
              <w:rPr>
                <w:rFonts w:eastAsia="Times New Roman"/>
                <w:iCs/>
                <w:sz w:val="26"/>
                <w:szCs w:val="26"/>
                <w:lang w:val="lv-LV" w:eastAsia="lv-LV"/>
              </w:rPr>
              <w:t>citā</w:t>
            </w:r>
            <w:r w:rsidR="00FC3B49">
              <w:rPr>
                <w:rFonts w:eastAsia="Times New Roman"/>
                <w:iCs/>
                <w:sz w:val="26"/>
                <w:szCs w:val="26"/>
                <w:lang w:val="lv-LV" w:eastAsia="lv-LV"/>
              </w:rPr>
              <w:t xml:space="preserve"> 100 000 </w:t>
            </w:r>
            <w:proofErr w:type="spellStart"/>
            <w:r w:rsidR="00FC3B49" w:rsidRPr="00047D6C">
              <w:rPr>
                <w:rFonts w:eastAsia="Times New Roman"/>
                <w:i/>
                <w:sz w:val="26"/>
                <w:szCs w:val="26"/>
                <w:lang w:val="lv-LV" w:eastAsia="lv-LV"/>
              </w:rPr>
              <w:t>euro</w:t>
            </w:r>
            <w:proofErr w:type="spellEnd"/>
            <w:r w:rsidR="00FC3B49">
              <w:rPr>
                <w:rFonts w:eastAsia="Times New Roman"/>
                <w:iCs/>
                <w:sz w:val="26"/>
                <w:szCs w:val="26"/>
                <w:lang w:val="lv-LV" w:eastAsia="lv-LV"/>
              </w:rPr>
              <w:t xml:space="preserve"> gadā.</w:t>
            </w:r>
          </w:p>
          <w:p w14:paraId="09F04E06" w14:textId="1CFD2B7B" w:rsidR="001129AA" w:rsidRPr="003C25D1" w:rsidRDefault="00373808" w:rsidP="00D0113D">
            <w:pPr>
              <w:spacing w:before="120"/>
              <w:jc w:val="both"/>
              <w:rPr>
                <w:rFonts w:eastAsia="Times New Roman"/>
                <w:iCs/>
                <w:sz w:val="26"/>
                <w:szCs w:val="26"/>
                <w:highlight w:val="yellow"/>
                <w:lang w:val="lv-LV"/>
              </w:rPr>
            </w:pPr>
            <w:r w:rsidRPr="00780C3F">
              <w:rPr>
                <w:rFonts w:eastAsia="Times New Roman"/>
                <w:iCs/>
                <w:sz w:val="26"/>
                <w:szCs w:val="26"/>
                <w:lang w:val="lv-LV" w:eastAsia="lv-LV"/>
              </w:rPr>
              <w:t xml:space="preserve">Ņemot vērā minēto, MK Noteikumu projekts </w:t>
            </w:r>
            <w:r w:rsidR="00B01ED3">
              <w:rPr>
                <w:rFonts w:eastAsia="Times New Roman"/>
                <w:iCs/>
                <w:sz w:val="26"/>
                <w:szCs w:val="26"/>
                <w:lang w:val="lv-LV" w:eastAsia="lv-LV"/>
              </w:rPr>
              <w:t>precizē</w:t>
            </w:r>
            <w:r w:rsidR="00B01ED3" w:rsidRPr="00780C3F">
              <w:rPr>
                <w:rFonts w:eastAsia="Times New Roman"/>
                <w:iCs/>
                <w:sz w:val="26"/>
                <w:szCs w:val="26"/>
                <w:lang w:val="lv-LV" w:eastAsia="lv-LV"/>
              </w:rPr>
              <w:t xml:space="preserve"> </w:t>
            </w:r>
            <w:r w:rsidRPr="00780C3F">
              <w:rPr>
                <w:rFonts w:eastAsia="Times New Roman"/>
                <w:iCs/>
                <w:sz w:val="26"/>
                <w:szCs w:val="26"/>
                <w:lang w:val="lv-LV" w:eastAsia="lv-LV"/>
              </w:rPr>
              <w:t>MK Noteikumu Nr.</w:t>
            </w:r>
            <w:r w:rsidR="0015682A" w:rsidRPr="00780C3F">
              <w:rPr>
                <w:rFonts w:eastAsia="Times New Roman"/>
                <w:iCs/>
                <w:sz w:val="26"/>
                <w:szCs w:val="26"/>
                <w:lang w:val="lv-LV" w:eastAsia="lv-LV"/>
              </w:rPr>
              <w:t>602</w:t>
            </w:r>
            <w:r w:rsidRPr="00780C3F">
              <w:rPr>
                <w:rFonts w:eastAsia="Times New Roman"/>
                <w:iCs/>
                <w:sz w:val="26"/>
                <w:szCs w:val="26"/>
                <w:lang w:val="lv-LV" w:eastAsia="lv-LV"/>
              </w:rPr>
              <w:t xml:space="preserve"> </w:t>
            </w:r>
            <w:r w:rsidR="0073718A" w:rsidRPr="00780C3F">
              <w:rPr>
                <w:rFonts w:eastAsia="Times New Roman"/>
                <w:iCs/>
                <w:sz w:val="26"/>
                <w:szCs w:val="26"/>
                <w:lang w:val="lv-LV" w:eastAsia="lv-LV"/>
              </w:rPr>
              <w:t>6</w:t>
            </w:r>
            <w:r w:rsidRPr="00780C3F">
              <w:rPr>
                <w:rFonts w:eastAsia="Times New Roman"/>
                <w:iCs/>
                <w:sz w:val="26"/>
                <w:szCs w:val="26"/>
                <w:lang w:val="lv-LV" w:eastAsia="lv-LV"/>
              </w:rPr>
              <w:t>.</w:t>
            </w:r>
            <w:r w:rsidR="00B01ED3">
              <w:rPr>
                <w:rFonts w:eastAsia="Times New Roman"/>
                <w:iCs/>
                <w:sz w:val="26"/>
                <w:szCs w:val="26"/>
                <w:lang w:val="lv-LV" w:eastAsia="lv-LV"/>
              </w:rPr>
              <w:t xml:space="preserve"> </w:t>
            </w:r>
            <w:r w:rsidRPr="00780C3F">
              <w:rPr>
                <w:rFonts w:eastAsia="Times New Roman"/>
                <w:iCs/>
                <w:sz w:val="26"/>
                <w:szCs w:val="26"/>
                <w:lang w:val="lv-LV" w:eastAsia="lv-LV"/>
              </w:rPr>
              <w:t xml:space="preserve">punktu, nosakot, ka </w:t>
            </w:r>
            <w:r w:rsidR="00374D9C" w:rsidRPr="00374D9C">
              <w:rPr>
                <w:rFonts w:eastAsia="Times New Roman"/>
                <w:iCs/>
                <w:sz w:val="26"/>
                <w:szCs w:val="26"/>
                <w:lang w:val="lv-LV" w:eastAsia="lv-LV"/>
              </w:rPr>
              <w:t>starpniek</w:t>
            </w:r>
            <w:r w:rsidR="00374D9C">
              <w:rPr>
                <w:rFonts w:eastAsia="Times New Roman"/>
                <w:iCs/>
                <w:sz w:val="26"/>
                <w:szCs w:val="26"/>
                <w:lang w:val="lv-LV" w:eastAsia="lv-LV"/>
              </w:rPr>
              <w:t>a</w:t>
            </w:r>
            <w:r w:rsidR="00374D9C" w:rsidRPr="00374D9C">
              <w:rPr>
                <w:rFonts w:eastAsia="Times New Roman"/>
                <w:iCs/>
                <w:sz w:val="26"/>
                <w:szCs w:val="26"/>
                <w:lang w:val="lv-LV" w:eastAsia="lv-LV"/>
              </w:rPr>
              <w:t xml:space="preserve">  </w:t>
            </w:r>
            <w:r w:rsidR="00374D9C">
              <w:rPr>
                <w:rFonts w:eastAsia="Times New Roman"/>
                <w:iCs/>
                <w:sz w:val="26"/>
                <w:szCs w:val="26"/>
                <w:lang w:val="lv-LV" w:eastAsia="lv-LV"/>
              </w:rPr>
              <w:t>(</w:t>
            </w:r>
            <w:r w:rsidR="00374D9C" w:rsidRPr="00374D9C">
              <w:rPr>
                <w:rFonts w:eastAsia="Times New Roman"/>
                <w:iCs/>
                <w:sz w:val="26"/>
                <w:szCs w:val="26"/>
                <w:lang w:val="lv-LV" w:eastAsia="lv-LV"/>
              </w:rPr>
              <w:t>juridiskā persona vai personālsabiedrība</w:t>
            </w:r>
            <w:r w:rsidR="00374D9C">
              <w:rPr>
                <w:rFonts w:eastAsia="Times New Roman"/>
                <w:iCs/>
                <w:sz w:val="26"/>
                <w:szCs w:val="26"/>
                <w:lang w:val="lv-LV" w:eastAsia="lv-LV"/>
              </w:rPr>
              <w:t xml:space="preserve">) minimālais </w:t>
            </w:r>
            <w:r w:rsidR="00374D9C" w:rsidRPr="00374D9C">
              <w:rPr>
                <w:rFonts w:eastAsia="Times New Roman"/>
                <w:iCs/>
                <w:sz w:val="26"/>
                <w:szCs w:val="26"/>
                <w:lang w:val="lv-LV" w:eastAsia="lv-LV"/>
              </w:rPr>
              <w:t xml:space="preserve"> starpnieka profesionālās darbības civiltiesiskās atbildības apdrošināšanas limits </w:t>
            </w:r>
            <w:r w:rsidR="00B01ED3">
              <w:rPr>
                <w:rFonts w:eastAsia="Times New Roman"/>
                <w:iCs/>
                <w:sz w:val="26"/>
                <w:szCs w:val="26"/>
                <w:lang w:val="lv-LV" w:eastAsia="lv-LV"/>
              </w:rPr>
              <w:t>–</w:t>
            </w:r>
            <w:r w:rsidR="00374D9C" w:rsidRPr="00374D9C">
              <w:rPr>
                <w:rFonts w:eastAsia="Times New Roman"/>
                <w:iCs/>
                <w:sz w:val="26"/>
                <w:szCs w:val="26"/>
                <w:lang w:val="lv-LV" w:eastAsia="lv-LV"/>
              </w:rPr>
              <w:t xml:space="preserve"> 50 000 </w:t>
            </w:r>
            <w:proofErr w:type="spellStart"/>
            <w:r w:rsidR="00374D9C" w:rsidRPr="00047D6C">
              <w:rPr>
                <w:rFonts w:eastAsia="Times New Roman"/>
                <w:i/>
                <w:sz w:val="26"/>
                <w:szCs w:val="26"/>
                <w:lang w:val="lv-LV" w:eastAsia="lv-LV"/>
              </w:rPr>
              <w:t>euro</w:t>
            </w:r>
            <w:proofErr w:type="spellEnd"/>
            <w:r w:rsidR="00374D9C" w:rsidRPr="00374D9C">
              <w:rPr>
                <w:rFonts w:eastAsia="Times New Roman"/>
                <w:iCs/>
                <w:sz w:val="26"/>
                <w:szCs w:val="26"/>
                <w:lang w:val="lv-LV" w:eastAsia="lv-LV"/>
              </w:rPr>
              <w:t xml:space="preserve"> gadā par katru fizisko personu, kura juridiskās personas vai personālsabiedrības vārdā sniedz nekustamā īpašuma darījumu starpniecības pakalpojumus</w:t>
            </w:r>
            <w:r w:rsidR="001F457D">
              <w:rPr>
                <w:rFonts w:eastAsia="Times New Roman"/>
                <w:iCs/>
                <w:sz w:val="26"/>
                <w:szCs w:val="26"/>
                <w:lang w:val="lv-LV" w:eastAsia="lv-LV"/>
              </w:rPr>
              <w:t>.</w:t>
            </w:r>
          </w:p>
        </w:tc>
      </w:tr>
      <w:tr w:rsidR="00844176" w:rsidRPr="00642478" w14:paraId="41041CF1" w14:textId="77777777" w:rsidTr="00C72D2B">
        <w:trPr>
          <w:trHeight w:val="465"/>
          <w:tblCellSpacing w:w="20" w:type="dxa"/>
        </w:trPr>
        <w:tc>
          <w:tcPr>
            <w:tcW w:w="418" w:type="dxa"/>
            <w:hideMark/>
          </w:tcPr>
          <w:p w14:paraId="5CAB363A"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lastRenderedPageBreak/>
              <w:t>3.</w:t>
            </w:r>
          </w:p>
        </w:tc>
        <w:tc>
          <w:tcPr>
            <w:tcW w:w="1883" w:type="dxa"/>
            <w:hideMark/>
          </w:tcPr>
          <w:p w14:paraId="2F4C459C" w14:textId="2F738161" w:rsidR="00844176" w:rsidRPr="006640AA" w:rsidRDefault="00557B17" w:rsidP="00B043DE">
            <w:pPr>
              <w:contextualSpacing/>
              <w:rPr>
                <w:rFonts w:eastAsia="Times New Roman"/>
                <w:sz w:val="26"/>
                <w:szCs w:val="26"/>
                <w:lang w:val="lv-LV" w:eastAsia="lv-LV"/>
              </w:rPr>
            </w:pPr>
            <w:r w:rsidRPr="006640AA">
              <w:rPr>
                <w:sz w:val="26"/>
                <w:szCs w:val="26"/>
                <w:lang w:val="lv-LV"/>
              </w:rPr>
              <w:t>Projekta izstrādē iesaistītās institūcijas un publiskas personas kapitālsabiedrības</w:t>
            </w:r>
          </w:p>
        </w:tc>
        <w:tc>
          <w:tcPr>
            <w:tcW w:w="7047" w:type="dxa"/>
            <w:hideMark/>
          </w:tcPr>
          <w:p w14:paraId="1C1732C9" w14:textId="24927F63" w:rsidR="00844176" w:rsidRPr="002A0F87" w:rsidRDefault="002A0F87" w:rsidP="00B043DE">
            <w:pPr>
              <w:ind w:left="-31"/>
              <w:contextualSpacing/>
              <w:rPr>
                <w:rFonts w:eastAsia="Times New Roman"/>
                <w:sz w:val="26"/>
                <w:szCs w:val="26"/>
                <w:lang w:val="lv-LV" w:eastAsia="lv-LV"/>
              </w:rPr>
            </w:pPr>
            <w:r w:rsidRPr="002A0F87">
              <w:rPr>
                <w:rFonts w:eastAsia="Times New Roman"/>
                <w:iCs/>
                <w:sz w:val="26"/>
                <w:szCs w:val="26"/>
                <w:lang w:val="lv-LV" w:eastAsia="lv-LV"/>
              </w:rPr>
              <w:t>Ekonomikas ministrija</w:t>
            </w:r>
          </w:p>
        </w:tc>
      </w:tr>
      <w:tr w:rsidR="00844176" w:rsidRPr="006640AA" w14:paraId="3C98D228" w14:textId="77777777" w:rsidTr="00C72D2B">
        <w:trPr>
          <w:tblCellSpacing w:w="20" w:type="dxa"/>
        </w:trPr>
        <w:tc>
          <w:tcPr>
            <w:tcW w:w="418" w:type="dxa"/>
            <w:hideMark/>
          </w:tcPr>
          <w:p w14:paraId="55D70DCF"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t>4.</w:t>
            </w:r>
          </w:p>
        </w:tc>
        <w:tc>
          <w:tcPr>
            <w:tcW w:w="1883" w:type="dxa"/>
            <w:hideMark/>
          </w:tcPr>
          <w:p w14:paraId="3639AA3F" w14:textId="77777777" w:rsidR="00844176" w:rsidRPr="006640AA" w:rsidRDefault="00844176" w:rsidP="00B043DE">
            <w:pPr>
              <w:contextualSpacing/>
              <w:rPr>
                <w:rFonts w:eastAsia="Times New Roman"/>
                <w:sz w:val="26"/>
                <w:szCs w:val="26"/>
                <w:lang w:val="lv-LV" w:eastAsia="lv-LV"/>
              </w:rPr>
            </w:pPr>
            <w:r w:rsidRPr="006640AA">
              <w:rPr>
                <w:sz w:val="26"/>
                <w:szCs w:val="26"/>
                <w:lang w:val="lv-LV"/>
              </w:rPr>
              <w:t>Cita informācija</w:t>
            </w:r>
          </w:p>
        </w:tc>
        <w:tc>
          <w:tcPr>
            <w:tcW w:w="7047" w:type="dxa"/>
            <w:hideMark/>
          </w:tcPr>
          <w:p w14:paraId="5D4509E1" w14:textId="72CDA336" w:rsidR="00844176" w:rsidRPr="006640AA" w:rsidRDefault="00844176" w:rsidP="00B043DE">
            <w:pPr>
              <w:contextualSpacing/>
              <w:rPr>
                <w:rFonts w:eastAsia="Times New Roman"/>
                <w:sz w:val="26"/>
                <w:szCs w:val="26"/>
                <w:lang w:val="lv-LV" w:eastAsia="lv-LV"/>
              </w:rPr>
            </w:pPr>
            <w:r w:rsidRPr="006640AA">
              <w:rPr>
                <w:sz w:val="26"/>
                <w:szCs w:val="26"/>
                <w:lang w:val="lv-LV"/>
              </w:rPr>
              <w:t>Nav</w:t>
            </w:r>
            <w:r w:rsidR="002C749F">
              <w:rPr>
                <w:sz w:val="26"/>
                <w:szCs w:val="26"/>
                <w:lang w:val="lv-LV"/>
              </w:rPr>
              <w:t>.</w:t>
            </w:r>
            <w:r w:rsidRPr="006640AA">
              <w:rPr>
                <w:sz w:val="26"/>
                <w:szCs w:val="26"/>
                <w:lang w:val="lv-LV"/>
              </w:rPr>
              <w:t xml:space="preserve"> </w:t>
            </w:r>
          </w:p>
        </w:tc>
      </w:tr>
    </w:tbl>
    <w:p w14:paraId="00447F19" w14:textId="3BFE4D51" w:rsidR="009A00EB" w:rsidRPr="006640AA" w:rsidRDefault="009A00EB" w:rsidP="00B043DE">
      <w:pPr>
        <w:contextualSpacing/>
        <w:rPr>
          <w:rFonts w:eastAsia="Times New Roman"/>
          <w:sz w:val="26"/>
          <w:szCs w:val="26"/>
          <w:lang w:val="lv-LV" w:eastAsia="lv-LV"/>
        </w:rPr>
      </w:pPr>
    </w:p>
    <w:tbl>
      <w:tblPr>
        <w:tblW w:w="935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345"/>
        <w:gridCol w:w="2711"/>
        <w:gridCol w:w="6295"/>
      </w:tblGrid>
      <w:tr w:rsidR="00844176" w:rsidRPr="00922D66" w14:paraId="5271E387" w14:textId="77777777" w:rsidTr="00C72D2B">
        <w:trPr>
          <w:trHeight w:val="555"/>
          <w:tblCellSpacing w:w="20" w:type="dxa"/>
        </w:trPr>
        <w:tc>
          <w:tcPr>
            <w:tcW w:w="9351" w:type="dxa"/>
            <w:gridSpan w:val="3"/>
            <w:hideMark/>
          </w:tcPr>
          <w:p w14:paraId="4DC32511" w14:textId="2050B5AE" w:rsidR="00844176" w:rsidRPr="006640AA" w:rsidRDefault="009A00EB" w:rsidP="00B043DE">
            <w:pPr>
              <w:contextualSpacing/>
              <w:jc w:val="center"/>
              <w:rPr>
                <w:rFonts w:eastAsia="Times New Roman"/>
                <w:sz w:val="26"/>
                <w:szCs w:val="26"/>
                <w:lang w:val="lv-LV" w:eastAsia="lv-LV"/>
              </w:rPr>
            </w:pPr>
            <w:r w:rsidRPr="006640AA">
              <w:rPr>
                <w:rFonts w:eastAsia="Times New Roman"/>
                <w:b/>
                <w:bCs/>
                <w:sz w:val="26"/>
                <w:szCs w:val="26"/>
                <w:lang w:val="lv-LV" w:eastAsia="lv-LV"/>
              </w:rPr>
              <w:t>II. Tiesību akta projekta ietekme uz sabiedrību, tautsaimniecības attīstību un administratīvo slogu</w:t>
            </w:r>
          </w:p>
        </w:tc>
      </w:tr>
      <w:tr w:rsidR="00A76C0A" w:rsidRPr="00922D66" w14:paraId="7F8630C6" w14:textId="77777777" w:rsidTr="00C72D2B">
        <w:trPr>
          <w:trHeight w:val="465"/>
          <w:tblCellSpacing w:w="20" w:type="dxa"/>
        </w:trPr>
        <w:tc>
          <w:tcPr>
            <w:tcW w:w="270" w:type="dxa"/>
            <w:hideMark/>
          </w:tcPr>
          <w:p w14:paraId="523CFEBF" w14:textId="77777777"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t>1.</w:t>
            </w:r>
          </w:p>
        </w:tc>
        <w:tc>
          <w:tcPr>
            <w:tcW w:w="2702" w:type="dxa"/>
            <w:hideMark/>
          </w:tcPr>
          <w:p w14:paraId="0905C526" w14:textId="640FE822"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t xml:space="preserve">Sabiedrības </w:t>
            </w:r>
            <w:proofErr w:type="spellStart"/>
            <w:r w:rsidRPr="006640AA">
              <w:rPr>
                <w:rFonts w:eastAsia="Times New Roman"/>
                <w:sz w:val="26"/>
                <w:szCs w:val="26"/>
                <w:lang w:val="lv-LV" w:eastAsia="lv-LV"/>
              </w:rPr>
              <w:t>mēr</w:t>
            </w:r>
            <w:r w:rsidR="00FD7C45">
              <w:rPr>
                <w:rFonts w:eastAsia="Times New Roman"/>
                <w:sz w:val="26"/>
                <w:szCs w:val="26"/>
                <w:lang w:val="lv-LV" w:eastAsia="lv-LV"/>
              </w:rPr>
              <w:t>ķ</w:t>
            </w:r>
            <w:r w:rsidRPr="006640AA">
              <w:rPr>
                <w:rFonts w:eastAsia="Times New Roman"/>
                <w:sz w:val="26"/>
                <w:szCs w:val="26"/>
                <w:lang w:val="lv-LV" w:eastAsia="lv-LV"/>
              </w:rPr>
              <w:t>grupas</w:t>
            </w:r>
            <w:proofErr w:type="spellEnd"/>
            <w:r w:rsidRPr="006640AA">
              <w:rPr>
                <w:rFonts w:eastAsia="Times New Roman"/>
                <w:sz w:val="26"/>
                <w:szCs w:val="26"/>
                <w:lang w:val="lv-LV" w:eastAsia="lv-LV"/>
              </w:rPr>
              <w:t xml:space="preserve">, kuras tiesiskais </w:t>
            </w:r>
            <w:r w:rsidRPr="006640AA">
              <w:rPr>
                <w:rFonts w:eastAsia="Times New Roman"/>
                <w:sz w:val="26"/>
                <w:szCs w:val="26"/>
                <w:lang w:val="lv-LV" w:eastAsia="lv-LV"/>
              </w:rPr>
              <w:lastRenderedPageBreak/>
              <w:t>regulējums ietekmē vai varētu ietekmēt</w:t>
            </w:r>
          </w:p>
        </w:tc>
        <w:tc>
          <w:tcPr>
            <w:tcW w:w="6379" w:type="dxa"/>
            <w:hideMark/>
          </w:tcPr>
          <w:p w14:paraId="3D68FB87" w14:textId="27AC28DA" w:rsidR="005E6955" w:rsidRPr="00ED6CC7" w:rsidRDefault="00003583" w:rsidP="00ED6CC7">
            <w:pPr>
              <w:ind w:right="201"/>
              <w:contextualSpacing/>
              <w:jc w:val="both"/>
              <w:rPr>
                <w:sz w:val="26"/>
                <w:szCs w:val="26"/>
                <w:lang w:val="lv-LV"/>
              </w:rPr>
            </w:pPr>
            <w:r w:rsidRPr="00003583">
              <w:rPr>
                <w:rFonts w:eastAsia="Times New Roman"/>
                <w:iCs/>
                <w:sz w:val="26"/>
                <w:szCs w:val="26"/>
                <w:lang w:val="lv-LV" w:eastAsia="lv-LV"/>
              </w:rPr>
              <w:lastRenderedPageBreak/>
              <w:t xml:space="preserve">Noteikumu projekts attiecināms uz nekustamā īpašuma darījumu starpniekiem – privātpersonām, kas sniedz nekustamā īpašuma darījumu starpniecības </w:t>
            </w:r>
            <w:r w:rsidRPr="00003583">
              <w:rPr>
                <w:rFonts w:eastAsia="Times New Roman"/>
                <w:iCs/>
                <w:sz w:val="26"/>
                <w:szCs w:val="26"/>
                <w:lang w:val="lv-LV" w:eastAsia="lv-LV"/>
              </w:rPr>
              <w:lastRenderedPageBreak/>
              <w:t>pakalpojumus</w:t>
            </w:r>
            <w:r w:rsidR="00ED6CC7" w:rsidRPr="00ED6CC7">
              <w:rPr>
                <w:rFonts w:eastAsia="Times New Roman"/>
                <w:iCs/>
                <w:sz w:val="26"/>
                <w:szCs w:val="26"/>
                <w:lang w:val="lv-LV" w:eastAsia="lv-LV"/>
              </w:rPr>
              <w:t>.</w:t>
            </w:r>
            <w:r w:rsidR="002E1779">
              <w:rPr>
                <w:rFonts w:eastAsia="Times New Roman"/>
                <w:iCs/>
                <w:sz w:val="26"/>
                <w:szCs w:val="26"/>
                <w:lang w:val="lv-LV" w:eastAsia="lv-LV"/>
              </w:rPr>
              <w:t xml:space="preserve"> Laika posmā no 2020. gada 1.</w:t>
            </w:r>
            <w:r w:rsidR="00E8656A">
              <w:rPr>
                <w:rFonts w:eastAsia="Times New Roman"/>
                <w:iCs/>
                <w:sz w:val="26"/>
                <w:szCs w:val="26"/>
                <w:lang w:val="lv-LV" w:eastAsia="lv-LV"/>
              </w:rPr>
              <w:t xml:space="preserve"> </w:t>
            </w:r>
            <w:r w:rsidR="002E1779">
              <w:rPr>
                <w:rFonts w:eastAsia="Times New Roman"/>
                <w:iCs/>
                <w:sz w:val="26"/>
                <w:szCs w:val="26"/>
                <w:lang w:val="lv-LV" w:eastAsia="lv-LV"/>
              </w:rPr>
              <w:t>augusta līdz 2021.</w:t>
            </w:r>
            <w:r w:rsidR="00E8656A">
              <w:rPr>
                <w:rFonts w:eastAsia="Times New Roman"/>
                <w:iCs/>
                <w:sz w:val="26"/>
                <w:szCs w:val="26"/>
                <w:lang w:val="lv-LV" w:eastAsia="lv-LV"/>
              </w:rPr>
              <w:t xml:space="preserve"> </w:t>
            </w:r>
            <w:r w:rsidR="002E1779">
              <w:rPr>
                <w:rFonts w:eastAsia="Times New Roman"/>
                <w:iCs/>
                <w:sz w:val="26"/>
                <w:szCs w:val="26"/>
                <w:lang w:val="lv-LV" w:eastAsia="lv-LV"/>
              </w:rPr>
              <w:t xml:space="preserve">gada </w:t>
            </w:r>
            <w:r w:rsidR="007727F0" w:rsidRPr="007727F0">
              <w:rPr>
                <w:rFonts w:eastAsia="Times New Roman"/>
                <w:iCs/>
                <w:sz w:val="26"/>
                <w:szCs w:val="26"/>
                <w:lang w:val="lv-LV" w:eastAsia="lv-LV"/>
              </w:rPr>
              <w:t>7</w:t>
            </w:r>
            <w:r w:rsidRPr="007727F0">
              <w:rPr>
                <w:rFonts w:eastAsia="Times New Roman"/>
                <w:iCs/>
                <w:sz w:val="26"/>
                <w:szCs w:val="26"/>
                <w:lang w:val="lv-LV" w:eastAsia="lv-LV"/>
              </w:rPr>
              <w:t>.</w:t>
            </w:r>
            <w:r w:rsidR="00E8656A">
              <w:rPr>
                <w:rFonts w:eastAsia="Times New Roman"/>
                <w:iCs/>
                <w:sz w:val="26"/>
                <w:szCs w:val="26"/>
                <w:lang w:val="lv-LV" w:eastAsia="lv-LV"/>
              </w:rPr>
              <w:t xml:space="preserve"> </w:t>
            </w:r>
            <w:r w:rsidR="006051A6">
              <w:rPr>
                <w:rFonts w:eastAsia="Times New Roman"/>
                <w:iCs/>
                <w:sz w:val="26"/>
                <w:szCs w:val="26"/>
                <w:lang w:val="lv-LV" w:eastAsia="lv-LV"/>
              </w:rPr>
              <w:t>jūlijam</w:t>
            </w:r>
            <w:r w:rsidR="002E1779">
              <w:rPr>
                <w:rFonts w:eastAsia="Times New Roman"/>
                <w:iCs/>
                <w:sz w:val="26"/>
                <w:szCs w:val="26"/>
                <w:lang w:val="lv-LV" w:eastAsia="lv-LV"/>
              </w:rPr>
              <w:t xml:space="preserve"> nekustamā īpašuma darījumu reģistrā ir reģistrēti </w:t>
            </w:r>
            <w:r w:rsidR="006051A6">
              <w:rPr>
                <w:rFonts w:eastAsia="Times New Roman"/>
                <w:iCs/>
                <w:sz w:val="26"/>
                <w:szCs w:val="26"/>
                <w:lang w:val="lv-LV" w:eastAsia="lv-LV"/>
              </w:rPr>
              <w:t>296</w:t>
            </w:r>
            <w:r w:rsidR="002E1779">
              <w:rPr>
                <w:rFonts w:eastAsia="Times New Roman"/>
                <w:iCs/>
                <w:sz w:val="26"/>
                <w:szCs w:val="26"/>
                <w:lang w:val="lv-LV" w:eastAsia="lv-LV"/>
              </w:rPr>
              <w:t xml:space="preserve"> starpniek</w:t>
            </w:r>
            <w:r w:rsidR="0025130F">
              <w:rPr>
                <w:rFonts w:eastAsia="Times New Roman"/>
                <w:iCs/>
                <w:sz w:val="26"/>
                <w:szCs w:val="26"/>
                <w:lang w:val="lv-LV" w:eastAsia="lv-LV"/>
              </w:rPr>
              <w:t>i</w:t>
            </w:r>
            <w:r w:rsidR="006051A6">
              <w:rPr>
                <w:rFonts w:eastAsia="Times New Roman"/>
                <w:iCs/>
                <w:sz w:val="26"/>
                <w:szCs w:val="26"/>
                <w:lang w:val="lv-LV" w:eastAsia="lv-LV"/>
              </w:rPr>
              <w:t>.</w:t>
            </w:r>
          </w:p>
        </w:tc>
      </w:tr>
      <w:tr w:rsidR="00A76C0A" w:rsidRPr="00922D66" w14:paraId="718E705D" w14:textId="77777777" w:rsidTr="00C72D2B">
        <w:trPr>
          <w:trHeight w:val="510"/>
          <w:tblCellSpacing w:w="20" w:type="dxa"/>
        </w:trPr>
        <w:tc>
          <w:tcPr>
            <w:tcW w:w="270" w:type="dxa"/>
            <w:hideMark/>
          </w:tcPr>
          <w:p w14:paraId="5A0A07C0" w14:textId="77777777"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lastRenderedPageBreak/>
              <w:t>2.</w:t>
            </w:r>
          </w:p>
        </w:tc>
        <w:tc>
          <w:tcPr>
            <w:tcW w:w="2702" w:type="dxa"/>
            <w:hideMark/>
          </w:tcPr>
          <w:p w14:paraId="4DD83946" w14:textId="77777777"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t>Tiesiskā regulējuma ietekme uz tautsaimniecību un administratīvo slogu</w:t>
            </w:r>
          </w:p>
        </w:tc>
        <w:tc>
          <w:tcPr>
            <w:tcW w:w="6379" w:type="dxa"/>
            <w:hideMark/>
          </w:tcPr>
          <w:p w14:paraId="14015604" w14:textId="77777777" w:rsidR="008F03F7" w:rsidRPr="008F03F7" w:rsidRDefault="008F03F7" w:rsidP="008F03F7">
            <w:pPr>
              <w:pStyle w:val="BodyText"/>
              <w:ind w:right="201"/>
              <w:contextualSpacing/>
              <w:rPr>
                <w:rFonts w:eastAsia="Calibri"/>
                <w:sz w:val="26"/>
                <w:szCs w:val="26"/>
                <w:lang w:eastAsia="en-US"/>
              </w:rPr>
            </w:pPr>
            <w:r w:rsidRPr="008F03F7">
              <w:rPr>
                <w:rFonts w:eastAsia="Calibri"/>
                <w:sz w:val="26"/>
                <w:szCs w:val="26"/>
                <w:lang w:eastAsia="en-US"/>
              </w:rPr>
              <w:t>Projekts neparedz ietekmi uz administratīvo slogu, jo regulējums pēc būtības nemaina pienākumus.</w:t>
            </w:r>
          </w:p>
          <w:p w14:paraId="309FA251" w14:textId="77777777" w:rsidR="009A00EB" w:rsidRDefault="008F03F7" w:rsidP="008F03F7">
            <w:pPr>
              <w:jc w:val="both"/>
              <w:rPr>
                <w:sz w:val="26"/>
                <w:szCs w:val="26"/>
                <w:lang w:val="lv-LV"/>
              </w:rPr>
            </w:pPr>
            <w:r w:rsidRPr="008F03F7">
              <w:rPr>
                <w:sz w:val="26"/>
                <w:szCs w:val="26"/>
                <w:lang w:val="lv-LV"/>
              </w:rPr>
              <w:t>Projektā ietvertā tiesiskā regulējuma īstenošana tiks nodrošināta esošo resursu ietvaros un neprasa papildus resursus</w:t>
            </w:r>
            <w:r w:rsidR="000874E6">
              <w:rPr>
                <w:sz w:val="26"/>
                <w:szCs w:val="26"/>
                <w:lang w:val="lv-LV"/>
              </w:rPr>
              <w:t>.</w:t>
            </w:r>
          </w:p>
          <w:p w14:paraId="33918B01" w14:textId="5348F303" w:rsidR="00AA6F3A" w:rsidRPr="003850E7" w:rsidRDefault="00AA6F3A" w:rsidP="008F03F7">
            <w:pPr>
              <w:jc w:val="both"/>
              <w:rPr>
                <w:sz w:val="26"/>
                <w:szCs w:val="26"/>
                <w:lang w:val="lv-LV"/>
              </w:rPr>
            </w:pPr>
          </w:p>
        </w:tc>
      </w:tr>
      <w:tr w:rsidR="00A76C0A" w:rsidRPr="006640AA" w14:paraId="6AF18C8D" w14:textId="77777777" w:rsidTr="00C72D2B">
        <w:trPr>
          <w:trHeight w:val="510"/>
          <w:tblCellSpacing w:w="20" w:type="dxa"/>
        </w:trPr>
        <w:tc>
          <w:tcPr>
            <w:tcW w:w="270" w:type="dxa"/>
            <w:hideMark/>
          </w:tcPr>
          <w:p w14:paraId="0079992C" w14:textId="77777777"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t>3.</w:t>
            </w:r>
          </w:p>
        </w:tc>
        <w:tc>
          <w:tcPr>
            <w:tcW w:w="2702" w:type="dxa"/>
            <w:hideMark/>
          </w:tcPr>
          <w:p w14:paraId="53F5EA5A" w14:textId="77777777" w:rsidR="009A00EB" w:rsidRPr="006640AA" w:rsidRDefault="009A00EB" w:rsidP="00B043DE">
            <w:pPr>
              <w:contextualSpacing/>
              <w:rPr>
                <w:rFonts w:eastAsia="Times New Roman"/>
                <w:sz w:val="26"/>
                <w:szCs w:val="26"/>
                <w:lang w:val="lv-LV" w:eastAsia="lv-LV"/>
              </w:rPr>
            </w:pPr>
            <w:r w:rsidRPr="006640AA">
              <w:rPr>
                <w:rFonts w:eastAsia="Times New Roman"/>
                <w:sz w:val="26"/>
                <w:szCs w:val="26"/>
                <w:lang w:val="lv-LV" w:eastAsia="lv-LV"/>
              </w:rPr>
              <w:t>Administratīvo izmaksu monetārs novērtējums</w:t>
            </w:r>
          </w:p>
        </w:tc>
        <w:tc>
          <w:tcPr>
            <w:tcW w:w="6379" w:type="dxa"/>
            <w:hideMark/>
          </w:tcPr>
          <w:p w14:paraId="1C2C4F79" w14:textId="4B21D32D" w:rsidR="009A00EB" w:rsidRPr="006640AA" w:rsidRDefault="007A189E" w:rsidP="00B043DE">
            <w:pPr>
              <w:pStyle w:val="BodyText"/>
              <w:ind w:right="201"/>
              <w:contextualSpacing/>
              <w:rPr>
                <w:rFonts w:eastAsia="Calibri"/>
                <w:sz w:val="26"/>
                <w:szCs w:val="26"/>
                <w:lang w:eastAsia="en-US"/>
              </w:rPr>
            </w:pPr>
            <w:r>
              <w:rPr>
                <w:iCs/>
                <w:sz w:val="26"/>
                <w:szCs w:val="26"/>
              </w:rPr>
              <w:t>P</w:t>
            </w:r>
            <w:r w:rsidR="003D0F93" w:rsidRPr="006640AA">
              <w:rPr>
                <w:iCs/>
                <w:sz w:val="26"/>
                <w:szCs w:val="26"/>
              </w:rPr>
              <w:t>rojekts</w:t>
            </w:r>
            <w:r w:rsidR="003D0F93" w:rsidRPr="006640AA" w:rsidDel="003D0F93">
              <w:rPr>
                <w:rFonts w:eastAsia="Calibri"/>
                <w:sz w:val="26"/>
                <w:szCs w:val="26"/>
                <w:lang w:eastAsia="en-US"/>
              </w:rPr>
              <w:t xml:space="preserve"> </w:t>
            </w:r>
            <w:r w:rsidR="009A00EB" w:rsidRPr="006640AA">
              <w:rPr>
                <w:rFonts w:eastAsia="Calibri"/>
                <w:sz w:val="26"/>
                <w:szCs w:val="26"/>
                <w:lang w:eastAsia="en-US"/>
              </w:rPr>
              <w:t>šo jomu neskar</w:t>
            </w:r>
            <w:r w:rsidR="006900EA" w:rsidRPr="006640AA">
              <w:rPr>
                <w:rFonts w:eastAsia="Calibri"/>
                <w:sz w:val="26"/>
                <w:szCs w:val="26"/>
                <w:lang w:eastAsia="en-US"/>
              </w:rPr>
              <w:t>.</w:t>
            </w:r>
          </w:p>
        </w:tc>
      </w:tr>
      <w:tr w:rsidR="008F594F" w:rsidRPr="006640AA" w14:paraId="259E0982" w14:textId="77777777" w:rsidTr="00C72D2B">
        <w:trPr>
          <w:trHeight w:val="510"/>
          <w:tblCellSpacing w:w="20" w:type="dxa"/>
        </w:trPr>
        <w:tc>
          <w:tcPr>
            <w:tcW w:w="270" w:type="dxa"/>
          </w:tcPr>
          <w:p w14:paraId="4FA9F4E2" w14:textId="77777777" w:rsidR="008F594F" w:rsidRPr="006640AA" w:rsidRDefault="008F594F" w:rsidP="008F594F">
            <w:pPr>
              <w:contextualSpacing/>
              <w:rPr>
                <w:rFonts w:eastAsia="Times New Roman"/>
                <w:sz w:val="26"/>
                <w:szCs w:val="26"/>
                <w:lang w:val="lv-LV" w:eastAsia="lv-LV"/>
              </w:rPr>
            </w:pPr>
            <w:r w:rsidRPr="006640AA">
              <w:rPr>
                <w:rFonts w:eastAsia="Times New Roman"/>
                <w:sz w:val="26"/>
                <w:szCs w:val="26"/>
                <w:lang w:val="lv-LV" w:eastAsia="lv-LV"/>
              </w:rPr>
              <w:t>4.</w:t>
            </w:r>
          </w:p>
        </w:tc>
        <w:tc>
          <w:tcPr>
            <w:tcW w:w="2702" w:type="dxa"/>
          </w:tcPr>
          <w:p w14:paraId="46245F16" w14:textId="77777777" w:rsidR="008F594F" w:rsidRPr="006640AA" w:rsidRDefault="008F594F" w:rsidP="008F594F">
            <w:pPr>
              <w:contextualSpacing/>
              <w:rPr>
                <w:rFonts w:eastAsia="Times New Roman"/>
                <w:sz w:val="26"/>
                <w:szCs w:val="26"/>
                <w:lang w:val="lv-LV" w:eastAsia="lv-LV"/>
              </w:rPr>
            </w:pPr>
            <w:r w:rsidRPr="006640AA">
              <w:rPr>
                <w:rFonts w:eastAsia="Times New Roman"/>
                <w:sz w:val="26"/>
                <w:szCs w:val="26"/>
                <w:lang w:val="lv-LV" w:eastAsia="lv-LV"/>
              </w:rPr>
              <w:t>Atbilstības izmaksu monetārs novērtējums</w:t>
            </w:r>
          </w:p>
        </w:tc>
        <w:tc>
          <w:tcPr>
            <w:tcW w:w="6379" w:type="dxa"/>
          </w:tcPr>
          <w:p w14:paraId="7C60B8CA" w14:textId="5F375DB5" w:rsidR="008F594F" w:rsidRPr="008F594F" w:rsidRDefault="00284ADB" w:rsidP="008F594F">
            <w:pPr>
              <w:pStyle w:val="BodyText"/>
              <w:ind w:right="201"/>
              <w:contextualSpacing/>
              <w:rPr>
                <w:rFonts w:eastAsia="Calibri"/>
                <w:sz w:val="26"/>
                <w:szCs w:val="26"/>
                <w:lang w:eastAsia="en-US"/>
              </w:rPr>
            </w:pPr>
            <w:r>
              <w:rPr>
                <w:rFonts w:eastAsia="Calibri"/>
                <w:sz w:val="26"/>
                <w:szCs w:val="26"/>
                <w:lang w:eastAsia="en-US"/>
              </w:rPr>
              <w:t>Projekts šo jomu neskar.</w:t>
            </w:r>
          </w:p>
        </w:tc>
      </w:tr>
      <w:tr w:rsidR="008F594F" w:rsidRPr="006640AA" w14:paraId="14FCA979" w14:textId="77777777" w:rsidTr="00C72D2B">
        <w:trPr>
          <w:trHeight w:val="345"/>
          <w:tblCellSpacing w:w="20" w:type="dxa"/>
        </w:trPr>
        <w:tc>
          <w:tcPr>
            <w:tcW w:w="270" w:type="dxa"/>
            <w:hideMark/>
          </w:tcPr>
          <w:p w14:paraId="3ADF77E6" w14:textId="77777777" w:rsidR="008F594F" w:rsidRPr="006640AA" w:rsidRDefault="008F594F" w:rsidP="008F594F">
            <w:pPr>
              <w:contextualSpacing/>
              <w:rPr>
                <w:rFonts w:eastAsia="Times New Roman"/>
                <w:sz w:val="26"/>
                <w:szCs w:val="26"/>
                <w:lang w:val="lv-LV" w:eastAsia="lv-LV"/>
              </w:rPr>
            </w:pPr>
            <w:r w:rsidRPr="006640AA">
              <w:rPr>
                <w:rFonts w:eastAsia="Times New Roman"/>
                <w:sz w:val="26"/>
                <w:szCs w:val="26"/>
                <w:lang w:val="lv-LV" w:eastAsia="lv-LV"/>
              </w:rPr>
              <w:t>5.</w:t>
            </w:r>
          </w:p>
        </w:tc>
        <w:tc>
          <w:tcPr>
            <w:tcW w:w="2702" w:type="dxa"/>
            <w:hideMark/>
          </w:tcPr>
          <w:p w14:paraId="2A078AD2" w14:textId="77777777" w:rsidR="008F594F" w:rsidRPr="006640AA" w:rsidRDefault="008F594F" w:rsidP="008F594F">
            <w:pPr>
              <w:contextualSpacing/>
              <w:rPr>
                <w:rFonts w:eastAsia="Times New Roman"/>
                <w:sz w:val="26"/>
                <w:szCs w:val="26"/>
                <w:lang w:val="lv-LV" w:eastAsia="lv-LV"/>
              </w:rPr>
            </w:pPr>
            <w:r w:rsidRPr="006640AA">
              <w:rPr>
                <w:rFonts w:eastAsia="Times New Roman"/>
                <w:sz w:val="26"/>
                <w:szCs w:val="26"/>
                <w:lang w:val="lv-LV" w:eastAsia="lv-LV"/>
              </w:rPr>
              <w:t>Cita informācija</w:t>
            </w:r>
          </w:p>
        </w:tc>
        <w:tc>
          <w:tcPr>
            <w:tcW w:w="6379" w:type="dxa"/>
            <w:hideMark/>
          </w:tcPr>
          <w:p w14:paraId="7E657313" w14:textId="77777777" w:rsidR="008F594F" w:rsidRPr="006640AA" w:rsidRDefault="008F594F" w:rsidP="008F594F">
            <w:pPr>
              <w:ind w:right="201"/>
              <w:contextualSpacing/>
              <w:jc w:val="both"/>
              <w:rPr>
                <w:sz w:val="26"/>
                <w:szCs w:val="26"/>
                <w:lang w:val="lv-LV"/>
              </w:rPr>
            </w:pPr>
            <w:r w:rsidRPr="006640AA">
              <w:rPr>
                <w:sz w:val="26"/>
                <w:szCs w:val="26"/>
                <w:lang w:val="lv-LV"/>
              </w:rPr>
              <w:t>Nav</w:t>
            </w:r>
          </w:p>
        </w:tc>
      </w:tr>
    </w:tbl>
    <w:p w14:paraId="57F14BC5" w14:textId="001CFD96" w:rsidR="00844176" w:rsidRPr="006640AA" w:rsidRDefault="00844176" w:rsidP="00B043DE">
      <w:pPr>
        <w:contextualSpacing/>
        <w:rPr>
          <w:rFonts w:eastAsia="Times New Roman"/>
          <w:sz w:val="26"/>
          <w:szCs w:val="26"/>
          <w:lang w:val="lv-LV" w:eastAsia="lv-LV"/>
        </w:rPr>
      </w:pPr>
    </w:p>
    <w:tbl>
      <w:tblPr>
        <w:tblW w:w="9348" w:type="dxa"/>
        <w:tblCellSpacing w:w="2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30" w:type="dxa"/>
          <w:left w:w="30" w:type="dxa"/>
          <w:bottom w:w="30" w:type="dxa"/>
          <w:right w:w="30" w:type="dxa"/>
        </w:tblCellMar>
        <w:tblLook w:val="04A0" w:firstRow="1" w:lastRow="0" w:firstColumn="1" w:lastColumn="0" w:noHBand="0" w:noVBand="1"/>
      </w:tblPr>
      <w:tblGrid>
        <w:gridCol w:w="9348"/>
      </w:tblGrid>
      <w:tr w:rsidR="00CD433A" w:rsidRPr="00922D66" w14:paraId="1F2AB1AA" w14:textId="77777777" w:rsidTr="009D2832">
        <w:trPr>
          <w:tblCellSpacing w:w="20" w:type="dxa"/>
        </w:trPr>
        <w:tc>
          <w:tcPr>
            <w:tcW w:w="9348" w:type="dxa"/>
            <w:shd w:val="clear" w:color="auto" w:fill="auto"/>
            <w:vAlign w:val="center"/>
          </w:tcPr>
          <w:p w14:paraId="0E6A4D78" w14:textId="4D0B9837" w:rsidR="00CD433A" w:rsidRPr="006640AA" w:rsidRDefault="00CD433A" w:rsidP="00CD433A">
            <w:pPr>
              <w:contextualSpacing/>
              <w:jc w:val="center"/>
              <w:rPr>
                <w:b/>
                <w:sz w:val="26"/>
                <w:szCs w:val="26"/>
                <w:lang w:val="lv-LV"/>
              </w:rPr>
            </w:pPr>
            <w:r w:rsidRPr="006640AA">
              <w:rPr>
                <w:rFonts w:eastAsia="Times New Roman"/>
                <w:b/>
                <w:bCs/>
                <w:iCs/>
                <w:sz w:val="26"/>
                <w:szCs w:val="26"/>
                <w:lang w:val="lv-LV" w:eastAsia="lv-LV"/>
              </w:rPr>
              <w:t>III. Tiesību akta projekta ietekme uz valsts budžetu un pašvaldību budžetiem</w:t>
            </w:r>
          </w:p>
        </w:tc>
      </w:tr>
      <w:tr w:rsidR="00CD433A" w:rsidRPr="006640AA" w14:paraId="2F0ABF03" w14:textId="77777777" w:rsidTr="009D2832">
        <w:trPr>
          <w:tblCellSpacing w:w="20" w:type="dxa"/>
        </w:trPr>
        <w:tc>
          <w:tcPr>
            <w:tcW w:w="9348" w:type="dxa"/>
            <w:shd w:val="clear" w:color="auto" w:fill="auto"/>
            <w:vAlign w:val="center"/>
          </w:tcPr>
          <w:p w14:paraId="43EE7BA8" w14:textId="6BAF4507" w:rsidR="00CD433A" w:rsidRPr="006640AA" w:rsidRDefault="00E13F51" w:rsidP="00CD433A">
            <w:pPr>
              <w:contextualSpacing/>
              <w:jc w:val="center"/>
              <w:rPr>
                <w:b/>
                <w:color w:val="000000" w:themeColor="text1"/>
                <w:sz w:val="26"/>
                <w:szCs w:val="26"/>
                <w:lang w:val="lv-LV"/>
              </w:rPr>
            </w:pPr>
            <w:r>
              <w:rPr>
                <w:rFonts w:eastAsia="Times New Roman"/>
                <w:iCs/>
                <w:color w:val="000000" w:themeColor="text1"/>
                <w:sz w:val="26"/>
                <w:szCs w:val="26"/>
                <w:lang w:val="lv-LV" w:eastAsia="lv-LV"/>
              </w:rPr>
              <w:t>P</w:t>
            </w:r>
            <w:r w:rsidR="00CD433A" w:rsidRPr="006640AA">
              <w:rPr>
                <w:rFonts w:eastAsia="Times New Roman"/>
                <w:iCs/>
                <w:color w:val="000000" w:themeColor="text1"/>
                <w:sz w:val="26"/>
                <w:szCs w:val="26"/>
                <w:lang w:val="lv-LV" w:eastAsia="lv-LV"/>
              </w:rPr>
              <w:t>rojekts šo jomu neskar.</w:t>
            </w:r>
          </w:p>
        </w:tc>
      </w:tr>
      <w:tr w:rsidR="00794E33" w:rsidRPr="006640AA" w14:paraId="07C3ABEE" w14:textId="77777777" w:rsidTr="009D2832">
        <w:trPr>
          <w:tblCellSpacing w:w="20" w:type="dxa"/>
        </w:trPr>
        <w:tc>
          <w:tcPr>
            <w:tcW w:w="9348" w:type="dxa"/>
            <w:shd w:val="clear" w:color="auto" w:fill="auto"/>
            <w:vAlign w:val="center"/>
            <w:hideMark/>
          </w:tcPr>
          <w:p w14:paraId="6901DE8D" w14:textId="4F954A53" w:rsidR="00794E33" w:rsidRPr="006640AA" w:rsidRDefault="00794E33" w:rsidP="00794E33">
            <w:pPr>
              <w:contextualSpacing/>
              <w:jc w:val="center"/>
              <w:rPr>
                <w:rFonts w:eastAsia="Times New Roman"/>
                <w:sz w:val="26"/>
                <w:szCs w:val="26"/>
                <w:lang w:val="lv-LV" w:eastAsia="lv-LV"/>
              </w:rPr>
            </w:pPr>
            <w:r w:rsidRPr="006640AA">
              <w:rPr>
                <w:rFonts w:eastAsia="Times New Roman"/>
                <w:b/>
                <w:bCs/>
                <w:color w:val="000000" w:themeColor="text1"/>
                <w:sz w:val="26"/>
                <w:szCs w:val="26"/>
                <w:lang w:val="lv-LV" w:eastAsia="lv-LV"/>
              </w:rPr>
              <w:t>IV. Tiesību akta projekta ietekme uz spēkā esošo tiesību normu sistēmu</w:t>
            </w:r>
          </w:p>
        </w:tc>
      </w:tr>
      <w:tr w:rsidR="008B7841" w:rsidRPr="006640AA" w14:paraId="17F7F902" w14:textId="77777777" w:rsidTr="009D2832">
        <w:trPr>
          <w:tblCellSpacing w:w="20" w:type="dxa"/>
        </w:trPr>
        <w:tc>
          <w:tcPr>
            <w:tcW w:w="9348" w:type="dxa"/>
            <w:shd w:val="clear" w:color="auto" w:fill="auto"/>
            <w:vAlign w:val="center"/>
          </w:tcPr>
          <w:p w14:paraId="313D4E77" w14:textId="3DF81C06" w:rsidR="008B7841" w:rsidRPr="008B7841" w:rsidRDefault="00480B18" w:rsidP="008B7841">
            <w:pPr>
              <w:spacing w:before="120"/>
              <w:ind w:right="250"/>
              <w:jc w:val="center"/>
              <w:rPr>
                <w:rFonts w:eastAsia="Times New Roman"/>
                <w:sz w:val="26"/>
                <w:szCs w:val="26"/>
                <w:lang w:val="lv-LV"/>
              </w:rPr>
            </w:pPr>
            <w:r>
              <w:rPr>
                <w:rFonts w:eastAsia="Times New Roman"/>
                <w:iCs/>
                <w:color w:val="000000" w:themeColor="text1"/>
                <w:sz w:val="26"/>
                <w:szCs w:val="26"/>
                <w:lang w:val="lv-LV" w:eastAsia="lv-LV"/>
              </w:rPr>
              <w:t>P</w:t>
            </w:r>
            <w:r w:rsidR="008B7841" w:rsidRPr="006640AA">
              <w:rPr>
                <w:rFonts w:eastAsia="Times New Roman"/>
                <w:iCs/>
                <w:color w:val="000000" w:themeColor="text1"/>
                <w:sz w:val="26"/>
                <w:szCs w:val="26"/>
                <w:lang w:val="lv-LV" w:eastAsia="lv-LV"/>
              </w:rPr>
              <w:t>rojekts šo jomu neskar.</w:t>
            </w:r>
          </w:p>
        </w:tc>
      </w:tr>
    </w:tbl>
    <w:p w14:paraId="1F45E5ED" w14:textId="2B4DD16B" w:rsidR="00844176" w:rsidRPr="006640AA" w:rsidRDefault="00844176" w:rsidP="00B043DE">
      <w:pPr>
        <w:contextualSpacing/>
        <w:rPr>
          <w:sz w:val="26"/>
          <w:szCs w:val="26"/>
          <w:lang w:val="lv-LV"/>
        </w:rPr>
      </w:pPr>
    </w:p>
    <w:tbl>
      <w:tblPr>
        <w:tblW w:w="9348" w:type="dxa"/>
        <w:tblCellSpacing w:w="2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top w:w="30" w:type="dxa"/>
          <w:left w:w="30" w:type="dxa"/>
          <w:bottom w:w="30" w:type="dxa"/>
          <w:right w:w="30" w:type="dxa"/>
        </w:tblCellMar>
        <w:tblLook w:val="04A0" w:firstRow="1" w:lastRow="0" w:firstColumn="1" w:lastColumn="0" w:noHBand="0" w:noVBand="1"/>
      </w:tblPr>
      <w:tblGrid>
        <w:gridCol w:w="751"/>
        <w:gridCol w:w="8597"/>
      </w:tblGrid>
      <w:tr w:rsidR="00794E33" w:rsidRPr="006640AA" w14:paraId="71F263D6" w14:textId="77777777" w:rsidTr="009D2832">
        <w:trPr>
          <w:tblCellSpacing w:w="20" w:type="dxa"/>
        </w:trPr>
        <w:tc>
          <w:tcPr>
            <w:tcW w:w="701" w:type="dxa"/>
          </w:tcPr>
          <w:p w14:paraId="64320A8C" w14:textId="77777777" w:rsidR="00794E33" w:rsidRPr="006640AA" w:rsidRDefault="00794E33" w:rsidP="00CD059C">
            <w:pPr>
              <w:contextualSpacing/>
              <w:jc w:val="center"/>
              <w:rPr>
                <w:b/>
                <w:sz w:val="26"/>
                <w:szCs w:val="26"/>
                <w:lang w:val="lv-LV"/>
              </w:rPr>
            </w:pPr>
          </w:p>
        </w:tc>
        <w:tc>
          <w:tcPr>
            <w:tcW w:w="8647" w:type="dxa"/>
            <w:shd w:val="clear" w:color="auto" w:fill="auto"/>
            <w:hideMark/>
          </w:tcPr>
          <w:p w14:paraId="64C19808" w14:textId="10DC082B" w:rsidR="00794E33" w:rsidRPr="006640AA" w:rsidRDefault="00794E33" w:rsidP="00CD059C">
            <w:pPr>
              <w:contextualSpacing/>
              <w:jc w:val="center"/>
              <w:rPr>
                <w:rFonts w:eastAsia="Times New Roman"/>
                <w:sz w:val="26"/>
                <w:szCs w:val="26"/>
                <w:lang w:val="lv-LV" w:eastAsia="lv-LV"/>
              </w:rPr>
            </w:pPr>
            <w:r w:rsidRPr="006640AA">
              <w:rPr>
                <w:b/>
                <w:sz w:val="26"/>
                <w:szCs w:val="26"/>
                <w:lang w:val="lv-LV"/>
              </w:rPr>
              <w:t>V. Tiesību akta projekta atbilstība Latvijas Republikas starptautiskajām saistībām</w:t>
            </w:r>
          </w:p>
        </w:tc>
      </w:tr>
      <w:tr w:rsidR="009C4EB8" w:rsidRPr="006640AA" w14:paraId="4D4FEDF7" w14:textId="77777777" w:rsidTr="009D2832">
        <w:trPr>
          <w:tblCellSpacing w:w="20" w:type="dxa"/>
        </w:trPr>
        <w:tc>
          <w:tcPr>
            <w:tcW w:w="9348" w:type="dxa"/>
            <w:gridSpan w:val="2"/>
          </w:tcPr>
          <w:p w14:paraId="2D2DB39A" w14:textId="7257DD08" w:rsidR="009C4EB8" w:rsidRPr="00137E32" w:rsidRDefault="002F1DFD" w:rsidP="009C4EB8">
            <w:pPr>
              <w:pStyle w:val="ListParagraph"/>
              <w:ind w:left="105"/>
              <w:jc w:val="center"/>
              <w:rPr>
                <w:sz w:val="26"/>
                <w:szCs w:val="26"/>
                <w:lang w:val="lv-LV"/>
              </w:rPr>
            </w:pPr>
            <w:r>
              <w:rPr>
                <w:rFonts w:eastAsia="Times New Roman"/>
                <w:iCs/>
                <w:color w:val="000000" w:themeColor="text1"/>
                <w:sz w:val="26"/>
                <w:szCs w:val="26"/>
                <w:lang w:val="lv-LV" w:eastAsia="lv-LV"/>
              </w:rPr>
              <w:t>P</w:t>
            </w:r>
            <w:r w:rsidR="009C4EB8" w:rsidRPr="006640AA">
              <w:rPr>
                <w:rFonts w:eastAsia="Times New Roman"/>
                <w:iCs/>
                <w:color w:val="000000" w:themeColor="text1"/>
                <w:sz w:val="26"/>
                <w:szCs w:val="26"/>
                <w:lang w:val="lv-LV" w:eastAsia="lv-LV"/>
              </w:rPr>
              <w:t>rojekts šo jomu neskar.</w:t>
            </w:r>
          </w:p>
        </w:tc>
      </w:tr>
    </w:tbl>
    <w:p w14:paraId="18147B0E" w14:textId="62F61DFE" w:rsidR="00794E33" w:rsidRPr="006640AA" w:rsidRDefault="00794E33" w:rsidP="009C4EB8">
      <w:pPr>
        <w:contextualSpacing/>
        <w:jc w:val="center"/>
        <w:rPr>
          <w:sz w:val="26"/>
          <w:szCs w:val="26"/>
          <w:lang w:val="lv-LV"/>
        </w:rPr>
      </w:pPr>
    </w:p>
    <w:tbl>
      <w:tblPr>
        <w:tblW w:w="5000" w:type="pct"/>
        <w:tblCellSpacing w:w="15"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Layout w:type="fixed"/>
        <w:tblCellMar>
          <w:top w:w="30" w:type="dxa"/>
          <w:left w:w="30" w:type="dxa"/>
          <w:bottom w:w="30" w:type="dxa"/>
          <w:right w:w="30" w:type="dxa"/>
        </w:tblCellMar>
        <w:tblLook w:val="04A0" w:firstRow="1" w:lastRow="0" w:firstColumn="1" w:lastColumn="0" w:noHBand="0" w:noVBand="1"/>
      </w:tblPr>
      <w:tblGrid>
        <w:gridCol w:w="413"/>
        <w:gridCol w:w="2275"/>
        <w:gridCol w:w="6373"/>
      </w:tblGrid>
      <w:tr w:rsidR="00C72D2B" w:rsidRPr="00922D66" w14:paraId="75D7CB08" w14:textId="77777777" w:rsidTr="009D2832">
        <w:trPr>
          <w:tblCellSpacing w:w="15" w:type="dxa"/>
        </w:trPr>
        <w:tc>
          <w:tcPr>
            <w:tcW w:w="8995" w:type="dxa"/>
            <w:gridSpan w:val="3"/>
            <w:vAlign w:val="center"/>
            <w:hideMark/>
          </w:tcPr>
          <w:p w14:paraId="426D4AB5" w14:textId="77777777" w:rsidR="00C72D2B" w:rsidRPr="00E6604A" w:rsidRDefault="00C72D2B" w:rsidP="00F0376B">
            <w:pPr>
              <w:jc w:val="center"/>
              <w:rPr>
                <w:rFonts w:eastAsia="Times New Roman"/>
                <w:b/>
                <w:bCs/>
                <w:iCs/>
                <w:sz w:val="26"/>
                <w:szCs w:val="26"/>
                <w:lang w:val="lv-LV" w:eastAsia="lv-LV"/>
              </w:rPr>
            </w:pPr>
            <w:r w:rsidRPr="00E6604A">
              <w:rPr>
                <w:rFonts w:eastAsia="Times New Roman"/>
                <w:b/>
                <w:bCs/>
                <w:iCs/>
                <w:sz w:val="26"/>
                <w:szCs w:val="26"/>
                <w:lang w:val="lv-LV" w:eastAsia="lv-LV"/>
              </w:rPr>
              <w:t>VI. Sabiedrības līdzdalība un komunikācijas aktivitātes</w:t>
            </w:r>
          </w:p>
        </w:tc>
      </w:tr>
      <w:tr w:rsidR="00C72D2B" w:rsidRPr="00922D66" w14:paraId="63581B01" w14:textId="77777777" w:rsidTr="009D2832">
        <w:trPr>
          <w:tblCellSpacing w:w="15" w:type="dxa"/>
        </w:trPr>
        <w:tc>
          <w:tcPr>
            <w:tcW w:w="368" w:type="dxa"/>
            <w:hideMark/>
          </w:tcPr>
          <w:p w14:paraId="7294E478"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1.</w:t>
            </w:r>
          </w:p>
        </w:tc>
        <w:tc>
          <w:tcPr>
            <w:tcW w:w="2243" w:type="dxa"/>
            <w:hideMark/>
          </w:tcPr>
          <w:p w14:paraId="550DC574"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Plānotās sabiedrības līdzdalības un komunikācijas aktivitātes saistībā ar projektu</w:t>
            </w:r>
          </w:p>
        </w:tc>
        <w:tc>
          <w:tcPr>
            <w:tcW w:w="6324" w:type="dxa"/>
            <w:hideMark/>
          </w:tcPr>
          <w:p w14:paraId="0C5CE8B5" w14:textId="595DC0BD" w:rsidR="00C72D2B" w:rsidRPr="00603A12" w:rsidRDefault="00642478" w:rsidP="00F0376B">
            <w:pPr>
              <w:jc w:val="both"/>
              <w:rPr>
                <w:rFonts w:eastAsia="Times New Roman"/>
                <w:iCs/>
                <w:sz w:val="26"/>
                <w:szCs w:val="26"/>
                <w:lang w:val="lv-LV" w:eastAsia="lv-LV"/>
              </w:rPr>
            </w:pPr>
            <w:r w:rsidRPr="00642478">
              <w:rPr>
                <w:rFonts w:eastAsia="Times New Roman"/>
                <w:sz w:val="26"/>
                <w:szCs w:val="26"/>
                <w:lang w:val="lv-LV" w:eastAsia="ja-JP"/>
              </w:rPr>
              <w:t xml:space="preserve">Atbilstoši Ministru kabineta 2009. gada 25. augusta noteikumiem Nr. 970 </w:t>
            </w:r>
            <w:r w:rsidR="00B94338">
              <w:rPr>
                <w:rFonts w:eastAsia="Times New Roman"/>
                <w:sz w:val="26"/>
                <w:szCs w:val="26"/>
                <w:lang w:val="lv-LV" w:eastAsia="ja-JP"/>
              </w:rPr>
              <w:t>“</w:t>
            </w:r>
            <w:r w:rsidRPr="00642478">
              <w:rPr>
                <w:rFonts w:eastAsia="Times New Roman"/>
                <w:sz w:val="26"/>
                <w:szCs w:val="26"/>
                <w:lang w:val="lv-LV" w:eastAsia="ja-JP"/>
              </w:rPr>
              <w:t>Sabiedrības līdzdalības kārtība attīstības plānošanas procesā</w:t>
            </w:r>
            <w:r w:rsidR="00B94338">
              <w:rPr>
                <w:rFonts w:eastAsia="Times New Roman"/>
                <w:sz w:val="26"/>
                <w:szCs w:val="26"/>
                <w:lang w:val="lv-LV" w:eastAsia="ja-JP"/>
              </w:rPr>
              <w:t>”</w:t>
            </w:r>
            <w:r w:rsidRPr="00642478">
              <w:rPr>
                <w:rFonts w:eastAsia="Times New Roman"/>
                <w:sz w:val="26"/>
                <w:szCs w:val="26"/>
                <w:lang w:val="lv-LV" w:eastAsia="ja-JP"/>
              </w:rPr>
              <w:t xml:space="preserve">, lai informētu sabiedrību par noteikumu projektu un dotu iespēju izteikt viedokli, noteikumu projekts pirms tā izsludināšanas Valsts sekretāru sanāksmē ievietots </w:t>
            </w:r>
            <w:r>
              <w:rPr>
                <w:rFonts w:eastAsia="Times New Roman"/>
                <w:sz w:val="26"/>
                <w:szCs w:val="26"/>
                <w:lang w:val="lv-LV" w:eastAsia="ja-JP"/>
              </w:rPr>
              <w:t>Ekonomikas</w:t>
            </w:r>
            <w:r w:rsidRPr="00642478">
              <w:rPr>
                <w:rFonts w:eastAsia="Times New Roman"/>
                <w:sz w:val="26"/>
                <w:szCs w:val="26"/>
                <w:lang w:val="lv-LV" w:eastAsia="ja-JP"/>
              </w:rPr>
              <w:t xml:space="preserve"> ministrijas tīmekļvietnē.</w:t>
            </w:r>
          </w:p>
        </w:tc>
      </w:tr>
      <w:tr w:rsidR="00C72D2B" w:rsidRPr="00922D66" w14:paraId="4F84430F" w14:textId="77777777" w:rsidTr="009D2832">
        <w:trPr>
          <w:tblCellSpacing w:w="15" w:type="dxa"/>
        </w:trPr>
        <w:tc>
          <w:tcPr>
            <w:tcW w:w="368" w:type="dxa"/>
            <w:hideMark/>
          </w:tcPr>
          <w:p w14:paraId="4610D87E"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2.</w:t>
            </w:r>
          </w:p>
        </w:tc>
        <w:tc>
          <w:tcPr>
            <w:tcW w:w="2243" w:type="dxa"/>
            <w:hideMark/>
          </w:tcPr>
          <w:p w14:paraId="0F4E3F88"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Sabiedrības līdzdalība projekta izstrādē</w:t>
            </w:r>
          </w:p>
        </w:tc>
        <w:tc>
          <w:tcPr>
            <w:tcW w:w="6324" w:type="dxa"/>
            <w:shd w:val="clear" w:color="auto" w:fill="auto"/>
            <w:hideMark/>
          </w:tcPr>
          <w:p w14:paraId="12D9FB24" w14:textId="32652E9B" w:rsidR="00C72D2B" w:rsidRPr="00603A12" w:rsidRDefault="00642478" w:rsidP="00F0376B">
            <w:pPr>
              <w:jc w:val="both"/>
              <w:rPr>
                <w:rFonts w:eastAsia="Times New Roman"/>
                <w:iCs/>
                <w:color w:val="000000" w:themeColor="text1"/>
                <w:sz w:val="26"/>
                <w:szCs w:val="26"/>
                <w:lang w:val="lv-LV" w:eastAsia="lv-LV"/>
              </w:rPr>
            </w:pPr>
            <w:r w:rsidRPr="00642478">
              <w:rPr>
                <w:sz w:val="26"/>
                <w:szCs w:val="26"/>
                <w:shd w:val="clear" w:color="000000" w:fill="FFFFFF"/>
                <w:lang w:val="lv-LV"/>
              </w:rPr>
              <w:t xml:space="preserve">Lai informētu sabiedrību par noteikumu projektu un dotu iespēju izteikt viedokli, noteikumu projekts </w:t>
            </w:r>
            <w:r w:rsidRPr="002F4D28">
              <w:rPr>
                <w:sz w:val="26"/>
                <w:szCs w:val="26"/>
                <w:shd w:val="clear" w:color="000000" w:fill="FFFFFF"/>
                <w:lang w:val="lv-LV"/>
              </w:rPr>
              <w:t xml:space="preserve">2021. gada </w:t>
            </w:r>
            <w:r w:rsidR="00C64054" w:rsidRPr="008C3FED">
              <w:rPr>
                <w:sz w:val="26"/>
                <w:szCs w:val="26"/>
                <w:highlight w:val="yellow"/>
                <w:shd w:val="clear" w:color="000000" w:fill="FFFFFF"/>
                <w:lang w:val="lv-LV"/>
              </w:rPr>
              <w:t>1</w:t>
            </w:r>
            <w:r w:rsidR="00EE74C8" w:rsidRPr="008C3FED">
              <w:rPr>
                <w:sz w:val="26"/>
                <w:szCs w:val="26"/>
                <w:highlight w:val="yellow"/>
                <w:shd w:val="clear" w:color="000000" w:fill="FFFFFF"/>
                <w:lang w:val="lv-LV"/>
              </w:rPr>
              <w:t>9</w:t>
            </w:r>
            <w:r w:rsidRPr="008C3FED">
              <w:rPr>
                <w:sz w:val="26"/>
                <w:szCs w:val="26"/>
                <w:highlight w:val="yellow"/>
                <w:shd w:val="clear" w:color="000000" w:fill="FFFFFF"/>
                <w:lang w:val="lv-LV"/>
              </w:rPr>
              <w:t>.</w:t>
            </w:r>
            <w:r w:rsidR="002F4D28" w:rsidRPr="008C3FED">
              <w:rPr>
                <w:sz w:val="26"/>
                <w:szCs w:val="26"/>
                <w:highlight w:val="yellow"/>
                <w:shd w:val="clear" w:color="000000" w:fill="FFFFFF"/>
                <w:lang w:val="lv-LV"/>
              </w:rPr>
              <w:t>jūlijā</w:t>
            </w:r>
            <w:r w:rsidRPr="00642478">
              <w:rPr>
                <w:sz w:val="26"/>
                <w:szCs w:val="26"/>
                <w:shd w:val="clear" w:color="000000" w:fill="FFFFFF"/>
                <w:lang w:val="lv-LV"/>
              </w:rPr>
              <w:t xml:space="preserve"> ievietots Ekonomikas ministrijas tīmekļvietnē https://www.em.gov.lv/lv/diskusiju-dokumenti un sabiedrības pārstāvjiem atbilstoši Ministru kabineta 2009. gada 25. augusta noteikumu Nr. 970 </w:t>
            </w:r>
            <w:r w:rsidR="00B94338">
              <w:rPr>
                <w:sz w:val="26"/>
                <w:szCs w:val="26"/>
                <w:shd w:val="clear" w:color="000000" w:fill="FFFFFF"/>
                <w:lang w:val="lv-LV"/>
              </w:rPr>
              <w:t>“</w:t>
            </w:r>
            <w:r w:rsidRPr="00642478">
              <w:rPr>
                <w:sz w:val="26"/>
                <w:szCs w:val="26"/>
                <w:shd w:val="clear" w:color="000000" w:fill="FFFFFF"/>
                <w:lang w:val="lv-LV"/>
              </w:rPr>
              <w:t>Sabiedrības līdzdalības kārtība attīstības plānošanas procesā</w:t>
            </w:r>
            <w:r w:rsidR="00B94338">
              <w:rPr>
                <w:sz w:val="26"/>
                <w:szCs w:val="26"/>
                <w:shd w:val="clear" w:color="000000" w:fill="FFFFFF"/>
                <w:lang w:val="lv-LV"/>
              </w:rPr>
              <w:t>”</w:t>
            </w:r>
            <w:r w:rsidRPr="00642478">
              <w:rPr>
                <w:sz w:val="26"/>
                <w:szCs w:val="26"/>
                <w:shd w:val="clear" w:color="000000" w:fill="FFFFFF"/>
                <w:lang w:val="lv-LV"/>
              </w:rPr>
              <w:t xml:space="preserve"> 7.4.</w:t>
            </w:r>
            <w:r w:rsidRPr="00BD3FC1">
              <w:rPr>
                <w:sz w:val="26"/>
                <w:szCs w:val="26"/>
                <w:shd w:val="clear" w:color="000000" w:fill="FFFFFF"/>
                <w:vertAlign w:val="superscript"/>
                <w:lang w:val="lv-LV"/>
              </w:rPr>
              <w:t>1</w:t>
            </w:r>
            <w:r w:rsidR="00B94338">
              <w:rPr>
                <w:sz w:val="26"/>
                <w:szCs w:val="26"/>
                <w:shd w:val="clear" w:color="000000" w:fill="FFFFFF"/>
                <w:vertAlign w:val="superscript"/>
                <w:lang w:val="lv-LV"/>
              </w:rPr>
              <w:t xml:space="preserve"> </w:t>
            </w:r>
            <w:r w:rsidRPr="00642478">
              <w:rPr>
                <w:sz w:val="26"/>
                <w:szCs w:val="26"/>
                <w:shd w:val="clear" w:color="000000" w:fill="FFFFFF"/>
                <w:lang w:val="lv-LV"/>
              </w:rPr>
              <w:t>apakšpunktam ir tiesības sniegt rakstveida viedokli.</w:t>
            </w:r>
          </w:p>
        </w:tc>
      </w:tr>
      <w:tr w:rsidR="00C72D2B" w:rsidRPr="00603A12" w14:paraId="65CA5BD8" w14:textId="77777777" w:rsidTr="009D2832">
        <w:trPr>
          <w:tblCellSpacing w:w="15" w:type="dxa"/>
        </w:trPr>
        <w:tc>
          <w:tcPr>
            <w:tcW w:w="368" w:type="dxa"/>
            <w:hideMark/>
          </w:tcPr>
          <w:p w14:paraId="200D6C05"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3.</w:t>
            </w:r>
          </w:p>
        </w:tc>
        <w:tc>
          <w:tcPr>
            <w:tcW w:w="2243" w:type="dxa"/>
            <w:hideMark/>
          </w:tcPr>
          <w:p w14:paraId="3DF5BFED"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Sabiedrības līdzdalības rezultāti</w:t>
            </w:r>
          </w:p>
        </w:tc>
        <w:tc>
          <w:tcPr>
            <w:tcW w:w="6324" w:type="dxa"/>
            <w:hideMark/>
          </w:tcPr>
          <w:p w14:paraId="57EACD14" w14:textId="73E78AFC" w:rsidR="00C72D2B" w:rsidRPr="00603A12" w:rsidRDefault="000A3879" w:rsidP="00F0376B">
            <w:pPr>
              <w:jc w:val="both"/>
              <w:rPr>
                <w:rFonts w:eastAsia="Times New Roman"/>
                <w:iCs/>
                <w:sz w:val="26"/>
                <w:szCs w:val="26"/>
                <w:lang w:val="lv-LV" w:eastAsia="lv-LV"/>
              </w:rPr>
            </w:pPr>
            <w:r w:rsidRPr="00603A12">
              <w:rPr>
                <w:rFonts w:eastAsia="Times New Roman"/>
                <w:iCs/>
                <w:sz w:val="26"/>
                <w:szCs w:val="26"/>
                <w:lang w:val="lv-LV" w:eastAsia="lv-LV"/>
              </w:rPr>
              <w:t>Nav.</w:t>
            </w:r>
          </w:p>
        </w:tc>
      </w:tr>
      <w:tr w:rsidR="00C72D2B" w:rsidRPr="00922D66" w14:paraId="581791B6" w14:textId="77777777" w:rsidTr="009D2832">
        <w:trPr>
          <w:tblCellSpacing w:w="15" w:type="dxa"/>
        </w:trPr>
        <w:tc>
          <w:tcPr>
            <w:tcW w:w="368" w:type="dxa"/>
            <w:hideMark/>
          </w:tcPr>
          <w:p w14:paraId="1F3256AC"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lastRenderedPageBreak/>
              <w:t>4.</w:t>
            </w:r>
          </w:p>
        </w:tc>
        <w:tc>
          <w:tcPr>
            <w:tcW w:w="2243" w:type="dxa"/>
            <w:hideMark/>
          </w:tcPr>
          <w:p w14:paraId="6933B8DB"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Cita informācija</w:t>
            </w:r>
          </w:p>
        </w:tc>
        <w:tc>
          <w:tcPr>
            <w:tcW w:w="6324" w:type="dxa"/>
            <w:hideMark/>
          </w:tcPr>
          <w:p w14:paraId="0047A87E" w14:textId="5F77EA5E" w:rsidR="00C72D2B" w:rsidRPr="00E830D0" w:rsidRDefault="00E830D0" w:rsidP="00F0376B">
            <w:pPr>
              <w:rPr>
                <w:rFonts w:eastAsia="Times New Roman"/>
                <w:iCs/>
                <w:sz w:val="26"/>
                <w:szCs w:val="26"/>
                <w:lang w:val="lv-LV" w:eastAsia="lv-LV"/>
              </w:rPr>
            </w:pPr>
            <w:r w:rsidRPr="00E830D0">
              <w:rPr>
                <w:rFonts w:eastAsia="PMingLiU"/>
                <w:sz w:val="26"/>
                <w:szCs w:val="26"/>
                <w:lang w:val="lv-LV" w:eastAsia="ja-JP"/>
              </w:rPr>
              <w:t xml:space="preserve">Pēc noteikumu pieņemšanas tiks publicēts oficiālajā izdevumā “Latvijas Vēstnesis” un tīmekļa vietnē </w:t>
            </w:r>
            <w:hyperlink r:id="rId8" w:history="1">
              <w:r w:rsidRPr="00E830D0">
                <w:rPr>
                  <w:rStyle w:val="Hyperlink"/>
                  <w:rFonts w:eastAsia="PMingLiU"/>
                  <w:sz w:val="26"/>
                  <w:szCs w:val="26"/>
                  <w:lang w:val="lv-LV" w:eastAsia="ja-JP"/>
                </w:rPr>
                <w:t>www.likumi.lv</w:t>
              </w:r>
            </w:hyperlink>
            <w:r w:rsidRPr="00E830D0">
              <w:rPr>
                <w:rFonts w:eastAsia="PMingLiU"/>
                <w:sz w:val="26"/>
                <w:szCs w:val="26"/>
                <w:lang w:val="lv-LV" w:eastAsia="ja-JP"/>
              </w:rPr>
              <w:t>. Informācija par izmaiņām tiks ietverta Ekonomikas ministrijas tīmekļa vietnē sadaļā “Nekustamā īpašuma darījumu starpnieku reģistrs”.</w:t>
            </w:r>
          </w:p>
        </w:tc>
      </w:tr>
    </w:tbl>
    <w:p w14:paraId="1B3DC5D8" w14:textId="77777777" w:rsidR="00C72D2B" w:rsidRPr="00603A12" w:rsidRDefault="00C72D2B" w:rsidP="00C72D2B">
      <w:pPr>
        <w:rPr>
          <w:rFonts w:eastAsia="Times New Roman"/>
          <w:iCs/>
          <w:sz w:val="26"/>
          <w:szCs w:val="26"/>
          <w:lang w:val="lv-LV" w:eastAsia="lv-LV"/>
        </w:rPr>
      </w:pPr>
      <w:r w:rsidRPr="00603A12">
        <w:rPr>
          <w:rFonts w:eastAsia="Times New Roman"/>
          <w:iCs/>
          <w:sz w:val="26"/>
          <w:szCs w:val="26"/>
          <w:lang w:val="lv-LV"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72D2B" w:rsidRPr="00922D66" w14:paraId="237CF5CC" w14:textId="77777777" w:rsidTr="00F0376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DB9F59" w14:textId="77777777" w:rsidR="00C72D2B" w:rsidRPr="00603A12" w:rsidRDefault="00C72D2B" w:rsidP="00F0376B">
            <w:pPr>
              <w:jc w:val="center"/>
              <w:rPr>
                <w:rFonts w:eastAsia="Times New Roman"/>
                <w:b/>
                <w:bCs/>
                <w:iCs/>
                <w:sz w:val="26"/>
                <w:szCs w:val="26"/>
                <w:lang w:val="lv-LV" w:eastAsia="lv-LV"/>
              </w:rPr>
            </w:pPr>
            <w:r w:rsidRPr="00603A12">
              <w:rPr>
                <w:rFonts w:eastAsia="Times New Roman"/>
                <w:b/>
                <w:bCs/>
                <w:iCs/>
                <w:sz w:val="26"/>
                <w:szCs w:val="26"/>
                <w:lang w:val="lv-LV" w:eastAsia="lv-LV"/>
              </w:rPr>
              <w:t>VII. Tiesību akta projekta izpildes nodrošināšana un tās ietekme uz institūcijām</w:t>
            </w:r>
          </w:p>
        </w:tc>
      </w:tr>
      <w:tr w:rsidR="00C72D2B" w:rsidRPr="00603A12" w14:paraId="62AAFB88" w14:textId="77777777" w:rsidTr="00F0376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EE4C22"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FEB7098"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64B528F"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Ekonomikas ministrija</w:t>
            </w:r>
          </w:p>
        </w:tc>
      </w:tr>
      <w:tr w:rsidR="00C72D2B" w:rsidRPr="00DD6B81" w14:paraId="397425CD" w14:textId="77777777" w:rsidTr="00F0376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4808A77"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24CCCF2" w14:textId="77777777" w:rsidR="00C72D2B" w:rsidRPr="00603A12" w:rsidRDefault="00C72D2B" w:rsidP="00F0376B">
            <w:pPr>
              <w:rPr>
                <w:rFonts w:eastAsia="Times New Roman"/>
                <w:iCs/>
                <w:sz w:val="26"/>
                <w:szCs w:val="26"/>
                <w:lang w:val="lv-LV" w:eastAsia="lv-LV"/>
              </w:rPr>
            </w:pPr>
            <w:r w:rsidRPr="00603A12">
              <w:rPr>
                <w:rFonts w:eastAsia="Times New Roman"/>
                <w:iCs/>
                <w:sz w:val="26"/>
                <w:szCs w:val="26"/>
                <w:lang w:val="lv-LV" w:eastAsia="lv-LV"/>
              </w:rPr>
              <w:t>Projekta izpildes ietekme uz pārvaldes funkcijām un institucionālo struktūru.</w:t>
            </w:r>
            <w:r w:rsidRPr="00603A12">
              <w:rPr>
                <w:rFonts w:eastAsia="Times New Roman"/>
                <w:iCs/>
                <w:sz w:val="26"/>
                <w:szCs w:val="26"/>
                <w:lang w:val="lv-LV"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FCC3E05" w14:textId="6B596AC3" w:rsidR="00C72D2B" w:rsidRPr="004A09C9" w:rsidRDefault="008F107D" w:rsidP="00F0376B">
            <w:pPr>
              <w:jc w:val="both"/>
              <w:rPr>
                <w:rFonts w:eastAsia="Times New Roman"/>
                <w:iCs/>
                <w:sz w:val="26"/>
                <w:szCs w:val="26"/>
                <w:lang w:val="lv-LV" w:eastAsia="lv-LV"/>
              </w:rPr>
            </w:pPr>
            <w:proofErr w:type="spellStart"/>
            <w:r w:rsidRPr="004A09C9">
              <w:rPr>
                <w:rFonts w:eastAsia="Times New Roman"/>
                <w:bCs/>
                <w:sz w:val="26"/>
                <w:szCs w:val="26"/>
                <w:lang w:eastAsia="lv-LV"/>
              </w:rPr>
              <w:t>Noteikumu</w:t>
            </w:r>
            <w:proofErr w:type="spellEnd"/>
            <w:r w:rsidRPr="004A09C9">
              <w:rPr>
                <w:rFonts w:eastAsia="Times New Roman"/>
                <w:bCs/>
                <w:sz w:val="26"/>
                <w:szCs w:val="26"/>
                <w:lang w:eastAsia="lv-LV"/>
              </w:rPr>
              <w:t xml:space="preserve"> </w:t>
            </w:r>
            <w:proofErr w:type="spellStart"/>
            <w:r w:rsidRPr="004A09C9">
              <w:rPr>
                <w:rFonts w:eastAsia="Times New Roman"/>
                <w:bCs/>
                <w:sz w:val="26"/>
                <w:szCs w:val="26"/>
                <w:lang w:eastAsia="lv-LV"/>
              </w:rPr>
              <w:t>projekta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izpilde</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nerada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ietekmi</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uz</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pārvaldes</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funkcijām</w:t>
            </w:r>
            <w:proofErr w:type="spellEnd"/>
            <w:r w:rsidRPr="004A09C9">
              <w:rPr>
                <w:rFonts w:eastAsia="Times New Roman"/>
                <w:sz w:val="26"/>
                <w:szCs w:val="26"/>
                <w:lang w:eastAsia="lv-LV"/>
              </w:rPr>
              <w:t xml:space="preserve"> un </w:t>
            </w:r>
            <w:proofErr w:type="spellStart"/>
            <w:r w:rsidRPr="004A09C9">
              <w:rPr>
                <w:rFonts w:eastAsia="Times New Roman"/>
                <w:sz w:val="26"/>
                <w:szCs w:val="26"/>
                <w:lang w:eastAsia="lv-LV"/>
              </w:rPr>
              <w:t>institucionālo</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struktūru</w:t>
            </w:r>
            <w:proofErr w:type="spellEnd"/>
            <w:r w:rsidRPr="004A09C9">
              <w:rPr>
                <w:rFonts w:eastAsia="Times New Roman"/>
                <w:sz w:val="26"/>
                <w:szCs w:val="26"/>
                <w:lang w:eastAsia="lv-LV"/>
              </w:rPr>
              <w:t xml:space="preserve">. Nav </w:t>
            </w:r>
            <w:proofErr w:type="spellStart"/>
            <w:r w:rsidRPr="004A09C9">
              <w:rPr>
                <w:rFonts w:eastAsia="Times New Roman"/>
                <w:sz w:val="26"/>
                <w:szCs w:val="26"/>
                <w:lang w:eastAsia="lv-LV"/>
              </w:rPr>
              <w:t>nepieciešama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jaunu</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institūciju</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izveide</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esošu</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institūciju</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likvidācija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vai</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reorganizācija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Netiek</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radīta</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ietekme</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uz</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institūcijas</w:t>
            </w:r>
            <w:proofErr w:type="spellEnd"/>
            <w:r w:rsidRPr="004A09C9">
              <w:rPr>
                <w:rFonts w:eastAsia="Times New Roman"/>
                <w:sz w:val="26"/>
                <w:szCs w:val="26"/>
                <w:lang w:eastAsia="lv-LV"/>
              </w:rPr>
              <w:t xml:space="preserve"> </w:t>
            </w:r>
            <w:proofErr w:type="spellStart"/>
            <w:r w:rsidRPr="004A09C9">
              <w:rPr>
                <w:rFonts w:eastAsia="Times New Roman"/>
                <w:sz w:val="26"/>
                <w:szCs w:val="26"/>
                <w:lang w:eastAsia="lv-LV"/>
              </w:rPr>
              <w:t>cilvēkresursiem</w:t>
            </w:r>
            <w:proofErr w:type="spellEnd"/>
            <w:r w:rsidRPr="004A09C9">
              <w:rPr>
                <w:rFonts w:eastAsia="Times New Roman"/>
                <w:sz w:val="26"/>
                <w:szCs w:val="26"/>
                <w:lang w:eastAsia="lv-LV"/>
              </w:rPr>
              <w:t>.</w:t>
            </w:r>
          </w:p>
        </w:tc>
      </w:tr>
      <w:tr w:rsidR="00C72D2B" w:rsidRPr="00603A12" w14:paraId="6963BB1C" w14:textId="77777777" w:rsidTr="00F0376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DAF719" w14:textId="77777777" w:rsidR="00C72D2B" w:rsidRPr="00DD6B81" w:rsidRDefault="00C72D2B" w:rsidP="00F0376B">
            <w:pPr>
              <w:rPr>
                <w:rFonts w:eastAsia="Times New Roman"/>
                <w:iCs/>
                <w:sz w:val="26"/>
                <w:szCs w:val="26"/>
                <w:lang w:val="lv-LV" w:eastAsia="lv-LV"/>
              </w:rPr>
            </w:pPr>
            <w:r w:rsidRPr="00DD6B81">
              <w:rPr>
                <w:rFonts w:eastAsia="Times New Roman"/>
                <w:iCs/>
                <w:sz w:val="26"/>
                <w:szCs w:val="26"/>
                <w:lang w:val="lv-LV"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6465AD0" w14:textId="77777777" w:rsidR="00C72D2B" w:rsidRPr="00DD6B81" w:rsidRDefault="00C72D2B" w:rsidP="00F0376B">
            <w:pPr>
              <w:rPr>
                <w:rFonts w:eastAsia="Times New Roman"/>
                <w:iCs/>
                <w:sz w:val="26"/>
                <w:szCs w:val="26"/>
                <w:lang w:val="lv-LV" w:eastAsia="lv-LV"/>
              </w:rPr>
            </w:pPr>
            <w:r w:rsidRPr="00DD6B81">
              <w:rPr>
                <w:rFonts w:eastAsia="Times New Roman"/>
                <w:iCs/>
                <w:sz w:val="26"/>
                <w:szCs w:val="26"/>
                <w:lang w:val="lv-LV"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416CA82" w14:textId="77777777" w:rsidR="00C72D2B" w:rsidRPr="00DD6B81" w:rsidRDefault="00C72D2B" w:rsidP="00F0376B">
            <w:pPr>
              <w:rPr>
                <w:rFonts w:eastAsia="Times New Roman"/>
                <w:iCs/>
                <w:sz w:val="26"/>
                <w:szCs w:val="26"/>
                <w:lang w:val="lv-LV" w:eastAsia="lv-LV"/>
              </w:rPr>
            </w:pPr>
            <w:r w:rsidRPr="00DD6B81">
              <w:rPr>
                <w:rFonts w:eastAsia="Times New Roman"/>
                <w:iCs/>
                <w:sz w:val="26"/>
                <w:szCs w:val="26"/>
                <w:lang w:val="lv-LV" w:eastAsia="lv-LV"/>
              </w:rPr>
              <w:t>Nav.</w:t>
            </w:r>
          </w:p>
        </w:tc>
      </w:tr>
    </w:tbl>
    <w:p w14:paraId="3C97E095" w14:textId="77777777" w:rsidR="00FA4414" w:rsidRPr="006640AA" w:rsidRDefault="00FA4414" w:rsidP="003D0F93">
      <w:pPr>
        <w:ind w:firstLine="709"/>
        <w:jc w:val="both"/>
        <w:rPr>
          <w:sz w:val="26"/>
          <w:szCs w:val="26"/>
          <w:lang w:val="lv-LV"/>
        </w:rPr>
      </w:pPr>
    </w:p>
    <w:p w14:paraId="67755341" w14:textId="2FC7675B" w:rsidR="003D0F93" w:rsidRPr="006640AA" w:rsidRDefault="003D0F93" w:rsidP="003D0F93">
      <w:pPr>
        <w:ind w:firstLine="709"/>
        <w:jc w:val="both"/>
        <w:rPr>
          <w:b/>
          <w:bCs/>
          <w:sz w:val="26"/>
          <w:szCs w:val="26"/>
          <w:lang w:val="lv-LV"/>
        </w:rPr>
      </w:pPr>
      <w:r w:rsidRPr="006640AA">
        <w:rPr>
          <w:b/>
          <w:bCs/>
          <w:sz w:val="26"/>
          <w:szCs w:val="26"/>
          <w:lang w:val="lv-LV"/>
        </w:rPr>
        <w:t>Ekonomikas ministrs</w:t>
      </w:r>
      <w:r w:rsidRPr="006640AA">
        <w:rPr>
          <w:b/>
          <w:bCs/>
          <w:sz w:val="26"/>
          <w:szCs w:val="26"/>
          <w:lang w:val="lv-LV"/>
        </w:rPr>
        <w:tab/>
      </w:r>
      <w:r w:rsidRPr="006640AA">
        <w:rPr>
          <w:b/>
          <w:bCs/>
          <w:sz w:val="26"/>
          <w:szCs w:val="26"/>
          <w:lang w:val="lv-LV"/>
        </w:rPr>
        <w:tab/>
      </w:r>
      <w:r w:rsidRPr="006640AA">
        <w:rPr>
          <w:b/>
          <w:bCs/>
          <w:sz w:val="26"/>
          <w:szCs w:val="26"/>
          <w:lang w:val="lv-LV"/>
        </w:rPr>
        <w:tab/>
      </w:r>
      <w:r w:rsidRPr="006640AA">
        <w:rPr>
          <w:b/>
          <w:bCs/>
          <w:sz w:val="26"/>
          <w:szCs w:val="26"/>
          <w:lang w:val="lv-LV"/>
        </w:rPr>
        <w:tab/>
      </w:r>
      <w:r w:rsidRPr="006640AA">
        <w:rPr>
          <w:b/>
          <w:bCs/>
          <w:sz w:val="26"/>
          <w:szCs w:val="26"/>
          <w:lang w:val="lv-LV"/>
        </w:rPr>
        <w:tab/>
        <w:t>J</w:t>
      </w:r>
      <w:r w:rsidR="002F1DFD">
        <w:rPr>
          <w:b/>
          <w:bCs/>
          <w:sz w:val="26"/>
          <w:szCs w:val="26"/>
          <w:lang w:val="lv-LV"/>
        </w:rPr>
        <w:t>.</w:t>
      </w:r>
      <w:r w:rsidRPr="006640AA">
        <w:rPr>
          <w:b/>
          <w:bCs/>
          <w:sz w:val="26"/>
          <w:szCs w:val="26"/>
          <w:lang w:val="lv-LV"/>
        </w:rPr>
        <w:t xml:space="preserve"> </w:t>
      </w:r>
      <w:proofErr w:type="spellStart"/>
      <w:r w:rsidRPr="006640AA">
        <w:rPr>
          <w:b/>
          <w:bCs/>
          <w:sz w:val="26"/>
          <w:szCs w:val="26"/>
          <w:lang w:val="lv-LV"/>
        </w:rPr>
        <w:t>Vitenbergs</w:t>
      </w:r>
      <w:proofErr w:type="spellEnd"/>
    </w:p>
    <w:p w14:paraId="48387A36" w14:textId="77777777" w:rsidR="00E766FF" w:rsidRDefault="003D0F93" w:rsidP="00777098">
      <w:pPr>
        <w:rPr>
          <w:sz w:val="26"/>
          <w:szCs w:val="26"/>
          <w:lang w:val="lv-LV"/>
        </w:rPr>
      </w:pPr>
      <w:r w:rsidRPr="006640AA">
        <w:rPr>
          <w:sz w:val="26"/>
          <w:szCs w:val="26"/>
          <w:lang w:val="lv-LV"/>
        </w:rPr>
        <w:tab/>
      </w:r>
    </w:p>
    <w:p w14:paraId="7EA4A4E0" w14:textId="639AE462" w:rsidR="003D0F93" w:rsidRPr="006640AA" w:rsidRDefault="003D0F93" w:rsidP="00E766FF">
      <w:pPr>
        <w:ind w:firstLine="709"/>
        <w:rPr>
          <w:sz w:val="26"/>
          <w:szCs w:val="26"/>
          <w:lang w:val="lv-LV"/>
        </w:rPr>
      </w:pPr>
      <w:r w:rsidRPr="006640AA">
        <w:rPr>
          <w:sz w:val="26"/>
          <w:szCs w:val="26"/>
          <w:lang w:val="lv-LV"/>
        </w:rPr>
        <w:t>Vīza:</w:t>
      </w:r>
      <w:r w:rsidR="000E46A4" w:rsidRPr="006640AA">
        <w:rPr>
          <w:sz w:val="26"/>
          <w:szCs w:val="26"/>
          <w:lang w:val="lv-LV"/>
        </w:rPr>
        <w:tab/>
      </w:r>
    </w:p>
    <w:p w14:paraId="6A9A4541" w14:textId="0FD4D3D2" w:rsidR="00E766FF" w:rsidRDefault="00E766FF" w:rsidP="00E766FF">
      <w:pPr>
        <w:ind w:firstLine="709"/>
        <w:rPr>
          <w:rFonts w:eastAsiaTheme="minorHAnsi"/>
          <w:b/>
          <w:bCs/>
          <w:sz w:val="26"/>
          <w:szCs w:val="26"/>
          <w:lang w:val="lv-LV"/>
        </w:rPr>
      </w:pPr>
      <w:r>
        <w:rPr>
          <w:b/>
          <w:bCs/>
          <w:sz w:val="26"/>
          <w:szCs w:val="26"/>
        </w:rPr>
        <w:t xml:space="preserve">Valsts </w:t>
      </w:r>
      <w:r w:rsidRPr="00603A12">
        <w:rPr>
          <w:b/>
          <w:bCs/>
          <w:sz w:val="26"/>
          <w:szCs w:val="26"/>
          <w:lang w:val="lv-LV"/>
        </w:rPr>
        <w:t>sekretārs</w:t>
      </w:r>
      <w:r w:rsidRPr="00603A12">
        <w:rPr>
          <w:b/>
          <w:bCs/>
          <w:sz w:val="26"/>
          <w:szCs w:val="26"/>
          <w:lang w:val="lv-LV"/>
        </w:rPr>
        <w:tab/>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E</w:t>
      </w:r>
      <w:r w:rsidR="002F1DFD">
        <w:rPr>
          <w:b/>
          <w:bCs/>
          <w:sz w:val="26"/>
          <w:szCs w:val="26"/>
        </w:rPr>
        <w:t>.</w:t>
      </w:r>
      <w:r>
        <w:rPr>
          <w:b/>
          <w:bCs/>
          <w:sz w:val="26"/>
          <w:szCs w:val="26"/>
        </w:rPr>
        <w:t xml:space="preserve"> </w:t>
      </w:r>
      <w:proofErr w:type="spellStart"/>
      <w:r>
        <w:rPr>
          <w:b/>
          <w:bCs/>
          <w:sz w:val="26"/>
          <w:szCs w:val="26"/>
        </w:rPr>
        <w:t>Valantis</w:t>
      </w:r>
      <w:proofErr w:type="spellEnd"/>
    </w:p>
    <w:p w14:paraId="4DBFB4BF" w14:textId="0715B7AE" w:rsidR="00403BB6" w:rsidRPr="00403BB6" w:rsidRDefault="00403BB6" w:rsidP="00F5463E">
      <w:pPr>
        <w:tabs>
          <w:tab w:val="left" w:pos="6237"/>
        </w:tabs>
        <w:ind w:left="709"/>
        <w:rPr>
          <w:sz w:val="26"/>
          <w:szCs w:val="26"/>
          <w:lang w:val="lv-LV"/>
        </w:rPr>
      </w:pPr>
    </w:p>
    <w:p w14:paraId="58247D8F" w14:textId="39B37F36" w:rsidR="00403BB6" w:rsidRPr="00403BB6" w:rsidRDefault="00403BB6" w:rsidP="00403BB6">
      <w:pPr>
        <w:tabs>
          <w:tab w:val="left" w:pos="1440"/>
        </w:tabs>
        <w:rPr>
          <w:sz w:val="26"/>
          <w:szCs w:val="26"/>
          <w:lang w:val="lv-LV"/>
        </w:rPr>
      </w:pPr>
    </w:p>
    <w:sectPr w:rsidR="00403BB6" w:rsidRPr="00403BB6" w:rsidSect="00B84453">
      <w:headerReference w:type="default" r:id="rId9"/>
      <w:footerReference w:type="default" r:id="rId10"/>
      <w:footerReference w:type="first" r:id="rId11"/>
      <w:endnotePr>
        <w:numFmt w:val="decimal"/>
      </w:endnotePr>
      <w:type w:val="continuous"/>
      <w:pgSz w:w="11906" w:h="16838" w:code="9"/>
      <w:pgMar w:top="1134" w:right="1134" w:bottom="85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7F800" w14:textId="77777777" w:rsidR="00685C27" w:rsidRDefault="00685C27" w:rsidP="006B2FEF">
      <w:r>
        <w:separator/>
      </w:r>
    </w:p>
  </w:endnote>
  <w:endnote w:type="continuationSeparator" w:id="0">
    <w:p w14:paraId="4A8CDF57" w14:textId="77777777" w:rsidR="00685C27" w:rsidRDefault="00685C27" w:rsidP="006B2FEF">
      <w:r>
        <w:continuationSeparator/>
      </w:r>
    </w:p>
  </w:endnote>
  <w:endnote w:type="continuationNotice" w:id="1">
    <w:p w14:paraId="373FF07F" w14:textId="77777777" w:rsidR="00685C27" w:rsidRDefault="00685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14F74" w14:textId="455B452C" w:rsidR="004259BC" w:rsidRPr="00B84453" w:rsidRDefault="00B84453" w:rsidP="00B84453">
    <w:pPr>
      <w:pStyle w:val="Footer"/>
      <w:jc w:val="both"/>
      <w:rPr>
        <w:lang w:val="lv-LV"/>
      </w:rPr>
    </w:pPr>
    <w:r w:rsidRPr="0014051E">
      <w:rPr>
        <w:lang w:val="lv-LV"/>
      </w:rPr>
      <w:t>EM</w:t>
    </w:r>
    <w:r>
      <w:rPr>
        <w:lang w:val="lv-LV"/>
      </w:rPr>
      <w:t>An</w:t>
    </w:r>
    <w:r w:rsidRPr="0014051E">
      <w:rPr>
        <w:lang w:val="lv-LV"/>
      </w:rPr>
      <w:t>ot_</w:t>
    </w:r>
    <w:r w:rsidR="00AB0305">
      <w:rPr>
        <w:lang w:val="lv-LV"/>
      </w:rPr>
      <w:t>apdrošin</w:t>
    </w:r>
    <w:r w:rsidR="00403BB6">
      <w:rPr>
        <w:lang w:val="lv-LV"/>
      </w:rPr>
      <w:t>_</w:t>
    </w:r>
    <w:r w:rsidR="00AB0305">
      <w:rPr>
        <w:lang w:val="lv-LV"/>
      </w:rPr>
      <w:t>602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B8FB" w14:textId="581E25D0" w:rsidR="004259BC" w:rsidRPr="0014051E" w:rsidRDefault="004259BC" w:rsidP="0014051E">
    <w:pPr>
      <w:pStyle w:val="Footer"/>
      <w:jc w:val="both"/>
      <w:rPr>
        <w:lang w:val="lv-LV"/>
      </w:rPr>
    </w:pPr>
    <w:r w:rsidRPr="0014051E">
      <w:rPr>
        <w:lang w:val="lv-LV"/>
      </w:rPr>
      <w:t>EM</w:t>
    </w:r>
    <w:r>
      <w:rPr>
        <w:lang w:val="lv-LV"/>
      </w:rPr>
      <w:t>An</w:t>
    </w:r>
    <w:r w:rsidRPr="0014051E">
      <w:rPr>
        <w:lang w:val="lv-LV"/>
      </w:rPr>
      <w:t>ot_</w:t>
    </w:r>
    <w:r w:rsidR="00AB0305">
      <w:rPr>
        <w:lang w:val="lv-LV"/>
      </w:rPr>
      <w:t>apdrošin</w:t>
    </w:r>
    <w:r w:rsidR="00403BB6">
      <w:rPr>
        <w:lang w:val="lv-LV"/>
      </w:rPr>
      <w:t>_</w:t>
    </w:r>
    <w:r w:rsidR="00AB0305">
      <w:rPr>
        <w:lang w:val="lv-LV"/>
      </w:rPr>
      <w:t>602</w:t>
    </w:r>
  </w:p>
  <w:p w14:paraId="2658AF59" w14:textId="77777777" w:rsidR="004259BC" w:rsidRDefault="00425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F2F7F" w14:textId="77777777" w:rsidR="00685C27" w:rsidRDefault="00685C27" w:rsidP="006B2FEF">
      <w:r>
        <w:separator/>
      </w:r>
    </w:p>
  </w:footnote>
  <w:footnote w:type="continuationSeparator" w:id="0">
    <w:p w14:paraId="0165448D" w14:textId="77777777" w:rsidR="00685C27" w:rsidRDefault="00685C27" w:rsidP="006B2FEF">
      <w:r>
        <w:continuationSeparator/>
      </w:r>
    </w:p>
  </w:footnote>
  <w:footnote w:type="continuationNotice" w:id="1">
    <w:p w14:paraId="13720EC6" w14:textId="77777777" w:rsidR="00685C27" w:rsidRDefault="00685C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627235"/>
      <w:docPartObj>
        <w:docPartGallery w:val="Page Numbers (Top of Page)"/>
        <w:docPartUnique/>
      </w:docPartObj>
    </w:sdtPr>
    <w:sdtEndPr>
      <w:rPr>
        <w:sz w:val="24"/>
        <w:szCs w:val="24"/>
      </w:rPr>
    </w:sdtEndPr>
    <w:sdtContent>
      <w:p w14:paraId="4597F8B3" w14:textId="3CA29690" w:rsidR="004259BC" w:rsidRPr="005A1518" w:rsidRDefault="004259BC" w:rsidP="005A1518">
        <w:pPr>
          <w:pStyle w:val="Header"/>
          <w:jc w:val="center"/>
          <w:rPr>
            <w:sz w:val="24"/>
          </w:rPr>
        </w:pPr>
        <w:r w:rsidRPr="00B014C2">
          <w:rPr>
            <w:sz w:val="24"/>
            <w:szCs w:val="24"/>
          </w:rPr>
          <w:fldChar w:fldCharType="begin"/>
        </w:r>
        <w:r w:rsidRPr="00B014C2">
          <w:rPr>
            <w:sz w:val="24"/>
            <w:szCs w:val="24"/>
          </w:rPr>
          <w:instrText xml:space="preserve"> PAGE   \* MERGEFORMAT </w:instrText>
        </w:r>
        <w:r w:rsidRPr="00B014C2">
          <w:rPr>
            <w:sz w:val="24"/>
            <w:szCs w:val="24"/>
          </w:rPr>
          <w:fldChar w:fldCharType="separate"/>
        </w:r>
        <w:r>
          <w:rPr>
            <w:noProof/>
            <w:sz w:val="24"/>
            <w:szCs w:val="24"/>
          </w:rPr>
          <w:t>7</w:t>
        </w:r>
        <w:r w:rsidRPr="00B014C2">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33C8"/>
    <w:multiLevelType w:val="hybridMultilevel"/>
    <w:tmpl w:val="45FEA8E0"/>
    <w:lvl w:ilvl="0" w:tplc="6D5CF492">
      <w:start w:val="1"/>
      <w:numFmt w:val="decimal"/>
      <w:lvlText w:val="%1)"/>
      <w:lvlJc w:val="left"/>
      <w:pPr>
        <w:ind w:left="3784" w:hanging="360"/>
      </w:pPr>
      <w:rPr>
        <w:rFonts w:hint="default"/>
      </w:rPr>
    </w:lvl>
    <w:lvl w:ilvl="1" w:tplc="04260019" w:tentative="1">
      <w:start w:val="1"/>
      <w:numFmt w:val="lowerLetter"/>
      <w:lvlText w:val="%2."/>
      <w:lvlJc w:val="left"/>
      <w:pPr>
        <w:ind w:left="4504" w:hanging="360"/>
      </w:pPr>
    </w:lvl>
    <w:lvl w:ilvl="2" w:tplc="0426001B" w:tentative="1">
      <w:start w:val="1"/>
      <w:numFmt w:val="lowerRoman"/>
      <w:lvlText w:val="%3."/>
      <w:lvlJc w:val="right"/>
      <w:pPr>
        <w:ind w:left="5224" w:hanging="180"/>
      </w:pPr>
    </w:lvl>
    <w:lvl w:ilvl="3" w:tplc="0426000F" w:tentative="1">
      <w:start w:val="1"/>
      <w:numFmt w:val="decimal"/>
      <w:lvlText w:val="%4."/>
      <w:lvlJc w:val="left"/>
      <w:pPr>
        <w:ind w:left="5944" w:hanging="360"/>
      </w:pPr>
    </w:lvl>
    <w:lvl w:ilvl="4" w:tplc="04260019" w:tentative="1">
      <w:start w:val="1"/>
      <w:numFmt w:val="lowerLetter"/>
      <w:lvlText w:val="%5."/>
      <w:lvlJc w:val="left"/>
      <w:pPr>
        <w:ind w:left="6664" w:hanging="360"/>
      </w:pPr>
    </w:lvl>
    <w:lvl w:ilvl="5" w:tplc="0426001B" w:tentative="1">
      <w:start w:val="1"/>
      <w:numFmt w:val="lowerRoman"/>
      <w:lvlText w:val="%6."/>
      <w:lvlJc w:val="right"/>
      <w:pPr>
        <w:ind w:left="7384" w:hanging="180"/>
      </w:pPr>
    </w:lvl>
    <w:lvl w:ilvl="6" w:tplc="0426000F" w:tentative="1">
      <w:start w:val="1"/>
      <w:numFmt w:val="decimal"/>
      <w:lvlText w:val="%7."/>
      <w:lvlJc w:val="left"/>
      <w:pPr>
        <w:ind w:left="8104" w:hanging="360"/>
      </w:pPr>
    </w:lvl>
    <w:lvl w:ilvl="7" w:tplc="04260019" w:tentative="1">
      <w:start w:val="1"/>
      <w:numFmt w:val="lowerLetter"/>
      <w:lvlText w:val="%8."/>
      <w:lvlJc w:val="left"/>
      <w:pPr>
        <w:ind w:left="8824" w:hanging="360"/>
      </w:pPr>
    </w:lvl>
    <w:lvl w:ilvl="8" w:tplc="0426001B" w:tentative="1">
      <w:start w:val="1"/>
      <w:numFmt w:val="lowerRoman"/>
      <w:lvlText w:val="%9."/>
      <w:lvlJc w:val="right"/>
      <w:pPr>
        <w:ind w:left="9544" w:hanging="180"/>
      </w:pPr>
    </w:lvl>
  </w:abstractNum>
  <w:abstractNum w:abstractNumId="1" w15:restartNumberingAfterBreak="0">
    <w:nsid w:val="0875247A"/>
    <w:multiLevelType w:val="hybridMultilevel"/>
    <w:tmpl w:val="9E303A1E"/>
    <w:lvl w:ilvl="0" w:tplc="CE983B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0766FE"/>
    <w:multiLevelType w:val="hybridMultilevel"/>
    <w:tmpl w:val="7C34376E"/>
    <w:lvl w:ilvl="0" w:tplc="DCAC6048">
      <w:start w:val="1"/>
      <w:numFmt w:val="decimal"/>
      <w:lvlText w:val="%1."/>
      <w:lvlJc w:val="left"/>
      <w:pPr>
        <w:ind w:left="720" w:hanging="360"/>
      </w:pPr>
      <w:rPr>
        <w:rFonts w:eastAsia="Calibri" w:hint="default"/>
        <w:b w:val="0"/>
        <w:bCs/>
        <w:color w:val="000000" w:themeColor="text1"/>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307F7"/>
    <w:multiLevelType w:val="hybridMultilevel"/>
    <w:tmpl w:val="AA90F2CA"/>
    <w:lvl w:ilvl="0" w:tplc="A254E062">
      <w:start w:val="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F756CC"/>
    <w:multiLevelType w:val="hybridMultilevel"/>
    <w:tmpl w:val="2F3A3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CC0D3F"/>
    <w:multiLevelType w:val="hybridMultilevel"/>
    <w:tmpl w:val="0D06DB20"/>
    <w:lvl w:ilvl="0" w:tplc="33E8D8DC">
      <w:start w:val="2020"/>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6"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D6733E"/>
    <w:multiLevelType w:val="hybridMultilevel"/>
    <w:tmpl w:val="D1D0D5AE"/>
    <w:lvl w:ilvl="0" w:tplc="9496D090">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99559B7"/>
    <w:multiLevelType w:val="hybridMultilevel"/>
    <w:tmpl w:val="E6CA93B8"/>
    <w:lvl w:ilvl="0" w:tplc="AEE2AE30">
      <w:start w:val="1"/>
      <w:numFmt w:val="decimal"/>
      <w:lvlText w:val="%1."/>
      <w:lvlJc w:val="left"/>
      <w:pPr>
        <w:ind w:left="450" w:hanging="39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454D5118"/>
    <w:multiLevelType w:val="multilevel"/>
    <w:tmpl w:val="74FE8F0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B234D9"/>
    <w:multiLevelType w:val="hybridMultilevel"/>
    <w:tmpl w:val="3AAE74A4"/>
    <w:lvl w:ilvl="0" w:tplc="04260001">
      <w:start w:val="1"/>
      <w:numFmt w:val="bullet"/>
      <w:lvlText w:val=""/>
      <w:lvlJc w:val="left"/>
      <w:pPr>
        <w:ind w:left="1253" w:hanging="360"/>
      </w:pPr>
      <w:rPr>
        <w:rFonts w:ascii="Symbol" w:hAnsi="Symbol" w:hint="default"/>
      </w:rPr>
    </w:lvl>
    <w:lvl w:ilvl="1" w:tplc="04260003">
      <w:start w:val="1"/>
      <w:numFmt w:val="bullet"/>
      <w:lvlText w:val="o"/>
      <w:lvlJc w:val="left"/>
      <w:pPr>
        <w:ind w:left="1973" w:hanging="360"/>
      </w:pPr>
      <w:rPr>
        <w:rFonts w:ascii="Courier New" w:hAnsi="Courier New" w:cs="Courier New" w:hint="default"/>
      </w:rPr>
    </w:lvl>
    <w:lvl w:ilvl="2" w:tplc="04260005">
      <w:start w:val="1"/>
      <w:numFmt w:val="bullet"/>
      <w:lvlText w:val=""/>
      <w:lvlJc w:val="left"/>
      <w:pPr>
        <w:ind w:left="2693" w:hanging="360"/>
      </w:pPr>
      <w:rPr>
        <w:rFonts w:ascii="Wingdings" w:hAnsi="Wingdings" w:hint="default"/>
      </w:rPr>
    </w:lvl>
    <w:lvl w:ilvl="3" w:tplc="04260001">
      <w:start w:val="1"/>
      <w:numFmt w:val="bullet"/>
      <w:lvlText w:val=""/>
      <w:lvlJc w:val="left"/>
      <w:pPr>
        <w:ind w:left="3413" w:hanging="360"/>
      </w:pPr>
      <w:rPr>
        <w:rFonts w:ascii="Symbol" w:hAnsi="Symbol" w:hint="default"/>
      </w:rPr>
    </w:lvl>
    <w:lvl w:ilvl="4" w:tplc="04260003">
      <w:start w:val="1"/>
      <w:numFmt w:val="bullet"/>
      <w:lvlText w:val="o"/>
      <w:lvlJc w:val="left"/>
      <w:pPr>
        <w:ind w:left="4133" w:hanging="360"/>
      </w:pPr>
      <w:rPr>
        <w:rFonts w:ascii="Courier New" w:hAnsi="Courier New" w:cs="Courier New" w:hint="default"/>
      </w:rPr>
    </w:lvl>
    <w:lvl w:ilvl="5" w:tplc="04260005">
      <w:start w:val="1"/>
      <w:numFmt w:val="bullet"/>
      <w:lvlText w:val=""/>
      <w:lvlJc w:val="left"/>
      <w:pPr>
        <w:ind w:left="4853" w:hanging="360"/>
      </w:pPr>
      <w:rPr>
        <w:rFonts w:ascii="Wingdings" w:hAnsi="Wingdings" w:hint="default"/>
      </w:rPr>
    </w:lvl>
    <w:lvl w:ilvl="6" w:tplc="04260001">
      <w:start w:val="1"/>
      <w:numFmt w:val="bullet"/>
      <w:lvlText w:val=""/>
      <w:lvlJc w:val="left"/>
      <w:pPr>
        <w:ind w:left="5573" w:hanging="360"/>
      </w:pPr>
      <w:rPr>
        <w:rFonts w:ascii="Symbol" w:hAnsi="Symbol" w:hint="default"/>
      </w:rPr>
    </w:lvl>
    <w:lvl w:ilvl="7" w:tplc="04260003">
      <w:start w:val="1"/>
      <w:numFmt w:val="bullet"/>
      <w:lvlText w:val="o"/>
      <w:lvlJc w:val="left"/>
      <w:pPr>
        <w:ind w:left="6293" w:hanging="360"/>
      </w:pPr>
      <w:rPr>
        <w:rFonts w:ascii="Courier New" w:hAnsi="Courier New" w:cs="Courier New" w:hint="default"/>
      </w:rPr>
    </w:lvl>
    <w:lvl w:ilvl="8" w:tplc="04260005">
      <w:start w:val="1"/>
      <w:numFmt w:val="bullet"/>
      <w:lvlText w:val=""/>
      <w:lvlJc w:val="left"/>
      <w:pPr>
        <w:ind w:left="7013" w:hanging="360"/>
      </w:pPr>
      <w:rPr>
        <w:rFonts w:ascii="Wingdings" w:hAnsi="Wingdings" w:hint="default"/>
      </w:rPr>
    </w:lvl>
  </w:abstractNum>
  <w:abstractNum w:abstractNumId="12" w15:restartNumberingAfterBreak="0">
    <w:nsid w:val="61111602"/>
    <w:multiLevelType w:val="hybridMultilevel"/>
    <w:tmpl w:val="45FEA8E0"/>
    <w:lvl w:ilvl="0" w:tplc="6D5CF492">
      <w:start w:val="1"/>
      <w:numFmt w:val="decimal"/>
      <w:lvlText w:val="%1)"/>
      <w:lvlJc w:val="left"/>
      <w:pPr>
        <w:ind w:left="708" w:hanging="360"/>
      </w:pPr>
      <w:rPr>
        <w:rFonts w:hint="default"/>
      </w:rPr>
    </w:lvl>
    <w:lvl w:ilvl="1" w:tplc="04260019" w:tentative="1">
      <w:start w:val="1"/>
      <w:numFmt w:val="lowerLetter"/>
      <w:lvlText w:val="%2."/>
      <w:lvlJc w:val="left"/>
      <w:pPr>
        <w:ind w:left="1428" w:hanging="360"/>
      </w:pPr>
    </w:lvl>
    <w:lvl w:ilvl="2" w:tplc="0426001B" w:tentative="1">
      <w:start w:val="1"/>
      <w:numFmt w:val="lowerRoman"/>
      <w:lvlText w:val="%3."/>
      <w:lvlJc w:val="right"/>
      <w:pPr>
        <w:ind w:left="2148" w:hanging="180"/>
      </w:pPr>
    </w:lvl>
    <w:lvl w:ilvl="3" w:tplc="0426000F" w:tentative="1">
      <w:start w:val="1"/>
      <w:numFmt w:val="decimal"/>
      <w:lvlText w:val="%4."/>
      <w:lvlJc w:val="left"/>
      <w:pPr>
        <w:ind w:left="2868" w:hanging="360"/>
      </w:pPr>
    </w:lvl>
    <w:lvl w:ilvl="4" w:tplc="04260019" w:tentative="1">
      <w:start w:val="1"/>
      <w:numFmt w:val="lowerLetter"/>
      <w:lvlText w:val="%5."/>
      <w:lvlJc w:val="left"/>
      <w:pPr>
        <w:ind w:left="3588" w:hanging="360"/>
      </w:pPr>
    </w:lvl>
    <w:lvl w:ilvl="5" w:tplc="0426001B" w:tentative="1">
      <w:start w:val="1"/>
      <w:numFmt w:val="lowerRoman"/>
      <w:lvlText w:val="%6."/>
      <w:lvlJc w:val="right"/>
      <w:pPr>
        <w:ind w:left="4308" w:hanging="180"/>
      </w:pPr>
    </w:lvl>
    <w:lvl w:ilvl="6" w:tplc="0426000F" w:tentative="1">
      <w:start w:val="1"/>
      <w:numFmt w:val="decimal"/>
      <w:lvlText w:val="%7."/>
      <w:lvlJc w:val="left"/>
      <w:pPr>
        <w:ind w:left="5028" w:hanging="360"/>
      </w:pPr>
    </w:lvl>
    <w:lvl w:ilvl="7" w:tplc="04260019" w:tentative="1">
      <w:start w:val="1"/>
      <w:numFmt w:val="lowerLetter"/>
      <w:lvlText w:val="%8."/>
      <w:lvlJc w:val="left"/>
      <w:pPr>
        <w:ind w:left="5748" w:hanging="360"/>
      </w:pPr>
    </w:lvl>
    <w:lvl w:ilvl="8" w:tplc="0426001B" w:tentative="1">
      <w:start w:val="1"/>
      <w:numFmt w:val="lowerRoman"/>
      <w:lvlText w:val="%9."/>
      <w:lvlJc w:val="right"/>
      <w:pPr>
        <w:ind w:left="6468" w:hanging="180"/>
      </w:pPr>
    </w:lvl>
  </w:abstractNum>
  <w:abstractNum w:abstractNumId="13" w15:restartNumberingAfterBreak="0">
    <w:nsid w:val="64CB1BA5"/>
    <w:multiLevelType w:val="hybridMultilevel"/>
    <w:tmpl w:val="A1B8AD32"/>
    <w:lvl w:ilvl="0" w:tplc="DCAC6048">
      <w:start w:val="1"/>
      <w:numFmt w:val="decimal"/>
      <w:lvlText w:val="%1."/>
      <w:lvlJc w:val="left"/>
      <w:pPr>
        <w:ind w:left="780" w:hanging="360"/>
      </w:pPr>
      <w:rPr>
        <w:rFonts w:eastAsia="Calibri" w:hint="default"/>
        <w:b w:val="0"/>
        <w:bCs/>
        <w:color w:val="000000" w:themeColor="text1"/>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69CE54EA"/>
    <w:multiLevelType w:val="hybridMultilevel"/>
    <w:tmpl w:val="DBECA9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D9A0D5B"/>
    <w:multiLevelType w:val="hybridMultilevel"/>
    <w:tmpl w:val="268E5ABE"/>
    <w:lvl w:ilvl="0" w:tplc="A9AEE2D8">
      <w:start w:val="202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754E7EE9"/>
    <w:multiLevelType w:val="hybridMultilevel"/>
    <w:tmpl w:val="02A48FCA"/>
    <w:lvl w:ilvl="0" w:tplc="E9700D42">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76351B06"/>
    <w:multiLevelType w:val="hybridMultilevel"/>
    <w:tmpl w:val="BA2C9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6AA1E41"/>
    <w:multiLevelType w:val="hybridMultilevel"/>
    <w:tmpl w:val="D426601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3"/>
  </w:num>
  <w:num w:numId="2">
    <w:abstractNumId w:val="10"/>
  </w:num>
  <w:num w:numId="3">
    <w:abstractNumId w:val="6"/>
  </w:num>
  <w:num w:numId="4">
    <w:abstractNumId w:val="1"/>
  </w:num>
  <w:num w:numId="5">
    <w:abstractNumId w:val="9"/>
  </w:num>
  <w:num w:numId="6">
    <w:abstractNumId w:val="17"/>
  </w:num>
  <w:num w:numId="7">
    <w:abstractNumId w:val="15"/>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0"/>
  </w:num>
  <w:num w:numId="13">
    <w:abstractNumId w:val="12"/>
  </w:num>
  <w:num w:numId="14">
    <w:abstractNumId w:val="2"/>
  </w:num>
  <w:num w:numId="15">
    <w:abstractNumId w:val="13"/>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7"/>
  </w:num>
  <w:num w:numId="2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D3"/>
    <w:rsid w:val="000008A9"/>
    <w:rsid w:val="00003583"/>
    <w:rsid w:val="00003B9C"/>
    <w:rsid w:val="000058AA"/>
    <w:rsid w:val="0000653D"/>
    <w:rsid w:val="00007491"/>
    <w:rsid w:val="0001048C"/>
    <w:rsid w:val="00013B61"/>
    <w:rsid w:val="00014B9F"/>
    <w:rsid w:val="000157FD"/>
    <w:rsid w:val="00016159"/>
    <w:rsid w:val="0002003C"/>
    <w:rsid w:val="000231D2"/>
    <w:rsid w:val="000240CA"/>
    <w:rsid w:val="00024ACB"/>
    <w:rsid w:val="00024D9D"/>
    <w:rsid w:val="00024EF9"/>
    <w:rsid w:val="0002511E"/>
    <w:rsid w:val="0002596F"/>
    <w:rsid w:val="00026F18"/>
    <w:rsid w:val="0003012D"/>
    <w:rsid w:val="00030B7E"/>
    <w:rsid w:val="0003245D"/>
    <w:rsid w:val="00032471"/>
    <w:rsid w:val="0003265E"/>
    <w:rsid w:val="00033F5A"/>
    <w:rsid w:val="0003573B"/>
    <w:rsid w:val="00035C7B"/>
    <w:rsid w:val="000430AC"/>
    <w:rsid w:val="0004380E"/>
    <w:rsid w:val="00044683"/>
    <w:rsid w:val="00044743"/>
    <w:rsid w:val="00045B58"/>
    <w:rsid w:val="00045E27"/>
    <w:rsid w:val="00045F86"/>
    <w:rsid w:val="00047095"/>
    <w:rsid w:val="00047962"/>
    <w:rsid w:val="00047D6C"/>
    <w:rsid w:val="000527A4"/>
    <w:rsid w:val="00053E3A"/>
    <w:rsid w:val="000648D9"/>
    <w:rsid w:val="00064B6E"/>
    <w:rsid w:val="000665BC"/>
    <w:rsid w:val="000678CD"/>
    <w:rsid w:val="00070F56"/>
    <w:rsid w:val="00071082"/>
    <w:rsid w:val="0007156D"/>
    <w:rsid w:val="00071BC9"/>
    <w:rsid w:val="00072B02"/>
    <w:rsid w:val="0007330D"/>
    <w:rsid w:val="00074090"/>
    <w:rsid w:val="0007684B"/>
    <w:rsid w:val="000773A5"/>
    <w:rsid w:val="00077D13"/>
    <w:rsid w:val="0008002B"/>
    <w:rsid w:val="00080352"/>
    <w:rsid w:val="000818FB"/>
    <w:rsid w:val="00081EC5"/>
    <w:rsid w:val="0008515E"/>
    <w:rsid w:val="00085640"/>
    <w:rsid w:val="000874E6"/>
    <w:rsid w:val="00091668"/>
    <w:rsid w:val="00091F4F"/>
    <w:rsid w:val="0009324B"/>
    <w:rsid w:val="00094B1E"/>
    <w:rsid w:val="00095280"/>
    <w:rsid w:val="00095AF8"/>
    <w:rsid w:val="00096060"/>
    <w:rsid w:val="000964C6"/>
    <w:rsid w:val="0009743E"/>
    <w:rsid w:val="000A0059"/>
    <w:rsid w:val="000A0B2E"/>
    <w:rsid w:val="000A14E3"/>
    <w:rsid w:val="000A3654"/>
    <w:rsid w:val="000A37C3"/>
    <w:rsid w:val="000A3879"/>
    <w:rsid w:val="000A38DA"/>
    <w:rsid w:val="000A44CE"/>
    <w:rsid w:val="000A4B5A"/>
    <w:rsid w:val="000A4CDB"/>
    <w:rsid w:val="000A5D04"/>
    <w:rsid w:val="000A6486"/>
    <w:rsid w:val="000A7E05"/>
    <w:rsid w:val="000B0748"/>
    <w:rsid w:val="000B1926"/>
    <w:rsid w:val="000B1B64"/>
    <w:rsid w:val="000B20D2"/>
    <w:rsid w:val="000B2C54"/>
    <w:rsid w:val="000B3449"/>
    <w:rsid w:val="000B3FAB"/>
    <w:rsid w:val="000B492B"/>
    <w:rsid w:val="000B71B4"/>
    <w:rsid w:val="000C090A"/>
    <w:rsid w:val="000C33C1"/>
    <w:rsid w:val="000C4418"/>
    <w:rsid w:val="000C6987"/>
    <w:rsid w:val="000C7F31"/>
    <w:rsid w:val="000D1EA5"/>
    <w:rsid w:val="000D2474"/>
    <w:rsid w:val="000D3D56"/>
    <w:rsid w:val="000D43D9"/>
    <w:rsid w:val="000D74B9"/>
    <w:rsid w:val="000E257B"/>
    <w:rsid w:val="000E46A4"/>
    <w:rsid w:val="000E53C3"/>
    <w:rsid w:val="000E56F8"/>
    <w:rsid w:val="000E5DD2"/>
    <w:rsid w:val="000E63F3"/>
    <w:rsid w:val="000F0A62"/>
    <w:rsid w:val="000F0E0E"/>
    <w:rsid w:val="000F1D22"/>
    <w:rsid w:val="000F25D2"/>
    <w:rsid w:val="000F2EA7"/>
    <w:rsid w:val="000F4230"/>
    <w:rsid w:val="000F5401"/>
    <w:rsid w:val="001001F5"/>
    <w:rsid w:val="0010088E"/>
    <w:rsid w:val="00102922"/>
    <w:rsid w:val="00102B0D"/>
    <w:rsid w:val="00102B1D"/>
    <w:rsid w:val="00104BDD"/>
    <w:rsid w:val="00105A7C"/>
    <w:rsid w:val="00105D17"/>
    <w:rsid w:val="00110128"/>
    <w:rsid w:val="001129AA"/>
    <w:rsid w:val="001133E7"/>
    <w:rsid w:val="0011606F"/>
    <w:rsid w:val="001164C3"/>
    <w:rsid w:val="0012177A"/>
    <w:rsid w:val="0012624C"/>
    <w:rsid w:val="0013024B"/>
    <w:rsid w:val="00130C79"/>
    <w:rsid w:val="00131C9F"/>
    <w:rsid w:val="00137388"/>
    <w:rsid w:val="00137E32"/>
    <w:rsid w:val="00137F96"/>
    <w:rsid w:val="0014051E"/>
    <w:rsid w:val="0014092F"/>
    <w:rsid w:val="00142C3C"/>
    <w:rsid w:val="00143BB6"/>
    <w:rsid w:val="00145366"/>
    <w:rsid w:val="00146697"/>
    <w:rsid w:val="00146D17"/>
    <w:rsid w:val="00151BBD"/>
    <w:rsid w:val="00151F22"/>
    <w:rsid w:val="00152387"/>
    <w:rsid w:val="0015295F"/>
    <w:rsid w:val="00152F52"/>
    <w:rsid w:val="0015682A"/>
    <w:rsid w:val="00156C28"/>
    <w:rsid w:val="0016143E"/>
    <w:rsid w:val="00161BA7"/>
    <w:rsid w:val="00161DD5"/>
    <w:rsid w:val="001633A3"/>
    <w:rsid w:val="0016441A"/>
    <w:rsid w:val="001650AC"/>
    <w:rsid w:val="001655DD"/>
    <w:rsid w:val="00165747"/>
    <w:rsid w:val="00165F5E"/>
    <w:rsid w:val="0016668A"/>
    <w:rsid w:val="00166A8B"/>
    <w:rsid w:val="0016744E"/>
    <w:rsid w:val="00167597"/>
    <w:rsid w:val="00172082"/>
    <w:rsid w:val="00174095"/>
    <w:rsid w:val="00176AB2"/>
    <w:rsid w:val="00177250"/>
    <w:rsid w:val="00177882"/>
    <w:rsid w:val="00177C69"/>
    <w:rsid w:val="001805FA"/>
    <w:rsid w:val="00180DBF"/>
    <w:rsid w:val="00180E2B"/>
    <w:rsid w:val="00183B65"/>
    <w:rsid w:val="00183C0A"/>
    <w:rsid w:val="00186A4D"/>
    <w:rsid w:val="00187140"/>
    <w:rsid w:val="00190B3D"/>
    <w:rsid w:val="001935C8"/>
    <w:rsid w:val="001946C8"/>
    <w:rsid w:val="00195D43"/>
    <w:rsid w:val="001A120C"/>
    <w:rsid w:val="001A1322"/>
    <w:rsid w:val="001A1368"/>
    <w:rsid w:val="001A1439"/>
    <w:rsid w:val="001A2748"/>
    <w:rsid w:val="001A38EA"/>
    <w:rsid w:val="001A3ED2"/>
    <w:rsid w:val="001A623D"/>
    <w:rsid w:val="001A7C3A"/>
    <w:rsid w:val="001A7E1D"/>
    <w:rsid w:val="001B6AC0"/>
    <w:rsid w:val="001B70CA"/>
    <w:rsid w:val="001B7454"/>
    <w:rsid w:val="001C0801"/>
    <w:rsid w:val="001C143C"/>
    <w:rsid w:val="001C1B72"/>
    <w:rsid w:val="001C2832"/>
    <w:rsid w:val="001C362D"/>
    <w:rsid w:val="001C5ED6"/>
    <w:rsid w:val="001C6208"/>
    <w:rsid w:val="001C68A2"/>
    <w:rsid w:val="001C6D4A"/>
    <w:rsid w:val="001C70CC"/>
    <w:rsid w:val="001D0561"/>
    <w:rsid w:val="001D0800"/>
    <w:rsid w:val="001D2C06"/>
    <w:rsid w:val="001D3167"/>
    <w:rsid w:val="001D6554"/>
    <w:rsid w:val="001D6EFA"/>
    <w:rsid w:val="001D7397"/>
    <w:rsid w:val="001D7DC1"/>
    <w:rsid w:val="001E023A"/>
    <w:rsid w:val="001E1B0F"/>
    <w:rsid w:val="001E2389"/>
    <w:rsid w:val="001E3588"/>
    <w:rsid w:val="001E4C2F"/>
    <w:rsid w:val="001E5FBC"/>
    <w:rsid w:val="001E76BE"/>
    <w:rsid w:val="001F2BA2"/>
    <w:rsid w:val="001F457D"/>
    <w:rsid w:val="001F6DBE"/>
    <w:rsid w:val="001F7086"/>
    <w:rsid w:val="001F7AAD"/>
    <w:rsid w:val="00200E7D"/>
    <w:rsid w:val="00201D17"/>
    <w:rsid w:val="00203E59"/>
    <w:rsid w:val="0020468C"/>
    <w:rsid w:val="002107BF"/>
    <w:rsid w:val="00210E64"/>
    <w:rsid w:val="00211315"/>
    <w:rsid w:val="00215A5A"/>
    <w:rsid w:val="00215C6A"/>
    <w:rsid w:val="0021738A"/>
    <w:rsid w:val="002177B0"/>
    <w:rsid w:val="00217F5B"/>
    <w:rsid w:val="00223778"/>
    <w:rsid w:val="00224E84"/>
    <w:rsid w:val="00225635"/>
    <w:rsid w:val="002267E7"/>
    <w:rsid w:val="00227BC3"/>
    <w:rsid w:val="00227F25"/>
    <w:rsid w:val="00232596"/>
    <w:rsid w:val="0023582E"/>
    <w:rsid w:val="002376A8"/>
    <w:rsid w:val="00237878"/>
    <w:rsid w:val="00240921"/>
    <w:rsid w:val="00243066"/>
    <w:rsid w:val="002438ED"/>
    <w:rsid w:val="00244A9E"/>
    <w:rsid w:val="002453A1"/>
    <w:rsid w:val="00246849"/>
    <w:rsid w:val="00247A0B"/>
    <w:rsid w:val="00250127"/>
    <w:rsid w:val="0025023B"/>
    <w:rsid w:val="0025130F"/>
    <w:rsid w:val="00252B8E"/>
    <w:rsid w:val="00252EEF"/>
    <w:rsid w:val="00253B6C"/>
    <w:rsid w:val="00253C94"/>
    <w:rsid w:val="00254651"/>
    <w:rsid w:val="00254901"/>
    <w:rsid w:val="0025543B"/>
    <w:rsid w:val="00255BAC"/>
    <w:rsid w:val="0025654B"/>
    <w:rsid w:val="00256ACE"/>
    <w:rsid w:val="00257981"/>
    <w:rsid w:val="002601C7"/>
    <w:rsid w:val="00261B97"/>
    <w:rsid w:val="002651EA"/>
    <w:rsid w:val="0027369F"/>
    <w:rsid w:val="00273700"/>
    <w:rsid w:val="00273B21"/>
    <w:rsid w:val="00274E8B"/>
    <w:rsid w:val="00274FCA"/>
    <w:rsid w:val="00277D9D"/>
    <w:rsid w:val="00281C0B"/>
    <w:rsid w:val="00282251"/>
    <w:rsid w:val="0028288E"/>
    <w:rsid w:val="00284ADB"/>
    <w:rsid w:val="00286A8E"/>
    <w:rsid w:val="00290D8E"/>
    <w:rsid w:val="00290EE2"/>
    <w:rsid w:val="00292062"/>
    <w:rsid w:val="002932D2"/>
    <w:rsid w:val="002938AB"/>
    <w:rsid w:val="00294593"/>
    <w:rsid w:val="00294DDB"/>
    <w:rsid w:val="00294DF3"/>
    <w:rsid w:val="00295741"/>
    <w:rsid w:val="002957B7"/>
    <w:rsid w:val="002965D2"/>
    <w:rsid w:val="002A0435"/>
    <w:rsid w:val="002A0BC1"/>
    <w:rsid w:val="002A0F87"/>
    <w:rsid w:val="002A166A"/>
    <w:rsid w:val="002A1AA4"/>
    <w:rsid w:val="002A2C52"/>
    <w:rsid w:val="002A3150"/>
    <w:rsid w:val="002A3287"/>
    <w:rsid w:val="002A3EC2"/>
    <w:rsid w:val="002A6400"/>
    <w:rsid w:val="002A7C45"/>
    <w:rsid w:val="002B071C"/>
    <w:rsid w:val="002B133E"/>
    <w:rsid w:val="002B24D2"/>
    <w:rsid w:val="002B3EAE"/>
    <w:rsid w:val="002B4900"/>
    <w:rsid w:val="002B6364"/>
    <w:rsid w:val="002B7681"/>
    <w:rsid w:val="002B7F82"/>
    <w:rsid w:val="002C0D41"/>
    <w:rsid w:val="002C15A0"/>
    <w:rsid w:val="002C22CF"/>
    <w:rsid w:val="002C3E23"/>
    <w:rsid w:val="002C3E51"/>
    <w:rsid w:val="002C504B"/>
    <w:rsid w:val="002C743D"/>
    <w:rsid w:val="002C749F"/>
    <w:rsid w:val="002D339C"/>
    <w:rsid w:val="002D43A2"/>
    <w:rsid w:val="002D4C3F"/>
    <w:rsid w:val="002D6A10"/>
    <w:rsid w:val="002D6BDB"/>
    <w:rsid w:val="002D744A"/>
    <w:rsid w:val="002D7D0E"/>
    <w:rsid w:val="002E024D"/>
    <w:rsid w:val="002E1075"/>
    <w:rsid w:val="002E1779"/>
    <w:rsid w:val="002E500A"/>
    <w:rsid w:val="002E5019"/>
    <w:rsid w:val="002E5643"/>
    <w:rsid w:val="002E678E"/>
    <w:rsid w:val="002E708A"/>
    <w:rsid w:val="002E7635"/>
    <w:rsid w:val="002F06CE"/>
    <w:rsid w:val="002F1DFD"/>
    <w:rsid w:val="002F21A8"/>
    <w:rsid w:val="002F4D28"/>
    <w:rsid w:val="002F5587"/>
    <w:rsid w:val="002F5FB0"/>
    <w:rsid w:val="002F741D"/>
    <w:rsid w:val="003003D5"/>
    <w:rsid w:val="00300615"/>
    <w:rsid w:val="00300B84"/>
    <w:rsid w:val="00301A6D"/>
    <w:rsid w:val="0030247A"/>
    <w:rsid w:val="00303955"/>
    <w:rsid w:val="00303F18"/>
    <w:rsid w:val="00304810"/>
    <w:rsid w:val="003048C5"/>
    <w:rsid w:val="003055C3"/>
    <w:rsid w:val="003061FB"/>
    <w:rsid w:val="00306270"/>
    <w:rsid w:val="0031008A"/>
    <w:rsid w:val="003106D5"/>
    <w:rsid w:val="00310924"/>
    <w:rsid w:val="0031259B"/>
    <w:rsid w:val="00314298"/>
    <w:rsid w:val="0031471E"/>
    <w:rsid w:val="003176D3"/>
    <w:rsid w:val="00317EBF"/>
    <w:rsid w:val="003202B6"/>
    <w:rsid w:val="00320409"/>
    <w:rsid w:val="003204E2"/>
    <w:rsid w:val="00320B22"/>
    <w:rsid w:val="003228DE"/>
    <w:rsid w:val="00323C8A"/>
    <w:rsid w:val="00326096"/>
    <w:rsid w:val="00326AE5"/>
    <w:rsid w:val="00330421"/>
    <w:rsid w:val="0033237E"/>
    <w:rsid w:val="003334FB"/>
    <w:rsid w:val="003344E7"/>
    <w:rsid w:val="0033779C"/>
    <w:rsid w:val="00337AC6"/>
    <w:rsid w:val="00343A18"/>
    <w:rsid w:val="0034476B"/>
    <w:rsid w:val="00346913"/>
    <w:rsid w:val="003469B5"/>
    <w:rsid w:val="00346CE0"/>
    <w:rsid w:val="00354ABE"/>
    <w:rsid w:val="00356159"/>
    <w:rsid w:val="00356492"/>
    <w:rsid w:val="00357C6C"/>
    <w:rsid w:val="00360657"/>
    <w:rsid w:val="00366AFE"/>
    <w:rsid w:val="00367B98"/>
    <w:rsid w:val="00370711"/>
    <w:rsid w:val="003711F9"/>
    <w:rsid w:val="00371757"/>
    <w:rsid w:val="00373808"/>
    <w:rsid w:val="00373F39"/>
    <w:rsid w:val="00374D9C"/>
    <w:rsid w:val="00374F73"/>
    <w:rsid w:val="0037530A"/>
    <w:rsid w:val="00375D4C"/>
    <w:rsid w:val="00375F30"/>
    <w:rsid w:val="00376F09"/>
    <w:rsid w:val="00380AC5"/>
    <w:rsid w:val="00380D03"/>
    <w:rsid w:val="00381382"/>
    <w:rsid w:val="003814A5"/>
    <w:rsid w:val="00381B26"/>
    <w:rsid w:val="00382FEC"/>
    <w:rsid w:val="003850E7"/>
    <w:rsid w:val="00385772"/>
    <w:rsid w:val="00387734"/>
    <w:rsid w:val="003911D7"/>
    <w:rsid w:val="0039139B"/>
    <w:rsid w:val="003913FB"/>
    <w:rsid w:val="00391F87"/>
    <w:rsid w:val="003926B4"/>
    <w:rsid w:val="00392998"/>
    <w:rsid w:val="00392C95"/>
    <w:rsid w:val="00393026"/>
    <w:rsid w:val="0039319E"/>
    <w:rsid w:val="00393E8A"/>
    <w:rsid w:val="00394872"/>
    <w:rsid w:val="003949F0"/>
    <w:rsid w:val="00395460"/>
    <w:rsid w:val="00396152"/>
    <w:rsid w:val="003962D9"/>
    <w:rsid w:val="00397D0E"/>
    <w:rsid w:val="003A038F"/>
    <w:rsid w:val="003A1D77"/>
    <w:rsid w:val="003A24AD"/>
    <w:rsid w:val="003A2C91"/>
    <w:rsid w:val="003A3887"/>
    <w:rsid w:val="003A3B51"/>
    <w:rsid w:val="003A40AD"/>
    <w:rsid w:val="003A66B2"/>
    <w:rsid w:val="003A6A32"/>
    <w:rsid w:val="003A6B7C"/>
    <w:rsid w:val="003A7D7E"/>
    <w:rsid w:val="003B1693"/>
    <w:rsid w:val="003B32EC"/>
    <w:rsid w:val="003B3488"/>
    <w:rsid w:val="003B42F1"/>
    <w:rsid w:val="003B5E55"/>
    <w:rsid w:val="003B5F6A"/>
    <w:rsid w:val="003B623A"/>
    <w:rsid w:val="003B63BE"/>
    <w:rsid w:val="003B6C58"/>
    <w:rsid w:val="003B7B62"/>
    <w:rsid w:val="003C072B"/>
    <w:rsid w:val="003C25D1"/>
    <w:rsid w:val="003C3D3D"/>
    <w:rsid w:val="003C5836"/>
    <w:rsid w:val="003C585E"/>
    <w:rsid w:val="003C7796"/>
    <w:rsid w:val="003D0189"/>
    <w:rsid w:val="003D0448"/>
    <w:rsid w:val="003D0D82"/>
    <w:rsid w:val="003D0F93"/>
    <w:rsid w:val="003D0FB7"/>
    <w:rsid w:val="003D1A86"/>
    <w:rsid w:val="003D3252"/>
    <w:rsid w:val="003D3CA2"/>
    <w:rsid w:val="003D3E7E"/>
    <w:rsid w:val="003D4D20"/>
    <w:rsid w:val="003D72E9"/>
    <w:rsid w:val="003D7F0B"/>
    <w:rsid w:val="003E06DF"/>
    <w:rsid w:val="003E145E"/>
    <w:rsid w:val="003E171B"/>
    <w:rsid w:val="003E3100"/>
    <w:rsid w:val="003E4132"/>
    <w:rsid w:val="003E5276"/>
    <w:rsid w:val="003E58C7"/>
    <w:rsid w:val="003E5A6D"/>
    <w:rsid w:val="003E5B81"/>
    <w:rsid w:val="003E5D7B"/>
    <w:rsid w:val="003E637A"/>
    <w:rsid w:val="003E78C2"/>
    <w:rsid w:val="003F0341"/>
    <w:rsid w:val="003F0484"/>
    <w:rsid w:val="003F288B"/>
    <w:rsid w:val="003F2AC0"/>
    <w:rsid w:val="003F2B20"/>
    <w:rsid w:val="003F2C34"/>
    <w:rsid w:val="003F2DF0"/>
    <w:rsid w:val="003F30FC"/>
    <w:rsid w:val="003F45CD"/>
    <w:rsid w:val="003F4CC7"/>
    <w:rsid w:val="003F7C94"/>
    <w:rsid w:val="00401397"/>
    <w:rsid w:val="004022E2"/>
    <w:rsid w:val="004038BC"/>
    <w:rsid w:val="00403BB6"/>
    <w:rsid w:val="0040575E"/>
    <w:rsid w:val="00406AE2"/>
    <w:rsid w:val="0041036A"/>
    <w:rsid w:val="0041316A"/>
    <w:rsid w:val="004139E4"/>
    <w:rsid w:val="004154AB"/>
    <w:rsid w:val="004158F6"/>
    <w:rsid w:val="00415A66"/>
    <w:rsid w:val="00416547"/>
    <w:rsid w:val="00416A31"/>
    <w:rsid w:val="00417136"/>
    <w:rsid w:val="00417240"/>
    <w:rsid w:val="0041770B"/>
    <w:rsid w:val="004205F6"/>
    <w:rsid w:val="00420760"/>
    <w:rsid w:val="00420CFF"/>
    <w:rsid w:val="004224C2"/>
    <w:rsid w:val="00423B46"/>
    <w:rsid w:val="00424376"/>
    <w:rsid w:val="004259BC"/>
    <w:rsid w:val="00425AA9"/>
    <w:rsid w:val="00426250"/>
    <w:rsid w:val="00426A69"/>
    <w:rsid w:val="00426B77"/>
    <w:rsid w:val="00430F61"/>
    <w:rsid w:val="00431019"/>
    <w:rsid w:val="00432155"/>
    <w:rsid w:val="00433EC2"/>
    <w:rsid w:val="00434856"/>
    <w:rsid w:val="00434CD9"/>
    <w:rsid w:val="004352F7"/>
    <w:rsid w:val="0043554A"/>
    <w:rsid w:val="0043619D"/>
    <w:rsid w:val="004362D3"/>
    <w:rsid w:val="0043788C"/>
    <w:rsid w:val="0044076E"/>
    <w:rsid w:val="00441C35"/>
    <w:rsid w:val="00442A8B"/>
    <w:rsid w:val="00442D1E"/>
    <w:rsid w:val="00443016"/>
    <w:rsid w:val="00444344"/>
    <w:rsid w:val="00445945"/>
    <w:rsid w:val="00450691"/>
    <w:rsid w:val="00450D9C"/>
    <w:rsid w:val="00452140"/>
    <w:rsid w:val="00453BB3"/>
    <w:rsid w:val="004545A3"/>
    <w:rsid w:val="00454695"/>
    <w:rsid w:val="00454D95"/>
    <w:rsid w:val="004569B2"/>
    <w:rsid w:val="00457427"/>
    <w:rsid w:val="00457C1C"/>
    <w:rsid w:val="004619FE"/>
    <w:rsid w:val="00462679"/>
    <w:rsid w:val="0046308C"/>
    <w:rsid w:val="00463574"/>
    <w:rsid w:val="00464762"/>
    <w:rsid w:val="00465B5F"/>
    <w:rsid w:val="004666F3"/>
    <w:rsid w:val="00467343"/>
    <w:rsid w:val="0046742A"/>
    <w:rsid w:val="0047031A"/>
    <w:rsid w:val="004710ED"/>
    <w:rsid w:val="00471A6D"/>
    <w:rsid w:val="0047322E"/>
    <w:rsid w:val="004741BD"/>
    <w:rsid w:val="004757CE"/>
    <w:rsid w:val="00475FA3"/>
    <w:rsid w:val="00476F80"/>
    <w:rsid w:val="00477B23"/>
    <w:rsid w:val="00480B18"/>
    <w:rsid w:val="00480F68"/>
    <w:rsid w:val="00481C20"/>
    <w:rsid w:val="00483B86"/>
    <w:rsid w:val="00485293"/>
    <w:rsid w:val="00485E47"/>
    <w:rsid w:val="00490499"/>
    <w:rsid w:val="00497AB8"/>
    <w:rsid w:val="004A09C9"/>
    <w:rsid w:val="004A0C09"/>
    <w:rsid w:val="004A2EE3"/>
    <w:rsid w:val="004A4356"/>
    <w:rsid w:val="004A5EEF"/>
    <w:rsid w:val="004A6D94"/>
    <w:rsid w:val="004A7474"/>
    <w:rsid w:val="004B0B1D"/>
    <w:rsid w:val="004B2BDA"/>
    <w:rsid w:val="004B3711"/>
    <w:rsid w:val="004B3C41"/>
    <w:rsid w:val="004B4797"/>
    <w:rsid w:val="004B61CF"/>
    <w:rsid w:val="004B6792"/>
    <w:rsid w:val="004C0738"/>
    <w:rsid w:val="004C0D20"/>
    <w:rsid w:val="004C0FE6"/>
    <w:rsid w:val="004C20F1"/>
    <w:rsid w:val="004C212C"/>
    <w:rsid w:val="004C253C"/>
    <w:rsid w:val="004C2FC4"/>
    <w:rsid w:val="004C30C9"/>
    <w:rsid w:val="004D0374"/>
    <w:rsid w:val="004D0B68"/>
    <w:rsid w:val="004D0F95"/>
    <w:rsid w:val="004D232B"/>
    <w:rsid w:val="004D3010"/>
    <w:rsid w:val="004D3527"/>
    <w:rsid w:val="004D3ABB"/>
    <w:rsid w:val="004D4A6B"/>
    <w:rsid w:val="004D5E0A"/>
    <w:rsid w:val="004E0DCF"/>
    <w:rsid w:val="004E1476"/>
    <w:rsid w:val="004E14E3"/>
    <w:rsid w:val="004E4946"/>
    <w:rsid w:val="004E5D38"/>
    <w:rsid w:val="004E603B"/>
    <w:rsid w:val="004E626B"/>
    <w:rsid w:val="004E6C7D"/>
    <w:rsid w:val="004F13BD"/>
    <w:rsid w:val="004F478F"/>
    <w:rsid w:val="004F5D3E"/>
    <w:rsid w:val="004F729B"/>
    <w:rsid w:val="004F7784"/>
    <w:rsid w:val="00501246"/>
    <w:rsid w:val="0050230D"/>
    <w:rsid w:val="0050364D"/>
    <w:rsid w:val="00503D17"/>
    <w:rsid w:val="00504D00"/>
    <w:rsid w:val="00504D6E"/>
    <w:rsid w:val="00510EDA"/>
    <w:rsid w:val="005116FB"/>
    <w:rsid w:val="0051173D"/>
    <w:rsid w:val="0051378F"/>
    <w:rsid w:val="00514B75"/>
    <w:rsid w:val="00515D44"/>
    <w:rsid w:val="00520B91"/>
    <w:rsid w:val="00523C60"/>
    <w:rsid w:val="005251E8"/>
    <w:rsid w:val="00526473"/>
    <w:rsid w:val="00527164"/>
    <w:rsid w:val="0053141C"/>
    <w:rsid w:val="00531AFF"/>
    <w:rsid w:val="00532875"/>
    <w:rsid w:val="00534305"/>
    <w:rsid w:val="00535A41"/>
    <w:rsid w:val="0053691B"/>
    <w:rsid w:val="005376A4"/>
    <w:rsid w:val="00537FF8"/>
    <w:rsid w:val="00542913"/>
    <w:rsid w:val="0054467E"/>
    <w:rsid w:val="005464E6"/>
    <w:rsid w:val="00546938"/>
    <w:rsid w:val="00546F28"/>
    <w:rsid w:val="00547ACF"/>
    <w:rsid w:val="00550C4F"/>
    <w:rsid w:val="005525C7"/>
    <w:rsid w:val="00552639"/>
    <w:rsid w:val="00554C22"/>
    <w:rsid w:val="00555557"/>
    <w:rsid w:val="00555CED"/>
    <w:rsid w:val="00557927"/>
    <w:rsid w:val="00557AA8"/>
    <w:rsid w:val="00557B17"/>
    <w:rsid w:val="00560761"/>
    <w:rsid w:val="00561126"/>
    <w:rsid w:val="00561296"/>
    <w:rsid w:val="00566916"/>
    <w:rsid w:val="00566F71"/>
    <w:rsid w:val="00567EBC"/>
    <w:rsid w:val="00567FC5"/>
    <w:rsid w:val="00571CCF"/>
    <w:rsid w:val="00572180"/>
    <w:rsid w:val="00572337"/>
    <w:rsid w:val="00573049"/>
    <w:rsid w:val="00573FFE"/>
    <w:rsid w:val="00575FC3"/>
    <w:rsid w:val="0057625C"/>
    <w:rsid w:val="00576743"/>
    <w:rsid w:val="005771D5"/>
    <w:rsid w:val="0058066B"/>
    <w:rsid w:val="0058099B"/>
    <w:rsid w:val="00580B98"/>
    <w:rsid w:val="00581784"/>
    <w:rsid w:val="005836A3"/>
    <w:rsid w:val="00583CBA"/>
    <w:rsid w:val="00584453"/>
    <w:rsid w:val="00586E05"/>
    <w:rsid w:val="0058713E"/>
    <w:rsid w:val="00591838"/>
    <w:rsid w:val="00592809"/>
    <w:rsid w:val="00593343"/>
    <w:rsid w:val="00594A83"/>
    <w:rsid w:val="005A0C78"/>
    <w:rsid w:val="005A1518"/>
    <w:rsid w:val="005A4807"/>
    <w:rsid w:val="005A5A80"/>
    <w:rsid w:val="005B0FC7"/>
    <w:rsid w:val="005B2674"/>
    <w:rsid w:val="005B297A"/>
    <w:rsid w:val="005B29EF"/>
    <w:rsid w:val="005B2DA5"/>
    <w:rsid w:val="005B476F"/>
    <w:rsid w:val="005B5F05"/>
    <w:rsid w:val="005B6095"/>
    <w:rsid w:val="005B65B8"/>
    <w:rsid w:val="005B6A0D"/>
    <w:rsid w:val="005B6D1C"/>
    <w:rsid w:val="005B6FD2"/>
    <w:rsid w:val="005C04E5"/>
    <w:rsid w:val="005C1764"/>
    <w:rsid w:val="005C3B2C"/>
    <w:rsid w:val="005C3D03"/>
    <w:rsid w:val="005C51FA"/>
    <w:rsid w:val="005C5413"/>
    <w:rsid w:val="005C59B9"/>
    <w:rsid w:val="005C63C7"/>
    <w:rsid w:val="005C6628"/>
    <w:rsid w:val="005C6B2C"/>
    <w:rsid w:val="005C73E4"/>
    <w:rsid w:val="005C7B1F"/>
    <w:rsid w:val="005D06E8"/>
    <w:rsid w:val="005D1195"/>
    <w:rsid w:val="005D11E7"/>
    <w:rsid w:val="005D2167"/>
    <w:rsid w:val="005D688E"/>
    <w:rsid w:val="005D6B98"/>
    <w:rsid w:val="005D6F53"/>
    <w:rsid w:val="005D794E"/>
    <w:rsid w:val="005E2FF9"/>
    <w:rsid w:val="005E30B2"/>
    <w:rsid w:val="005E39B3"/>
    <w:rsid w:val="005E4164"/>
    <w:rsid w:val="005E6955"/>
    <w:rsid w:val="005F24C4"/>
    <w:rsid w:val="005F3196"/>
    <w:rsid w:val="005F32D1"/>
    <w:rsid w:val="005F3FC6"/>
    <w:rsid w:val="005F75C4"/>
    <w:rsid w:val="006002BF"/>
    <w:rsid w:val="00600301"/>
    <w:rsid w:val="006008D1"/>
    <w:rsid w:val="00601137"/>
    <w:rsid w:val="00603A12"/>
    <w:rsid w:val="00603CC2"/>
    <w:rsid w:val="006051A6"/>
    <w:rsid w:val="006064F8"/>
    <w:rsid w:val="006101CF"/>
    <w:rsid w:val="00611ADA"/>
    <w:rsid w:val="00611E18"/>
    <w:rsid w:val="00611FC0"/>
    <w:rsid w:val="00613A4A"/>
    <w:rsid w:val="00614157"/>
    <w:rsid w:val="00614A2A"/>
    <w:rsid w:val="00614ECD"/>
    <w:rsid w:val="006231D7"/>
    <w:rsid w:val="00624A71"/>
    <w:rsid w:val="00626031"/>
    <w:rsid w:val="00630C6C"/>
    <w:rsid w:val="00630ED2"/>
    <w:rsid w:val="00631935"/>
    <w:rsid w:val="006342EF"/>
    <w:rsid w:val="00636B91"/>
    <w:rsid w:val="006373FF"/>
    <w:rsid w:val="00637833"/>
    <w:rsid w:val="00641AC4"/>
    <w:rsid w:val="00642478"/>
    <w:rsid w:val="00644379"/>
    <w:rsid w:val="00646A6F"/>
    <w:rsid w:val="0065132D"/>
    <w:rsid w:val="00653397"/>
    <w:rsid w:val="006535C3"/>
    <w:rsid w:val="006553CD"/>
    <w:rsid w:val="006559F5"/>
    <w:rsid w:val="0065752A"/>
    <w:rsid w:val="00661782"/>
    <w:rsid w:val="00661F54"/>
    <w:rsid w:val="00662C11"/>
    <w:rsid w:val="006640AA"/>
    <w:rsid w:val="0066570F"/>
    <w:rsid w:val="00672822"/>
    <w:rsid w:val="006729D2"/>
    <w:rsid w:val="00673B07"/>
    <w:rsid w:val="00673BC6"/>
    <w:rsid w:val="00676F44"/>
    <w:rsid w:val="006775B3"/>
    <w:rsid w:val="00681089"/>
    <w:rsid w:val="00681434"/>
    <w:rsid w:val="006815C5"/>
    <w:rsid w:val="006842D2"/>
    <w:rsid w:val="00684808"/>
    <w:rsid w:val="0068483E"/>
    <w:rsid w:val="00684B94"/>
    <w:rsid w:val="00685C27"/>
    <w:rsid w:val="00687967"/>
    <w:rsid w:val="006900EA"/>
    <w:rsid w:val="00690F72"/>
    <w:rsid w:val="0069237F"/>
    <w:rsid w:val="00695FE4"/>
    <w:rsid w:val="006A01DA"/>
    <w:rsid w:val="006A030F"/>
    <w:rsid w:val="006A0F95"/>
    <w:rsid w:val="006A516C"/>
    <w:rsid w:val="006A6A8D"/>
    <w:rsid w:val="006A6B80"/>
    <w:rsid w:val="006B0913"/>
    <w:rsid w:val="006B1301"/>
    <w:rsid w:val="006B2D92"/>
    <w:rsid w:val="006B2FEF"/>
    <w:rsid w:val="006B4B31"/>
    <w:rsid w:val="006B6581"/>
    <w:rsid w:val="006B6D6C"/>
    <w:rsid w:val="006B7266"/>
    <w:rsid w:val="006B77B3"/>
    <w:rsid w:val="006B7C6F"/>
    <w:rsid w:val="006C20C5"/>
    <w:rsid w:val="006C5DED"/>
    <w:rsid w:val="006C5ECD"/>
    <w:rsid w:val="006D1520"/>
    <w:rsid w:val="006D2482"/>
    <w:rsid w:val="006D2E02"/>
    <w:rsid w:val="006D2F0C"/>
    <w:rsid w:val="006D3604"/>
    <w:rsid w:val="006D416D"/>
    <w:rsid w:val="006D4FBA"/>
    <w:rsid w:val="006D536E"/>
    <w:rsid w:val="006D5EB4"/>
    <w:rsid w:val="006E03EB"/>
    <w:rsid w:val="006E2082"/>
    <w:rsid w:val="006E3BE5"/>
    <w:rsid w:val="006E5D5B"/>
    <w:rsid w:val="006E67BA"/>
    <w:rsid w:val="006F04B5"/>
    <w:rsid w:val="006F2362"/>
    <w:rsid w:val="006F47EB"/>
    <w:rsid w:val="006F4B13"/>
    <w:rsid w:val="006F4DE9"/>
    <w:rsid w:val="006F61B5"/>
    <w:rsid w:val="006F681A"/>
    <w:rsid w:val="006F71C2"/>
    <w:rsid w:val="006F7CE7"/>
    <w:rsid w:val="007008B0"/>
    <w:rsid w:val="00700AC3"/>
    <w:rsid w:val="00700AD6"/>
    <w:rsid w:val="00700E68"/>
    <w:rsid w:val="00701065"/>
    <w:rsid w:val="00701156"/>
    <w:rsid w:val="0070175E"/>
    <w:rsid w:val="00703DC5"/>
    <w:rsid w:val="007040F2"/>
    <w:rsid w:val="007049DF"/>
    <w:rsid w:val="00705DFA"/>
    <w:rsid w:val="007061B6"/>
    <w:rsid w:val="007100EE"/>
    <w:rsid w:val="007120EE"/>
    <w:rsid w:val="0071279F"/>
    <w:rsid w:val="00714A9A"/>
    <w:rsid w:val="007153C5"/>
    <w:rsid w:val="007161D3"/>
    <w:rsid w:val="007172E6"/>
    <w:rsid w:val="00720C35"/>
    <w:rsid w:val="00720E7B"/>
    <w:rsid w:val="0072232C"/>
    <w:rsid w:val="007262F0"/>
    <w:rsid w:val="00726398"/>
    <w:rsid w:val="00727BE9"/>
    <w:rsid w:val="00730C7F"/>
    <w:rsid w:val="007314F1"/>
    <w:rsid w:val="00731BE9"/>
    <w:rsid w:val="00731E2B"/>
    <w:rsid w:val="00733C32"/>
    <w:rsid w:val="007366D2"/>
    <w:rsid w:val="0073718A"/>
    <w:rsid w:val="007420D7"/>
    <w:rsid w:val="007436E9"/>
    <w:rsid w:val="0074545C"/>
    <w:rsid w:val="00745C4D"/>
    <w:rsid w:val="00746933"/>
    <w:rsid w:val="0074742D"/>
    <w:rsid w:val="00752DBC"/>
    <w:rsid w:val="00753FF4"/>
    <w:rsid w:val="0075411D"/>
    <w:rsid w:val="0075462B"/>
    <w:rsid w:val="00755531"/>
    <w:rsid w:val="00755CB1"/>
    <w:rsid w:val="00756116"/>
    <w:rsid w:val="007568E1"/>
    <w:rsid w:val="00756F8A"/>
    <w:rsid w:val="00757367"/>
    <w:rsid w:val="007601AF"/>
    <w:rsid w:val="00760295"/>
    <w:rsid w:val="007603B4"/>
    <w:rsid w:val="00760998"/>
    <w:rsid w:val="00760B97"/>
    <w:rsid w:val="00762675"/>
    <w:rsid w:val="00762FC8"/>
    <w:rsid w:val="00763E37"/>
    <w:rsid w:val="00765825"/>
    <w:rsid w:val="007700D3"/>
    <w:rsid w:val="00770594"/>
    <w:rsid w:val="00770970"/>
    <w:rsid w:val="0077131C"/>
    <w:rsid w:val="0077138B"/>
    <w:rsid w:val="007727F0"/>
    <w:rsid w:val="00773FA8"/>
    <w:rsid w:val="00774B70"/>
    <w:rsid w:val="0077534E"/>
    <w:rsid w:val="00777098"/>
    <w:rsid w:val="00777133"/>
    <w:rsid w:val="0077733C"/>
    <w:rsid w:val="0078045E"/>
    <w:rsid w:val="00780B70"/>
    <w:rsid w:val="00780C3F"/>
    <w:rsid w:val="00782502"/>
    <w:rsid w:val="007827A4"/>
    <w:rsid w:val="00782847"/>
    <w:rsid w:val="00783777"/>
    <w:rsid w:val="00783D20"/>
    <w:rsid w:val="00785232"/>
    <w:rsid w:val="0078549A"/>
    <w:rsid w:val="007862D0"/>
    <w:rsid w:val="00791D8D"/>
    <w:rsid w:val="0079247D"/>
    <w:rsid w:val="00792559"/>
    <w:rsid w:val="00794CBC"/>
    <w:rsid w:val="00794E33"/>
    <w:rsid w:val="00794F2D"/>
    <w:rsid w:val="007954D3"/>
    <w:rsid w:val="00796159"/>
    <w:rsid w:val="00797AAD"/>
    <w:rsid w:val="007A189E"/>
    <w:rsid w:val="007A2F02"/>
    <w:rsid w:val="007A5127"/>
    <w:rsid w:val="007A5C51"/>
    <w:rsid w:val="007B25FF"/>
    <w:rsid w:val="007B2A03"/>
    <w:rsid w:val="007B3A30"/>
    <w:rsid w:val="007B41D7"/>
    <w:rsid w:val="007B671D"/>
    <w:rsid w:val="007B70B5"/>
    <w:rsid w:val="007C0DB7"/>
    <w:rsid w:val="007C1585"/>
    <w:rsid w:val="007C1A7D"/>
    <w:rsid w:val="007C1F6C"/>
    <w:rsid w:val="007C4094"/>
    <w:rsid w:val="007C415F"/>
    <w:rsid w:val="007C45C5"/>
    <w:rsid w:val="007C5945"/>
    <w:rsid w:val="007C608D"/>
    <w:rsid w:val="007D1EA6"/>
    <w:rsid w:val="007D29EC"/>
    <w:rsid w:val="007D302E"/>
    <w:rsid w:val="007D4E04"/>
    <w:rsid w:val="007D50AE"/>
    <w:rsid w:val="007D516C"/>
    <w:rsid w:val="007E0FCF"/>
    <w:rsid w:val="007E1EA6"/>
    <w:rsid w:val="007E2FDE"/>
    <w:rsid w:val="007E4C1F"/>
    <w:rsid w:val="007E4FE6"/>
    <w:rsid w:val="007E50CC"/>
    <w:rsid w:val="007E6491"/>
    <w:rsid w:val="007E6851"/>
    <w:rsid w:val="007E6943"/>
    <w:rsid w:val="007E6E32"/>
    <w:rsid w:val="007F0204"/>
    <w:rsid w:val="007F11B0"/>
    <w:rsid w:val="007F21C2"/>
    <w:rsid w:val="007F3879"/>
    <w:rsid w:val="007F5C3C"/>
    <w:rsid w:val="007F5C58"/>
    <w:rsid w:val="007F6449"/>
    <w:rsid w:val="007F6674"/>
    <w:rsid w:val="0080630B"/>
    <w:rsid w:val="00806AB5"/>
    <w:rsid w:val="00807142"/>
    <w:rsid w:val="008074E3"/>
    <w:rsid w:val="00807802"/>
    <w:rsid w:val="0080799C"/>
    <w:rsid w:val="00810C18"/>
    <w:rsid w:val="008139A1"/>
    <w:rsid w:val="00814421"/>
    <w:rsid w:val="00814AFC"/>
    <w:rsid w:val="00814B22"/>
    <w:rsid w:val="00822862"/>
    <w:rsid w:val="00823106"/>
    <w:rsid w:val="0082350A"/>
    <w:rsid w:val="00823765"/>
    <w:rsid w:val="00825174"/>
    <w:rsid w:val="0082597B"/>
    <w:rsid w:val="00831A5D"/>
    <w:rsid w:val="00831DB4"/>
    <w:rsid w:val="00832D85"/>
    <w:rsid w:val="008365EC"/>
    <w:rsid w:val="00836F80"/>
    <w:rsid w:val="00837390"/>
    <w:rsid w:val="00840A7F"/>
    <w:rsid w:val="00840A8F"/>
    <w:rsid w:val="00844176"/>
    <w:rsid w:val="00844A32"/>
    <w:rsid w:val="00846A9D"/>
    <w:rsid w:val="008503CA"/>
    <w:rsid w:val="008513A9"/>
    <w:rsid w:val="00852BA6"/>
    <w:rsid w:val="00852C60"/>
    <w:rsid w:val="0085308E"/>
    <w:rsid w:val="0085318D"/>
    <w:rsid w:val="008540A7"/>
    <w:rsid w:val="008565FB"/>
    <w:rsid w:val="008577FA"/>
    <w:rsid w:val="00860354"/>
    <w:rsid w:val="008617A6"/>
    <w:rsid w:val="00862580"/>
    <w:rsid w:val="00862834"/>
    <w:rsid w:val="00870E97"/>
    <w:rsid w:val="00871516"/>
    <w:rsid w:val="00871540"/>
    <w:rsid w:val="00871E2F"/>
    <w:rsid w:val="00876284"/>
    <w:rsid w:val="008764DD"/>
    <w:rsid w:val="00877499"/>
    <w:rsid w:val="008814E9"/>
    <w:rsid w:val="00882A5D"/>
    <w:rsid w:val="00883C37"/>
    <w:rsid w:val="008841EB"/>
    <w:rsid w:val="008854B0"/>
    <w:rsid w:val="0088688D"/>
    <w:rsid w:val="008910B2"/>
    <w:rsid w:val="00891622"/>
    <w:rsid w:val="00891C00"/>
    <w:rsid w:val="008921BE"/>
    <w:rsid w:val="00895E41"/>
    <w:rsid w:val="0089734D"/>
    <w:rsid w:val="008A0A32"/>
    <w:rsid w:val="008A1056"/>
    <w:rsid w:val="008A44F0"/>
    <w:rsid w:val="008A50CB"/>
    <w:rsid w:val="008A7CC5"/>
    <w:rsid w:val="008B0720"/>
    <w:rsid w:val="008B1C5A"/>
    <w:rsid w:val="008B1CC3"/>
    <w:rsid w:val="008B206C"/>
    <w:rsid w:val="008B34AA"/>
    <w:rsid w:val="008B4335"/>
    <w:rsid w:val="008B5413"/>
    <w:rsid w:val="008B56DF"/>
    <w:rsid w:val="008B5B2C"/>
    <w:rsid w:val="008B5EFB"/>
    <w:rsid w:val="008B69DC"/>
    <w:rsid w:val="008B7841"/>
    <w:rsid w:val="008C01BC"/>
    <w:rsid w:val="008C1990"/>
    <w:rsid w:val="008C20CF"/>
    <w:rsid w:val="008C3FED"/>
    <w:rsid w:val="008C4728"/>
    <w:rsid w:val="008C7959"/>
    <w:rsid w:val="008C7CA6"/>
    <w:rsid w:val="008D093B"/>
    <w:rsid w:val="008D3653"/>
    <w:rsid w:val="008D4F09"/>
    <w:rsid w:val="008D539E"/>
    <w:rsid w:val="008D65D5"/>
    <w:rsid w:val="008D75EB"/>
    <w:rsid w:val="008D7F23"/>
    <w:rsid w:val="008E12FB"/>
    <w:rsid w:val="008E1F57"/>
    <w:rsid w:val="008E405B"/>
    <w:rsid w:val="008E5D85"/>
    <w:rsid w:val="008E69F8"/>
    <w:rsid w:val="008E71BC"/>
    <w:rsid w:val="008E751B"/>
    <w:rsid w:val="008F03F7"/>
    <w:rsid w:val="008F0C45"/>
    <w:rsid w:val="008F107D"/>
    <w:rsid w:val="008F2FCB"/>
    <w:rsid w:val="008F40FA"/>
    <w:rsid w:val="008F594F"/>
    <w:rsid w:val="008F5CF9"/>
    <w:rsid w:val="00900C33"/>
    <w:rsid w:val="0090193D"/>
    <w:rsid w:val="009034C7"/>
    <w:rsid w:val="00904815"/>
    <w:rsid w:val="00906ABE"/>
    <w:rsid w:val="00907D1C"/>
    <w:rsid w:val="00907DD7"/>
    <w:rsid w:val="00910BBC"/>
    <w:rsid w:val="0091182D"/>
    <w:rsid w:val="00911DA2"/>
    <w:rsid w:val="009120EC"/>
    <w:rsid w:val="00915081"/>
    <w:rsid w:val="009165D6"/>
    <w:rsid w:val="00917D6F"/>
    <w:rsid w:val="00921504"/>
    <w:rsid w:val="00921E12"/>
    <w:rsid w:val="00922352"/>
    <w:rsid w:val="00922D66"/>
    <w:rsid w:val="0092710C"/>
    <w:rsid w:val="0093112B"/>
    <w:rsid w:val="0093298F"/>
    <w:rsid w:val="009354F2"/>
    <w:rsid w:val="009370A3"/>
    <w:rsid w:val="009370D2"/>
    <w:rsid w:val="00937BB0"/>
    <w:rsid w:val="0094022B"/>
    <w:rsid w:val="00941E05"/>
    <w:rsid w:val="00942D63"/>
    <w:rsid w:val="00942DAA"/>
    <w:rsid w:val="0094437B"/>
    <w:rsid w:val="009455DB"/>
    <w:rsid w:val="00945DB2"/>
    <w:rsid w:val="00946114"/>
    <w:rsid w:val="0094630E"/>
    <w:rsid w:val="009511D6"/>
    <w:rsid w:val="00951ED7"/>
    <w:rsid w:val="0095349E"/>
    <w:rsid w:val="00954428"/>
    <w:rsid w:val="00954541"/>
    <w:rsid w:val="00954C0F"/>
    <w:rsid w:val="00956218"/>
    <w:rsid w:val="00956C4B"/>
    <w:rsid w:val="00957E64"/>
    <w:rsid w:val="00961605"/>
    <w:rsid w:val="009620C5"/>
    <w:rsid w:val="009636AC"/>
    <w:rsid w:val="00963C88"/>
    <w:rsid w:val="00964A7F"/>
    <w:rsid w:val="00965995"/>
    <w:rsid w:val="00966814"/>
    <w:rsid w:val="00970D58"/>
    <w:rsid w:val="00973167"/>
    <w:rsid w:val="00980174"/>
    <w:rsid w:val="00981A42"/>
    <w:rsid w:val="00985A6C"/>
    <w:rsid w:val="00986A4D"/>
    <w:rsid w:val="009921E3"/>
    <w:rsid w:val="0099282E"/>
    <w:rsid w:val="00992E0E"/>
    <w:rsid w:val="00993596"/>
    <w:rsid w:val="009A00EB"/>
    <w:rsid w:val="009A44E3"/>
    <w:rsid w:val="009A6766"/>
    <w:rsid w:val="009A692C"/>
    <w:rsid w:val="009A7E10"/>
    <w:rsid w:val="009B082E"/>
    <w:rsid w:val="009B1CEB"/>
    <w:rsid w:val="009B2576"/>
    <w:rsid w:val="009B3508"/>
    <w:rsid w:val="009B3AE3"/>
    <w:rsid w:val="009B430C"/>
    <w:rsid w:val="009B43EB"/>
    <w:rsid w:val="009B584C"/>
    <w:rsid w:val="009B6613"/>
    <w:rsid w:val="009B6674"/>
    <w:rsid w:val="009B7000"/>
    <w:rsid w:val="009B75D4"/>
    <w:rsid w:val="009C0178"/>
    <w:rsid w:val="009C030C"/>
    <w:rsid w:val="009C061A"/>
    <w:rsid w:val="009C108E"/>
    <w:rsid w:val="009C1FE8"/>
    <w:rsid w:val="009C228A"/>
    <w:rsid w:val="009C282F"/>
    <w:rsid w:val="009C2E2D"/>
    <w:rsid w:val="009C3257"/>
    <w:rsid w:val="009C4EB8"/>
    <w:rsid w:val="009C5640"/>
    <w:rsid w:val="009C7F6E"/>
    <w:rsid w:val="009D0403"/>
    <w:rsid w:val="009D09C1"/>
    <w:rsid w:val="009D0A96"/>
    <w:rsid w:val="009D1051"/>
    <w:rsid w:val="009D2037"/>
    <w:rsid w:val="009D2832"/>
    <w:rsid w:val="009D3F87"/>
    <w:rsid w:val="009D43B2"/>
    <w:rsid w:val="009E03F3"/>
    <w:rsid w:val="009E2629"/>
    <w:rsid w:val="009E3364"/>
    <w:rsid w:val="009E5C84"/>
    <w:rsid w:val="009F0FC9"/>
    <w:rsid w:val="009F1A7E"/>
    <w:rsid w:val="009F5156"/>
    <w:rsid w:val="009F5B4E"/>
    <w:rsid w:val="00A000CC"/>
    <w:rsid w:val="00A03E32"/>
    <w:rsid w:val="00A075B0"/>
    <w:rsid w:val="00A1086A"/>
    <w:rsid w:val="00A11259"/>
    <w:rsid w:val="00A12B76"/>
    <w:rsid w:val="00A13FC8"/>
    <w:rsid w:val="00A14369"/>
    <w:rsid w:val="00A14C7F"/>
    <w:rsid w:val="00A154D5"/>
    <w:rsid w:val="00A16CCF"/>
    <w:rsid w:val="00A2067E"/>
    <w:rsid w:val="00A20B99"/>
    <w:rsid w:val="00A21F19"/>
    <w:rsid w:val="00A229AC"/>
    <w:rsid w:val="00A239BC"/>
    <w:rsid w:val="00A23E8B"/>
    <w:rsid w:val="00A25225"/>
    <w:rsid w:val="00A26607"/>
    <w:rsid w:val="00A26676"/>
    <w:rsid w:val="00A267B2"/>
    <w:rsid w:val="00A27A02"/>
    <w:rsid w:val="00A30DAB"/>
    <w:rsid w:val="00A3172A"/>
    <w:rsid w:val="00A32A3F"/>
    <w:rsid w:val="00A337C5"/>
    <w:rsid w:val="00A33B10"/>
    <w:rsid w:val="00A340FB"/>
    <w:rsid w:val="00A34C17"/>
    <w:rsid w:val="00A34EAB"/>
    <w:rsid w:val="00A3537A"/>
    <w:rsid w:val="00A37CD5"/>
    <w:rsid w:val="00A40FC4"/>
    <w:rsid w:val="00A41FB2"/>
    <w:rsid w:val="00A43105"/>
    <w:rsid w:val="00A43A02"/>
    <w:rsid w:val="00A468F1"/>
    <w:rsid w:val="00A471D7"/>
    <w:rsid w:val="00A50812"/>
    <w:rsid w:val="00A541ED"/>
    <w:rsid w:val="00A54A30"/>
    <w:rsid w:val="00A5551D"/>
    <w:rsid w:val="00A562DC"/>
    <w:rsid w:val="00A56E9B"/>
    <w:rsid w:val="00A56F27"/>
    <w:rsid w:val="00A57518"/>
    <w:rsid w:val="00A603DF"/>
    <w:rsid w:val="00A60C80"/>
    <w:rsid w:val="00A62D53"/>
    <w:rsid w:val="00A656FE"/>
    <w:rsid w:val="00A658C7"/>
    <w:rsid w:val="00A66F1F"/>
    <w:rsid w:val="00A71824"/>
    <w:rsid w:val="00A718EE"/>
    <w:rsid w:val="00A73448"/>
    <w:rsid w:val="00A74203"/>
    <w:rsid w:val="00A76C0A"/>
    <w:rsid w:val="00A82313"/>
    <w:rsid w:val="00A83263"/>
    <w:rsid w:val="00A86F1C"/>
    <w:rsid w:val="00A87100"/>
    <w:rsid w:val="00A907C8"/>
    <w:rsid w:val="00A9174A"/>
    <w:rsid w:val="00A92A07"/>
    <w:rsid w:val="00A93054"/>
    <w:rsid w:val="00A94B68"/>
    <w:rsid w:val="00A969CC"/>
    <w:rsid w:val="00A96C8D"/>
    <w:rsid w:val="00A9708B"/>
    <w:rsid w:val="00A978C3"/>
    <w:rsid w:val="00AA34A6"/>
    <w:rsid w:val="00AA3A72"/>
    <w:rsid w:val="00AA45BA"/>
    <w:rsid w:val="00AA6E88"/>
    <w:rsid w:val="00AA6F3A"/>
    <w:rsid w:val="00AA71C4"/>
    <w:rsid w:val="00AB0305"/>
    <w:rsid w:val="00AB3EB4"/>
    <w:rsid w:val="00AB4677"/>
    <w:rsid w:val="00AB5B04"/>
    <w:rsid w:val="00AB6AE8"/>
    <w:rsid w:val="00AB7C59"/>
    <w:rsid w:val="00AC105D"/>
    <w:rsid w:val="00AC16D2"/>
    <w:rsid w:val="00AC24BD"/>
    <w:rsid w:val="00AC2A15"/>
    <w:rsid w:val="00AC2B46"/>
    <w:rsid w:val="00AC5779"/>
    <w:rsid w:val="00AC6178"/>
    <w:rsid w:val="00AD2FA3"/>
    <w:rsid w:val="00AD3629"/>
    <w:rsid w:val="00AD3D79"/>
    <w:rsid w:val="00AD48AA"/>
    <w:rsid w:val="00AD5B91"/>
    <w:rsid w:val="00AD5C75"/>
    <w:rsid w:val="00AD6AEF"/>
    <w:rsid w:val="00AD7371"/>
    <w:rsid w:val="00AE0055"/>
    <w:rsid w:val="00AE091D"/>
    <w:rsid w:val="00AE3B88"/>
    <w:rsid w:val="00AE45DC"/>
    <w:rsid w:val="00AE4C8F"/>
    <w:rsid w:val="00AE5675"/>
    <w:rsid w:val="00AE57EC"/>
    <w:rsid w:val="00AE64F9"/>
    <w:rsid w:val="00AF0C8E"/>
    <w:rsid w:val="00AF1C04"/>
    <w:rsid w:val="00AF21BE"/>
    <w:rsid w:val="00AF2547"/>
    <w:rsid w:val="00AF254A"/>
    <w:rsid w:val="00AF36C9"/>
    <w:rsid w:val="00AF5DF5"/>
    <w:rsid w:val="00AF755E"/>
    <w:rsid w:val="00AF7779"/>
    <w:rsid w:val="00B0174E"/>
    <w:rsid w:val="00B01ED3"/>
    <w:rsid w:val="00B02EDD"/>
    <w:rsid w:val="00B039A0"/>
    <w:rsid w:val="00B043DE"/>
    <w:rsid w:val="00B04603"/>
    <w:rsid w:val="00B0569D"/>
    <w:rsid w:val="00B1092B"/>
    <w:rsid w:val="00B10B94"/>
    <w:rsid w:val="00B111A5"/>
    <w:rsid w:val="00B117F2"/>
    <w:rsid w:val="00B13379"/>
    <w:rsid w:val="00B13C6F"/>
    <w:rsid w:val="00B14D75"/>
    <w:rsid w:val="00B15DBA"/>
    <w:rsid w:val="00B16A95"/>
    <w:rsid w:val="00B2297A"/>
    <w:rsid w:val="00B230F6"/>
    <w:rsid w:val="00B26202"/>
    <w:rsid w:val="00B300C7"/>
    <w:rsid w:val="00B30CFE"/>
    <w:rsid w:val="00B3144D"/>
    <w:rsid w:val="00B31DDF"/>
    <w:rsid w:val="00B32793"/>
    <w:rsid w:val="00B33D89"/>
    <w:rsid w:val="00B34F7D"/>
    <w:rsid w:val="00B351E7"/>
    <w:rsid w:val="00B355D9"/>
    <w:rsid w:val="00B404B6"/>
    <w:rsid w:val="00B414FF"/>
    <w:rsid w:val="00B4164D"/>
    <w:rsid w:val="00B450C4"/>
    <w:rsid w:val="00B457C4"/>
    <w:rsid w:val="00B462F7"/>
    <w:rsid w:val="00B464A8"/>
    <w:rsid w:val="00B4697F"/>
    <w:rsid w:val="00B46A16"/>
    <w:rsid w:val="00B47747"/>
    <w:rsid w:val="00B47E34"/>
    <w:rsid w:val="00B50D88"/>
    <w:rsid w:val="00B51099"/>
    <w:rsid w:val="00B51427"/>
    <w:rsid w:val="00B52561"/>
    <w:rsid w:val="00B5564B"/>
    <w:rsid w:val="00B55A30"/>
    <w:rsid w:val="00B56674"/>
    <w:rsid w:val="00B5695B"/>
    <w:rsid w:val="00B56A48"/>
    <w:rsid w:val="00B56B47"/>
    <w:rsid w:val="00B60123"/>
    <w:rsid w:val="00B610FA"/>
    <w:rsid w:val="00B618A9"/>
    <w:rsid w:val="00B621AF"/>
    <w:rsid w:val="00B63C0B"/>
    <w:rsid w:val="00B64A3E"/>
    <w:rsid w:val="00B652FE"/>
    <w:rsid w:val="00B65A0A"/>
    <w:rsid w:val="00B65CF6"/>
    <w:rsid w:val="00B700CC"/>
    <w:rsid w:val="00B72365"/>
    <w:rsid w:val="00B74B38"/>
    <w:rsid w:val="00B759C4"/>
    <w:rsid w:val="00B762A0"/>
    <w:rsid w:val="00B7641E"/>
    <w:rsid w:val="00B77E56"/>
    <w:rsid w:val="00B80371"/>
    <w:rsid w:val="00B8269F"/>
    <w:rsid w:val="00B837AE"/>
    <w:rsid w:val="00B83DDC"/>
    <w:rsid w:val="00B83EED"/>
    <w:rsid w:val="00B84453"/>
    <w:rsid w:val="00B85597"/>
    <w:rsid w:val="00B85A89"/>
    <w:rsid w:val="00B868AD"/>
    <w:rsid w:val="00B86DD0"/>
    <w:rsid w:val="00B91B04"/>
    <w:rsid w:val="00B94338"/>
    <w:rsid w:val="00B9742D"/>
    <w:rsid w:val="00BA131A"/>
    <w:rsid w:val="00BA2274"/>
    <w:rsid w:val="00BA31BC"/>
    <w:rsid w:val="00BA5070"/>
    <w:rsid w:val="00BB0042"/>
    <w:rsid w:val="00BB0BAA"/>
    <w:rsid w:val="00BB1455"/>
    <w:rsid w:val="00BB1EA2"/>
    <w:rsid w:val="00BB419B"/>
    <w:rsid w:val="00BB480B"/>
    <w:rsid w:val="00BB4E62"/>
    <w:rsid w:val="00BB55EA"/>
    <w:rsid w:val="00BB6326"/>
    <w:rsid w:val="00BB7389"/>
    <w:rsid w:val="00BB7D03"/>
    <w:rsid w:val="00BC31E7"/>
    <w:rsid w:val="00BC37E0"/>
    <w:rsid w:val="00BC38A7"/>
    <w:rsid w:val="00BC3900"/>
    <w:rsid w:val="00BC608E"/>
    <w:rsid w:val="00BC69DC"/>
    <w:rsid w:val="00BC7045"/>
    <w:rsid w:val="00BD07F2"/>
    <w:rsid w:val="00BD1C32"/>
    <w:rsid w:val="00BD20AE"/>
    <w:rsid w:val="00BD3FC1"/>
    <w:rsid w:val="00BD746F"/>
    <w:rsid w:val="00BD7AE1"/>
    <w:rsid w:val="00BE0E6C"/>
    <w:rsid w:val="00BE15E4"/>
    <w:rsid w:val="00BE6127"/>
    <w:rsid w:val="00BE786E"/>
    <w:rsid w:val="00BF13E6"/>
    <w:rsid w:val="00BF15B9"/>
    <w:rsid w:val="00BF2AA4"/>
    <w:rsid w:val="00BF742F"/>
    <w:rsid w:val="00BF7BD9"/>
    <w:rsid w:val="00BF7D60"/>
    <w:rsid w:val="00C000CE"/>
    <w:rsid w:val="00C0083C"/>
    <w:rsid w:val="00C017FE"/>
    <w:rsid w:val="00C03273"/>
    <w:rsid w:val="00C0447C"/>
    <w:rsid w:val="00C04CAF"/>
    <w:rsid w:val="00C050AF"/>
    <w:rsid w:val="00C054A9"/>
    <w:rsid w:val="00C05EF2"/>
    <w:rsid w:val="00C0600E"/>
    <w:rsid w:val="00C07585"/>
    <w:rsid w:val="00C11685"/>
    <w:rsid w:val="00C1189F"/>
    <w:rsid w:val="00C11F32"/>
    <w:rsid w:val="00C12263"/>
    <w:rsid w:val="00C12CF8"/>
    <w:rsid w:val="00C136CD"/>
    <w:rsid w:val="00C13D67"/>
    <w:rsid w:val="00C14903"/>
    <w:rsid w:val="00C14F34"/>
    <w:rsid w:val="00C151DF"/>
    <w:rsid w:val="00C1563D"/>
    <w:rsid w:val="00C15EB7"/>
    <w:rsid w:val="00C1626D"/>
    <w:rsid w:val="00C17A3E"/>
    <w:rsid w:val="00C212B4"/>
    <w:rsid w:val="00C21746"/>
    <w:rsid w:val="00C220E6"/>
    <w:rsid w:val="00C23427"/>
    <w:rsid w:val="00C23F73"/>
    <w:rsid w:val="00C25016"/>
    <w:rsid w:val="00C2517F"/>
    <w:rsid w:val="00C26333"/>
    <w:rsid w:val="00C264E6"/>
    <w:rsid w:val="00C26E37"/>
    <w:rsid w:val="00C271E6"/>
    <w:rsid w:val="00C27354"/>
    <w:rsid w:val="00C32C97"/>
    <w:rsid w:val="00C32DF0"/>
    <w:rsid w:val="00C33A18"/>
    <w:rsid w:val="00C353F8"/>
    <w:rsid w:val="00C35A54"/>
    <w:rsid w:val="00C416DB"/>
    <w:rsid w:val="00C423B7"/>
    <w:rsid w:val="00C42887"/>
    <w:rsid w:val="00C42ACD"/>
    <w:rsid w:val="00C42C49"/>
    <w:rsid w:val="00C446A5"/>
    <w:rsid w:val="00C447E0"/>
    <w:rsid w:val="00C45150"/>
    <w:rsid w:val="00C46737"/>
    <w:rsid w:val="00C52004"/>
    <w:rsid w:val="00C56568"/>
    <w:rsid w:val="00C60883"/>
    <w:rsid w:val="00C62D9D"/>
    <w:rsid w:val="00C6333E"/>
    <w:rsid w:val="00C633A8"/>
    <w:rsid w:val="00C64054"/>
    <w:rsid w:val="00C64DE5"/>
    <w:rsid w:val="00C65AAE"/>
    <w:rsid w:val="00C66A4D"/>
    <w:rsid w:val="00C67534"/>
    <w:rsid w:val="00C712C4"/>
    <w:rsid w:val="00C7141D"/>
    <w:rsid w:val="00C72945"/>
    <w:rsid w:val="00C72D2B"/>
    <w:rsid w:val="00C74D5C"/>
    <w:rsid w:val="00C75E3A"/>
    <w:rsid w:val="00C77378"/>
    <w:rsid w:val="00C77C41"/>
    <w:rsid w:val="00C77C68"/>
    <w:rsid w:val="00C82E0E"/>
    <w:rsid w:val="00C85115"/>
    <w:rsid w:val="00C856AC"/>
    <w:rsid w:val="00C86896"/>
    <w:rsid w:val="00C86AE5"/>
    <w:rsid w:val="00C90114"/>
    <w:rsid w:val="00C921F5"/>
    <w:rsid w:val="00C933DE"/>
    <w:rsid w:val="00C95D2F"/>
    <w:rsid w:val="00CA082C"/>
    <w:rsid w:val="00CA0BCB"/>
    <w:rsid w:val="00CA130E"/>
    <w:rsid w:val="00CA373F"/>
    <w:rsid w:val="00CB237D"/>
    <w:rsid w:val="00CB2A80"/>
    <w:rsid w:val="00CB2F00"/>
    <w:rsid w:val="00CB4839"/>
    <w:rsid w:val="00CB48BB"/>
    <w:rsid w:val="00CB5A26"/>
    <w:rsid w:val="00CB6AC4"/>
    <w:rsid w:val="00CC10D3"/>
    <w:rsid w:val="00CC2DAC"/>
    <w:rsid w:val="00CC4858"/>
    <w:rsid w:val="00CD00B0"/>
    <w:rsid w:val="00CD1C12"/>
    <w:rsid w:val="00CD1D66"/>
    <w:rsid w:val="00CD1F7F"/>
    <w:rsid w:val="00CD2774"/>
    <w:rsid w:val="00CD2A99"/>
    <w:rsid w:val="00CD402D"/>
    <w:rsid w:val="00CD433A"/>
    <w:rsid w:val="00CD57A7"/>
    <w:rsid w:val="00CD5FCA"/>
    <w:rsid w:val="00CD7CCA"/>
    <w:rsid w:val="00CE0AC5"/>
    <w:rsid w:val="00CE186B"/>
    <w:rsid w:val="00CE1DD6"/>
    <w:rsid w:val="00CE261F"/>
    <w:rsid w:val="00CE35E1"/>
    <w:rsid w:val="00CE5541"/>
    <w:rsid w:val="00CE5C53"/>
    <w:rsid w:val="00CF0573"/>
    <w:rsid w:val="00CF07D3"/>
    <w:rsid w:val="00CF4607"/>
    <w:rsid w:val="00CF4C56"/>
    <w:rsid w:val="00CF6767"/>
    <w:rsid w:val="00CF747C"/>
    <w:rsid w:val="00D00001"/>
    <w:rsid w:val="00D00576"/>
    <w:rsid w:val="00D0113D"/>
    <w:rsid w:val="00D0207F"/>
    <w:rsid w:val="00D02CD4"/>
    <w:rsid w:val="00D04299"/>
    <w:rsid w:val="00D0506F"/>
    <w:rsid w:val="00D05A7A"/>
    <w:rsid w:val="00D06C14"/>
    <w:rsid w:val="00D06F0E"/>
    <w:rsid w:val="00D07B78"/>
    <w:rsid w:val="00D1072F"/>
    <w:rsid w:val="00D12439"/>
    <w:rsid w:val="00D12B80"/>
    <w:rsid w:val="00D13BD0"/>
    <w:rsid w:val="00D13D6F"/>
    <w:rsid w:val="00D165F4"/>
    <w:rsid w:val="00D1668E"/>
    <w:rsid w:val="00D167C5"/>
    <w:rsid w:val="00D16C33"/>
    <w:rsid w:val="00D177EA"/>
    <w:rsid w:val="00D20CC5"/>
    <w:rsid w:val="00D217AC"/>
    <w:rsid w:val="00D255F1"/>
    <w:rsid w:val="00D27E4D"/>
    <w:rsid w:val="00D30610"/>
    <w:rsid w:val="00D31BE1"/>
    <w:rsid w:val="00D326BF"/>
    <w:rsid w:val="00D35B96"/>
    <w:rsid w:val="00D35CE6"/>
    <w:rsid w:val="00D37973"/>
    <w:rsid w:val="00D40EAC"/>
    <w:rsid w:val="00D41BB4"/>
    <w:rsid w:val="00D41F46"/>
    <w:rsid w:val="00D4222D"/>
    <w:rsid w:val="00D42754"/>
    <w:rsid w:val="00D4381D"/>
    <w:rsid w:val="00D455A4"/>
    <w:rsid w:val="00D51DD0"/>
    <w:rsid w:val="00D5265D"/>
    <w:rsid w:val="00D60415"/>
    <w:rsid w:val="00D62E09"/>
    <w:rsid w:val="00D64101"/>
    <w:rsid w:val="00D64A1D"/>
    <w:rsid w:val="00D64FFD"/>
    <w:rsid w:val="00D671F5"/>
    <w:rsid w:val="00D67CE9"/>
    <w:rsid w:val="00D67F89"/>
    <w:rsid w:val="00D70AAA"/>
    <w:rsid w:val="00D7105E"/>
    <w:rsid w:val="00D710DA"/>
    <w:rsid w:val="00D711C9"/>
    <w:rsid w:val="00D71684"/>
    <w:rsid w:val="00D71A4D"/>
    <w:rsid w:val="00D72D32"/>
    <w:rsid w:val="00D734E3"/>
    <w:rsid w:val="00D7671C"/>
    <w:rsid w:val="00D767E6"/>
    <w:rsid w:val="00D76D7C"/>
    <w:rsid w:val="00D77A0C"/>
    <w:rsid w:val="00D8129D"/>
    <w:rsid w:val="00D8131B"/>
    <w:rsid w:val="00D81D94"/>
    <w:rsid w:val="00D83021"/>
    <w:rsid w:val="00D832BD"/>
    <w:rsid w:val="00D8420C"/>
    <w:rsid w:val="00D84436"/>
    <w:rsid w:val="00D84DE0"/>
    <w:rsid w:val="00D852A4"/>
    <w:rsid w:val="00D85764"/>
    <w:rsid w:val="00D863D0"/>
    <w:rsid w:val="00D90CAE"/>
    <w:rsid w:val="00D93142"/>
    <w:rsid w:val="00D953C8"/>
    <w:rsid w:val="00D96FBA"/>
    <w:rsid w:val="00D97622"/>
    <w:rsid w:val="00DA1B53"/>
    <w:rsid w:val="00DA1FCE"/>
    <w:rsid w:val="00DA239C"/>
    <w:rsid w:val="00DA3088"/>
    <w:rsid w:val="00DA433D"/>
    <w:rsid w:val="00DA58AF"/>
    <w:rsid w:val="00DA7141"/>
    <w:rsid w:val="00DA744D"/>
    <w:rsid w:val="00DB1E78"/>
    <w:rsid w:val="00DB3228"/>
    <w:rsid w:val="00DB3721"/>
    <w:rsid w:val="00DB3D04"/>
    <w:rsid w:val="00DB57B4"/>
    <w:rsid w:val="00DB7630"/>
    <w:rsid w:val="00DC07AE"/>
    <w:rsid w:val="00DC10A1"/>
    <w:rsid w:val="00DC15CB"/>
    <w:rsid w:val="00DC1AC5"/>
    <w:rsid w:val="00DC3534"/>
    <w:rsid w:val="00DC499A"/>
    <w:rsid w:val="00DC64F8"/>
    <w:rsid w:val="00DC72F1"/>
    <w:rsid w:val="00DD00BE"/>
    <w:rsid w:val="00DD02D4"/>
    <w:rsid w:val="00DD0953"/>
    <w:rsid w:val="00DD0F2E"/>
    <w:rsid w:val="00DD1CB9"/>
    <w:rsid w:val="00DD1F77"/>
    <w:rsid w:val="00DD226B"/>
    <w:rsid w:val="00DD23E0"/>
    <w:rsid w:val="00DD2637"/>
    <w:rsid w:val="00DD2F35"/>
    <w:rsid w:val="00DD696D"/>
    <w:rsid w:val="00DD6B81"/>
    <w:rsid w:val="00DD7872"/>
    <w:rsid w:val="00DE0896"/>
    <w:rsid w:val="00DE0AD5"/>
    <w:rsid w:val="00DE4556"/>
    <w:rsid w:val="00DE4ED9"/>
    <w:rsid w:val="00DE592E"/>
    <w:rsid w:val="00DE7E62"/>
    <w:rsid w:val="00DF1C2B"/>
    <w:rsid w:val="00DF2F6B"/>
    <w:rsid w:val="00DF3993"/>
    <w:rsid w:val="00DF4EB1"/>
    <w:rsid w:val="00DF6E16"/>
    <w:rsid w:val="00E00218"/>
    <w:rsid w:val="00E018E1"/>
    <w:rsid w:val="00E0333C"/>
    <w:rsid w:val="00E0484E"/>
    <w:rsid w:val="00E06D4A"/>
    <w:rsid w:val="00E07AC4"/>
    <w:rsid w:val="00E10305"/>
    <w:rsid w:val="00E105CB"/>
    <w:rsid w:val="00E1062C"/>
    <w:rsid w:val="00E1136D"/>
    <w:rsid w:val="00E116BA"/>
    <w:rsid w:val="00E11D27"/>
    <w:rsid w:val="00E11D29"/>
    <w:rsid w:val="00E13F51"/>
    <w:rsid w:val="00E140A6"/>
    <w:rsid w:val="00E15447"/>
    <w:rsid w:val="00E15B7B"/>
    <w:rsid w:val="00E162B7"/>
    <w:rsid w:val="00E16B00"/>
    <w:rsid w:val="00E20773"/>
    <w:rsid w:val="00E2107F"/>
    <w:rsid w:val="00E23059"/>
    <w:rsid w:val="00E231E0"/>
    <w:rsid w:val="00E231F4"/>
    <w:rsid w:val="00E30352"/>
    <w:rsid w:val="00E32516"/>
    <w:rsid w:val="00E33146"/>
    <w:rsid w:val="00E374D1"/>
    <w:rsid w:val="00E37F50"/>
    <w:rsid w:val="00E40942"/>
    <w:rsid w:val="00E50D80"/>
    <w:rsid w:val="00E50E6F"/>
    <w:rsid w:val="00E51035"/>
    <w:rsid w:val="00E53438"/>
    <w:rsid w:val="00E539B3"/>
    <w:rsid w:val="00E54104"/>
    <w:rsid w:val="00E55EC8"/>
    <w:rsid w:val="00E56469"/>
    <w:rsid w:val="00E565A7"/>
    <w:rsid w:val="00E56D02"/>
    <w:rsid w:val="00E57209"/>
    <w:rsid w:val="00E5727D"/>
    <w:rsid w:val="00E57FAB"/>
    <w:rsid w:val="00E6604A"/>
    <w:rsid w:val="00E66893"/>
    <w:rsid w:val="00E66EE6"/>
    <w:rsid w:val="00E670D3"/>
    <w:rsid w:val="00E677B9"/>
    <w:rsid w:val="00E702E2"/>
    <w:rsid w:val="00E713A7"/>
    <w:rsid w:val="00E72404"/>
    <w:rsid w:val="00E73990"/>
    <w:rsid w:val="00E74A15"/>
    <w:rsid w:val="00E7567F"/>
    <w:rsid w:val="00E766FF"/>
    <w:rsid w:val="00E81F3E"/>
    <w:rsid w:val="00E830D0"/>
    <w:rsid w:val="00E85807"/>
    <w:rsid w:val="00E86211"/>
    <w:rsid w:val="00E8656A"/>
    <w:rsid w:val="00E86ACB"/>
    <w:rsid w:val="00E900E0"/>
    <w:rsid w:val="00E90628"/>
    <w:rsid w:val="00E90D4F"/>
    <w:rsid w:val="00E90E2C"/>
    <w:rsid w:val="00E9122B"/>
    <w:rsid w:val="00E93759"/>
    <w:rsid w:val="00E93CFE"/>
    <w:rsid w:val="00E953B9"/>
    <w:rsid w:val="00EA0D43"/>
    <w:rsid w:val="00EA0EBB"/>
    <w:rsid w:val="00EA135F"/>
    <w:rsid w:val="00EA1619"/>
    <w:rsid w:val="00EA49CE"/>
    <w:rsid w:val="00EA4CBA"/>
    <w:rsid w:val="00EA6CD3"/>
    <w:rsid w:val="00EA7EDF"/>
    <w:rsid w:val="00EB184B"/>
    <w:rsid w:val="00EB27FB"/>
    <w:rsid w:val="00EB4B7B"/>
    <w:rsid w:val="00EC03E6"/>
    <w:rsid w:val="00EC218F"/>
    <w:rsid w:val="00EC5935"/>
    <w:rsid w:val="00EC60FD"/>
    <w:rsid w:val="00EC71D7"/>
    <w:rsid w:val="00ED053C"/>
    <w:rsid w:val="00ED0911"/>
    <w:rsid w:val="00ED0A46"/>
    <w:rsid w:val="00ED18C9"/>
    <w:rsid w:val="00ED2979"/>
    <w:rsid w:val="00ED377A"/>
    <w:rsid w:val="00ED39FF"/>
    <w:rsid w:val="00ED4255"/>
    <w:rsid w:val="00ED5010"/>
    <w:rsid w:val="00ED5CF7"/>
    <w:rsid w:val="00ED603E"/>
    <w:rsid w:val="00ED6CC7"/>
    <w:rsid w:val="00EE44FE"/>
    <w:rsid w:val="00EE4A54"/>
    <w:rsid w:val="00EE4C51"/>
    <w:rsid w:val="00EE61BD"/>
    <w:rsid w:val="00EE74C8"/>
    <w:rsid w:val="00EE7BA0"/>
    <w:rsid w:val="00EF17FD"/>
    <w:rsid w:val="00EF2696"/>
    <w:rsid w:val="00EF2DE0"/>
    <w:rsid w:val="00EF55B6"/>
    <w:rsid w:val="00F00E88"/>
    <w:rsid w:val="00F01691"/>
    <w:rsid w:val="00F019FA"/>
    <w:rsid w:val="00F02EB7"/>
    <w:rsid w:val="00F03FAA"/>
    <w:rsid w:val="00F0662E"/>
    <w:rsid w:val="00F066C5"/>
    <w:rsid w:val="00F06F21"/>
    <w:rsid w:val="00F07E1B"/>
    <w:rsid w:val="00F1504D"/>
    <w:rsid w:val="00F15773"/>
    <w:rsid w:val="00F1588A"/>
    <w:rsid w:val="00F16EDF"/>
    <w:rsid w:val="00F205D5"/>
    <w:rsid w:val="00F23C9C"/>
    <w:rsid w:val="00F25C34"/>
    <w:rsid w:val="00F2652E"/>
    <w:rsid w:val="00F27363"/>
    <w:rsid w:val="00F2791C"/>
    <w:rsid w:val="00F30608"/>
    <w:rsid w:val="00F30A0A"/>
    <w:rsid w:val="00F32129"/>
    <w:rsid w:val="00F32822"/>
    <w:rsid w:val="00F32ADC"/>
    <w:rsid w:val="00F3414C"/>
    <w:rsid w:val="00F352DD"/>
    <w:rsid w:val="00F35567"/>
    <w:rsid w:val="00F378E2"/>
    <w:rsid w:val="00F40716"/>
    <w:rsid w:val="00F40762"/>
    <w:rsid w:val="00F40F20"/>
    <w:rsid w:val="00F418C2"/>
    <w:rsid w:val="00F42208"/>
    <w:rsid w:val="00F437DF"/>
    <w:rsid w:val="00F445A1"/>
    <w:rsid w:val="00F449A8"/>
    <w:rsid w:val="00F44B3E"/>
    <w:rsid w:val="00F47123"/>
    <w:rsid w:val="00F51164"/>
    <w:rsid w:val="00F53042"/>
    <w:rsid w:val="00F5311D"/>
    <w:rsid w:val="00F53217"/>
    <w:rsid w:val="00F53508"/>
    <w:rsid w:val="00F53B91"/>
    <w:rsid w:val="00F542FA"/>
    <w:rsid w:val="00F545E1"/>
    <w:rsid w:val="00F5463E"/>
    <w:rsid w:val="00F5586F"/>
    <w:rsid w:val="00F626F8"/>
    <w:rsid w:val="00F64D33"/>
    <w:rsid w:val="00F652EB"/>
    <w:rsid w:val="00F669EB"/>
    <w:rsid w:val="00F66C35"/>
    <w:rsid w:val="00F70443"/>
    <w:rsid w:val="00F7097D"/>
    <w:rsid w:val="00F716EF"/>
    <w:rsid w:val="00F77D50"/>
    <w:rsid w:val="00F8080B"/>
    <w:rsid w:val="00F81A0A"/>
    <w:rsid w:val="00F838F0"/>
    <w:rsid w:val="00F858D1"/>
    <w:rsid w:val="00F85A24"/>
    <w:rsid w:val="00F86C74"/>
    <w:rsid w:val="00F9016C"/>
    <w:rsid w:val="00F929ED"/>
    <w:rsid w:val="00F9305D"/>
    <w:rsid w:val="00F94D89"/>
    <w:rsid w:val="00F94F1A"/>
    <w:rsid w:val="00F9522F"/>
    <w:rsid w:val="00F96902"/>
    <w:rsid w:val="00F97E63"/>
    <w:rsid w:val="00FA2346"/>
    <w:rsid w:val="00FA37DC"/>
    <w:rsid w:val="00FA3AB1"/>
    <w:rsid w:val="00FA3B62"/>
    <w:rsid w:val="00FA4414"/>
    <w:rsid w:val="00FA4EC5"/>
    <w:rsid w:val="00FA5EE1"/>
    <w:rsid w:val="00FB1472"/>
    <w:rsid w:val="00FB228A"/>
    <w:rsid w:val="00FC015A"/>
    <w:rsid w:val="00FC0EDC"/>
    <w:rsid w:val="00FC3B49"/>
    <w:rsid w:val="00FC3C5A"/>
    <w:rsid w:val="00FC3C7A"/>
    <w:rsid w:val="00FC4BE9"/>
    <w:rsid w:val="00FC6839"/>
    <w:rsid w:val="00FC6FCC"/>
    <w:rsid w:val="00FD01FC"/>
    <w:rsid w:val="00FD061B"/>
    <w:rsid w:val="00FD31D4"/>
    <w:rsid w:val="00FD5F34"/>
    <w:rsid w:val="00FD5FEF"/>
    <w:rsid w:val="00FD6027"/>
    <w:rsid w:val="00FD7C45"/>
    <w:rsid w:val="00FE2D33"/>
    <w:rsid w:val="00FE3D8C"/>
    <w:rsid w:val="00FE6FC3"/>
    <w:rsid w:val="00FE76B5"/>
    <w:rsid w:val="00FE76D2"/>
    <w:rsid w:val="00FE7FDD"/>
    <w:rsid w:val="00FF15B4"/>
    <w:rsid w:val="00FF171B"/>
    <w:rsid w:val="00FF22AC"/>
    <w:rsid w:val="00FF2598"/>
    <w:rsid w:val="00FF3664"/>
    <w:rsid w:val="00FF42CE"/>
    <w:rsid w:val="00FF5967"/>
    <w:rsid w:val="00FF6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49DE3"/>
  <w15:docId w15:val="{FFC5070A-869C-45D7-974A-330AE73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D3"/>
    <w:pPr>
      <w:spacing w:after="0" w:line="240" w:lineRule="auto"/>
    </w:pPr>
    <w:rPr>
      <w:rFonts w:ascii="Times New Roman" w:eastAsia="Calibri"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6CD3"/>
    <w:pPr>
      <w:tabs>
        <w:tab w:val="center" w:pos="4153"/>
        <w:tab w:val="right" w:pos="8306"/>
      </w:tabs>
    </w:pPr>
  </w:style>
  <w:style w:type="character" w:customStyle="1" w:styleId="FooterChar">
    <w:name w:val="Footer Char"/>
    <w:basedOn w:val="DefaultParagraphFont"/>
    <w:link w:val="Footer"/>
    <w:uiPriority w:val="99"/>
    <w:rsid w:val="00EA6CD3"/>
    <w:rPr>
      <w:rFonts w:ascii="Times New Roman" w:eastAsia="Calibri" w:hAnsi="Times New Roman" w:cs="Times New Roman"/>
      <w:sz w:val="20"/>
      <w:szCs w:val="20"/>
      <w:lang w:val="en-AU"/>
    </w:rPr>
  </w:style>
  <w:style w:type="paragraph" w:styleId="BodyText">
    <w:name w:val="Body Text"/>
    <w:basedOn w:val="Normal"/>
    <w:link w:val="BodyTextChar"/>
    <w:unhideWhenUsed/>
    <w:rsid w:val="00EA6CD3"/>
    <w:pPr>
      <w:jc w:val="both"/>
    </w:pPr>
    <w:rPr>
      <w:rFonts w:eastAsia="Times New Roman"/>
      <w:sz w:val="28"/>
      <w:lang w:val="lv-LV" w:eastAsia="lv-LV"/>
    </w:rPr>
  </w:style>
  <w:style w:type="character" w:customStyle="1" w:styleId="BodyTextChar">
    <w:name w:val="Body Text Char"/>
    <w:basedOn w:val="DefaultParagraphFont"/>
    <w:link w:val="BodyText"/>
    <w:rsid w:val="00EA6CD3"/>
    <w:rPr>
      <w:rFonts w:ascii="Times New Roman" w:eastAsia="Times New Roman" w:hAnsi="Times New Roman" w:cs="Times New Roman"/>
      <w:sz w:val="28"/>
      <w:szCs w:val="20"/>
      <w:lang w:eastAsia="lv-LV"/>
    </w:rPr>
  </w:style>
  <w:style w:type="paragraph" w:styleId="Header">
    <w:name w:val="header"/>
    <w:basedOn w:val="Normal"/>
    <w:link w:val="HeaderChar"/>
    <w:unhideWhenUsed/>
    <w:rsid w:val="00EA6CD3"/>
    <w:pPr>
      <w:tabs>
        <w:tab w:val="center" w:pos="4153"/>
        <w:tab w:val="right" w:pos="8306"/>
      </w:tabs>
    </w:pPr>
  </w:style>
  <w:style w:type="character" w:customStyle="1" w:styleId="HeaderChar">
    <w:name w:val="Header Char"/>
    <w:basedOn w:val="DefaultParagraphFont"/>
    <w:link w:val="Header"/>
    <w:rsid w:val="00EA6CD3"/>
    <w:rPr>
      <w:rFonts w:ascii="Times New Roman" w:eastAsia="Calibri" w:hAnsi="Times New Roman" w:cs="Times New Roman"/>
      <w:sz w:val="20"/>
      <w:szCs w:val="20"/>
      <w:lang w:val="en-AU"/>
    </w:rPr>
  </w:style>
  <w:style w:type="paragraph" w:customStyle="1" w:styleId="naisf">
    <w:name w:val="naisf"/>
    <w:basedOn w:val="Normal"/>
    <w:rsid w:val="00EA6CD3"/>
    <w:pPr>
      <w:spacing w:before="75" w:after="75"/>
      <w:ind w:firstLine="375"/>
      <w:jc w:val="both"/>
    </w:pPr>
    <w:rPr>
      <w:rFonts w:eastAsia="Times New Roman"/>
      <w:sz w:val="24"/>
      <w:szCs w:val="24"/>
      <w:lang w:val="lv-LV" w:eastAsia="lv-LV"/>
    </w:rPr>
  </w:style>
  <w:style w:type="paragraph" w:customStyle="1" w:styleId="naiskr">
    <w:name w:val="naiskr"/>
    <w:basedOn w:val="Normal"/>
    <w:rsid w:val="00EA6CD3"/>
    <w:pPr>
      <w:spacing w:before="75" w:after="75"/>
    </w:pPr>
    <w:rPr>
      <w:rFonts w:eastAsia="Times New Roman"/>
      <w:sz w:val="24"/>
      <w:szCs w:val="24"/>
      <w:lang w:val="lv-LV" w:eastAsia="lv-LV"/>
    </w:rPr>
  </w:style>
  <w:style w:type="paragraph" w:customStyle="1" w:styleId="tv2131">
    <w:name w:val="tv2131"/>
    <w:basedOn w:val="Normal"/>
    <w:rsid w:val="00EA6CD3"/>
    <w:pPr>
      <w:spacing w:line="360" w:lineRule="auto"/>
      <w:ind w:firstLine="335"/>
    </w:pPr>
    <w:rPr>
      <w:rFonts w:eastAsia="Times New Roman"/>
      <w:color w:val="414142"/>
      <w:sz w:val="22"/>
      <w:szCs w:val="22"/>
      <w:lang w:val="en-US"/>
    </w:rPr>
  </w:style>
  <w:style w:type="paragraph" w:styleId="BalloonText">
    <w:name w:val="Balloon Text"/>
    <w:basedOn w:val="Normal"/>
    <w:link w:val="BalloonTextChar"/>
    <w:uiPriority w:val="99"/>
    <w:semiHidden/>
    <w:unhideWhenUsed/>
    <w:rsid w:val="008D65D5"/>
    <w:rPr>
      <w:rFonts w:ascii="Tahoma" w:hAnsi="Tahoma" w:cs="Tahoma"/>
      <w:sz w:val="16"/>
      <w:szCs w:val="16"/>
    </w:rPr>
  </w:style>
  <w:style w:type="character" w:customStyle="1" w:styleId="BalloonTextChar">
    <w:name w:val="Balloon Text Char"/>
    <w:basedOn w:val="DefaultParagraphFont"/>
    <w:link w:val="BalloonText"/>
    <w:uiPriority w:val="99"/>
    <w:semiHidden/>
    <w:rsid w:val="008D65D5"/>
    <w:rPr>
      <w:rFonts w:ascii="Tahoma" w:eastAsia="Calibri" w:hAnsi="Tahoma" w:cs="Tahoma"/>
      <w:sz w:val="16"/>
      <w:szCs w:val="16"/>
      <w:lang w:val="en-AU"/>
    </w:rPr>
  </w:style>
  <w:style w:type="paragraph" w:styleId="ListParagraph">
    <w:name w:val="List Paragraph"/>
    <w:aliases w:val="2,Strip,H&amp;P List Paragraph,Saraksta rindkopa,Saraksta rindkopa1"/>
    <w:basedOn w:val="Normal"/>
    <w:link w:val="ListParagraphChar"/>
    <w:uiPriority w:val="34"/>
    <w:qFormat/>
    <w:rsid w:val="00166A8B"/>
    <w:pPr>
      <w:ind w:left="720"/>
      <w:contextualSpacing/>
    </w:pPr>
  </w:style>
  <w:style w:type="character" w:styleId="CommentReference">
    <w:name w:val="annotation reference"/>
    <w:basedOn w:val="DefaultParagraphFont"/>
    <w:uiPriority w:val="99"/>
    <w:unhideWhenUsed/>
    <w:rsid w:val="00961605"/>
    <w:rPr>
      <w:sz w:val="16"/>
      <w:szCs w:val="16"/>
    </w:rPr>
  </w:style>
  <w:style w:type="paragraph" w:styleId="CommentText">
    <w:name w:val="annotation text"/>
    <w:basedOn w:val="Normal"/>
    <w:link w:val="CommentTextChar"/>
    <w:uiPriority w:val="99"/>
    <w:unhideWhenUsed/>
    <w:rsid w:val="00961605"/>
  </w:style>
  <w:style w:type="character" w:customStyle="1" w:styleId="CommentTextChar">
    <w:name w:val="Comment Text Char"/>
    <w:basedOn w:val="DefaultParagraphFont"/>
    <w:link w:val="CommentText"/>
    <w:uiPriority w:val="99"/>
    <w:rsid w:val="00961605"/>
    <w:rPr>
      <w:rFonts w:ascii="Times New Roman" w:eastAsia="Calibri"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61605"/>
    <w:rPr>
      <w:b/>
      <w:bCs/>
    </w:rPr>
  </w:style>
  <w:style w:type="character" w:customStyle="1" w:styleId="CommentSubjectChar">
    <w:name w:val="Comment Subject Char"/>
    <w:basedOn w:val="CommentTextChar"/>
    <w:link w:val="CommentSubject"/>
    <w:uiPriority w:val="99"/>
    <w:semiHidden/>
    <w:rsid w:val="00961605"/>
    <w:rPr>
      <w:rFonts w:ascii="Times New Roman" w:eastAsia="Calibri" w:hAnsi="Times New Roman" w:cs="Times New Roman"/>
      <w:b/>
      <w:bCs/>
      <w:sz w:val="20"/>
      <w:szCs w:val="20"/>
      <w:lang w:val="en-AU"/>
    </w:rPr>
  </w:style>
  <w:style w:type="character" w:styleId="Hyperlink">
    <w:name w:val="Hyperlink"/>
    <w:basedOn w:val="DefaultParagraphFont"/>
    <w:uiPriority w:val="99"/>
    <w:unhideWhenUsed/>
    <w:rsid w:val="00B46A16"/>
    <w:rPr>
      <w:color w:val="0000FF" w:themeColor="hyperlink"/>
      <w:u w:val="single"/>
    </w:rPr>
  </w:style>
  <w:style w:type="paragraph" w:styleId="FootnoteText">
    <w:name w:val="footnote text"/>
    <w:aliases w:val="Footnote,Fußnote,Char,Char Rakstz. Rakstz. Rakstz.,Footnote Text Char2,Footnote Text Char1 Char,Footnote Text Char1 Char Char Char,Footnote Text Char1 Char Char Char Rakstz. Rakstz.,Fußnote Char Char Char Char Char Char,Cha,Ch,1,C,Char1, C"/>
    <w:basedOn w:val="Normal"/>
    <w:link w:val="FootnoteTextChar"/>
    <w:qFormat/>
    <w:rsid w:val="00AD6AEF"/>
    <w:pPr>
      <w:jc w:val="both"/>
    </w:pPr>
    <w:rPr>
      <w:rFonts w:eastAsia="Times New Roman"/>
      <w:lang w:val="lv-LV"/>
    </w:rPr>
  </w:style>
  <w:style w:type="character" w:customStyle="1" w:styleId="FootnoteTextChar">
    <w:name w:val="Footnote Text Char"/>
    <w:aliases w:val="Footnote Char,Fußnote Char,Char Char,Char Rakstz. Rakstz. Rakstz. Char,Footnote Text Char2 Char,Footnote Text Char1 Char Char,Footnote Text Char1 Char Char Char Char,Footnote Text Char1 Char Char Char Rakstz. Rakstz. Char,Cha Char"/>
    <w:basedOn w:val="DefaultParagraphFont"/>
    <w:link w:val="FootnoteText"/>
    <w:rsid w:val="00AD6A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qFormat/>
    <w:rsid w:val="00AD6AEF"/>
    <w:rPr>
      <w:rFonts w:ascii="Times New Roman" w:hAnsi="Times New Roman"/>
      <w:vertAlign w:val="superscript"/>
    </w:rPr>
  </w:style>
  <w:style w:type="character" w:customStyle="1" w:styleId="apple-converted-space">
    <w:name w:val="apple-converted-space"/>
    <w:basedOn w:val="DefaultParagraphFont"/>
    <w:rsid w:val="00753FF4"/>
  </w:style>
  <w:style w:type="character" w:customStyle="1" w:styleId="bumpedfont15">
    <w:name w:val="bumpedfont15"/>
    <w:rsid w:val="006C20C5"/>
  </w:style>
  <w:style w:type="character" w:styleId="PlaceholderText">
    <w:name w:val="Placeholder Text"/>
    <w:basedOn w:val="DefaultParagraphFont"/>
    <w:uiPriority w:val="99"/>
    <w:semiHidden/>
    <w:rsid w:val="00200E7D"/>
    <w:rPr>
      <w:color w:val="808080"/>
    </w:rPr>
  </w:style>
  <w:style w:type="character" w:customStyle="1" w:styleId="ListParagraphChar">
    <w:name w:val="List Paragraph Char"/>
    <w:aliases w:val="2 Char,Strip Char,H&amp;P List Paragraph Char,Saraksta rindkopa Char,Saraksta rindkopa1 Char"/>
    <w:link w:val="ListParagraph"/>
    <w:uiPriority w:val="34"/>
    <w:locked/>
    <w:rsid w:val="00D165F4"/>
    <w:rPr>
      <w:rFonts w:ascii="Times New Roman" w:eastAsia="Calibri" w:hAnsi="Times New Roman" w:cs="Times New Roman"/>
      <w:sz w:val="20"/>
      <w:szCs w:val="20"/>
      <w:lang w:val="en-AU"/>
    </w:rPr>
  </w:style>
  <w:style w:type="paragraph" w:styleId="NormalWeb">
    <w:name w:val="Normal (Web)"/>
    <w:basedOn w:val="Normal"/>
    <w:uiPriority w:val="99"/>
    <w:unhideWhenUsed/>
    <w:rsid w:val="005E30B2"/>
    <w:pPr>
      <w:spacing w:before="100" w:beforeAutospacing="1" w:after="100" w:afterAutospacing="1"/>
    </w:pPr>
    <w:rPr>
      <w:rFonts w:eastAsia="Times New Roman"/>
      <w:sz w:val="24"/>
      <w:szCs w:val="24"/>
      <w:lang w:val="lv-LV" w:eastAsia="lv-LV"/>
    </w:rPr>
  </w:style>
  <w:style w:type="paragraph" w:customStyle="1" w:styleId="naisnod">
    <w:name w:val="naisnod"/>
    <w:basedOn w:val="Normal"/>
    <w:rsid w:val="00DC64F8"/>
    <w:pPr>
      <w:spacing w:before="100" w:beforeAutospacing="1" w:after="100" w:afterAutospacing="1"/>
    </w:pPr>
    <w:rPr>
      <w:rFonts w:eastAsia="Times New Roman"/>
      <w:sz w:val="24"/>
      <w:szCs w:val="24"/>
      <w:lang w:val="lv-LV" w:eastAsia="lv-LV"/>
    </w:rPr>
  </w:style>
  <w:style w:type="paragraph" w:customStyle="1" w:styleId="Default">
    <w:name w:val="Default"/>
    <w:rsid w:val="00FE76B5"/>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tv213">
    <w:name w:val="tv213"/>
    <w:basedOn w:val="Normal"/>
    <w:rsid w:val="00F94D89"/>
    <w:pPr>
      <w:spacing w:before="100" w:beforeAutospacing="1" w:after="100" w:afterAutospacing="1"/>
    </w:pPr>
    <w:rPr>
      <w:rFonts w:eastAsia="Times New Roman"/>
      <w:sz w:val="24"/>
      <w:szCs w:val="24"/>
      <w:lang w:val="lv-LV" w:eastAsia="lv-LV"/>
    </w:rPr>
  </w:style>
  <w:style w:type="paragraph" w:styleId="Revision">
    <w:name w:val="Revision"/>
    <w:hidden/>
    <w:uiPriority w:val="99"/>
    <w:semiHidden/>
    <w:rsid w:val="00733C32"/>
    <w:pPr>
      <w:spacing w:after="0" w:line="240" w:lineRule="auto"/>
    </w:pPr>
    <w:rPr>
      <w:rFonts w:ascii="Times New Roman" w:eastAsia="Calibri" w:hAnsi="Times New Roman" w:cs="Times New Roman"/>
      <w:sz w:val="20"/>
      <w:szCs w:val="20"/>
      <w:lang w:val="en-AU"/>
    </w:rPr>
  </w:style>
  <w:style w:type="character" w:styleId="FollowedHyperlink">
    <w:name w:val="FollowedHyperlink"/>
    <w:basedOn w:val="DefaultParagraphFont"/>
    <w:uiPriority w:val="99"/>
    <w:semiHidden/>
    <w:unhideWhenUsed/>
    <w:rsid w:val="00547ACF"/>
    <w:rPr>
      <w:color w:val="800080" w:themeColor="followedHyperlink"/>
      <w:u w:val="single"/>
    </w:rPr>
  </w:style>
  <w:style w:type="character" w:customStyle="1" w:styleId="Mention1">
    <w:name w:val="Mention1"/>
    <w:basedOn w:val="DefaultParagraphFont"/>
    <w:uiPriority w:val="99"/>
    <w:semiHidden/>
    <w:unhideWhenUsed/>
    <w:rsid w:val="00547ACF"/>
    <w:rPr>
      <w:color w:val="2B579A"/>
      <w:shd w:val="clear" w:color="auto" w:fill="E6E6E6"/>
    </w:rPr>
  </w:style>
  <w:style w:type="character" w:customStyle="1" w:styleId="Mention2">
    <w:name w:val="Mention2"/>
    <w:basedOn w:val="DefaultParagraphFont"/>
    <w:uiPriority w:val="99"/>
    <w:semiHidden/>
    <w:unhideWhenUsed/>
    <w:rsid w:val="00B621AF"/>
    <w:rPr>
      <w:color w:val="2B579A"/>
      <w:shd w:val="clear" w:color="auto" w:fill="E6E6E6"/>
    </w:rPr>
  </w:style>
  <w:style w:type="character" w:styleId="BookTitle">
    <w:name w:val="Book Title"/>
    <w:basedOn w:val="DefaultParagraphFont"/>
    <w:uiPriority w:val="33"/>
    <w:qFormat/>
    <w:rsid w:val="00D97622"/>
    <w:rPr>
      <w:b/>
      <w:bCs/>
      <w:i/>
      <w:iCs/>
      <w:spacing w:val="5"/>
    </w:rPr>
  </w:style>
  <w:style w:type="character" w:customStyle="1" w:styleId="UnresolvedMention1">
    <w:name w:val="Unresolved Mention1"/>
    <w:basedOn w:val="DefaultParagraphFont"/>
    <w:uiPriority w:val="99"/>
    <w:semiHidden/>
    <w:unhideWhenUsed/>
    <w:rsid w:val="005A0C78"/>
    <w:rPr>
      <w:color w:val="808080"/>
      <w:shd w:val="clear" w:color="auto" w:fill="E6E6E6"/>
    </w:rPr>
  </w:style>
  <w:style w:type="paragraph" w:styleId="EndnoteText">
    <w:name w:val="endnote text"/>
    <w:basedOn w:val="Normal"/>
    <w:link w:val="EndnoteTextChar"/>
    <w:uiPriority w:val="99"/>
    <w:semiHidden/>
    <w:unhideWhenUsed/>
    <w:rsid w:val="00E81F3E"/>
  </w:style>
  <w:style w:type="character" w:customStyle="1" w:styleId="EndnoteTextChar">
    <w:name w:val="Endnote Text Char"/>
    <w:basedOn w:val="DefaultParagraphFont"/>
    <w:link w:val="EndnoteText"/>
    <w:uiPriority w:val="99"/>
    <w:semiHidden/>
    <w:rsid w:val="00E81F3E"/>
    <w:rPr>
      <w:rFonts w:ascii="Times New Roman" w:eastAsia="Calibri" w:hAnsi="Times New Roman" w:cs="Times New Roman"/>
      <w:sz w:val="20"/>
      <w:szCs w:val="20"/>
      <w:lang w:val="en-AU"/>
    </w:rPr>
  </w:style>
  <w:style w:type="character" w:styleId="EndnoteReference">
    <w:name w:val="endnote reference"/>
    <w:basedOn w:val="DefaultParagraphFont"/>
    <w:uiPriority w:val="99"/>
    <w:semiHidden/>
    <w:unhideWhenUsed/>
    <w:rsid w:val="00E81F3E"/>
    <w:rPr>
      <w:vertAlign w:val="superscript"/>
    </w:rPr>
  </w:style>
  <w:style w:type="character" w:customStyle="1" w:styleId="italics">
    <w:name w:val="italics"/>
    <w:basedOn w:val="DefaultParagraphFont"/>
    <w:rsid w:val="00580B98"/>
  </w:style>
  <w:style w:type="character" w:customStyle="1" w:styleId="UnresolvedMention2">
    <w:name w:val="Unresolved Mention2"/>
    <w:basedOn w:val="DefaultParagraphFont"/>
    <w:uiPriority w:val="99"/>
    <w:semiHidden/>
    <w:unhideWhenUsed/>
    <w:rsid w:val="000A38DA"/>
    <w:rPr>
      <w:color w:val="605E5C"/>
      <w:shd w:val="clear" w:color="auto" w:fill="E1DFDD"/>
    </w:rPr>
  </w:style>
  <w:style w:type="table" w:styleId="TableGrid">
    <w:name w:val="Table Grid"/>
    <w:basedOn w:val="TableNormal"/>
    <w:uiPriority w:val="59"/>
    <w:rsid w:val="00FE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F22"/>
    <w:rPr>
      <w:color w:val="605E5C"/>
      <w:shd w:val="clear" w:color="auto" w:fill="E1DFDD"/>
    </w:rPr>
  </w:style>
  <w:style w:type="paragraph" w:customStyle="1" w:styleId="naisc">
    <w:name w:val="naisc"/>
    <w:basedOn w:val="Normal"/>
    <w:rsid w:val="00852C60"/>
    <w:pPr>
      <w:spacing w:before="75" w:after="75"/>
      <w:jc w:val="center"/>
    </w:pPr>
    <w:rPr>
      <w:rFonts w:eastAsia="Times New Roman"/>
      <w:sz w:val="24"/>
      <w:szCs w:val="24"/>
      <w:lang w:val="lv-LV" w:eastAsia="lv-LV"/>
    </w:rPr>
  </w:style>
  <w:style w:type="paragraph" w:styleId="Title">
    <w:name w:val="Title"/>
    <w:basedOn w:val="Normal"/>
    <w:link w:val="TitleChar"/>
    <w:qFormat/>
    <w:rsid w:val="002A7C45"/>
    <w:pPr>
      <w:jc w:val="center"/>
    </w:pPr>
    <w:rPr>
      <w:rFonts w:eastAsia="Times New Roman"/>
      <w:sz w:val="28"/>
      <w:lang w:val="lv-LV"/>
    </w:rPr>
  </w:style>
  <w:style w:type="character" w:customStyle="1" w:styleId="TitleChar">
    <w:name w:val="Title Char"/>
    <w:basedOn w:val="DefaultParagraphFont"/>
    <w:link w:val="Title"/>
    <w:rsid w:val="002A7C45"/>
    <w:rPr>
      <w:rFonts w:ascii="Times New Roman" w:eastAsia="Times New Roman" w:hAnsi="Times New Roman" w:cs="Times New Roman"/>
      <w:sz w:val="28"/>
      <w:szCs w:val="20"/>
    </w:rPr>
  </w:style>
  <w:style w:type="character" w:customStyle="1" w:styleId="st1">
    <w:name w:val="st1"/>
    <w:uiPriority w:val="99"/>
    <w:rsid w:val="00CD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6491">
      <w:bodyDiv w:val="1"/>
      <w:marLeft w:val="0"/>
      <w:marRight w:val="0"/>
      <w:marTop w:val="0"/>
      <w:marBottom w:val="0"/>
      <w:divBdr>
        <w:top w:val="none" w:sz="0" w:space="0" w:color="auto"/>
        <w:left w:val="none" w:sz="0" w:space="0" w:color="auto"/>
        <w:bottom w:val="none" w:sz="0" w:space="0" w:color="auto"/>
        <w:right w:val="none" w:sz="0" w:space="0" w:color="auto"/>
      </w:divBdr>
    </w:div>
    <w:div w:id="77092894">
      <w:bodyDiv w:val="1"/>
      <w:marLeft w:val="0"/>
      <w:marRight w:val="0"/>
      <w:marTop w:val="0"/>
      <w:marBottom w:val="0"/>
      <w:divBdr>
        <w:top w:val="none" w:sz="0" w:space="0" w:color="auto"/>
        <w:left w:val="none" w:sz="0" w:space="0" w:color="auto"/>
        <w:bottom w:val="none" w:sz="0" w:space="0" w:color="auto"/>
        <w:right w:val="none" w:sz="0" w:space="0" w:color="auto"/>
      </w:divBdr>
    </w:div>
    <w:div w:id="111637803">
      <w:bodyDiv w:val="1"/>
      <w:marLeft w:val="0"/>
      <w:marRight w:val="0"/>
      <w:marTop w:val="0"/>
      <w:marBottom w:val="0"/>
      <w:divBdr>
        <w:top w:val="none" w:sz="0" w:space="0" w:color="auto"/>
        <w:left w:val="none" w:sz="0" w:space="0" w:color="auto"/>
        <w:bottom w:val="none" w:sz="0" w:space="0" w:color="auto"/>
        <w:right w:val="none" w:sz="0" w:space="0" w:color="auto"/>
      </w:divBdr>
    </w:div>
    <w:div w:id="153881098">
      <w:bodyDiv w:val="1"/>
      <w:marLeft w:val="0"/>
      <w:marRight w:val="0"/>
      <w:marTop w:val="0"/>
      <w:marBottom w:val="0"/>
      <w:divBdr>
        <w:top w:val="none" w:sz="0" w:space="0" w:color="auto"/>
        <w:left w:val="none" w:sz="0" w:space="0" w:color="auto"/>
        <w:bottom w:val="none" w:sz="0" w:space="0" w:color="auto"/>
        <w:right w:val="none" w:sz="0" w:space="0" w:color="auto"/>
      </w:divBdr>
    </w:div>
    <w:div w:id="163324401">
      <w:bodyDiv w:val="1"/>
      <w:marLeft w:val="0"/>
      <w:marRight w:val="0"/>
      <w:marTop w:val="0"/>
      <w:marBottom w:val="0"/>
      <w:divBdr>
        <w:top w:val="none" w:sz="0" w:space="0" w:color="auto"/>
        <w:left w:val="none" w:sz="0" w:space="0" w:color="auto"/>
        <w:bottom w:val="none" w:sz="0" w:space="0" w:color="auto"/>
        <w:right w:val="none" w:sz="0" w:space="0" w:color="auto"/>
      </w:divBdr>
    </w:div>
    <w:div w:id="187447022">
      <w:bodyDiv w:val="1"/>
      <w:marLeft w:val="0"/>
      <w:marRight w:val="0"/>
      <w:marTop w:val="0"/>
      <w:marBottom w:val="0"/>
      <w:divBdr>
        <w:top w:val="none" w:sz="0" w:space="0" w:color="auto"/>
        <w:left w:val="none" w:sz="0" w:space="0" w:color="auto"/>
        <w:bottom w:val="none" w:sz="0" w:space="0" w:color="auto"/>
        <w:right w:val="none" w:sz="0" w:space="0" w:color="auto"/>
      </w:divBdr>
    </w:div>
    <w:div w:id="311568523">
      <w:bodyDiv w:val="1"/>
      <w:marLeft w:val="0"/>
      <w:marRight w:val="0"/>
      <w:marTop w:val="0"/>
      <w:marBottom w:val="0"/>
      <w:divBdr>
        <w:top w:val="none" w:sz="0" w:space="0" w:color="auto"/>
        <w:left w:val="none" w:sz="0" w:space="0" w:color="auto"/>
        <w:bottom w:val="none" w:sz="0" w:space="0" w:color="auto"/>
        <w:right w:val="none" w:sz="0" w:space="0" w:color="auto"/>
      </w:divBdr>
      <w:divsChild>
        <w:div w:id="1732731101">
          <w:marLeft w:val="0"/>
          <w:marRight w:val="0"/>
          <w:marTop w:val="0"/>
          <w:marBottom w:val="0"/>
          <w:divBdr>
            <w:top w:val="none" w:sz="0" w:space="0" w:color="auto"/>
            <w:left w:val="none" w:sz="0" w:space="0" w:color="auto"/>
            <w:bottom w:val="none" w:sz="0" w:space="0" w:color="auto"/>
            <w:right w:val="none" w:sz="0" w:space="0" w:color="auto"/>
          </w:divBdr>
          <w:divsChild>
            <w:div w:id="1926914412">
              <w:marLeft w:val="0"/>
              <w:marRight w:val="0"/>
              <w:marTop w:val="0"/>
              <w:marBottom w:val="0"/>
              <w:divBdr>
                <w:top w:val="none" w:sz="0" w:space="0" w:color="auto"/>
                <w:left w:val="none" w:sz="0" w:space="0" w:color="auto"/>
                <w:bottom w:val="none" w:sz="0" w:space="0" w:color="auto"/>
                <w:right w:val="none" w:sz="0" w:space="0" w:color="auto"/>
              </w:divBdr>
              <w:divsChild>
                <w:div w:id="2054378398">
                  <w:marLeft w:val="0"/>
                  <w:marRight w:val="0"/>
                  <w:marTop w:val="0"/>
                  <w:marBottom w:val="0"/>
                  <w:divBdr>
                    <w:top w:val="none" w:sz="0" w:space="0" w:color="auto"/>
                    <w:left w:val="none" w:sz="0" w:space="0" w:color="auto"/>
                    <w:bottom w:val="none" w:sz="0" w:space="0" w:color="auto"/>
                    <w:right w:val="none" w:sz="0" w:space="0" w:color="auto"/>
                  </w:divBdr>
                  <w:divsChild>
                    <w:div w:id="1514342674">
                      <w:marLeft w:val="0"/>
                      <w:marRight w:val="0"/>
                      <w:marTop w:val="0"/>
                      <w:marBottom w:val="0"/>
                      <w:divBdr>
                        <w:top w:val="none" w:sz="0" w:space="0" w:color="auto"/>
                        <w:left w:val="none" w:sz="0" w:space="0" w:color="auto"/>
                        <w:bottom w:val="none" w:sz="0" w:space="0" w:color="auto"/>
                        <w:right w:val="none" w:sz="0" w:space="0" w:color="auto"/>
                      </w:divBdr>
                      <w:divsChild>
                        <w:div w:id="20871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7003">
              <w:marLeft w:val="0"/>
              <w:marRight w:val="0"/>
              <w:marTop w:val="0"/>
              <w:marBottom w:val="0"/>
              <w:divBdr>
                <w:top w:val="none" w:sz="0" w:space="0" w:color="auto"/>
                <w:left w:val="none" w:sz="0" w:space="0" w:color="auto"/>
                <w:bottom w:val="none" w:sz="0" w:space="0" w:color="auto"/>
                <w:right w:val="none" w:sz="0" w:space="0" w:color="auto"/>
              </w:divBdr>
            </w:div>
            <w:div w:id="1219634301">
              <w:marLeft w:val="0"/>
              <w:marRight w:val="0"/>
              <w:marTop w:val="0"/>
              <w:marBottom w:val="0"/>
              <w:divBdr>
                <w:top w:val="none" w:sz="0" w:space="0" w:color="auto"/>
                <w:left w:val="none" w:sz="0" w:space="0" w:color="auto"/>
                <w:bottom w:val="none" w:sz="0" w:space="0" w:color="auto"/>
                <w:right w:val="none" w:sz="0" w:space="0" w:color="auto"/>
              </w:divBdr>
              <w:divsChild>
                <w:div w:id="90516642">
                  <w:marLeft w:val="0"/>
                  <w:marRight w:val="0"/>
                  <w:marTop w:val="0"/>
                  <w:marBottom w:val="0"/>
                  <w:divBdr>
                    <w:top w:val="none" w:sz="0" w:space="0" w:color="auto"/>
                    <w:left w:val="none" w:sz="0" w:space="0" w:color="auto"/>
                    <w:bottom w:val="none" w:sz="0" w:space="0" w:color="auto"/>
                    <w:right w:val="none" w:sz="0" w:space="0" w:color="auto"/>
                  </w:divBdr>
                  <w:divsChild>
                    <w:div w:id="2074035035">
                      <w:marLeft w:val="0"/>
                      <w:marRight w:val="0"/>
                      <w:marTop w:val="0"/>
                      <w:marBottom w:val="0"/>
                      <w:divBdr>
                        <w:top w:val="none" w:sz="0" w:space="0" w:color="auto"/>
                        <w:left w:val="none" w:sz="0" w:space="0" w:color="auto"/>
                        <w:bottom w:val="none" w:sz="0" w:space="0" w:color="auto"/>
                        <w:right w:val="none" w:sz="0" w:space="0" w:color="auto"/>
                      </w:divBdr>
                      <w:divsChild>
                        <w:div w:id="10855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237112">
      <w:bodyDiv w:val="1"/>
      <w:marLeft w:val="0"/>
      <w:marRight w:val="0"/>
      <w:marTop w:val="0"/>
      <w:marBottom w:val="0"/>
      <w:divBdr>
        <w:top w:val="none" w:sz="0" w:space="0" w:color="auto"/>
        <w:left w:val="none" w:sz="0" w:space="0" w:color="auto"/>
        <w:bottom w:val="none" w:sz="0" w:space="0" w:color="auto"/>
        <w:right w:val="none" w:sz="0" w:space="0" w:color="auto"/>
      </w:divBdr>
    </w:div>
    <w:div w:id="382757699">
      <w:bodyDiv w:val="1"/>
      <w:marLeft w:val="0"/>
      <w:marRight w:val="0"/>
      <w:marTop w:val="0"/>
      <w:marBottom w:val="0"/>
      <w:divBdr>
        <w:top w:val="none" w:sz="0" w:space="0" w:color="auto"/>
        <w:left w:val="none" w:sz="0" w:space="0" w:color="auto"/>
        <w:bottom w:val="none" w:sz="0" w:space="0" w:color="auto"/>
        <w:right w:val="none" w:sz="0" w:space="0" w:color="auto"/>
      </w:divBdr>
    </w:div>
    <w:div w:id="385682458">
      <w:bodyDiv w:val="1"/>
      <w:marLeft w:val="0"/>
      <w:marRight w:val="0"/>
      <w:marTop w:val="0"/>
      <w:marBottom w:val="0"/>
      <w:divBdr>
        <w:top w:val="none" w:sz="0" w:space="0" w:color="auto"/>
        <w:left w:val="none" w:sz="0" w:space="0" w:color="auto"/>
        <w:bottom w:val="none" w:sz="0" w:space="0" w:color="auto"/>
        <w:right w:val="none" w:sz="0" w:space="0" w:color="auto"/>
      </w:divBdr>
    </w:div>
    <w:div w:id="436565123">
      <w:bodyDiv w:val="1"/>
      <w:marLeft w:val="0"/>
      <w:marRight w:val="0"/>
      <w:marTop w:val="0"/>
      <w:marBottom w:val="0"/>
      <w:divBdr>
        <w:top w:val="none" w:sz="0" w:space="0" w:color="auto"/>
        <w:left w:val="none" w:sz="0" w:space="0" w:color="auto"/>
        <w:bottom w:val="none" w:sz="0" w:space="0" w:color="auto"/>
        <w:right w:val="none" w:sz="0" w:space="0" w:color="auto"/>
      </w:divBdr>
    </w:div>
    <w:div w:id="452602839">
      <w:bodyDiv w:val="1"/>
      <w:marLeft w:val="0"/>
      <w:marRight w:val="0"/>
      <w:marTop w:val="0"/>
      <w:marBottom w:val="0"/>
      <w:divBdr>
        <w:top w:val="none" w:sz="0" w:space="0" w:color="auto"/>
        <w:left w:val="none" w:sz="0" w:space="0" w:color="auto"/>
        <w:bottom w:val="none" w:sz="0" w:space="0" w:color="auto"/>
        <w:right w:val="none" w:sz="0" w:space="0" w:color="auto"/>
      </w:divBdr>
    </w:div>
    <w:div w:id="480268138">
      <w:bodyDiv w:val="1"/>
      <w:marLeft w:val="0"/>
      <w:marRight w:val="0"/>
      <w:marTop w:val="0"/>
      <w:marBottom w:val="0"/>
      <w:divBdr>
        <w:top w:val="none" w:sz="0" w:space="0" w:color="auto"/>
        <w:left w:val="none" w:sz="0" w:space="0" w:color="auto"/>
        <w:bottom w:val="none" w:sz="0" w:space="0" w:color="auto"/>
        <w:right w:val="none" w:sz="0" w:space="0" w:color="auto"/>
      </w:divBdr>
    </w:div>
    <w:div w:id="505942513">
      <w:bodyDiv w:val="1"/>
      <w:marLeft w:val="0"/>
      <w:marRight w:val="0"/>
      <w:marTop w:val="0"/>
      <w:marBottom w:val="0"/>
      <w:divBdr>
        <w:top w:val="none" w:sz="0" w:space="0" w:color="auto"/>
        <w:left w:val="none" w:sz="0" w:space="0" w:color="auto"/>
        <w:bottom w:val="none" w:sz="0" w:space="0" w:color="auto"/>
        <w:right w:val="none" w:sz="0" w:space="0" w:color="auto"/>
      </w:divBdr>
    </w:div>
    <w:div w:id="559900845">
      <w:bodyDiv w:val="1"/>
      <w:marLeft w:val="0"/>
      <w:marRight w:val="0"/>
      <w:marTop w:val="0"/>
      <w:marBottom w:val="0"/>
      <w:divBdr>
        <w:top w:val="none" w:sz="0" w:space="0" w:color="auto"/>
        <w:left w:val="none" w:sz="0" w:space="0" w:color="auto"/>
        <w:bottom w:val="none" w:sz="0" w:space="0" w:color="auto"/>
        <w:right w:val="none" w:sz="0" w:space="0" w:color="auto"/>
      </w:divBdr>
    </w:div>
    <w:div w:id="561454382">
      <w:bodyDiv w:val="1"/>
      <w:marLeft w:val="0"/>
      <w:marRight w:val="0"/>
      <w:marTop w:val="0"/>
      <w:marBottom w:val="0"/>
      <w:divBdr>
        <w:top w:val="none" w:sz="0" w:space="0" w:color="auto"/>
        <w:left w:val="none" w:sz="0" w:space="0" w:color="auto"/>
        <w:bottom w:val="none" w:sz="0" w:space="0" w:color="auto"/>
        <w:right w:val="none" w:sz="0" w:space="0" w:color="auto"/>
      </w:divBdr>
    </w:div>
    <w:div w:id="642199812">
      <w:bodyDiv w:val="1"/>
      <w:marLeft w:val="0"/>
      <w:marRight w:val="0"/>
      <w:marTop w:val="0"/>
      <w:marBottom w:val="0"/>
      <w:divBdr>
        <w:top w:val="none" w:sz="0" w:space="0" w:color="auto"/>
        <w:left w:val="none" w:sz="0" w:space="0" w:color="auto"/>
        <w:bottom w:val="none" w:sz="0" w:space="0" w:color="auto"/>
        <w:right w:val="none" w:sz="0" w:space="0" w:color="auto"/>
      </w:divBdr>
    </w:div>
    <w:div w:id="659895293">
      <w:bodyDiv w:val="1"/>
      <w:marLeft w:val="0"/>
      <w:marRight w:val="0"/>
      <w:marTop w:val="0"/>
      <w:marBottom w:val="0"/>
      <w:divBdr>
        <w:top w:val="none" w:sz="0" w:space="0" w:color="auto"/>
        <w:left w:val="none" w:sz="0" w:space="0" w:color="auto"/>
        <w:bottom w:val="none" w:sz="0" w:space="0" w:color="auto"/>
        <w:right w:val="none" w:sz="0" w:space="0" w:color="auto"/>
      </w:divBdr>
    </w:div>
    <w:div w:id="772239477">
      <w:bodyDiv w:val="1"/>
      <w:marLeft w:val="0"/>
      <w:marRight w:val="0"/>
      <w:marTop w:val="0"/>
      <w:marBottom w:val="0"/>
      <w:divBdr>
        <w:top w:val="none" w:sz="0" w:space="0" w:color="auto"/>
        <w:left w:val="none" w:sz="0" w:space="0" w:color="auto"/>
        <w:bottom w:val="none" w:sz="0" w:space="0" w:color="auto"/>
        <w:right w:val="none" w:sz="0" w:space="0" w:color="auto"/>
      </w:divBdr>
    </w:div>
    <w:div w:id="828709906">
      <w:bodyDiv w:val="1"/>
      <w:marLeft w:val="0"/>
      <w:marRight w:val="0"/>
      <w:marTop w:val="0"/>
      <w:marBottom w:val="0"/>
      <w:divBdr>
        <w:top w:val="none" w:sz="0" w:space="0" w:color="auto"/>
        <w:left w:val="none" w:sz="0" w:space="0" w:color="auto"/>
        <w:bottom w:val="none" w:sz="0" w:space="0" w:color="auto"/>
        <w:right w:val="none" w:sz="0" w:space="0" w:color="auto"/>
      </w:divBdr>
    </w:div>
    <w:div w:id="849295725">
      <w:bodyDiv w:val="1"/>
      <w:marLeft w:val="0"/>
      <w:marRight w:val="0"/>
      <w:marTop w:val="0"/>
      <w:marBottom w:val="0"/>
      <w:divBdr>
        <w:top w:val="none" w:sz="0" w:space="0" w:color="auto"/>
        <w:left w:val="none" w:sz="0" w:space="0" w:color="auto"/>
        <w:bottom w:val="none" w:sz="0" w:space="0" w:color="auto"/>
        <w:right w:val="none" w:sz="0" w:space="0" w:color="auto"/>
      </w:divBdr>
    </w:div>
    <w:div w:id="1078987221">
      <w:bodyDiv w:val="1"/>
      <w:marLeft w:val="0"/>
      <w:marRight w:val="0"/>
      <w:marTop w:val="0"/>
      <w:marBottom w:val="0"/>
      <w:divBdr>
        <w:top w:val="none" w:sz="0" w:space="0" w:color="auto"/>
        <w:left w:val="none" w:sz="0" w:space="0" w:color="auto"/>
        <w:bottom w:val="none" w:sz="0" w:space="0" w:color="auto"/>
        <w:right w:val="none" w:sz="0" w:space="0" w:color="auto"/>
      </w:divBdr>
    </w:div>
    <w:div w:id="1138106844">
      <w:bodyDiv w:val="1"/>
      <w:marLeft w:val="0"/>
      <w:marRight w:val="0"/>
      <w:marTop w:val="0"/>
      <w:marBottom w:val="0"/>
      <w:divBdr>
        <w:top w:val="none" w:sz="0" w:space="0" w:color="auto"/>
        <w:left w:val="none" w:sz="0" w:space="0" w:color="auto"/>
        <w:bottom w:val="none" w:sz="0" w:space="0" w:color="auto"/>
        <w:right w:val="none" w:sz="0" w:space="0" w:color="auto"/>
      </w:divBdr>
    </w:div>
    <w:div w:id="1225799909">
      <w:bodyDiv w:val="1"/>
      <w:marLeft w:val="0"/>
      <w:marRight w:val="0"/>
      <w:marTop w:val="0"/>
      <w:marBottom w:val="0"/>
      <w:divBdr>
        <w:top w:val="none" w:sz="0" w:space="0" w:color="auto"/>
        <w:left w:val="none" w:sz="0" w:space="0" w:color="auto"/>
        <w:bottom w:val="none" w:sz="0" w:space="0" w:color="auto"/>
        <w:right w:val="none" w:sz="0" w:space="0" w:color="auto"/>
      </w:divBdr>
      <w:divsChild>
        <w:div w:id="1129712428">
          <w:marLeft w:val="1440"/>
          <w:marRight w:val="0"/>
          <w:marTop w:val="240"/>
          <w:marBottom w:val="0"/>
          <w:divBdr>
            <w:top w:val="none" w:sz="0" w:space="0" w:color="auto"/>
            <w:left w:val="none" w:sz="0" w:space="0" w:color="auto"/>
            <w:bottom w:val="none" w:sz="0" w:space="0" w:color="auto"/>
            <w:right w:val="none" w:sz="0" w:space="0" w:color="auto"/>
          </w:divBdr>
        </w:div>
        <w:div w:id="1685665072">
          <w:marLeft w:val="1440"/>
          <w:marRight w:val="0"/>
          <w:marTop w:val="240"/>
          <w:marBottom w:val="0"/>
          <w:divBdr>
            <w:top w:val="none" w:sz="0" w:space="0" w:color="auto"/>
            <w:left w:val="none" w:sz="0" w:space="0" w:color="auto"/>
            <w:bottom w:val="none" w:sz="0" w:space="0" w:color="auto"/>
            <w:right w:val="none" w:sz="0" w:space="0" w:color="auto"/>
          </w:divBdr>
        </w:div>
        <w:div w:id="1937595867">
          <w:marLeft w:val="1440"/>
          <w:marRight w:val="0"/>
          <w:marTop w:val="240"/>
          <w:marBottom w:val="0"/>
          <w:divBdr>
            <w:top w:val="none" w:sz="0" w:space="0" w:color="auto"/>
            <w:left w:val="none" w:sz="0" w:space="0" w:color="auto"/>
            <w:bottom w:val="none" w:sz="0" w:space="0" w:color="auto"/>
            <w:right w:val="none" w:sz="0" w:space="0" w:color="auto"/>
          </w:divBdr>
        </w:div>
      </w:divsChild>
    </w:div>
    <w:div w:id="1368067931">
      <w:bodyDiv w:val="1"/>
      <w:marLeft w:val="0"/>
      <w:marRight w:val="0"/>
      <w:marTop w:val="0"/>
      <w:marBottom w:val="0"/>
      <w:divBdr>
        <w:top w:val="none" w:sz="0" w:space="0" w:color="auto"/>
        <w:left w:val="none" w:sz="0" w:space="0" w:color="auto"/>
        <w:bottom w:val="none" w:sz="0" w:space="0" w:color="auto"/>
        <w:right w:val="none" w:sz="0" w:space="0" w:color="auto"/>
      </w:divBdr>
    </w:div>
    <w:div w:id="1373574577">
      <w:bodyDiv w:val="1"/>
      <w:marLeft w:val="0"/>
      <w:marRight w:val="0"/>
      <w:marTop w:val="0"/>
      <w:marBottom w:val="0"/>
      <w:divBdr>
        <w:top w:val="none" w:sz="0" w:space="0" w:color="auto"/>
        <w:left w:val="none" w:sz="0" w:space="0" w:color="auto"/>
        <w:bottom w:val="none" w:sz="0" w:space="0" w:color="auto"/>
        <w:right w:val="none" w:sz="0" w:space="0" w:color="auto"/>
      </w:divBdr>
    </w:div>
    <w:div w:id="1380592230">
      <w:bodyDiv w:val="1"/>
      <w:marLeft w:val="0"/>
      <w:marRight w:val="0"/>
      <w:marTop w:val="0"/>
      <w:marBottom w:val="0"/>
      <w:divBdr>
        <w:top w:val="none" w:sz="0" w:space="0" w:color="auto"/>
        <w:left w:val="none" w:sz="0" w:space="0" w:color="auto"/>
        <w:bottom w:val="none" w:sz="0" w:space="0" w:color="auto"/>
        <w:right w:val="none" w:sz="0" w:space="0" w:color="auto"/>
      </w:divBdr>
    </w:div>
    <w:div w:id="1414159824">
      <w:bodyDiv w:val="1"/>
      <w:marLeft w:val="0"/>
      <w:marRight w:val="0"/>
      <w:marTop w:val="0"/>
      <w:marBottom w:val="0"/>
      <w:divBdr>
        <w:top w:val="none" w:sz="0" w:space="0" w:color="auto"/>
        <w:left w:val="none" w:sz="0" w:space="0" w:color="auto"/>
        <w:bottom w:val="none" w:sz="0" w:space="0" w:color="auto"/>
        <w:right w:val="none" w:sz="0" w:space="0" w:color="auto"/>
      </w:divBdr>
      <w:divsChild>
        <w:div w:id="244416166">
          <w:marLeft w:val="0"/>
          <w:marRight w:val="0"/>
          <w:marTop w:val="0"/>
          <w:marBottom w:val="0"/>
          <w:divBdr>
            <w:top w:val="none" w:sz="0" w:space="0" w:color="auto"/>
            <w:left w:val="none" w:sz="0" w:space="0" w:color="auto"/>
            <w:bottom w:val="none" w:sz="0" w:space="0" w:color="auto"/>
            <w:right w:val="none" w:sz="0" w:space="0" w:color="auto"/>
          </w:divBdr>
        </w:div>
      </w:divsChild>
    </w:div>
    <w:div w:id="1521432168">
      <w:bodyDiv w:val="1"/>
      <w:marLeft w:val="0"/>
      <w:marRight w:val="0"/>
      <w:marTop w:val="0"/>
      <w:marBottom w:val="0"/>
      <w:divBdr>
        <w:top w:val="none" w:sz="0" w:space="0" w:color="auto"/>
        <w:left w:val="none" w:sz="0" w:space="0" w:color="auto"/>
        <w:bottom w:val="none" w:sz="0" w:space="0" w:color="auto"/>
        <w:right w:val="none" w:sz="0" w:space="0" w:color="auto"/>
      </w:divBdr>
    </w:div>
    <w:div w:id="1541358515">
      <w:bodyDiv w:val="1"/>
      <w:marLeft w:val="0"/>
      <w:marRight w:val="0"/>
      <w:marTop w:val="0"/>
      <w:marBottom w:val="0"/>
      <w:divBdr>
        <w:top w:val="none" w:sz="0" w:space="0" w:color="auto"/>
        <w:left w:val="none" w:sz="0" w:space="0" w:color="auto"/>
        <w:bottom w:val="none" w:sz="0" w:space="0" w:color="auto"/>
        <w:right w:val="none" w:sz="0" w:space="0" w:color="auto"/>
      </w:divBdr>
    </w:div>
    <w:div w:id="1575358383">
      <w:bodyDiv w:val="1"/>
      <w:marLeft w:val="0"/>
      <w:marRight w:val="0"/>
      <w:marTop w:val="0"/>
      <w:marBottom w:val="0"/>
      <w:divBdr>
        <w:top w:val="none" w:sz="0" w:space="0" w:color="auto"/>
        <w:left w:val="none" w:sz="0" w:space="0" w:color="auto"/>
        <w:bottom w:val="none" w:sz="0" w:space="0" w:color="auto"/>
        <w:right w:val="none" w:sz="0" w:space="0" w:color="auto"/>
      </w:divBdr>
    </w:div>
    <w:div w:id="1650279227">
      <w:bodyDiv w:val="1"/>
      <w:marLeft w:val="0"/>
      <w:marRight w:val="0"/>
      <w:marTop w:val="0"/>
      <w:marBottom w:val="0"/>
      <w:divBdr>
        <w:top w:val="none" w:sz="0" w:space="0" w:color="auto"/>
        <w:left w:val="none" w:sz="0" w:space="0" w:color="auto"/>
        <w:bottom w:val="none" w:sz="0" w:space="0" w:color="auto"/>
        <w:right w:val="none" w:sz="0" w:space="0" w:color="auto"/>
      </w:divBdr>
    </w:div>
    <w:div w:id="1668903836">
      <w:bodyDiv w:val="1"/>
      <w:marLeft w:val="0"/>
      <w:marRight w:val="0"/>
      <w:marTop w:val="0"/>
      <w:marBottom w:val="0"/>
      <w:divBdr>
        <w:top w:val="none" w:sz="0" w:space="0" w:color="auto"/>
        <w:left w:val="none" w:sz="0" w:space="0" w:color="auto"/>
        <w:bottom w:val="none" w:sz="0" w:space="0" w:color="auto"/>
        <w:right w:val="none" w:sz="0" w:space="0" w:color="auto"/>
      </w:divBdr>
      <w:divsChild>
        <w:div w:id="762530543">
          <w:marLeft w:val="1800"/>
          <w:marRight w:val="0"/>
          <w:marTop w:val="240"/>
          <w:marBottom w:val="0"/>
          <w:divBdr>
            <w:top w:val="none" w:sz="0" w:space="0" w:color="auto"/>
            <w:left w:val="none" w:sz="0" w:space="0" w:color="auto"/>
            <w:bottom w:val="none" w:sz="0" w:space="0" w:color="auto"/>
            <w:right w:val="none" w:sz="0" w:space="0" w:color="auto"/>
          </w:divBdr>
        </w:div>
        <w:div w:id="505362658">
          <w:marLeft w:val="1800"/>
          <w:marRight w:val="0"/>
          <w:marTop w:val="240"/>
          <w:marBottom w:val="0"/>
          <w:divBdr>
            <w:top w:val="none" w:sz="0" w:space="0" w:color="auto"/>
            <w:left w:val="none" w:sz="0" w:space="0" w:color="auto"/>
            <w:bottom w:val="none" w:sz="0" w:space="0" w:color="auto"/>
            <w:right w:val="none" w:sz="0" w:space="0" w:color="auto"/>
          </w:divBdr>
        </w:div>
        <w:div w:id="830177265">
          <w:marLeft w:val="1080"/>
          <w:marRight w:val="0"/>
          <w:marTop w:val="240"/>
          <w:marBottom w:val="0"/>
          <w:divBdr>
            <w:top w:val="none" w:sz="0" w:space="0" w:color="auto"/>
            <w:left w:val="none" w:sz="0" w:space="0" w:color="auto"/>
            <w:bottom w:val="none" w:sz="0" w:space="0" w:color="auto"/>
            <w:right w:val="none" w:sz="0" w:space="0" w:color="auto"/>
          </w:divBdr>
        </w:div>
        <w:div w:id="1577931630">
          <w:marLeft w:val="1080"/>
          <w:marRight w:val="0"/>
          <w:marTop w:val="240"/>
          <w:marBottom w:val="0"/>
          <w:divBdr>
            <w:top w:val="none" w:sz="0" w:space="0" w:color="auto"/>
            <w:left w:val="none" w:sz="0" w:space="0" w:color="auto"/>
            <w:bottom w:val="none" w:sz="0" w:space="0" w:color="auto"/>
            <w:right w:val="none" w:sz="0" w:space="0" w:color="auto"/>
          </w:divBdr>
        </w:div>
        <w:div w:id="1328359019">
          <w:marLeft w:val="1080"/>
          <w:marRight w:val="0"/>
          <w:marTop w:val="240"/>
          <w:marBottom w:val="0"/>
          <w:divBdr>
            <w:top w:val="none" w:sz="0" w:space="0" w:color="auto"/>
            <w:left w:val="none" w:sz="0" w:space="0" w:color="auto"/>
            <w:bottom w:val="none" w:sz="0" w:space="0" w:color="auto"/>
            <w:right w:val="none" w:sz="0" w:space="0" w:color="auto"/>
          </w:divBdr>
        </w:div>
      </w:divsChild>
    </w:div>
    <w:div w:id="1685815095">
      <w:bodyDiv w:val="1"/>
      <w:marLeft w:val="0"/>
      <w:marRight w:val="0"/>
      <w:marTop w:val="0"/>
      <w:marBottom w:val="0"/>
      <w:divBdr>
        <w:top w:val="none" w:sz="0" w:space="0" w:color="auto"/>
        <w:left w:val="none" w:sz="0" w:space="0" w:color="auto"/>
        <w:bottom w:val="none" w:sz="0" w:space="0" w:color="auto"/>
        <w:right w:val="none" w:sz="0" w:space="0" w:color="auto"/>
      </w:divBdr>
    </w:div>
    <w:div w:id="1712487128">
      <w:bodyDiv w:val="1"/>
      <w:marLeft w:val="0"/>
      <w:marRight w:val="0"/>
      <w:marTop w:val="0"/>
      <w:marBottom w:val="0"/>
      <w:divBdr>
        <w:top w:val="none" w:sz="0" w:space="0" w:color="auto"/>
        <w:left w:val="none" w:sz="0" w:space="0" w:color="auto"/>
        <w:bottom w:val="none" w:sz="0" w:space="0" w:color="auto"/>
        <w:right w:val="none" w:sz="0" w:space="0" w:color="auto"/>
      </w:divBdr>
    </w:div>
    <w:div w:id="1785730315">
      <w:bodyDiv w:val="1"/>
      <w:marLeft w:val="0"/>
      <w:marRight w:val="0"/>
      <w:marTop w:val="0"/>
      <w:marBottom w:val="0"/>
      <w:divBdr>
        <w:top w:val="none" w:sz="0" w:space="0" w:color="auto"/>
        <w:left w:val="none" w:sz="0" w:space="0" w:color="auto"/>
        <w:bottom w:val="none" w:sz="0" w:space="0" w:color="auto"/>
        <w:right w:val="none" w:sz="0" w:space="0" w:color="auto"/>
      </w:divBdr>
    </w:div>
    <w:div w:id="1823277882">
      <w:bodyDiv w:val="1"/>
      <w:marLeft w:val="0"/>
      <w:marRight w:val="0"/>
      <w:marTop w:val="0"/>
      <w:marBottom w:val="0"/>
      <w:divBdr>
        <w:top w:val="none" w:sz="0" w:space="0" w:color="auto"/>
        <w:left w:val="none" w:sz="0" w:space="0" w:color="auto"/>
        <w:bottom w:val="none" w:sz="0" w:space="0" w:color="auto"/>
        <w:right w:val="none" w:sz="0" w:space="0" w:color="auto"/>
      </w:divBdr>
    </w:div>
    <w:div w:id="1843668056">
      <w:bodyDiv w:val="1"/>
      <w:marLeft w:val="0"/>
      <w:marRight w:val="0"/>
      <w:marTop w:val="0"/>
      <w:marBottom w:val="0"/>
      <w:divBdr>
        <w:top w:val="none" w:sz="0" w:space="0" w:color="auto"/>
        <w:left w:val="none" w:sz="0" w:space="0" w:color="auto"/>
        <w:bottom w:val="none" w:sz="0" w:space="0" w:color="auto"/>
        <w:right w:val="none" w:sz="0" w:space="0" w:color="auto"/>
      </w:divBdr>
    </w:div>
    <w:div w:id="1933665253">
      <w:bodyDiv w:val="1"/>
      <w:marLeft w:val="0"/>
      <w:marRight w:val="0"/>
      <w:marTop w:val="0"/>
      <w:marBottom w:val="0"/>
      <w:divBdr>
        <w:top w:val="none" w:sz="0" w:space="0" w:color="auto"/>
        <w:left w:val="none" w:sz="0" w:space="0" w:color="auto"/>
        <w:bottom w:val="none" w:sz="0" w:space="0" w:color="auto"/>
        <w:right w:val="none" w:sz="0" w:space="0" w:color="auto"/>
      </w:divBdr>
      <w:divsChild>
        <w:div w:id="977491932">
          <w:marLeft w:val="720"/>
          <w:marRight w:val="0"/>
          <w:marTop w:val="240"/>
          <w:marBottom w:val="0"/>
          <w:divBdr>
            <w:top w:val="none" w:sz="0" w:space="0" w:color="auto"/>
            <w:left w:val="none" w:sz="0" w:space="0" w:color="auto"/>
            <w:bottom w:val="none" w:sz="0" w:space="0" w:color="auto"/>
            <w:right w:val="none" w:sz="0" w:space="0" w:color="auto"/>
          </w:divBdr>
        </w:div>
        <w:div w:id="1217009295">
          <w:marLeft w:val="720"/>
          <w:marRight w:val="0"/>
          <w:marTop w:val="240"/>
          <w:marBottom w:val="0"/>
          <w:divBdr>
            <w:top w:val="none" w:sz="0" w:space="0" w:color="auto"/>
            <w:left w:val="none" w:sz="0" w:space="0" w:color="auto"/>
            <w:bottom w:val="none" w:sz="0" w:space="0" w:color="auto"/>
            <w:right w:val="none" w:sz="0" w:space="0" w:color="auto"/>
          </w:divBdr>
        </w:div>
        <w:div w:id="49422607">
          <w:marLeft w:val="547"/>
          <w:marRight w:val="0"/>
          <w:marTop w:val="240"/>
          <w:marBottom w:val="0"/>
          <w:divBdr>
            <w:top w:val="none" w:sz="0" w:space="0" w:color="auto"/>
            <w:left w:val="none" w:sz="0" w:space="0" w:color="auto"/>
            <w:bottom w:val="none" w:sz="0" w:space="0" w:color="auto"/>
            <w:right w:val="none" w:sz="0" w:space="0" w:color="auto"/>
          </w:divBdr>
        </w:div>
        <w:div w:id="2124028753">
          <w:marLeft w:val="720"/>
          <w:marRight w:val="0"/>
          <w:marTop w:val="240"/>
          <w:marBottom w:val="0"/>
          <w:divBdr>
            <w:top w:val="none" w:sz="0" w:space="0" w:color="auto"/>
            <w:left w:val="none" w:sz="0" w:space="0" w:color="auto"/>
            <w:bottom w:val="none" w:sz="0" w:space="0" w:color="auto"/>
            <w:right w:val="none" w:sz="0" w:space="0" w:color="auto"/>
          </w:divBdr>
        </w:div>
      </w:divsChild>
    </w:div>
    <w:div w:id="1946770081">
      <w:bodyDiv w:val="1"/>
      <w:marLeft w:val="0"/>
      <w:marRight w:val="0"/>
      <w:marTop w:val="0"/>
      <w:marBottom w:val="0"/>
      <w:divBdr>
        <w:top w:val="none" w:sz="0" w:space="0" w:color="auto"/>
        <w:left w:val="none" w:sz="0" w:space="0" w:color="auto"/>
        <w:bottom w:val="none" w:sz="0" w:space="0" w:color="auto"/>
        <w:right w:val="none" w:sz="0" w:space="0" w:color="auto"/>
      </w:divBdr>
    </w:div>
    <w:div w:id="1984040002">
      <w:bodyDiv w:val="1"/>
      <w:marLeft w:val="0"/>
      <w:marRight w:val="0"/>
      <w:marTop w:val="0"/>
      <w:marBottom w:val="0"/>
      <w:divBdr>
        <w:top w:val="none" w:sz="0" w:space="0" w:color="auto"/>
        <w:left w:val="none" w:sz="0" w:space="0" w:color="auto"/>
        <w:bottom w:val="none" w:sz="0" w:space="0" w:color="auto"/>
        <w:right w:val="none" w:sz="0" w:space="0" w:color="auto"/>
      </w:divBdr>
    </w:div>
    <w:div w:id="2093306620">
      <w:bodyDiv w:val="1"/>
      <w:marLeft w:val="0"/>
      <w:marRight w:val="0"/>
      <w:marTop w:val="0"/>
      <w:marBottom w:val="0"/>
      <w:divBdr>
        <w:top w:val="none" w:sz="0" w:space="0" w:color="auto"/>
        <w:left w:val="none" w:sz="0" w:space="0" w:color="auto"/>
        <w:bottom w:val="none" w:sz="0" w:space="0" w:color="auto"/>
        <w:right w:val="none" w:sz="0" w:space="0" w:color="auto"/>
      </w:divBdr>
    </w:div>
    <w:div w:id="21140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C8BB2-1D17-48C1-A4D5-AB6B5859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4737</Words>
  <Characters>2701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Altum</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Dita.Tetere@em.gov.lv</dc:creator>
  <dc:description>67013298
Signe.Tuklere@em.gov</dc:description>
  <cp:lastModifiedBy>Ieva Veisa</cp:lastModifiedBy>
  <cp:revision>20</cp:revision>
  <cp:lastPrinted>2020-05-15T11:33:00Z</cp:lastPrinted>
  <dcterms:created xsi:type="dcterms:W3CDTF">2021-07-09T08:23:00Z</dcterms:created>
  <dcterms:modified xsi:type="dcterms:W3CDTF">2021-07-12T10:18:00Z</dcterms:modified>
</cp:coreProperties>
</file>