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F4892" w14:textId="77777777" w:rsidR="008F2F57" w:rsidRDefault="008F2F57" w:rsidP="008F2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Paziņojums par līdzdalības iespējām </w:t>
      </w:r>
    </w:p>
    <w:p w14:paraId="663FCFC5" w14:textId="77777777" w:rsidR="008F2F57" w:rsidRDefault="008F2F57" w:rsidP="008F2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tiesību akta izstrādes procesā</w:t>
      </w:r>
    </w:p>
    <w:p w14:paraId="3912A464" w14:textId="77777777" w:rsidR="008F2F57" w:rsidRDefault="008F2F57" w:rsidP="008F2F57">
      <w:pPr>
        <w:shd w:val="clear" w:color="auto" w:fill="FFFFFF"/>
        <w:spacing w:before="45" w:after="0" w:line="248" w:lineRule="atLeast"/>
        <w:ind w:firstLine="300"/>
        <w:jc w:val="center"/>
        <w:rPr>
          <w:rFonts w:ascii="Arial" w:eastAsia="Times New Roman" w:hAnsi="Arial" w:cs="Arial"/>
          <w:i/>
          <w:iCs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38"/>
        <w:gridCol w:w="2418"/>
        <w:gridCol w:w="6001"/>
      </w:tblGrid>
      <w:tr w:rsidR="008F2F57" w14:paraId="292F962A" w14:textId="77777777" w:rsidTr="00405573">
        <w:trPr>
          <w:trHeight w:val="7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39526B" w14:textId="77777777" w:rsidR="008F2F57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1B8E4B" w14:textId="77777777" w:rsidR="008F2F57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2E884C" w14:textId="77777777" w:rsidR="008F2F57" w:rsidRDefault="008F2F57" w:rsidP="00405573">
            <w:pPr>
              <w:spacing w:after="0" w:line="240" w:lineRule="auto"/>
              <w:ind w:left="216" w:right="19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</w:t>
            </w:r>
          </w:p>
        </w:tc>
      </w:tr>
      <w:tr w:rsidR="008F2F57" w14:paraId="0DC21E70" w14:textId="77777777" w:rsidTr="00405573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A0A456" w14:textId="77777777" w:rsidR="008F2F57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CD359F" w14:textId="77777777" w:rsidR="008F2F57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8EE3B3" w14:textId="43A05892" w:rsidR="008F2F57" w:rsidRPr="00E61FA1" w:rsidRDefault="00CA3CFB" w:rsidP="006E5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3CFB">
              <w:rPr>
                <w:rFonts w:ascii="Times New Roman" w:hAnsi="Times New Roman" w:cs="Times New Roman"/>
                <w:sz w:val="24"/>
                <w:szCs w:val="24"/>
              </w:rPr>
              <w:t xml:space="preserve">Grozījumi Ministru kabineta 2020. gada 14. jūlija noteikumos Nr. 458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A3CFB">
              <w:rPr>
                <w:rFonts w:ascii="Times New Roman" w:hAnsi="Times New Roman" w:cs="Times New Roman"/>
                <w:sz w:val="24"/>
                <w:szCs w:val="24"/>
              </w:rPr>
              <w:t>Noteikumi par kapitāla ieguldījumiem komersantos, kuru darbību ietekmējusi Covid-19 izplatība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B95C6E" w:rsidRPr="003E67E7">
              <w:rPr>
                <w:rFonts w:ascii="Times New Roman" w:hAnsi="Times New Roman" w:cs="Times New Roman"/>
                <w:sz w:val="24"/>
                <w:szCs w:val="24"/>
              </w:rPr>
              <w:t xml:space="preserve"> (turpmāk – Noteikumu projekts)</w:t>
            </w:r>
          </w:p>
        </w:tc>
      </w:tr>
      <w:tr w:rsidR="008F2F57" w14:paraId="3F1D4DA2" w14:textId="77777777" w:rsidTr="00405573">
        <w:trPr>
          <w:trHeight w:val="631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1666B2" w14:textId="77777777" w:rsidR="008F2F57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6E9F1B" w14:textId="77777777" w:rsidR="008F2F57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"/>
              <w:gridCol w:w="5950"/>
            </w:tblGrid>
            <w:tr w:rsidR="008F2F57" w14:paraId="34D4F608" w14:textId="77777777" w:rsidTr="00405573">
              <w:trPr>
                <w:trHeight w:val="454"/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FFFFFF"/>
                  <w:hideMark/>
                </w:tcPr>
                <w:p w14:paraId="0FDAA85A" w14:textId="77777777" w:rsidR="008F2F57" w:rsidRDefault="008F2F57" w:rsidP="0040557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hideMark/>
                </w:tcPr>
                <w:p w14:paraId="009F1C9C" w14:textId="77777777" w:rsidR="00AD28B5" w:rsidRPr="00AD28B5" w:rsidRDefault="00AD28B5" w:rsidP="00AD28B5">
                  <w:pPr>
                    <w:spacing w:after="0" w:line="240" w:lineRule="auto"/>
                    <w:ind w:left="65" w:right="19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D28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2. Budžeta un finanšu politika</w:t>
                  </w:r>
                </w:p>
                <w:p w14:paraId="0FC5DDA6" w14:textId="7972A144" w:rsidR="00E61FA1" w:rsidRDefault="00E61FA1" w:rsidP="00AD28B5">
                  <w:pPr>
                    <w:spacing w:after="0" w:line="240" w:lineRule="auto"/>
                    <w:ind w:left="65" w:right="19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8F2F57" w14:paraId="5B1F5FD6" w14:textId="77777777" w:rsidTr="00405573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14:paraId="68EF6ABE" w14:textId="77777777" w:rsidR="008F2F57" w:rsidRDefault="008F2F57" w:rsidP="004055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14:paraId="43DEF30F" w14:textId="77777777" w:rsidR="008F2F57" w:rsidRDefault="008F2F57" w:rsidP="004055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5DAC8954" w14:textId="77777777" w:rsidR="008F2F57" w:rsidRDefault="008F2F57" w:rsidP="0040557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8F2F57" w14:paraId="3EDBDBF0" w14:textId="77777777" w:rsidTr="00405573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380BD4" w14:textId="77777777" w:rsidR="008F2F57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2AA4E7" w14:textId="77777777" w:rsidR="008F2F57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150E8C" w14:textId="49B1239B" w:rsidR="00E61FA1" w:rsidRPr="005A6CE7" w:rsidRDefault="00AD28B5" w:rsidP="005A6CE7">
            <w:pPr>
              <w:spacing w:after="0" w:line="240" w:lineRule="auto"/>
              <w:ind w:left="75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6C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Latvijā reģistrēti saimnieciskās darbības veicēji </w:t>
            </w:r>
          </w:p>
        </w:tc>
      </w:tr>
      <w:tr w:rsidR="008F2F57" w14:paraId="4B673424" w14:textId="77777777" w:rsidTr="00405573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91602E" w14:textId="77777777" w:rsidR="008F2F57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237DF5" w14:textId="77777777" w:rsidR="008F2F57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33E88C" w14:textId="6FDCA066" w:rsidR="005A10B5" w:rsidRDefault="00B95C6E" w:rsidP="005A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E67E7">
              <w:rPr>
                <w:rFonts w:ascii="Times New Roman" w:hAnsi="Times New Roman" w:cs="Times New Roman"/>
                <w:sz w:val="24"/>
                <w:szCs w:val="24"/>
              </w:rPr>
              <w:t>Esošā regulējuma</w:t>
            </w:r>
            <w:r w:rsidR="009D7CC1" w:rsidRPr="003E6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0B5" w:rsidRPr="005A10B5">
              <w:rPr>
                <w:rFonts w:ascii="Times New Roman" w:hAnsi="Times New Roman" w:cs="Times New Roman"/>
                <w:sz w:val="24"/>
                <w:szCs w:val="24"/>
              </w:rPr>
              <w:t>Ministru kabineta 2020. gada 14. jūlija noteikumos Nr. 458 "Noteikumi par kapitāla ieguldījumiem komersantos, kuru darbību ietekmējusi Covid-19 izplatība"</w:t>
            </w:r>
            <w:r w:rsidR="005A10B5" w:rsidRPr="005A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CC1" w:rsidRPr="009D7CC1">
              <w:rPr>
                <w:rFonts w:ascii="Times New Roman" w:hAnsi="Times New Roman" w:cs="Times New Roman"/>
                <w:sz w:val="24"/>
                <w:szCs w:val="24"/>
              </w:rPr>
              <w:t>noteikts, ka</w:t>
            </w:r>
            <w:r w:rsidR="00582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0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atbalstu var saņemt lielie komersanti, kas atbilst Komisijas regulas 2</w:t>
            </w:r>
            <w:r w:rsidR="005A10B5" w:rsidRPr="00B040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014. gada 17. jūnija Regulas (ES) Nr. 651/2014, ar ko noteiktas atbalsta kategorijas atzīst par saderīgām ar iekšējo tirgu, piemērojot Līguma 107. un 108. pantu</w:t>
            </w:r>
            <w:r w:rsidR="005A10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</w:t>
            </w:r>
            <w:r w:rsidR="005A10B5" w:rsidRPr="00B040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2. panta 24. punktā noteiktajai definīcijai vai Komisijas 2014. gada 25. jūnija Regulas (ES) Nr. 702/2014</w:t>
            </w:r>
            <w:r w:rsidR="005A10B5" w:rsidRPr="00F84F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ar kuru konkrētas atbalsta kategorijas lauksaimniecības un mežsaimniecības nozarē un lauku apvidos atzīst par saderīgām ar iekšējo tirgu, piemērojot Līguma par Eiropas Savienības darbību 107. un 108. pantu</w:t>
            </w:r>
            <w:r w:rsidR="005A10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</w:t>
            </w:r>
            <w:r w:rsidR="005A10B5" w:rsidRPr="00F84F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 panta 26. punktā noteiktajai definīcijai.</w:t>
            </w:r>
          </w:p>
          <w:p w14:paraId="7E024D61" w14:textId="395F8AD5" w:rsidR="009767C0" w:rsidRDefault="009767C0" w:rsidP="005A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215DEC51" w14:textId="31EB3021" w:rsidR="009767C0" w:rsidRDefault="009767C0" w:rsidP="005A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Pašreizējā noteikumu projekta redakcijā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ar lielo komersantu tiek uzskatīts tāds, kurš nodarbina vismaz 250 </w:t>
            </w:r>
            <w:r w:rsidRPr="00556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darbiniekus vai </w:t>
            </w:r>
            <w:r w:rsidRPr="005560E4">
              <w:rPr>
                <w:rFonts w:ascii="Times New Roman" w:hAnsi="Times New Roman" w:cs="Times New Roman"/>
                <w:sz w:val="24"/>
                <w:szCs w:val="24"/>
              </w:rPr>
              <w:t xml:space="preserve">gada apgrozījums pārsniedz 50 000 000 </w:t>
            </w:r>
            <w:proofErr w:type="spellStart"/>
            <w:r w:rsidRPr="005560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556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5560E4">
              <w:rPr>
                <w:rFonts w:ascii="Times New Roman" w:hAnsi="Times New Roman" w:cs="Times New Roman"/>
                <w:sz w:val="24"/>
                <w:szCs w:val="24"/>
              </w:rPr>
              <w:t xml:space="preserve"> gada bilances kopsumma pārsniedz 43 000 000 </w:t>
            </w:r>
            <w:proofErr w:type="spellStart"/>
            <w:r w:rsidRPr="005560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19A33B74" w14:textId="5C6D197A" w:rsidR="009D7CC1" w:rsidRDefault="009D7CC1" w:rsidP="00582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4E02D" w14:textId="7D470DDD" w:rsidR="005A10B5" w:rsidRPr="00E4625A" w:rsidRDefault="00582189" w:rsidP="005A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Noteikumu projekta mērķis ir</w:t>
            </w:r>
            <w:r w:rsidR="00CA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paplašināt </w:t>
            </w:r>
            <w:r w:rsidR="00CA3CFB" w:rsidRPr="00CA3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atbalsta saņēmēju loku Ministru kabineta 2020.gada 14.jūlija noteikumos Nr.458 „Noteikumi par kapitāla ieguldījumiem komersantos, kuru darbību ietekmējusi Covid-19 izplatība”</w:t>
            </w:r>
            <w:r w:rsidR="005A1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 </w:t>
            </w:r>
            <w:r w:rsidR="005A10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vienkāršot lielā komersanta statusa noteikšanu</w:t>
            </w:r>
            <w:r w:rsidR="005A10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</w:t>
            </w:r>
            <w:r w:rsidR="005A10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aizstājot Komisijas regulas Nr.651/2014 I pielikuma kritērijus ar šādiem kritērijiem – </w:t>
            </w:r>
            <w:r w:rsidR="005A10B5" w:rsidRPr="00E462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vismaz 150 darbinieki pieteikuma iesniegšanas brīdī vai gada apgrozījums par pēdējo gadu pārsniedz 50 000 000 EUR un gada bilances kopsumma par pēdējo gadu pārsniedz 43 000 000 EUR.</w:t>
            </w:r>
          </w:p>
          <w:p w14:paraId="2BA3F127" w14:textId="5BF9127C" w:rsidR="008F2F57" w:rsidRPr="006C4A7C" w:rsidRDefault="008F2F57" w:rsidP="006C4A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2F57" w14:paraId="0A1E90D4" w14:textId="77777777" w:rsidTr="00405573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483426" w14:textId="77777777" w:rsidR="008F2F57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05854C" w14:textId="77777777" w:rsidR="008F2F57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D7993E" w14:textId="1DBCB8BA" w:rsidR="008F2F57" w:rsidRDefault="008F2F57" w:rsidP="00405573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projekts tiks  </w:t>
            </w:r>
            <w:r w:rsidR="008B34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skatīts Ministru kabinetā ievērojot p</w:t>
            </w:r>
            <w:r w:rsidR="008B343F" w:rsidRPr="008B34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rojektu saīsinātā izsludināšanas un saskaņošanas kārtību</w:t>
            </w:r>
          </w:p>
        </w:tc>
      </w:tr>
      <w:tr w:rsidR="008F2F57" w14:paraId="6FC72F5C" w14:textId="77777777" w:rsidTr="00405573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A6DC6C" w14:textId="77777777" w:rsidR="008F2F57" w:rsidRPr="00D45822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58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7.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62F90C" w14:textId="77777777" w:rsidR="008F2F57" w:rsidRPr="00D45822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58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036EBFF" w14:textId="66B8A633" w:rsidR="008F2F57" w:rsidRPr="00DD66FD" w:rsidRDefault="00DD66FD" w:rsidP="00DD66F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1)Grozījum</w:t>
            </w:r>
            <w:r w:rsidR="00CA3C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</w:t>
            </w:r>
            <w:r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CA3CFB" w:rsidRPr="00CA3C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Ministru kabineta 2020.gada 14.jūlija noteikumos Nr.458 „ Noteikumi par kapitāla ieguldījumiem komersantos, kuru darbību ietekmējusi Covid-19 izplatība</w:t>
            </w:r>
            <w:r w:rsidR="00855492" w:rsidRPr="003E67E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855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Datne:</w:t>
            </w:r>
            <w:r>
              <w:t xml:space="preserve"> </w:t>
            </w:r>
            <w:r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EMnot_</w:t>
            </w:r>
            <w:r w:rsidR="00CA3C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Groz458_28072021.docx</w:t>
            </w:r>
          </w:p>
          <w:p w14:paraId="754F65E7" w14:textId="7A4D3041" w:rsidR="00DD66FD" w:rsidRPr="00DD66FD" w:rsidRDefault="00DD66FD" w:rsidP="00DD66F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2)</w:t>
            </w:r>
            <w:r w:rsidRPr="00DD66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noteikumu projekta </w:t>
            </w:r>
            <w:r w:rsidRPr="00DD66F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A3CFB"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Grozījum</w:t>
            </w:r>
            <w:r w:rsidR="00CA3C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</w:t>
            </w:r>
            <w:r w:rsidR="00CA3CFB"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CA3CFB" w:rsidRPr="00CA3C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Ministru kabineta 2020.gada 14.jūlija noteikumos Nr.458 „ Noteikumi par kapitāla ieguldījumiem komersantos, kuru darbību ietekmējusi Covid-19 izplatība</w:t>
            </w:r>
            <w:r w:rsidR="00855492" w:rsidRPr="003E67E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85549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sākotnējās ietekmes novērtējuma ziņojums (anotācija), </w:t>
            </w:r>
          </w:p>
          <w:p w14:paraId="1D08A5A3" w14:textId="19CE754D" w:rsidR="00DD66FD" w:rsidRPr="00DD66FD" w:rsidRDefault="00DD66FD" w:rsidP="00DD66FD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D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Datne: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66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EManot_</w:t>
            </w:r>
            <w:r w:rsidR="00CA3C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GROZ458_28072021.docx</w:t>
            </w:r>
          </w:p>
        </w:tc>
      </w:tr>
      <w:tr w:rsidR="008F2F57" w14:paraId="3DF1F11B" w14:textId="77777777" w:rsidTr="00405573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70D1C2" w14:textId="77777777" w:rsidR="008F2F57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2BEAB3" w14:textId="77777777" w:rsidR="008F2F57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D7AC19" w14:textId="19BB5A86" w:rsidR="008F2F57" w:rsidRDefault="008F2F57" w:rsidP="00405573">
            <w:pPr>
              <w:spacing w:after="0" w:line="240" w:lineRule="auto"/>
              <w:ind w:left="216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Projekta apspriešanā iespējams līdzdarboties līdz </w:t>
            </w:r>
            <w:r w:rsidR="00C10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C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A3C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D7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sniedzot rakstisku viedokli atbilstoši Ministru kabineta 2009. gada 25. augusta noteikumu Nr. 970 „Sabiedrības līdzdalības kārtība attīstības plānošanas procesā” 7.4.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.apakšpunktam</w:t>
            </w:r>
            <w:r w:rsidR="001F4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2F57" w14:paraId="6C9034FD" w14:textId="77777777" w:rsidTr="00405573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BB713A" w14:textId="77777777" w:rsidR="008F2F57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F37E70" w14:textId="77777777" w:rsidR="008F2F57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464349" w14:textId="1C9319B9" w:rsidR="008F2F57" w:rsidRDefault="008F2F57" w:rsidP="00405573">
            <w:pPr>
              <w:spacing w:after="0" w:line="240" w:lineRule="auto"/>
              <w:ind w:left="216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Lūdzam pieteikties līdzdalībai rakstiski, sniedzot viedokli par noteikumu projektu līdz </w:t>
            </w:r>
            <w:r w:rsidR="00C10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1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5F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10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E5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5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informāciju nosūtot uz e-pasta adresi </w:t>
            </w:r>
            <w:r w:rsidR="00855492">
              <w:rPr>
                <w:rFonts w:ascii="Times New Roman" w:hAnsi="Times New Roman" w:cs="Times New Roman"/>
                <w:sz w:val="24"/>
                <w:szCs w:val="24"/>
              </w:rPr>
              <w:t>sanita.lace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@em.gov.lv vai pasts@em.gov.lv.  Atkarībā no saņemtajiem viedokļiem tiks plānota turpmāka noteikumu projekta virzība, kā arī turpmākas sabiedrības līdzdalības nepieciešamība.</w:t>
            </w:r>
          </w:p>
        </w:tc>
      </w:tr>
      <w:tr w:rsidR="008F2F57" w14:paraId="6455717E" w14:textId="77777777" w:rsidTr="00405573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4DCD36" w14:textId="77777777" w:rsidR="008F2F57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C681D6" w14:textId="77777777" w:rsidR="008F2F57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6FB3E6" w14:textId="77777777" w:rsidR="008F2F57" w:rsidRDefault="008F2F57" w:rsidP="00405573">
            <w:pPr>
              <w:spacing w:after="0" w:line="240" w:lineRule="auto"/>
              <w:ind w:left="216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attiecināms.</w:t>
            </w:r>
          </w:p>
        </w:tc>
      </w:tr>
      <w:tr w:rsidR="008F2F57" w14:paraId="4AC4912C" w14:textId="77777777" w:rsidTr="00405573">
        <w:trPr>
          <w:trHeight w:val="33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EFE130" w14:textId="77777777" w:rsidR="008F2F57" w:rsidRDefault="008F2F57" w:rsidP="0040557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D0FCA5" w14:textId="77777777" w:rsidR="008F2F57" w:rsidRDefault="008F2F57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64E1A086" w14:textId="77777777" w:rsidR="009D7CC1" w:rsidRDefault="009D7CC1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99ED649" w14:textId="33545A32" w:rsidR="009D7CC1" w:rsidRDefault="009D7CC1" w:rsidP="0040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8FA548" w14:textId="18F9305A" w:rsidR="009D7CC1" w:rsidRPr="00855492" w:rsidRDefault="00423DF3" w:rsidP="009D7CC1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4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Uzņēmējdarbības</w:t>
            </w:r>
            <w:r w:rsidR="00855492" w:rsidRPr="008554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konkurētspējas departamenta vecākā eksperte Sanita Lāce</w:t>
            </w:r>
            <w:r w:rsidR="009D7CC1" w:rsidRPr="008554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F2F57" w:rsidRPr="008554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(tālrunis: 67013</w:t>
            </w:r>
            <w:r w:rsidR="00855492" w:rsidRPr="008554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256</w:t>
            </w:r>
            <w:r w:rsidR="008F2F57" w:rsidRPr="008554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; e-pasts: </w:t>
            </w:r>
            <w:hyperlink r:id="rId5" w:history="1">
              <w:r w:rsidR="00855492" w:rsidRPr="00855492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Sanita.Lace</w:t>
              </w:r>
              <w:r w:rsidR="00855492" w:rsidRPr="0085549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@em.gov.lv</w:t>
              </w:r>
            </w:hyperlink>
            <w:r w:rsidR="008F2F57" w:rsidRPr="00855492">
              <w:rPr>
                <w:rStyle w:val="Hipersait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).</w:t>
            </w:r>
            <w:r w:rsidR="008F2F57" w:rsidRPr="008554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</w:tr>
    </w:tbl>
    <w:p w14:paraId="720232E7" w14:textId="77777777" w:rsidR="008F2F57" w:rsidRDefault="008F2F57" w:rsidP="008F2F57"/>
    <w:p w14:paraId="4D12CF99" w14:textId="77777777" w:rsidR="00B705CC" w:rsidRDefault="00B705CC"/>
    <w:sectPr w:rsidR="00B705CC" w:rsidSect="003768DB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D42A7"/>
    <w:multiLevelType w:val="hybridMultilevel"/>
    <w:tmpl w:val="C7AC9466"/>
    <w:lvl w:ilvl="0" w:tplc="CAF6C8F4">
      <w:start w:val="1"/>
      <w:numFmt w:val="decimal"/>
      <w:lvlText w:val="%1)"/>
      <w:lvlJc w:val="left"/>
      <w:pPr>
        <w:ind w:left="435" w:hanging="360"/>
      </w:pPr>
      <w:rPr>
        <w:rFonts w:asciiTheme="minorHAnsi" w:hAnsi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155" w:hanging="360"/>
      </w:pPr>
    </w:lvl>
    <w:lvl w:ilvl="2" w:tplc="0426001B" w:tentative="1">
      <w:start w:val="1"/>
      <w:numFmt w:val="lowerRoman"/>
      <w:lvlText w:val="%3."/>
      <w:lvlJc w:val="right"/>
      <w:pPr>
        <w:ind w:left="1875" w:hanging="180"/>
      </w:pPr>
    </w:lvl>
    <w:lvl w:ilvl="3" w:tplc="0426000F" w:tentative="1">
      <w:start w:val="1"/>
      <w:numFmt w:val="decimal"/>
      <w:lvlText w:val="%4."/>
      <w:lvlJc w:val="left"/>
      <w:pPr>
        <w:ind w:left="2595" w:hanging="360"/>
      </w:pPr>
    </w:lvl>
    <w:lvl w:ilvl="4" w:tplc="04260019" w:tentative="1">
      <w:start w:val="1"/>
      <w:numFmt w:val="lowerLetter"/>
      <w:lvlText w:val="%5."/>
      <w:lvlJc w:val="left"/>
      <w:pPr>
        <w:ind w:left="3315" w:hanging="360"/>
      </w:pPr>
    </w:lvl>
    <w:lvl w:ilvl="5" w:tplc="0426001B" w:tentative="1">
      <w:start w:val="1"/>
      <w:numFmt w:val="lowerRoman"/>
      <w:lvlText w:val="%6."/>
      <w:lvlJc w:val="right"/>
      <w:pPr>
        <w:ind w:left="4035" w:hanging="180"/>
      </w:pPr>
    </w:lvl>
    <w:lvl w:ilvl="6" w:tplc="0426000F" w:tentative="1">
      <w:start w:val="1"/>
      <w:numFmt w:val="decimal"/>
      <w:lvlText w:val="%7."/>
      <w:lvlJc w:val="left"/>
      <w:pPr>
        <w:ind w:left="4755" w:hanging="360"/>
      </w:pPr>
    </w:lvl>
    <w:lvl w:ilvl="7" w:tplc="04260019" w:tentative="1">
      <w:start w:val="1"/>
      <w:numFmt w:val="lowerLetter"/>
      <w:lvlText w:val="%8."/>
      <w:lvlJc w:val="left"/>
      <w:pPr>
        <w:ind w:left="5475" w:hanging="360"/>
      </w:pPr>
    </w:lvl>
    <w:lvl w:ilvl="8" w:tplc="042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5744368"/>
    <w:multiLevelType w:val="hybridMultilevel"/>
    <w:tmpl w:val="C7AC9466"/>
    <w:lvl w:ilvl="0" w:tplc="CAF6C8F4">
      <w:start w:val="1"/>
      <w:numFmt w:val="decimal"/>
      <w:lvlText w:val="%1)"/>
      <w:lvlJc w:val="left"/>
      <w:pPr>
        <w:ind w:left="435" w:hanging="360"/>
      </w:pPr>
      <w:rPr>
        <w:rFonts w:asciiTheme="minorHAnsi" w:hAnsi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155" w:hanging="360"/>
      </w:pPr>
    </w:lvl>
    <w:lvl w:ilvl="2" w:tplc="0426001B" w:tentative="1">
      <w:start w:val="1"/>
      <w:numFmt w:val="lowerRoman"/>
      <w:lvlText w:val="%3."/>
      <w:lvlJc w:val="right"/>
      <w:pPr>
        <w:ind w:left="1875" w:hanging="180"/>
      </w:pPr>
    </w:lvl>
    <w:lvl w:ilvl="3" w:tplc="0426000F" w:tentative="1">
      <w:start w:val="1"/>
      <w:numFmt w:val="decimal"/>
      <w:lvlText w:val="%4."/>
      <w:lvlJc w:val="left"/>
      <w:pPr>
        <w:ind w:left="2595" w:hanging="360"/>
      </w:pPr>
    </w:lvl>
    <w:lvl w:ilvl="4" w:tplc="04260019" w:tentative="1">
      <w:start w:val="1"/>
      <w:numFmt w:val="lowerLetter"/>
      <w:lvlText w:val="%5."/>
      <w:lvlJc w:val="left"/>
      <w:pPr>
        <w:ind w:left="3315" w:hanging="360"/>
      </w:pPr>
    </w:lvl>
    <w:lvl w:ilvl="5" w:tplc="0426001B" w:tentative="1">
      <w:start w:val="1"/>
      <w:numFmt w:val="lowerRoman"/>
      <w:lvlText w:val="%6."/>
      <w:lvlJc w:val="right"/>
      <w:pPr>
        <w:ind w:left="4035" w:hanging="180"/>
      </w:pPr>
    </w:lvl>
    <w:lvl w:ilvl="6" w:tplc="0426000F" w:tentative="1">
      <w:start w:val="1"/>
      <w:numFmt w:val="decimal"/>
      <w:lvlText w:val="%7."/>
      <w:lvlJc w:val="left"/>
      <w:pPr>
        <w:ind w:left="4755" w:hanging="360"/>
      </w:pPr>
    </w:lvl>
    <w:lvl w:ilvl="7" w:tplc="04260019" w:tentative="1">
      <w:start w:val="1"/>
      <w:numFmt w:val="lowerLetter"/>
      <w:lvlText w:val="%8."/>
      <w:lvlJc w:val="left"/>
      <w:pPr>
        <w:ind w:left="5475" w:hanging="360"/>
      </w:pPr>
    </w:lvl>
    <w:lvl w:ilvl="8" w:tplc="0426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57"/>
    <w:rsid w:val="001F4C9B"/>
    <w:rsid w:val="003323A7"/>
    <w:rsid w:val="00370368"/>
    <w:rsid w:val="003E60D7"/>
    <w:rsid w:val="003E67E7"/>
    <w:rsid w:val="00423DF3"/>
    <w:rsid w:val="0047605B"/>
    <w:rsid w:val="00582189"/>
    <w:rsid w:val="005A10B5"/>
    <w:rsid w:val="005A6CE7"/>
    <w:rsid w:val="006B13DA"/>
    <w:rsid w:val="006C4A7C"/>
    <w:rsid w:val="006E5F17"/>
    <w:rsid w:val="007C463D"/>
    <w:rsid w:val="00855492"/>
    <w:rsid w:val="008B343F"/>
    <w:rsid w:val="008F2F57"/>
    <w:rsid w:val="009767C0"/>
    <w:rsid w:val="009C5E1F"/>
    <w:rsid w:val="009D7CC1"/>
    <w:rsid w:val="00A6585A"/>
    <w:rsid w:val="00AD28B5"/>
    <w:rsid w:val="00B705CC"/>
    <w:rsid w:val="00B95C6E"/>
    <w:rsid w:val="00BC2FB7"/>
    <w:rsid w:val="00C1096F"/>
    <w:rsid w:val="00CA3CFB"/>
    <w:rsid w:val="00D45822"/>
    <w:rsid w:val="00DD66FD"/>
    <w:rsid w:val="00E6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7A758"/>
  <w15:chartTrackingRefBased/>
  <w15:docId w15:val="{9D02DD6E-ED1A-445F-88AD-02098600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F57"/>
    <w:pPr>
      <w:spacing w:line="254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F2F57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370368"/>
    <w:pPr>
      <w:ind w:left="720"/>
      <w:contextualSpacing/>
    </w:pPr>
  </w:style>
  <w:style w:type="paragraph" w:customStyle="1" w:styleId="paragraph">
    <w:name w:val="paragraph"/>
    <w:basedOn w:val="Parasts"/>
    <w:rsid w:val="006E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D7CC1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D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28B5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AD28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D28B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D28B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D28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D28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ita.Lace@e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2326</Words>
  <Characters>1327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Vīksna</dc:creator>
  <cp:keywords/>
  <dc:description/>
  <cp:lastModifiedBy>Sanita Lāce</cp:lastModifiedBy>
  <cp:revision>2</cp:revision>
  <dcterms:created xsi:type="dcterms:W3CDTF">2021-07-30T07:59:00Z</dcterms:created>
  <dcterms:modified xsi:type="dcterms:W3CDTF">2021-07-30T07:59:00Z</dcterms:modified>
</cp:coreProperties>
</file>