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3DE00" w14:textId="60CC0E29" w:rsidR="00310924" w:rsidRPr="009F423C" w:rsidRDefault="00032471" w:rsidP="003C585E">
      <w:pPr>
        <w:shd w:val="clear" w:color="auto" w:fill="FFFFFF"/>
        <w:contextualSpacing/>
        <w:jc w:val="center"/>
        <w:rPr>
          <w:b/>
          <w:sz w:val="26"/>
          <w:lang w:val="lv-LV"/>
        </w:rPr>
      </w:pPr>
      <w:bookmarkStart w:id="0" w:name="OLE_LINK3"/>
      <w:bookmarkStart w:id="1" w:name="OLE_LINK1"/>
      <w:bookmarkStart w:id="2" w:name="OLE_LINK2"/>
      <w:r w:rsidRPr="00204393">
        <w:rPr>
          <w:b/>
          <w:sz w:val="26"/>
          <w:szCs w:val="26"/>
          <w:lang w:val="lv-LV"/>
        </w:rPr>
        <w:t>Ministru kabineta noteikumu proj</w:t>
      </w:r>
      <w:r w:rsidRPr="00204393">
        <w:rPr>
          <w:b/>
          <w:sz w:val="26"/>
          <w:lang w:val="lv-LV"/>
        </w:rPr>
        <w:t>ekt</w:t>
      </w:r>
      <w:r w:rsidRPr="00204393">
        <w:rPr>
          <w:b/>
          <w:sz w:val="26"/>
          <w:szCs w:val="26"/>
          <w:lang w:val="lv-LV"/>
        </w:rPr>
        <w:t xml:space="preserve">a </w:t>
      </w:r>
      <w:r w:rsidR="00D82825" w:rsidRPr="00204393">
        <w:rPr>
          <w:b/>
          <w:sz w:val="26"/>
          <w:szCs w:val="26"/>
          <w:lang w:val="lv-LV"/>
        </w:rPr>
        <w:t xml:space="preserve">“Grozījumi Ministru kabineta 2017.gada 5.decembra noteikumos Nr.537 </w:t>
      </w:r>
      <w:r w:rsidR="00A13D94">
        <w:rPr>
          <w:b/>
          <w:sz w:val="26"/>
          <w:szCs w:val="26"/>
          <w:lang w:val="lv-LV"/>
        </w:rPr>
        <w:t>“</w:t>
      </w:r>
      <w:r w:rsidR="00D82825" w:rsidRPr="00204393">
        <w:rPr>
          <w:b/>
          <w:sz w:val="26"/>
          <w:szCs w:val="26"/>
          <w:lang w:val="lv-LV"/>
        </w:rPr>
        <w:t xml:space="preserve">Noteikumi par </w:t>
      </w:r>
      <w:proofErr w:type="spellStart"/>
      <w:r w:rsidR="00D82825" w:rsidRPr="00204393">
        <w:rPr>
          <w:b/>
          <w:sz w:val="26"/>
          <w:szCs w:val="26"/>
          <w:lang w:val="lv-LV"/>
        </w:rPr>
        <w:t>portfeļgarantijām</w:t>
      </w:r>
      <w:proofErr w:type="spellEnd"/>
      <w:r w:rsidR="00D82825" w:rsidRPr="00204393">
        <w:rPr>
          <w:b/>
          <w:sz w:val="26"/>
          <w:szCs w:val="26"/>
          <w:lang w:val="lv-LV"/>
        </w:rPr>
        <w:t xml:space="preserve"> sīko (mikro), mazo un vidējo komersantu kreditēšanas veicināšanai””</w:t>
      </w:r>
      <w:r w:rsidR="00D82825" w:rsidRPr="001A4B8B">
        <w:rPr>
          <w:rFonts w:eastAsia="Times New Roman"/>
          <w:b/>
          <w:sz w:val="28"/>
          <w:szCs w:val="28"/>
          <w:lang w:val="lv-LV" w:eastAsia="lv-LV"/>
        </w:rPr>
        <w:t xml:space="preserve"> </w:t>
      </w:r>
      <w:r w:rsidRPr="009F423C">
        <w:rPr>
          <w:b/>
          <w:sz w:val="26"/>
          <w:szCs w:val="26"/>
          <w:lang w:val="lv-LV"/>
        </w:rPr>
        <w:t>sākotnējās ietekmes novērtējuma ziņojums (anotācija)</w:t>
      </w:r>
    </w:p>
    <w:p w14:paraId="286653D2" w14:textId="77777777" w:rsidR="00032471" w:rsidRPr="009F423C" w:rsidRDefault="00032471" w:rsidP="006064F8">
      <w:pPr>
        <w:contextualSpacing/>
        <w:rPr>
          <w:b/>
          <w:sz w:val="26"/>
          <w:szCs w:val="26"/>
          <w:lang w:val="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46"/>
        <w:gridCol w:w="6109"/>
      </w:tblGrid>
      <w:tr w:rsidR="00310924" w:rsidRPr="00204393" w14:paraId="06A3987D" w14:textId="77777777" w:rsidTr="00BB0042">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bookmarkEnd w:id="0"/>
          <w:bookmarkEnd w:id="1"/>
          <w:bookmarkEnd w:id="2"/>
          <w:p w14:paraId="0723E20C" w14:textId="77777777" w:rsidR="00310924" w:rsidRPr="009F423C" w:rsidRDefault="00310924" w:rsidP="00616AB7">
            <w:pPr>
              <w:contextualSpacing/>
              <w:jc w:val="center"/>
              <w:rPr>
                <w:rFonts w:eastAsia="Times New Roman"/>
                <w:b/>
                <w:bCs/>
                <w:iCs/>
                <w:sz w:val="26"/>
                <w:szCs w:val="26"/>
                <w:lang w:val="lv-LV" w:eastAsia="lv-LV"/>
              </w:rPr>
            </w:pPr>
            <w:r w:rsidRPr="009F423C">
              <w:rPr>
                <w:rFonts w:eastAsia="Times New Roman"/>
                <w:b/>
                <w:bCs/>
                <w:iCs/>
                <w:sz w:val="26"/>
                <w:szCs w:val="26"/>
                <w:lang w:val="lv-LV" w:eastAsia="lv-LV"/>
              </w:rPr>
              <w:t>Tiesību akta projekta anotācijas kopsavilkums</w:t>
            </w:r>
          </w:p>
        </w:tc>
      </w:tr>
      <w:tr w:rsidR="00310924" w:rsidRPr="005571E1" w14:paraId="5F92C921" w14:textId="77777777" w:rsidTr="00BB0042">
        <w:trPr>
          <w:tblCellSpacing w:w="15" w:type="dxa"/>
        </w:trPr>
        <w:tc>
          <w:tcPr>
            <w:tcW w:w="1607" w:type="pct"/>
            <w:tcBorders>
              <w:top w:val="outset" w:sz="6" w:space="0" w:color="auto"/>
              <w:left w:val="outset" w:sz="6" w:space="0" w:color="auto"/>
              <w:bottom w:val="outset" w:sz="6" w:space="0" w:color="auto"/>
              <w:right w:val="outset" w:sz="6" w:space="0" w:color="auto"/>
            </w:tcBorders>
            <w:hideMark/>
          </w:tcPr>
          <w:p w14:paraId="4D1DBABE" w14:textId="77777777" w:rsidR="00310924" w:rsidRPr="009F423C" w:rsidRDefault="00310924" w:rsidP="006064F8">
            <w:pPr>
              <w:contextualSpacing/>
              <w:rPr>
                <w:rFonts w:eastAsia="Times New Roman"/>
                <w:iCs/>
                <w:sz w:val="26"/>
                <w:szCs w:val="26"/>
                <w:lang w:val="lv-LV" w:eastAsia="lv-LV"/>
              </w:rPr>
            </w:pPr>
            <w:r w:rsidRPr="009F423C">
              <w:rPr>
                <w:rFonts w:eastAsia="Times New Roman"/>
                <w:iCs/>
                <w:sz w:val="26"/>
                <w:szCs w:val="26"/>
                <w:lang w:val="lv-LV" w:eastAsia="lv-LV"/>
              </w:rPr>
              <w:t>Mērķis, risinājums un projekta spēkā stāšanās laiks (500 zīmes bez atstarpēm)</w:t>
            </w:r>
          </w:p>
        </w:tc>
        <w:tc>
          <w:tcPr>
            <w:tcW w:w="3343" w:type="pct"/>
            <w:tcBorders>
              <w:top w:val="outset" w:sz="6" w:space="0" w:color="auto"/>
              <w:left w:val="outset" w:sz="6" w:space="0" w:color="auto"/>
              <w:bottom w:val="outset" w:sz="6" w:space="0" w:color="auto"/>
              <w:right w:val="outset" w:sz="6" w:space="0" w:color="auto"/>
            </w:tcBorders>
            <w:hideMark/>
          </w:tcPr>
          <w:p w14:paraId="418284AA" w14:textId="07A50561" w:rsidR="00512A94" w:rsidRDefault="008713B8" w:rsidP="00512A94">
            <w:pPr>
              <w:jc w:val="both"/>
              <w:rPr>
                <w:rFonts w:eastAsia="Times New Roman"/>
                <w:iCs/>
                <w:sz w:val="26"/>
                <w:szCs w:val="26"/>
                <w:lang w:val="lv-LV" w:eastAsia="lv-LV"/>
              </w:rPr>
            </w:pPr>
            <w:r w:rsidRPr="009F423C">
              <w:rPr>
                <w:bCs/>
                <w:sz w:val="26"/>
                <w:szCs w:val="26"/>
                <w:lang w:val="lv-LV"/>
              </w:rPr>
              <w:t xml:space="preserve">Ministru kabineta </w:t>
            </w:r>
            <w:r w:rsidRPr="009F423C">
              <w:rPr>
                <w:rFonts w:eastAsia="Times New Roman"/>
                <w:iCs/>
                <w:sz w:val="26"/>
                <w:szCs w:val="26"/>
                <w:lang w:val="lv-LV" w:eastAsia="lv-LV"/>
              </w:rPr>
              <w:t>noteikumu projekt</w:t>
            </w:r>
            <w:r w:rsidR="0054516F" w:rsidRPr="009F423C">
              <w:rPr>
                <w:rFonts w:eastAsia="Times New Roman"/>
                <w:iCs/>
                <w:sz w:val="26"/>
                <w:szCs w:val="26"/>
                <w:lang w:val="lv-LV" w:eastAsia="lv-LV"/>
              </w:rPr>
              <w:t>a</w:t>
            </w:r>
            <w:r w:rsidRPr="009F423C">
              <w:rPr>
                <w:rFonts w:eastAsia="Times New Roman"/>
                <w:iCs/>
                <w:sz w:val="26"/>
                <w:szCs w:val="26"/>
                <w:lang w:val="lv-LV" w:eastAsia="lv-LV"/>
              </w:rPr>
              <w:t xml:space="preserve"> “Grozījumi Ministru kabineta 2017.gada 5.decembra noteikumos Nr.537 „Noteikumi par </w:t>
            </w:r>
            <w:proofErr w:type="spellStart"/>
            <w:r w:rsidRPr="009F423C">
              <w:rPr>
                <w:rFonts w:eastAsia="Times New Roman"/>
                <w:iCs/>
                <w:sz w:val="26"/>
                <w:szCs w:val="26"/>
                <w:lang w:val="lv-LV" w:eastAsia="lv-LV"/>
              </w:rPr>
              <w:t>portfeļgarantijām</w:t>
            </w:r>
            <w:proofErr w:type="spellEnd"/>
            <w:r w:rsidRPr="009F423C">
              <w:rPr>
                <w:rFonts w:eastAsia="Times New Roman"/>
                <w:iCs/>
                <w:sz w:val="26"/>
                <w:szCs w:val="26"/>
                <w:lang w:val="lv-LV" w:eastAsia="lv-LV"/>
              </w:rPr>
              <w:t xml:space="preserve"> sīko (mikro), mazo un vidējo komersantu kreditēšanas veicināšanai”” (turpmāk – Noteikumu</w:t>
            </w:r>
            <w:r w:rsidRPr="009F423C">
              <w:rPr>
                <w:bCs/>
                <w:sz w:val="26"/>
                <w:szCs w:val="26"/>
                <w:lang w:val="lv-LV"/>
              </w:rPr>
              <w:t xml:space="preserve"> projekts)</w:t>
            </w:r>
            <w:r w:rsidRPr="009F423C">
              <w:rPr>
                <w:rFonts w:eastAsia="Times New Roman"/>
                <w:iCs/>
                <w:sz w:val="26"/>
                <w:szCs w:val="26"/>
                <w:lang w:val="lv-LV" w:eastAsia="lv-LV"/>
              </w:rPr>
              <w:t xml:space="preserve"> </w:t>
            </w:r>
            <w:r w:rsidR="0054516F" w:rsidRPr="009F423C">
              <w:rPr>
                <w:rFonts w:eastAsia="Times New Roman"/>
                <w:iCs/>
                <w:sz w:val="26"/>
                <w:szCs w:val="26"/>
                <w:lang w:val="lv-LV" w:eastAsia="lv-LV"/>
              </w:rPr>
              <w:t>mērķis ir</w:t>
            </w:r>
            <w:r w:rsidRPr="009F423C">
              <w:rPr>
                <w:rFonts w:eastAsia="Times New Roman"/>
                <w:iCs/>
                <w:sz w:val="26"/>
                <w:szCs w:val="26"/>
                <w:lang w:val="lv-LV" w:eastAsia="lv-LV"/>
              </w:rPr>
              <w:t xml:space="preserve"> </w:t>
            </w:r>
            <w:r w:rsidR="00616AB7">
              <w:rPr>
                <w:rFonts w:eastAsia="Times New Roman"/>
                <w:iCs/>
                <w:sz w:val="26"/>
                <w:szCs w:val="26"/>
                <w:lang w:val="lv-LV" w:eastAsia="lv-LV"/>
              </w:rPr>
              <w:t xml:space="preserve">grozīt </w:t>
            </w:r>
            <w:r w:rsidRPr="009F423C">
              <w:rPr>
                <w:rFonts w:eastAsia="Times New Roman"/>
                <w:iCs/>
                <w:sz w:val="26"/>
                <w:szCs w:val="26"/>
                <w:lang w:val="lv-LV" w:eastAsia="lv-LV"/>
              </w:rPr>
              <w:t xml:space="preserve">programmas </w:t>
            </w:r>
            <w:r w:rsidR="00616AB7" w:rsidRPr="009F423C">
              <w:rPr>
                <w:rFonts w:eastAsia="Times New Roman"/>
                <w:iCs/>
                <w:sz w:val="26"/>
                <w:szCs w:val="26"/>
                <w:lang w:val="lv-LV" w:eastAsia="lv-LV"/>
              </w:rPr>
              <w:t>nosacījum</w:t>
            </w:r>
            <w:r w:rsidR="00616AB7">
              <w:rPr>
                <w:rFonts w:eastAsia="Times New Roman"/>
                <w:iCs/>
                <w:sz w:val="26"/>
                <w:szCs w:val="26"/>
                <w:lang w:val="lv-LV" w:eastAsia="lv-LV"/>
              </w:rPr>
              <w:t>s</w:t>
            </w:r>
            <w:r w:rsidR="00616AB7" w:rsidRPr="009F423C">
              <w:rPr>
                <w:rFonts w:eastAsia="Times New Roman"/>
                <w:iCs/>
                <w:sz w:val="26"/>
                <w:szCs w:val="26"/>
                <w:lang w:val="lv-LV" w:eastAsia="lv-LV"/>
              </w:rPr>
              <w:t xml:space="preserve"> </w:t>
            </w:r>
            <w:r w:rsidR="00616AB7">
              <w:rPr>
                <w:rFonts w:eastAsia="Times New Roman"/>
                <w:iCs/>
                <w:sz w:val="26"/>
                <w:szCs w:val="26"/>
                <w:lang w:val="lv-LV" w:eastAsia="lv-LV"/>
              </w:rPr>
              <w:t>, l</w:t>
            </w:r>
            <w:r w:rsidR="00616AB7">
              <w:rPr>
                <w:iCs/>
                <w:sz w:val="24"/>
                <w:szCs w:val="24"/>
                <w:lang w:val="sv-SE"/>
              </w:rPr>
              <w:t>ai nodrošinātu komersantiem visaptverošu finansējuma pieejamību, īpaši ņemot vērā Covid-19 ietekmi uz komersantu saimniecisko darbību</w:t>
            </w:r>
          </w:p>
          <w:p w14:paraId="4CD4BB3A" w14:textId="77777777" w:rsidR="00C44F01" w:rsidRPr="009F423C" w:rsidRDefault="00C44F01" w:rsidP="00512A94">
            <w:pPr>
              <w:jc w:val="both"/>
              <w:rPr>
                <w:rFonts w:eastAsia="Times New Roman"/>
                <w:iCs/>
                <w:sz w:val="26"/>
                <w:szCs w:val="26"/>
                <w:lang w:val="lv-LV" w:eastAsia="lv-LV"/>
              </w:rPr>
            </w:pPr>
          </w:p>
          <w:p w14:paraId="0891E1DE" w14:textId="73CE1904" w:rsidR="00DD696D" w:rsidRPr="009F423C" w:rsidRDefault="008713B8" w:rsidP="00512A94">
            <w:pPr>
              <w:jc w:val="both"/>
              <w:rPr>
                <w:rFonts w:eastAsia="Times New Roman"/>
                <w:iCs/>
                <w:sz w:val="26"/>
                <w:szCs w:val="26"/>
                <w:lang w:val="lv-LV"/>
              </w:rPr>
            </w:pPr>
            <w:r w:rsidRPr="009F423C">
              <w:rPr>
                <w:rFonts w:eastAsia="Times New Roman"/>
                <w:iCs/>
                <w:sz w:val="26"/>
                <w:szCs w:val="26"/>
                <w:lang w:val="lv-LV" w:eastAsia="lv-LV"/>
              </w:rPr>
              <w:t>Noteikumu projekts stājas spēkā nākamajā dienā pēc tā izsludināšanas oficiālajā izdevumā “Latvijas vēstnesis</w:t>
            </w:r>
            <w:r w:rsidR="00334E90" w:rsidRPr="009F423C">
              <w:rPr>
                <w:rFonts w:eastAsia="Times New Roman"/>
                <w:iCs/>
                <w:sz w:val="26"/>
                <w:szCs w:val="26"/>
                <w:lang w:val="lv-LV" w:eastAsia="lv-LV"/>
              </w:rPr>
              <w:t>”</w:t>
            </w:r>
            <w:r w:rsidRPr="009F423C">
              <w:rPr>
                <w:rFonts w:eastAsia="Times New Roman"/>
                <w:iCs/>
                <w:sz w:val="26"/>
                <w:szCs w:val="26"/>
                <w:lang w:val="lv-LV" w:eastAsia="lv-LV"/>
              </w:rPr>
              <w:t>.</w:t>
            </w:r>
          </w:p>
        </w:tc>
      </w:tr>
    </w:tbl>
    <w:p w14:paraId="6A8022D4" w14:textId="0FD7EE14" w:rsidR="00310924" w:rsidRPr="009F423C" w:rsidRDefault="00310924" w:rsidP="00434856">
      <w:pPr>
        <w:tabs>
          <w:tab w:val="right" w:pos="9072"/>
        </w:tabs>
        <w:contextualSpacing/>
        <w:rPr>
          <w:sz w:val="26"/>
          <w:szCs w:val="26"/>
          <w:lang w:val="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57" w:type="dxa"/>
          <w:bottom w:w="30" w:type="dxa"/>
          <w:right w:w="57" w:type="dxa"/>
        </w:tblCellMar>
        <w:tblLook w:val="04A0" w:firstRow="1" w:lastRow="0" w:firstColumn="1" w:lastColumn="0" w:noHBand="0" w:noVBand="1"/>
      </w:tblPr>
      <w:tblGrid>
        <w:gridCol w:w="411"/>
        <w:gridCol w:w="2558"/>
        <w:gridCol w:w="6160"/>
      </w:tblGrid>
      <w:tr w:rsidR="00844176" w:rsidRPr="00204393" w14:paraId="02364BB3" w14:textId="77777777" w:rsidTr="00434856">
        <w:trPr>
          <w:trHeight w:val="307"/>
        </w:trPr>
        <w:tc>
          <w:tcPr>
            <w:tcW w:w="9129" w:type="dxa"/>
            <w:gridSpan w:val="3"/>
            <w:tcBorders>
              <w:top w:val="outset" w:sz="6" w:space="0" w:color="414142"/>
              <w:left w:val="outset" w:sz="6" w:space="0" w:color="414142"/>
              <w:bottom w:val="outset" w:sz="6" w:space="0" w:color="414142"/>
              <w:right w:val="outset" w:sz="6" w:space="0" w:color="414142"/>
            </w:tcBorders>
            <w:hideMark/>
          </w:tcPr>
          <w:p w14:paraId="12E54FE2" w14:textId="77777777" w:rsidR="00844176" w:rsidRPr="009F423C" w:rsidRDefault="00844176" w:rsidP="00434856">
            <w:pPr>
              <w:tabs>
                <w:tab w:val="left" w:pos="5888"/>
              </w:tabs>
              <w:contextualSpacing/>
              <w:jc w:val="center"/>
              <w:rPr>
                <w:rFonts w:eastAsia="Times New Roman"/>
                <w:sz w:val="26"/>
                <w:szCs w:val="26"/>
                <w:lang w:val="lv-LV" w:eastAsia="lv-LV"/>
              </w:rPr>
            </w:pPr>
            <w:r w:rsidRPr="009F423C">
              <w:rPr>
                <w:b/>
                <w:sz w:val="26"/>
                <w:lang w:val="lv-LV"/>
              </w:rPr>
              <w:t>I. Tiesību akta projekta izstrādes nepieciešamība</w:t>
            </w:r>
          </w:p>
        </w:tc>
      </w:tr>
      <w:tr w:rsidR="00844176" w:rsidRPr="00347A58" w14:paraId="7F385C9A" w14:textId="77777777" w:rsidTr="00434856">
        <w:trPr>
          <w:trHeight w:val="405"/>
        </w:trPr>
        <w:tc>
          <w:tcPr>
            <w:tcW w:w="411" w:type="dxa"/>
            <w:tcBorders>
              <w:top w:val="outset" w:sz="6" w:space="0" w:color="414142"/>
              <w:left w:val="outset" w:sz="6" w:space="0" w:color="414142"/>
              <w:bottom w:val="outset" w:sz="6" w:space="0" w:color="414142"/>
              <w:right w:val="outset" w:sz="6" w:space="0" w:color="414142"/>
            </w:tcBorders>
            <w:hideMark/>
          </w:tcPr>
          <w:p w14:paraId="7802C726" w14:textId="77777777" w:rsidR="00844176" w:rsidRPr="009F423C" w:rsidRDefault="00844176" w:rsidP="00D74824">
            <w:pPr>
              <w:spacing w:after="160" w:line="259" w:lineRule="auto"/>
              <w:contextualSpacing/>
              <w:jc w:val="both"/>
              <w:rPr>
                <w:rFonts w:eastAsiaTheme="minorHAnsi"/>
                <w:sz w:val="26"/>
                <w:szCs w:val="26"/>
                <w:lang w:val="lv-LV"/>
              </w:rPr>
            </w:pPr>
            <w:r w:rsidRPr="009F423C">
              <w:rPr>
                <w:rFonts w:eastAsiaTheme="minorHAnsi"/>
                <w:sz w:val="26"/>
                <w:szCs w:val="26"/>
                <w:lang w:val="lv-LV"/>
              </w:rPr>
              <w:t>1.</w:t>
            </w:r>
          </w:p>
        </w:tc>
        <w:tc>
          <w:tcPr>
            <w:tcW w:w="2558" w:type="dxa"/>
            <w:tcBorders>
              <w:top w:val="outset" w:sz="6" w:space="0" w:color="414142"/>
              <w:left w:val="outset" w:sz="6" w:space="0" w:color="414142"/>
              <w:bottom w:val="outset" w:sz="6" w:space="0" w:color="414142"/>
              <w:right w:val="outset" w:sz="6" w:space="0" w:color="414142"/>
            </w:tcBorders>
            <w:hideMark/>
          </w:tcPr>
          <w:p w14:paraId="1D9EF4B2" w14:textId="77777777" w:rsidR="00844176" w:rsidRPr="009F423C" w:rsidRDefault="00844176" w:rsidP="00D74824">
            <w:pPr>
              <w:spacing w:after="160" w:line="259" w:lineRule="auto"/>
              <w:contextualSpacing/>
              <w:jc w:val="both"/>
              <w:rPr>
                <w:rFonts w:eastAsiaTheme="minorHAnsi"/>
                <w:sz w:val="26"/>
                <w:szCs w:val="26"/>
                <w:lang w:val="lv-LV"/>
              </w:rPr>
            </w:pPr>
            <w:r w:rsidRPr="009F423C">
              <w:rPr>
                <w:rFonts w:eastAsiaTheme="minorHAnsi"/>
                <w:sz w:val="26"/>
                <w:szCs w:val="26"/>
                <w:lang w:val="lv-LV"/>
              </w:rPr>
              <w:t>Pamatojums</w:t>
            </w:r>
          </w:p>
        </w:tc>
        <w:tc>
          <w:tcPr>
            <w:tcW w:w="6160" w:type="dxa"/>
            <w:tcBorders>
              <w:top w:val="outset" w:sz="6" w:space="0" w:color="414142"/>
              <w:left w:val="outset" w:sz="6" w:space="0" w:color="414142"/>
              <w:bottom w:val="outset" w:sz="6" w:space="0" w:color="414142"/>
              <w:right w:val="outset" w:sz="6" w:space="0" w:color="414142"/>
            </w:tcBorders>
            <w:hideMark/>
          </w:tcPr>
          <w:p w14:paraId="79DF1BBF" w14:textId="22952E51" w:rsidR="00B72365" w:rsidRPr="009F423C" w:rsidRDefault="008713B8" w:rsidP="007C614A">
            <w:pPr>
              <w:spacing w:after="160" w:line="256" w:lineRule="auto"/>
              <w:contextualSpacing/>
              <w:jc w:val="both"/>
              <w:rPr>
                <w:rFonts w:eastAsiaTheme="minorHAnsi"/>
                <w:sz w:val="26"/>
                <w:szCs w:val="26"/>
                <w:lang w:val="lv-LV"/>
              </w:rPr>
            </w:pPr>
            <w:r w:rsidRPr="009F423C">
              <w:rPr>
                <w:rFonts w:eastAsiaTheme="minorHAnsi"/>
                <w:sz w:val="26"/>
                <w:szCs w:val="26"/>
                <w:lang w:val="lv-LV"/>
              </w:rPr>
              <w:t>Noteikumu p</w:t>
            </w:r>
            <w:r w:rsidR="007C614A" w:rsidRPr="009F423C">
              <w:rPr>
                <w:rFonts w:eastAsiaTheme="minorHAnsi"/>
                <w:sz w:val="26"/>
                <w:szCs w:val="26"/>
                <w:lang w:val="lv-LV"/>
              </w:rPr>
              <w:t xml:space="preserve">rojekts </w:t>
            </w:r>
            <w:r w:rsidR="00347A58">
              <w:rPr>
                <w:rFonts w:eastAsiaTheme="minorHAnsi"/>
                <w:sz w:val="26"/>
                <w:szCs w:val="26"/>
                <w:lang w:val="lv-LV"/>
              </w:rPr>
              <w:t>izstrādāts</w:t>
            </w:r>
            <w:r w:rsidR="00347A58" w:rsidRPr="009F423C">
              <w:rPr>
                <w:rFonts w:eastAsiaTheme="minorHAnsi"/>
                <w:sz w:val="26"/>
                <w:szCs w:val="26"/>
                <w:lang w:val="lv-LV"/>
              </w:rPr>
              <w:t xml:space="preserve"> </w:t>
            </w:r>
            <w:r w:rsidR="007C614A" w:rsidRPr="009F423C">
              <w:rPr>
                <w:rFonts w:eastAsiaTheme="minorHAnsi"/>
                <w:sz w:val="26"/>
                <w:szCs w:val="26"/>
                <w:lang w:val="lv-LV"/>
              </w:rPr>
              <w:t>pēc Ekonomikas ministrijas iniciatīvas</w:t>
            </w:r>
            <w:r w:rsidR="00347A58">
              <w:rPr>
                <w:rFonts w:eastAsiaTheme="minorHAnsi"/>
                <w:sz w:val="26"/>
                <w:szCs w:val="26"/>
                <w:lang w:val="lv-LV"/>
              </w:rPr>
              <w:t>.</w:t>
            </w:r>
            <w:r w:rsidR="007C614A" w:rsidRPr="009F423C">
              <w:rPr>
                <w:rFonts w:eastAsiaTheme="minorHAnsi"/>
                <w:sz w:val="26"/>
                <w:szCs w:val="26"/>
                <w:lang w:val="lv-LV"/>
              </w:rPr>
              <w:t xml:space="preserve"> </w:t>
            </w:r>
          </w:p>
        </w:tc>
      </w:tr>
      <w:tr w:rsidR="00844176" w:rsidRPr="001A4B8B" w14:paraId="62EDED08"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304587A4" w14:textId="77777777" w:rsidR="00844176" w:rsidRPr="009F423C" w:rsidRDefault="00844176" w:rsidP="00434856">
            <w:pPr>
              <w:contextualSpacing/>
              <w:rPr>
                <w:rFonts w:eastAsia="Times New Roman"/>
                <w:sz w:val="26"/>
                <w:szCs w:val="26"/>
                <w:lang w:val="lv-LV" w:eastAsia="lv-LV"/>
              </w:rPr>
            </w:pPr>
            <w:r w:rsidRPr="009F423C">
              <w:rPr>
                <w:sz w:val="26"/>
                <w:lang w:val="lv-LV"/>
              </w:rPr>
              <w:t>2.</w:t>
            </w:r>
          </w:p>
        </w:tc>
        <w:tc>
          <w:tcPr>
            <w:tcW w:w="2558" w:type="dxa"/>
            <w:tcBorders>
              <w:top w:val="outset" w:sz="6" w:space="0" w:color="414142"/>
              <w:left w:val="outset" w:sz="6" w:space="0" w:color="414142"/>
              <w:bottom w:val="outset" w:sz="6" w:space="0" w:color="414142"/>
              <w:right w:val="outset" w:sz="6" w:space="0" w:color="414142"/>
            </w:tcBorders>
            <w:hideMark/>
          </w:tcPr>
          <w:p w14:paraId="40AD4671" w14:textId="044133EA" w:rsidR="00844176" w:rsidRPr="009F423C" w:rsidRDefault="00844176" w:rsidP="00434856">
            <w:pPr>
              <w:contextualSpacing/>
              <w:rPr>
                <w:rFonts w:eastAsia="Times New Roman"/>
                <w:sz w:val="26"/>
                <w:szCs w:val="26"/>
                <w:lang w:val="lv-LV" w:eastAsia="lv-LV"/>
              </w:rPr>
            </w:pPr>
            <w:r w:rsidRPr="009F423C">
              <w:rPr>
                <w:sz w:val="26"/>
                <w:lang w:val="lv-LV"/>
              </w:rPr>
              <w:t>Pašreizējā situācija un problēmas, kuru risināšanai tiesību akta projekts izstrādāts, tiesiskā regulējuma mērķis un būtība</w:t>
            </w:r>
          </w:p>
        </w:tc>
        <w:tc>
          <w:tcPr>
            <w:tcW w:w="6160" w:type="dxa"/>
            <w:tcBorders>
              <w:top w:val="outset" w:sz="6" w:space="0" w:color="414142"/>
              <w:left w:val="outset" w:sz="6" w:space="0" w:color="414142"/>
              <w:bottom w:val="outset" w:sz="6" w:space="0" w:color="414142"/>
              <w:right w:val="outset" w:sz="6" w:space="0" w:color="414142"/>
            </w:tcBorders>
          </w:tcPr>
          <w:p w14:paraId="3AA9A54B" w14:textId="7EBABBBF" w:rsidR="008713B8" w:rsidRPr="00810275" w:rsidRDefault="008713B8" w:rsidP="008713B8">
            <w:pPr>
              <w:jc w:val="both"/>
              <w:rPr>
                <w:iCs/>
                <w:sz w:val="26"/>
                <w:szCs w:val="26"/>
                <w:lang w:val="lv-LV" w:eastAsia="lv-LV"/>
              </w:rPr>
            </w:pPr>
            <w:r w:rsidRPr="00810275">
              <w:rPr>
                <w:iCs/>
                <w:sz w:val="26"/>
                <w:szCs w:val="26"/>
                <w:lang w:val="lv-LV" w:eastAsia="lv-LV"/>
              </w:rPr>
              <w:t>Ar Noteikumu projektu tiek veikti tālāk</w:t>
            </w:r>
            <w:r w:rsidR="001E29B8" w:rsidRPr="00810275">
              <w:rPr>
                <w:iCs/>
                <w:sz w:val="26"/>
                <w:szCs w:val="26"/>
                <w:lang w:val="lv-LV" w:eastAsia="lv-LV"/>
              </w:rPr>
              <w:t xml:space="preserve"> norādītie</w:t>
            </w:r>
            <w:r w:rsidRPr="00810275">
              <w:rPr>
                <w:iCs/>
                <w:sz w:val="26"/>
                <w:szCs w:val="26"/>
                <w:lang w:val="lv-LV" w:eastAsia="lv-LV"/>
              </w:rPr>
              <w:t xml:space="preserve"> grozījumi </w:t>
            </w:r>
            <w:r w:rsidRPr="00810275">
              <w:rPr>
                <w:rFonts w:eastAsia="Times New Roman"/>
                <w:iCs/>
                <w:sz w:val="26"/>
                <w:szCs w:val="26"/>
                <w:lang w:val="lv-LV" w:eastAsia="lv-LV"/>
              </w:rPr>
              <w:t xml:space="preserve">Ministru kabineta 2017.gada 5.decembra noteikumos Nr.537 „Noteikumi par </w:t>
            </w:r>
            <w:proofErr w:type="spellStart"/>
            <w:r w:rsidRPr="00810275">
              <w:rPr>
                <w:rFonts w:eastAsia="Times New Roman"/>
                <w:iCs/>
                <w:sz w:val="26"/>
                <w:szCs w:val="26"/>
                <w:lang w:val="lv-LV" w:eastAsia="lv-LV"/>
              </w:rPr>
              <w:t>portfeļgarantijām</w:t>
            </w:r>
            <w:proofErr w:type="spellEnd"/>
            <w:r w:rsidRPr="00810275">
              <w:rPr>
                <w:rFonts w:eastAsia="Times New Roman"/>
                <w:iCs/>
                <w:sz w:val="26"/>
                <w:szCs w:val="26"/>
                <w:lang w:val="lv-LV" w:eastAsia="lv-LV"/>
              </w:rPr>
              <w:t xml:space="preserve"> sīko (mikro), mazo un vidējo komersantu kreditēšanas veicināšanai” </w:t>
            </w:r>
            <w:r w:rsidRPr="00810275">
              <w:rPr>
                <w:iCs/>
                <w:sz w:val="26"/>
                <w:szCs w:val="26"/>
                <w:lang w:val="lv-LV" w:eastAsia="lv-LV"/>
              </w:rPr>
              <w:t xml:space="preserve"> (turpmāk – MK noteikumi Nr.537).</w:t>
            </w:r>
          </w:p>
          <w:p w14:paraId="15B6363C" w14:textId="4BE7D847" w:rsidR="004858C7" w:rsidRPr="00810275" w:rsidRDefault="004858C7" w:rsidP="00945065">
            <w:pPr>
              <w:pStyle w:val="Default"/>
              <w:spacing w:after="60"/>
              <w:jc w:val="both"/>
              <w:rPr>
                <w:rFonts w:ascii="Times New Roman" w:hAnsi="Times New Roman" w:cs="Times New Roman"/>
                <w:b/>
                <w:bCs/>
                <w:i/>
                <w:iCs/>
                <w:color w:val="auto"/>
                <w:sz w:val="26"/>
                <w:szCs w:val="26"/>
              </w:rPr>
            </w:pPr>
          </w:p>
          <w:p w14:paraId="5DE0F550" w14:textId="7F6DBBD2" w:rsidR="00837EDF" w:rsidRPr="00810275" w:rsidRDefault="00C44F01" w:rsidP="003942A0">
            <w:pPr>
              <w:jc w:val="both"/>
              <w:rPr>
                <w:rFonts w:eastAsia="Times New Roman"/>
                <w:b/>
                <w:bCs/>
                <w:iCs/>
                <w:sz w:val="26"/>
                <w:szCs w:val="26"/>
                <w:lang w:val="lv-LV" w:eastAsia="lv-LV"/>
              </w:rPr>
            </w:pPr>
            <w:r>
              <w:rPr>
                <w:rFonts w:eastAsia="Times New Roman"/>
                <w:b/>
                <w:bCs/>
                <w:iCs/>
                <w:sz w:val="26"/>
                <w:szCs w:val="26"/>
                <w:lang w:val="lv-LV" w:eastAsia="lv-LV"/>
              </w:rPr>
              <w:t xml:space="preserve">I </w:t>
            </w:r>
            <w:r w:rsidR="003942A0" w:rsidRPr="00810275">
              <w:rPr>
                <w:rFonts w:eastAsia="Times New Roman"/>
                <w:b/>
                <w:bCs/>
                <w:iCs/>
                <w:sz w:val="26"/>
                <w:szCs w:val="26"/>
                <w:lang w:val="lv-LV" w:eastAsia="lv-LV"/>
              </w:rPr>
              <w:t>Par aizdevuma pamatojumu biznesa plānā vai tam saistītā dokumentā</w:t>
            </w:r>
          </w:p>
          <w:p w14:paraId="7BDB7F55" w14:textId="2FC6D3F5" w:rsidR="00204393" w:rsidRPr="00810275" w:rsidRDefault="00837EDF" w:rsidP="003942A0">
            <w:pPr>
              <w:jc w:val="both"/>
              <w:rPr>
                <w:rFonts w:eastAsia="Times New Roman"/>
                <w:sz w:val="26"/>
                <w:szCs w:val="26"/>
                <w:lang w:val="lv-LV" w:eastAsia="lv-LV"/>
              </w:rPr>
            </w:pPr>
            <w:r w:rsidRPr="00810275">
              <w:rPr>
                <w:sz w:val="26"/>
                <w:szCs w:val="26"/>
                <w:lang w:val="lv-LV"/>
              </w:rPr>
              <w:t>MK noteikumu Nr. 537</w:t>
            </w:r>
            <w:r w:rsidRPr="00810275">
              <w:rPr>
                <w:rFonts w:eastAsia="Times New Roman"/>
                <w:iCs/>
                <w:sz w:val="26"/>
                <w:szCs w:val="26"/>
                <w:lang w:val="lv-LV"/>
              </w:rPr>
              <w:t xml:space="preserve"> </w:t>
            </w:r>
            <w:r w:rsidRPr="00810275">
              <w:rPr>
                <w:sz w:val="26"/>
                <w:szCs w:val="26"/>
                <w:lang w:val="lv-LV"/>
              </w:rPr>
              <w:t>9.2.</w:t>
            </w:r>
            <w:r w:rsidR="00066CEE" w:rsidRPr="00810275">
              <w:rPr>
                <w:sz w:val="26"/>
                <w:szCs w:val="26"/>
                <w:lang w:val="lv-LV"/>
              </w:rPr>
              <w:t xml:space="preserve"> </w:t>
            </w:r>
            <w:r w:rsidR="00416FC7">
              <w:rPr>
                <w:sz w:val="26"/>
                <w:szCs w:val="26"/>
                <w:lang w:val="lv-LV"/>
              </w:rPr>
              <w:t>apakš</w:t>
            </w:r>
            <w:r w:rsidRPr="00810275">
              <w:rPr>
                <w:sz w:val="26"/>
                <w:szCs w:val="26"/>
                <w:lang w:val="lv-LV"/>
              </w:rPr>
              <w:t xml:space="preserve">punkts nosaka, ka garantiju var </w:t>
            </w:r>
            <w:r w:rsidRPr="00810275">
              <w:rPr>
                <w:rFonts w:eastAsia="Times New Roman"/>
                <w:iCs/>
                <w:sz w:val="26"/>
                <w:szCs w:val="26"/>
                <w:lang w:val="lv-LV" w:eastAsia="lv-LV"/>
              </w:rPr>
              <w:t xml:space="preserve">piešķirt aizdevumiem apgrozāmo līdzekļu finansēšanai, tai </w:t>
            </w:r>
            <w:r w:rsidRPr="00D22073">
              <w:rPr>
                <w:rFonts w:eastAsia="Times New Roman"/>
                <w:iCs/>
                <w:sz w:val="26"/>
                <w:szCs w:val="26"/>
                <w:lang w:val="lv-LV" w:eastAsia="lv-LV"/>
              </w:rPr>
              <w:t xml:space="preserve">skaitā aizdevumiem kredītlīnijas vai </w:t>
            </w:r>
            <w:proofErr w:type="spellStart"/>
            <w:r w:rsidRPr="00D22073">
              <w:rPr>
                <w:rFonts w:eastAsia="Times New Roman"/>
                <w:iCs/>
                <w:sz w:val="26"/>
                <w:szCs w:val="26"/>
                <w:lang w:val="lv-LV" w:eastAsia="lv-LV"/>
              </w:rPr>
              <w:t>kredītlimita</w:t>
            </w:r>
            <w:proofErr w:type="spellEnd"/>
            <w:r w:rsidRPr="00D22073">
              <w:rPr>
                <w:rFonts w:eastAsia="Times New Roman"/>
                <w:iCs/>
                <w:sz w:val="26"/>
                <w:szCs w:val="26"/>
                <w:lang w:val="lv-LV" w:eastAsia="lv-LV"/>
              </w:rPr>
              <w:t xml:space="preserve"> veidā, </w:t>
            </w:r>
            <w:r w:rsidRPr="00C72B02">
              <w:rPr>
                <w:rFonts w:eastAsia="Times New Roman"/>
                <w:i/>
                <w:sz w:val="26"/>
                <w:szCs w:val="26"/>
                <w:lang w:val="lv-LV" w:eastAsia="lv-LV"/>
              </w:rPr>
              <w:t xml:space="preserve">ja </w:t>
            </w:r>
            <w:r w:rsidR="00C72B02" w:rsidRPr="00616AB7">
              <w:rPr>
                <w:i/>
                <w:iCs/>
                <w:sz w:val="26"/>
                <w:szCs w:val="26"/>
                <w:lang w:val="lv-LV"/>
              </w:rPr>
              <w:t>saimnieciskās darbības veicēja</w:t>
            </w:r>
            <w:r w:rsidR="00C72B02" w:rsidRPr="00D22073" w:rsidDel="00C72B02">
              <w:rPr>
                <w:rFonts w:eastAsia="Times New Roman"/>
                <w:i/>
                <w:sz w:val="26"/>
                <w:szCs w:val="26"/>
                <w:lang w:val="lv-LV" w:eastAsia="lv-LV"/>
              </w:rPr>
              <w:t xml:space="preserve"> </w:t>
            </w:r>
            <w:r w:rsidRPr="00C72B02">
              <w:rPr>
                <w:rFonts w:eastAsia="Times New Roman"/>
                <w:i/>
                <w:sz w:val="26"/>
                <w:szCs w:val="26"/>
                <w:lang w:val="lv-LV" w:eastAsia="lv-LV"/>
              </w:rPr>
              <w:t>biznesa</w:t>
            </w:r>
            <w:r w:rsidRPr="00810275">
              <w:rPr>
                <w:rFonts w:eastAsia="Times New Roman"/>
                <w:i/>
                <w:sz w:val="26"/>
                <w:szCs w:val="26"/>
                <w:lang w:val="lv-LV" w:eastAsia="lv-LV"/>
              </w:rPr>
              <w:t xml:space="preserve"> plānā vai tam pielīdzināmā dokumentā pamatota aizdevuma saistība ar komersanta darbības uzsākšanu, komersanta attīstību vai darbības paplašināšanu</w:t>
            </w:r>
            <w:r w:rsidRPr="00810275">
              <w:rPr>
                <w:rFonts w:eastAsia="Times New Roman"/>
                <w:iCs/>
                <w:sz w:val="26"/>
                <w:szCs w:val="26"/>
                <w:lang w:val="lv-LV" w:eastAsia="lv-LV"/>
              </w:rPr>
              <w:t>.</w:t>
            </w:r>
            <w:r w:rsidR="00204393" w:rsidRPr="00810275">
              <w:rPr>
                <w:rFonts w:eastAsia="Times New Roman"/>
                <w:iCs/>
                <w:sz w:val="26"/>
                <w:szCs w:val="26"/>
                <w:lang w:val="lv-LV" w:eastAsia="lv-LV"/>
              </w:rPr>
              <w:t xml:space="preserve"> Savukārt, </w:t>
            </w:r>
            <w:r w:rsidR="00204393" w:rsidRPr="00810275">
              <w:rPr>
                <w:sz w:val="26"/>
                <w:szCs w:val="26"/>
                <w:lang w:val="lv-LV"/>
              </w:rPr>
              <w:t>MK noteikumu Nr. 537</w:t>
            </w:r>
            <w:r w:rsidR="00204393" w:rsidRPr="00810275">
              <w:rPr>
                <w:rFonts w:eastAsia="Times New Roman"/>
                <w:iCs/>
                <w:sz w:val="26"/>
                <w:szCs w:val="26"/>
                <w:lang w:val="lv-LV"/>
              </w:rPr>
              <w:t xml:space="preserve"> </w:t>
            </w:r>
            <w:r w:rsidR="00204393" w:rsidRPr="00810275">
              <w:rPr>
                <w:sz w:val="26"/>
                <w:szCs w:val="26"/>
                <w:shd w:val="clear" w:color="auto" w:fill="FFFFFF"/>
                <w:lang w:val="lv-LV"/>
              </w:rPr>
              <w:t>9.2.</w:t>
            </w:r>
            <w:r w:rsidR="00204393" w:rsidRPr="00810275">
              <w:rPr>
                <w:sz w:val="26"/>
                <w:szCs w:val="26"/>
                <w:shd w:val="clear" w:color="auto" w:fill="FFFFFF"/>
                <w:vertAlign w:val="superscript"/>
                <w:lang w:val="lv-LV"/>
              </w:rPr>
              <w:t>1 </w:t>
            </w:r>
            <w:r w:rsidR="00416FC7">
              <w:rPr>
                <w:sz w:val="26"/>
                <w:szCs w:val="26"/>
                <w:shd w:val="clear" w:color="auto" w:fill="FFFFFF"/>
                <w:lang w:val="lv-LV"/>
              </w:rPr>
              <w:t>apakšp</w:t>
            </w:r>
            <w:r w:rsidR="00204393" w:rsidRPr="00810275">
              <w:rPr>
                <w:sz w:val="26"/>
                <w:szCs w:val="26"/>
                <w:shd w:val="clear" w:color="auto" w:fill="FFFFFF"/>
                <w:lang w:val="lv-LV"/>
              </w:rPr>
              <w:t xml:space="preserve">unkts nosaka, </w:t>
            </w:r>
            <w:r w:rsidR="00204393" w:rsidRPr="00810275">
              <w:rPr>
                <w:i/>
                <w:iCs/>
                <w:sz w:val="26"/>
                <w:szCs w:val="26"/>
                <w:shd w:val="clear" w:color="auto" w:fill="FFFFFF"/>
                <w:lang w:val="lv-LV"/>
              </w:rPr>
              <w:t xml:space="preserve">ka aizdevumiem apgrozāmo līdzekļu finansēšanai, tai skaitā aizdevumiem kredītlīnijas vai </w:t>
            </w:r>
            <w:proofErr w:type="spellStart"/>
            <w:r w:rsidR="00204393" w:rsidRPr="00810275">
              <w:rPr>
                <w:i/>
                <w:iCs/>
                <w:sz w:val="26"/>
                <w:szCs w:val="26"/>
                <w:shd w:val="clear" w:color="auto" w:fill="FFFFFF"/>
                <w:lang w:val="lv-LV"/>
              </w:rPr>
              <w:t>kredītlimita</w:t>
            </w:r>
            <w:proofErr w:type="spellEnd"/>
            <w:r w:rsidR="00204393" w:rsidRPr="00810275">
              <w:rPr>
                <w:i/>
                <w:iCs/>
                <w:sz w:val="26"/>
                <w:szCs w:val="26"/>
                <w:shd w:val="clear" w:color="auto" w:fill="FFFFFF"/>
                <w:lang w:val="lv-LV"/>
              </w:rPr>
              <w:t xml:space="preserve"> veidā līdz 2021. gada 31. decembrim, nepiemēro 9.2. apakšpunktā minēto nosacījumu.</w:t>
            </w:r>
            <w:r w:rsidR="00204393" w:rsidRPr="00810275">
              <w:rPr>
                <w:sz w:val="26"/>
                <w:szCs w:val="26"/>
                <w:shd w:val="clear" w:color="auto" w:fill="FFFFFF"/>
                <w:lang w:val="lv-LV"/>
              </w:rPr>
              <w:t xml:space="preserve"> Lai nodrošinātu komersantiem visaptverošu finansējuma pieejamību, īpaši ņemot vērā Covid-19 ietekmi uz komersantu </w:t>
            </w:r>
            <w:r w:rsidR="00204393" w:rsidRPr="00810275">
              <w:rPr>
                <w:iCs/>
                <w:sz w:val="26"/>
                <w:szCs w:val="26"/>
                <w:lang w:val="lv-LV" w:eastAsia="lv-LV"/>
              </w:rPr>
              <w:t xml:space="preserve">saimniecisko darbību, Ekonomikas ministrija ierosina no noteikumiem svītrot pienākumu apgrozāmo līdzekļu aizdevuma gadījumā pamatot aizdevuma saistību ar darbības </w:t>
            </w:r>
            <w:r w:rsidR="00204393" w:rsidRPr="00810275">
              <w:rPr>
                <w:iCs/>
                <w:sz w:val="26"/>
                <w:szCs w:val="26"/>
                <w:lang w:val="lv-LV" w:eastAsia="lv-LV"/>
              </w:rPr>
              <w:lastRenderedPageBreak/>
              <w:t>uzsākšanu, attīstību vai darbības paplašināšanu.</w:t>
            </w:r>
            <w:r w:rsidR="00204393" w:rsidRPr="00810275">
              <w:rPr>
                <w:sz w:val="26"/>
                <w:szCs w:val="26"/>
                <w:shd w:val="clear" w:color="auto" w:fill="FFFFFF"/>
                <w:lang w:val="lv-LV"/>
              </w:rPr>
              <w:t xml:space="preserve"> Lielākoties apgrozāmie līdzekļi ir nepieciešami, lai komersanti varētu veikt saimniecisko darbību. Turklāt minētais pienākums neizriet no programmas ieviešanā piemērojamiem normatīvajiem aktiem.  </w:t>
            </w:r>
          </w:p>
          <w:p w14:paraId="37F6508A" w14:textId="5B2D6CBF" w:rsidR="00837EDF" w:rsidRPr="00810275" w:rsidRDefault="00204393" w:rsidP="003942A0">
            <w:pPr>
              <w:jc w:val="both"/>
              <w:rPr>
                <w:rFonts w:eastAsia="Times New Roman"/>
                <w:iCs/>
                <w:sz w:val="26"/>
                <w:szCs w:val="26"/>
                <w:lang w:val="lv-LV" w:eastAsia="lv-LV"/>
              </w:rPr>
            </w:pPr>
            <w:r w:rsidRPr="00810275">
              <w:rPr>
                <w:sz w:val="26"/>
                <w:szCs w:val="26"/>
                <w:lang w:val="lv-LV"/>
              </w:rPr>
              <w:t>MK noteikumu Nr. 537</w:t>
            </w:r>
            <w:r w:rsidRPr="00810275">
              <w:rPr>
                <w:rFonts w:eastAsia="Times New Roman"/>
                <w:iCs/>
                <w:sz w:val="26"/>
                <w:szCs w:val="26"/>
                <w:lang w:val="lv-LV"/>
              </w:rPr>
              <w:t xml:space="preserve"> </w:t>
            </w:r>
            <w:r w:rsidRPr="00810275">
              <w:rPr>
                <w:sz w:val="26"/>
                <w:szCs w:val="26"/>
                <w:lang w:val="lv-LV"/>
              </w:rPr>
              <w:t>9.2.</w:t>
            </w:r>
            <w:r w:rsidR="00416FC7">
              <w:rPr>
                <w:sz w:val="26"/>
                <w:szCs w:val="26"/>
                <w:lang w:val="lv-LV"/>
              </w:rPr>
              <w:t>apakš</w:t>
            </w:r>
            <w:r w:rsidRPr="00810275">
              <w:rPr>
                <w:sz w:val="26"/>
                <w:szCs w:val="26"/>
                <w:lang w:val="lv-LV"/>
              </w:rPr>
              <w:t xml:space="preserve">punkts </w:t>
            </w:r>
            <w:r w:rsidR="00837EDF" w:rsidRPr="00810275">
              <w:rPr>
                <w:rFonts w:eastAsia="Times New Roman"/>
                <w:iCs/>
                <w:sz w:val="26"/>
                <w:szCs w:val="26"/>
                <w:lang w:val="lv-LV" w:eastAsia="lv-LV"/>
              </w:rPr>
              <w:t>tika iekļaut</w:t>
            </w:r>
            <w:r w:rsidRPr="00810275">
              <w:rPr>
                <w:rFonts w:eastAsia="Times New Roman"/>
                <w:iCs/>
                <w:sz w:val="26"/>
                <w:szCs w:val="26"/>
                <w:lang w:val="lv-LV" w:eastAsia="lv-LV"/>
              </w:rPr>
              <w:t>s</w:t>
            </w:r>
            <w:r w:rsidR="00837EDF" w:rsidRPr="00810275">
              <w:rPr>
                <w:rFonts w:eastAsia="Times New Roman"/>
                <w:iCs/>
                <w:sz w:val="26"/>
                <w:szCs w:val="26"/>
                <w:lang w:val="lv-LV" w:eastAsia="lv-LV"/>
              </w:rPr>
              <w:t xml:space="preserve">, </w:t>
            </w:r>
            <w:r w:rsidR="00E93677" w:rsidRPr="00810275">
              <w:rPr>
                <w:rFonts w:eastAsia="Times New Roman"/>
                <w:iCs/>
                <w:sz w:val="26"/>
                <w:szCs w:val="26"/>
                <w:lang w:val="lv-LV" w:eastAsia="lv-LV"/>
              </w:rPr>
              <w:t>pamatojoties uz</w:t>
            </w:r>
            <w:r w:rsidR="00837EDF" w:rsidRPr="00810275">
              <w:rPr>
                <w:rFonts w:eastAsia="Times New Roman"/>
                <w:iCs/>
                <w:sz w:val="26"/>
                <w:szCs w:val="26"/>
                <w:lang w:val="lv-LV" w:eastAsia="lv-LV"/>
              </w:rPr>
              <w:t xml:space="preserve"> </w:t>
            </w:r>
            <w:r w:rsidR="00616AB7" w:rsidRPr="00616AB7">
              <w:rPr>
                <w:sz w:val="26"/>
                <w:szCs w:val="26"/>
                <w:shd w:val="clear" w:color="auto" w:fill="FFFFFF"/>
                <w:lang w:val="lv-LV"/>
              </w:rPr>
              <w:t>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00616AB7" w:rsidRPr="00616AB7">
              <w:rPr>
                <w:sz w:val="26"/>
                <w:szCs w:val="26"/>
                <w:shd w:val="clear" w:color="auto" w:fill="FFFFFF"/>
                <w:lang w:val="lv-LV"/>
              </w:rPr>
              <w:t xml:space="preserve"> (turpmāk - </w:t>
            </w:r>
            <w:r w:rsidR="00192D14" w:rsidRPr="00616AB7">
              <w:rPr>
                <w:sz w:val="26"/>
                <w:szCs w:val="26"/>
                <w:shd w:val="clear" w:color="auto" w:fill="FFFFFF"/>
                <w:lang w:val="lv-LV"/>
              </w:rPr>
              <w:t>R</w:t>
            </w:r>
            <w:r w:rsidR="00837EDF" w:rsidRPr="00616AB7">
              <w:rPr>
                <w:sz w:val="26"/>
                <w:szCs w:val="26"/>
                <w:shd w:val="clear" w:color="auto" w:fill="FFFFFF"/>
                <w:lang w:val="lv-LV"/>
              </w:rPr>
              <w:t>egula</w:t>
            </w:r>
            <w:r w:rsidR="00837EDF" w:rsidRPr="00810275">
              <w:rPr>
                <w:rFonts w:eastAsia="Times New Roman"/>
                <w:iCs/>
                <w:sz w:val="26"/>
                <w:szCs w:val="26"/>
                <w:lang w:val="lv-LV" w:eastAsia="lv-LV"/>
              </w:rPr>
              <w:t xml:space="preserve"> Nr. 1303/2013</w:t>
            </w:r>
            <w:r w:rsidR="00616AB7">
              <w:rPr>
                <w:rFonts w:eastAsia="Times New Roman"/>
                <w:iCs/>
                <w:sz w:val="26"/>
                <w:szCs w:val="26"/>
                <w:lang w:val="lv-LV" w:eastAsia="lv-LV"/>
              </w:rPr>
              <w:t>)</w:t>
            </w:r>
            <w:r w:rsidR="00837EDF" w:rsidRPr="00810275">
              <w:rPr>
                <w:rFonts w:eastAsia="Times New Roman"/>
                <w:iCs/>
                <w:sz w:val="26"/>
                <w:szCs w:val="26"/>
                <w:lang w:val="lv-LV" w:eastAsia="lv-LV"/>
              </w:rPr>
              <w:t xml:space="preserve"> 37.pant</w:t>
            </w:r>
            <w:r w:rsidR="001E29B8" w:rsidRPr="00810275">
              <w:rPr>
                <w:rFonts w:eastAsia="Times New Roman"/>
                <w:iCs/>
                <w:sz w:val="26"/>
                <w:szCs w:val="26"/>
                <w:lang w:val="lv-LV" w:eastAsia="lv-LV"/>
              </w:rPr>
              <w:t>a 4.punkt</w:t>
            </w:r>
            <w:r w:rsidR="00192D14" w:rsidRPr="00810275">
              <w:rPr>
                <w:rFonts w:eastAsia="Times New Roman"/>
                <w:iCs/>
                <w:sz w:val="26"/>
                <w:szCs w:val="26"/>
                <w:lang w:val="lv-LV" w:eastAsia="lv-LV"/>
              </w:rPr>
              <w:t>u</w:t>
            </w:r>
            <w:r w:rsidR="00066CEE" w:rsidRPr="00810275">
              <w:rPr>
                <w:rFonts w:eastAsia="Times New Roman"/>
                <w:iCs/>
                <w:sz w:val="26"/>
                <w:szCs w:val="26"/>
                <w:lang w:val="lv-LV" w:eastAsia="lv-LV"/>
              </w:rPr>
              <w:t xml:space="preserve">, kur noteikts, ka, ja </w:t>
            </w:r>
            <w:r w:rsidR="00837EDF" w:rsidRPr="00810275">
              <w:rPr>
                <w:rFonts w:eastAsia="Times New Roman"/>
                <w:iCs/>
                <w:sz w:val="26"/>
                <w:szCs w:val="26"/>
                <w:lang w:val="lv-LV" w:eastAsia="lv-LV"/>
              </w:rPr>
              <w:t>no finanšu instrumentiem sniedz atbalstu uzņēmumu, tostarp MVU, finansēšanai, ar šādu atbalstu veicina jaunu uzņēmumu izveidi, palīdz veidot uzņēmējdarbības agrīnā posma kapitālu, t.i., sagatavošanas kapitālu un sākuma kapitālu, attīstības kapitālu, kapitālu, kas paredzēts uzņēmuma pamatdarbību nostiprināšanai un jaunu projektu īstenošanai, kā arī veicina pašreizējo uzņēmumu jaunu tirgu vai jaunu attīstības virzienu apguvi, neskarot piemērojamos Savienības valsts atbalsta noteikumus un saskaņā ar konkrētu fondu noteikumiem.</w:t>
            </w:r>
            <w:r w:rsidR="00D82547" w:rsidRPr="00810275">
              <w:rPr>
                <w:rFonts w:eastAsia="Times New Roman"/>
                <w:iCs/>
                <w:sz w:val="26"/>
                <w:szCs w:val="26"/>
                <w:lang w:val="lv-LV" w:eastAsia="lv-LV"/>
              </w:rPr>
              <w:t xml:space="preserve"> Vienlaicīgi jānorāda, ka MK noteikumos </w:t>
            </w:r>
            <w:r w:rsidR="00C44F01">
              <w:rPr>
                <w:rFonts w:eastAsia="Times New Roman"/>
                <w:iCs/>
                <w:sz w:val="26"/>
                <w:szCs w:val="26"/>
                <w:lang w:val="lv-LV" w:eastAsia="lv-LV"/>
              </w:rPr>
              <w:t>N</w:t>
            </w:r>
            <w:r w:rsidR="00D82547" w:rsidRPr="00810275">
              <w:rPr>
                <w:rFonts w:eastAsia="Times New Roman"/>
                <w:iCs/>
                <w:sz w:val="26"/>
                <w:szCs w:val="26"/>
                <w:lang w:val="lv-LV" w:eastAsia="lv-LV"/>
              </w:rPr>
              <w:t xml:space="preserve">r.537 noteiktās programmas īstenošanai netiek izmantoti ERAF resursi, bet </w:t>
            </w:r>
            <w:r w:rsidRPr="00810275">
              <w:rPr>
                <w:rFonts w:eastAsia="Times New Roman"/>
                <w:iCs/>
                <w:sz w:val="26"/>
                <w:szCs w:val="26"/>
                <w:lang w:val="lv-LV" w:eastAsia="lv-LV"/>
              </w:rPr>
              <w:t xml:space="preserve">iepriekšējo ES fondu plānošanas periodu </w:t>
            </w:r>
            <w:r w:rsidR="00D82547" w:rsidRPr="00810275">
              <w:rPr>
                <w:rFonts w:eastAsia="Times New Roman"/>
                <w:iCs/>
                <w:sz w:val="26"/>
                <w:szCs w:val="26"/>
                <w:lang w:val="lv-LV" w:eastAsia="lv-LV"/>
              </w:rPr>
              <w:t>atmaksu finansējums, līdz ar to minētā regula nav tieši piemērojama</w:t>
            </w:r>
            <w:r w:rsidRPr="00810275">
              <w:rPr>
                <w:rFonts w:eastAsia="Times New Roman"/>
                <w:iCs/>
                <w:sz w:val="26"/>
                <w:szCs w:val="26"/>
                <w:lang w:val="lv-LV" w:eastAsia="lv-LV"/>
              </w:rPr>
              <w:t xml:space="preserve"> programmas īstenošanā</w:t>
            </w:r>
            <w:r w:rsidR="00D82547" w:rsidRPr="00810275">
              <w:rPr>
                <w:rFonts w:eastAsia="Times New Roman"/>
                <w:iCs/>
                <w:sz w:val="26"/>
                <w:szCs w:val="26"/>
                <w:lang w:val="lv-LV" w:eastAsia="lv-LV"/>
              </w:rPr>
              <w:t>.</w:t>
            </w:r>
          </w:p>
          <w:p w14:paraId="60AD7B9F" w14:textId="22F1A9D0" w:rsidR="00192D14" w:rsidRPr="00810275" w:rsidRDefault="00837EDF" w:rsidP="00837EDF">
            <w:pPr>
              <w:pStyle w:val="Normal1"/>
              <w:spacing w:before="0" w:beforeAutospacing="0" w:after="0" w:afterAutospacing="0"/>
              <w:jc w:val="both"/>
              <w:rPr>
                <w:sz w:val="26"/>
                <w:szCs w:val="26"/>
              </w:rPr>
            </w:pPr>
            <w:r w:rsidRPr="00810275">
              <w:rPr>
                <w:sz w:val="26"/>
                <w:szCs w:val="26"/>
              </w:rPr>
              <w:t>2020.gada 1.aprīl</w:t>
            </w:r>
            <w:r w:rsidR="00D22073">
              <w:rPr>
                <w:sz w:val="26"/>
                <w:szCs w:val="26"/>
              </w:rPr>
              <w:t>ī</w:t>
            </w:r>
            <w:r w:rsidRPr="00810275">
              <w:rPr>
                <w:sz w:val="26"/>
                <w:szCs w:val="26"/>
              </w:rPr>
              <w:t xml:space="preserve"> stājas spēkā</w:t>
            </w:r>
            <w:r w:rsidR="005571E1">
              <w:rPr>
                <w:sz w:val="26"/>
                <w:szCs w:val="26"/>
              </w:rPr>
              <w:t xml:space="preserve"> </w:t>
            </w:r>
            <w:r w:rsidR="005571E1" w:rsidRPr="005571E1">
              <w:rPr>
                <w:sz w:val="26"/>
                <w:szCs w:val="26"/>
              </w:rPr>
              <w:t xml:space="preserve">EIROPAS PARLAMENTA UN PADOMES REGULA (ES) 2020/460 (2020. gada 30. marts), ar kuru groza Regulas (ES) Nr. 1301/2013, (ES) Nr. 1303/2013 un (ES) Nr. 508/2014 attiecībā uz īpašiem pasākumiem, kas nepieciešami, lai piesaistītu investīcijas dalībvalstu veselības aprūpes sistēmās un citos to ekonomikas sektoros, reaģējot uz Covid-19 uzliesmojumu (Investīciju iniciatīva reaģēšanai uz </w:t>
            </w:r>
            <w:proofErr w:type="spellStart"/>
            <w:r w:rsidR="005571E1" w:rsidRPr="005571E1">
              <w:rPr>
                <w:sz w:val="26"/>
                <w:szCs w:val="26"/>
              </w:rPr>
              <w:t>koronavīrusu</w:t>
            </w:r>
            <w:proofErr w:type="spellEnd"/>
            <w:r w:rsidR="005571E1" w:rsidRPr="005571E1">
              <w:rPr>
                <w:sz w:val="26"/>
                <w:szCs w:val="26"/>
              </w:rPr>
              <w:t>)</w:t>
            </w:r>
            <w:r w:rsidR="005571E1">
              <w:rPr>
                <w:sz w:val="26"/>
                <w:szCs w:val="26"/>
              </w:rPr>
              <w:t xml:space="preserve"> (turpmāk - R</w:t>
            </w:r>
            <w:r w:rsidRPr="00810275">
              <w:rPr>
                <w:sz w:val="26"/>
                <w:szCs w:val="26"/>
              </w:rPr>
              <w:t>egula Nr.2020/460</w:t>
            </w:r>
            <w:r w:rsidR="005571E1">
              <w:rPr>
                <w:sz w:val="26"/>
                <w:szCs w:val="26"/>
              </w:rPr>
              <w:t>)</w:t>
            </w:r>
            <w:r w:rsidRPr="00810275">
              <w:rPr>
                <w:sz w:val="26"/>
                <w:szCs w:val="26"/>
              </w:rPr>
              <w:t xml:space="preserve">. </w:t>
            </w:r>
            <w:r w:rsidR="005571E1">
              <w:rPr>
                <w:sz w:val="26"/>
                <w:szCs w:val="26"/>
              </w:rPr>
              <w:t>R</w:t>
            </w:r>
            <w:r w:rsidR="005571E1" w:rsidRPr="00810275">
              <w:rPr>
                <w:sz w:val="26"/>
                <w:szCs w:val="26"/>
              </w:rPr>
              <w:t>egula</w:t>
            </w:r>
            <w:r w:rsidR="005571E1">
              <w:rPr>
                <w:sz w:val="26"/>
                <w:szCs w:val="26"/>
              </w:rPr>
              <w:t>s</w:t>
            </w:r>
            <w:r w:rsidR="005571E1" w:rsidRPr="00810275">
              <w:rPr>
                <w:sz w:val="26"/>
                <w:szCs w:val="26"/>
              </w:rPr>
              <w:t xml:space="preserve"> Nr.2020/460</w:t>
            </w:r>
            <w:r w:rsidRPr="00810275">
              <w:rPr>
                <w:sz w:val="26"/>
                <w:szCs w:val="26"/>
              </w:rPr>
              <w:t xml:space="preserve">2.panta 2.punkts </w:t>
            </w:r>
            <w:r w:rsidR="00102C5B">
              <w:rPr>
                <w:sz w:val="26"/>
                <w:szCs w:val="26"/>
              </w:rPr>
              <w:t xml:space="preserve">groza </w:t>
            </w:r>
            <w:r w:rsidRPr="00810275">
              <w:rPr>
                <w:sz w:val="26"/>
                <w:szCs w:val="26"/>
              </w:rPr>
              <w:t>regulas Nr.1303/2013  37. panta 4. punkt</w:t>
            </w:r>
            <w:r w:rsidR="00102C5B">
              <w:rPr>
                <w:sz w:val="26"/>
                <w:szCs w:val="26"/>
              </w:rPr>
              <w:t>u</w:t>
            </w:r>
            <w:r w:rsidRPr="00810275">
              <w:rPr>
                <w:sz w:val="26"/>
                <w:szCs w:val="26"/>
              </w:rPr>
              <w:t xml:space="preserve"> pievieno</w:t>
            </w:r>
            <w:r w:rsidR="00102C5B">
              <w:rPr>
                <w:sz w:val="26"/>
                <w:szCs w:val="26"/>
              </w:rPr>
              <w:t>jot tam</w:t>
            </w:r>
            <w:r w:rsidRPr="00810275">
              <w:rPr>
                <w:sz w:val="26"/>
                <w:szCs w:val="26"/>
              </w:rPr>
              <w:t xml:space="preserve"> šādu daļu: </w:t>
            </w:r>
            <w:r w:rsidRPr="00810275">
              <w:rPr>
                <w:i/>
                <w:iCs/>
                <w:sz w:val="26"/>
                <w:szCs w:val="26"/>
              </w:rPr>
              <w:t>“Vajadzības gadījumā kā pagaidu pasākumu ar finanšu instrumentiem var arī sniegt atbalstu MVU apgrozāmā kapitāla veidā, lai efektīvi reaģētu uz sabiedrības veselības krīzi.”</w:t>
            </w:r>
            <w:r w:rsidR="00192D14" w:rsidRPr="00810275">
              <w:rPr>
                <w:sz w:val="26"/>
                <w:szCs w:val="26"/>
              </w:rPr>
              <w:t xml:space="preserve"> </w:t>
            </w:r>
          </w:p>
          <w:p w14:paraId="0FDACCD1" w14:textId="1A45BF77" w:rsidR="00A72860" w:rsidRPr="00810275" w:rsidRDefault="00192D14" w:rsidP="00837EDF">
            <w:pPr>
              <w:pStyle w:val="Normal1"/>
              <w:spacing w:before="0" w:beforeAutospacing="0" w:after="0" w:afterAutospacing="0"/>
              <w:jc w:val="both"/>
              <w:rPr>
                <w:sz w:val="26"/>
                <w:szCs w:val="26"/>
              </w:rPr>
            </w:pPr>
            <w:r w:rsidRPr="00810275">
              <w:rPr>
                <w:sz w:val="26"/>
                <w:szCs w:val="26"/>
              </w:rPr>
              <w:lastRenderedPageBreak/>
              <w:t>2020. gada 23. aprī</w:t>
            </w:r>
            <w:r w:rsidR="00A72860" w:rsidRPr="00810275">
              <w:rPr>
                <w:sz w:val="26"/>
                <w:szCs w:val="26"/>
              </w:rPr>
              <w:t>lī stājās spēkā</w:t>
            </w:r>
            <w:r w:rsidR="005571E1">
              <w:rPr>
                <w:sz w:val="26"/>
                <w:szCs w:val="26"/>
              </w:rPr>
              <w:t xml:space="preserve"> </w:t>
            </w:r>
            <w:r w:rsidR="005571E1" w:rsidRPr="005571E1">
              <w:rPr>
                <w:sz w:val="26"/>
                <w:szCs w:val="26"/>
              </w:rPr>
              <w:t>EIROPAS PARLAMENTA UN PADOMES REGULA (ES) 2020/558 (2020. gada 23. aprīlis), ar ko Regulas (ES) Nr. 1301/2013 un (ES) Nr. 1303/2013 groza attiecībā uz īpašiem pasākumiem, lai nodrošinātu ārkārtas elastību Eiropas strukturālo un investīciju fondu izmantošanā, reaģējot uz Covid-19 uzliesmojumu</w:t>
            </w:r>
            <w:r w:rsidR="005571E1">
              <w:t xml:space="preserve"> </w:t>
            </w:r>
            <w:r w:rsidRPr="00810275">
              <w:rPr>
                <w:sz w:val="26"/>
                <w:szCs w:val="26"/>
              </w:rPr>
              <w:t xml:space="preserve"> </w:t>
            </w:r>
            <w:r w:rsidR="005571E1">
              <w:rPr>
                <w:sz w:val="26"/>
                <w:szCs w:val="26"/>
              </w:rPr>
              <w:t>(turpmāk - R</w:t>
            </w:r>
            <w:r w:rsidRPr="00810275">
              <w:rPr>
                <w:sz w:val="26"/>
                <w:szCs w:val="26"/>
              </w:rPr>
              <w:t>egul</w:t>
            </w:r>
            <w:r w:rsidR="00A72860" w:rsidRPr="00810275">
              <w:rPr>
                <w:sz w:val="26"/>
                <w:szCs w:val="26"/>
              </w:rPr>
              <w:t>a</w:t>
            </w:r>
            <w:r w:rsidRPr="00810275">
              <w:rPr>
                <w:sz w:val="26"/>
                <w:szCs w:val="26"/>
              </w:rPr>
              <w:t xml:space="preserve"> Nr.</w:t>
            </w:r>
            <w:r w:rsidR="005571E1" w:rsidRPr="00810275">
              <w:rPr>
                <w:sz w:val="26"/>
                <w:szCs w:val="26"/>
              </w:rPr>
              <w:t xml:space="preserve"> </w:t>
            </w:r>
            <w:r w:rsidR="005571E1" w:rsidRPr="00810275">
              <w:rPr>
                <w:sz w:val="26"/>
                <w:szCs w:val="26"/>
              </w:rPr>
              <w:t>2020/</w:t>
            </w:r>
            <w:r w:rsidR="005571E1">
              <w:rPr>
                <w:sz w:val="26"/>
                <w:szCs w:val="26"/>
              </w:rPr>
              <w:t>558</w:t>
            </w:r>
            <w:r w:rsidR="005571E1">
              <w:rPr>
                <w:sz w:val="26"/>
                <w:szCs w:val="26"/>
              </w:rPr>
              <w:t>)</w:t>
            </w:r>
            <w:r w:rsidR="005571E1" w:rsidRPr="00810275">
              <w:rPr>
                <w:sz w:val="26"/>
                <w:szCs w:val="26"/>
              </w:rPr>
              <w:t xml:space="preserve"> </w:t>
            </w:r>
            <w:r w:rsidR="005571E1">
              <w:rPr>
                <w:sz w:val="26"/>
                <w:szCs w:val="26"/>
              </w:rPr>
              <w:t>.</w:t>
            </w:r>
            <w:r w:rsidR="00DC1EAD" w:rsidRPr="00810275">
              <w:rPr>
                <w:sz w:val="26"/>
                <w:szCs w:val="26"/>
              </w:rPr>
              <w:t xml:space="preserve">Ar </w:t>
            </w:r>
            <w:r w:rsidR="005571E1">
              <w:rPr>
                <w:sz w:val="26"/>
                <w:szCs w:val="26"/>
              </w:rPr>
              <w:t>2. panta 1. punktu</w:t>
            </w:r>
            <w:r w:rsidR="00DC1EAD" w:rsidRPr="00810275">
              <w:rPr>
                <w:sz w:val="26"/>
                <w:szCs w:val="26"/>
              </w:rPr>
              <w:t xml:space="preserve"> ir grozīts regulas Nr. 1303/2013  25.a panta 10. punkts</w:t>
            </w:r>
            <w:r w:rsidR="00FA64B2" w:rsidRPr="00810275">
              <w:rPr>
                <w:sz w:val="26"/>
                <w:szCs w:val="26"/>
              </w:rPr>
              <w:t>,</w:t>
            </w:r>
            <w:r w:rsidRPr="00810275">
              <w:rPr>
                <w:sz w:val="26"/>
                <w:szCs w:val="26"/>
              </w:rPr>
              <w:t xml:space="preserve"> no</w:t>
            </w:r>
            <w:r w:rsidR="00DC1EAD" w:rsidRPr="00810275">
              <w:rPr>
                <w:sz w:val="26"/>
                <w:szCs w:val="26"/>
              </w:rPr>
              <w:t>sakot</w:t>
            </w:r>
            <w:r w:rsidRPr="00810275">
              <w:rPr>
                <w:sz w:val="26"/>
                <w:szCs w:val="26"/>
              </w:rPr>
              <w:t>, ka</w:t>
            </w:r>
            <w:r w:rsidR="00066CEE" w:rsidRPr="00810275">
              <w:rPr>
                <w:sz w:val="26"/>
                <w:szCs w:val="26"/>
              </w:rPr>
              <w:t>,</w:t>
            </w:r>
            <w:r w:rsidR="00A72860" w:rsidRPr="00810275">
              <w:rPr>
                <w:sz w:val="26"/>
                <w:szCs w:val="26"/>
              </w:rPr>
              <w:t xml:space="preserve"> ja finanšu instrumenti sniedz atbalstu MVU apgrozāmā kapitāla veidā saskaņā ar regulas Nr. 1303/2013 37. panta 4. punkta otro daļu, </w:t>
            </w:r>
            <w:r w:rsidR="00A72860" w:rsidRPr="00810275">
              <w:rPr>
                <w:i/>
                <w:iCs/>
                <w:sz w:val="26"/>
                <w:szCs w:val="26"/>
              </w:rPr>
              <w:t>jauni vai atjaunināti uzņēmējdarbības plāni vai līdzvērtīgi dokumenti un pierādījumi, kas ļauj pārbaudīt, vai ar finanšu instrumentu starpniecību piešķirtais atbalsts ir izmantots tā paredzētajam mērķim, kā daļa no apliecinošajiem dokumentiem netiek prasīti</w:t>
            </w:r>
            <w:r w:rsidR="00A72860" w:rsidRPr="00810275">
              <w:rPr>
                <w:sz w:val="26"/>
                <w:szCs w:val="26"/>
              </w:rPr>
              <w:t>.</w:t>
            </w:r>
            <w:r w:rsidR="00D82547" w:rsidRPr="00810275">
              <w:rPr>
                <w:sz w:val="26"/>
                <w:szCs w:val="26"/>
              </w:rPr>
              <w:t xml:space="preserve"> Minētās regulas nav piemērojamas programmas īstenošanā, taču regulu grozījumi izmantojami kā </w:t>
            </w:r>
            <w:r w:rsidR="009F423C" w:rsidRPr="00810275">
              <w:rPr>
                <w:sz w:val="26"/>
                <w:szCs w:val="26"/>
              </w:rPr>
              <w:t xml:space="preserve">papildus </w:t>
            </w:r>
            <w:r w:rsidR="00D82547" w:rsidRPr="00810275">
              <w:rPr>
                <w:sz w:val="26"/>
                <w:szCs w:val="26"/>
              </w:rPr>
              <w:t>argumentācij</w:t>
            </w:r>
            <w:r w:rsidR="009F423C" w:rsidRPr="00810275">
              <w:rPr>
                <w:sz w:val="26"/>
                <w:szCs w:val="26"/>
              </w:rPr>
              <w:t>a</w:t>
            </w:r>
            <w:r w:rsidR="00D82547" w:rsidRPr="00810275">
              <w:rPr>
                <w:sz w:val="26"/>
                <w:szCs w:val="26"/>
              </w:rPr>
              <w:t xml:space="preserve"> paredzētajām MK noteikumu izmaiņām. </w:t>
            </w:r>
          </w:p>
          <w:p w14:paraId="7F7C9545" w14:textId="2B9BB77C" w:rsidR="00837EDF" w:rsidRPr="00810275" w:rsidRDefault="00192D14" w:rsidP="00837EDF">
            <w:pPr>
              <w:pStyle w:val="Normal1"/>
              <w:spacing w:before="0" w:beforeAutospacing="0" w:after="0" w:afterAutospacing="0"/>
              <w:jc w:val="both"/>
              <w:rPr>
                <w:sz w:val="26"/>
                <w:szCs w:val="26"/>
              </w:rPr>
            </w:pPr>
            <w:r w:rsidRPr="00810275">
              <w:rPr>
                <w:sz w:val="26"/>
                <w:szCs w:val="26"/>
              </w:rPr>
              <w:t xml:space="preserve"> </w:t>
            </w:r>
          </w:p>
          <w:p w14:paraId="697781C8" w14:textId="4BBC554D" w:rsidR="00837EDF" w:rsidRPr="00810275" w:rsidRDefault="00837EDF" w:rsidP="00837EDF">
            <w:pPr>
              <w:pStyle w:val="Normal1"/>
              <w:spacing w:before="0" w:beforeAutospacing="0" w:after="0" w:afterAutospacing="0"/>
              <w:jc w:val="both"/>
              <w:rPr>
                <w:sz w:val="26"/>
                <w:szCs w:val="26"/>
              </w:rPr>
            </w:pPr>
            <w:r w:rsidRPr="00810275">
              <w:rPr>
                <w:sz w:val="26"/>
                <w:szCs w:val="26"/>
              </w:rPr>
              <w:t>Lai vēl vairāk palīdzētu saimnieciskās darbības veicējiem,</w:t>
            </w:r>
            <w:r w:rsidR="00D82547" w:rsidRPr="00810275">
              <w:rPr>
                <w:sz w:val="26"/>
                <w:szCs w:val="26"/>
              </w:rPr>
              <w:t xml:space="preserve"> īpaši ņemot vērā Covid-19 ierobežojumu radīto negatīvo ietekmi,</w:t>
            </w:r>
            <w:r w:rsidRPr="00810275">
              <w:rPr>
                <w:sz w:val="26"/>
                <w:szCs w:val="26"/>
              </w:rPr>
              <w:t xml:space="preserve"> </w:t>
            </w:r>
            <w:r w:rsidR="009F423C" w:rsidRPr="00810275">
              <w:rPr>
                <w:sz w:val="26"/>
                <w:szCs w:val="26"/>
              </w:rPr>
              <w:t>atgūties no Covid-19 pandēmijas negatīvās ietekmes</w:t>
            </w:r>
            <w:r w:rsidRPr="00810275">
              <w:rPr>
                <w:sz w:val="26"/>
                <w:szCs w:val="26"/>
              </w:rPr>
              <w:t>, kā arī veicinātu kredītiestā</w:t>
            </w:r>
            <w:r w:rsidR="009F423C" w:rsidRPr="00810275">
              <w:rPr>
                <w:sz w:val="26"/>
                <w:szCs w:val="26"/>
              </w:rPr>
              <w:t>žu</w:t>
            </w:r>
            <w:r w:rsidRPr="00810275">
              <w:rPr>
                <w:sz w:val="26"/>
                <w:szCs w:val="26"/>
              </w:rPr>
              <w:t xml:space="preserve"> apgrozāmo līdzekļu aizdevum</w:t>
            </w:r>
            <w:r w:rsidR="009F423C" w:rsidRPr="00810275">
              <w:rPr>
                <w:sz w:val="26"/>
                <w:szCs w:val="26"/>
              </w:rPr>
              <w:t>u pieejamību saimnieciskās darbības veicējiem</w:t>
            </w:r>
            <w:r w:rsidRPr="00810275">
              <w:rPr>
                <w:sz w:val="26"/>
                <w:szCs w:val="26"/>
              </w:rPr>
              <w:t xml:space="preserve">, </w:t>
            </w:r>
            <w:r w:rsidR="00C44F01">
              <w:rPr>
                <w:sz w:val="26"/>
                <w:szCs w:val="26"/>
              </w:rPr>
              <w:t>N</w:t>
            </w:r>
            <w:r w:rsidRPr="00810275">
              <w:rPr>
                <w:sz w:val="26"/>
                <w:szCs w:val="26"/>
              </w:rPr>
              <w:t>oteikumu projekts paredz, ka garantijas, kas tiek piešķirtas, izmantojot ES fondu 2007</w:t>
            </w:r>
            <w:r w:rsidR="00D82547" w:rsidRPr="00810275">
              <w:rPr>
                <w:sz w:val="26"/>
                <w:szCs w:val="26"/>
              </w:rPr>
              <w:t>.</w:t>
            </w:r>
            <w:r w:rsidRPr="00810275">
              <w:rPr>
                <w:sz w:val="26"/>
                <w:szCs w:val="26"/>
              </w:rPr>
              <w:t>-2013.gada plānošanas perioda atmaksāto finansējumu</w:t>
            </w:r>
            <w:r w:rsidR="00C44F01">
              <w:rPr>
                <w:sz w:val="26"/>
                <w:szCs w:val="26"/>
              </w:rPr>
              <w:t>,</w:t>
            </w:r>
            <w:r w:rsidRPr="00810275">
              <w:rPr>
                <w:sz w:val="26"/>
                <w:szCs w:val="26"/>
              </w:rPr>
              <w:t xml:space="preserve"> arī turpmāk var sniegt apgrozāmo līdzekļu aizdevumiem bez pierādīšanas par komersanta izaugsmi, attīstību vai darbības paplašināšanu</w:t>
            </w:r>
            <w:r w:rsidR="003942A0" w:rsidRPr="00810275">
              <w:rPr>
                <w:sz w:val="26"/>
                <w:szCs w:val="26"/>
              </w:rPr>
              <w:t>.</w:t>
            </w:r>
            <w:r w:rsidRPr="00810275">
              <w:rPr>
                <w:sz w:val="26"/>
                <w:szCs w:val="26"/>
              </w:rPr>
              <w:t xml:space="preserve"> </w:t>
            </w:r>
          </w:p>
          <w:p w14:paraId="28BAD077" w14:textId="7B602ABF" w:rsidR="00837EDF" w:rsidRPr="00810275" w:rsidRDefault="00837EDF" w:rsidP="00837EDF">
            <w:pPr>
              <w:pStyle w:val="Normal1"/>
              <w:spacing w:before="0" w:beforeAutospacing="0" w:after="0" w:afterAutospacing="0"/>
              <w:jc w:val="both"/>
              <w:rPr>
                <w:sz w:val="26"/>
                <w:szCs w:val="26"/>
              </w:rPr>
            </w:pPr>
          </w:p>
          <w:p w14:paraId="40A2EE07" w14:textId="14021E30" w:rsidR="004D7A72" w:rsidRPr="00810275" w:rsidRDefault="00C44F01" w:rsidP="004D7A72">
            <w:pPr>
              <w:jc w:val="both"/>
              <w:rPr>
                <w:rFonts w:eastAsia="Times New Roman"/>
                <w:b/>
                <w:bCs/>
                <w:iCs/>
                <w:sz w:val="26"/>
                <w:szCs w:val="26"/>
                <w:lang w:val="lv-LV" w:eastAsia="lv-LV"/>
              </w:rPr>
            </w:pPr>
            <w:r>
              <w:rPr>
                <w:rFonts w:eastAsia="Times New Roman"/>
                <w:b/>
                <w:bCs/>
                <w:iCs/>
                <w:sz w:val="26"/>
                <w:szCs w:val="26"/>
                <w:lang w:val="lv-LV" w:eastAsia="lv-LV"/>
              </w:rPr>
              <w:t xml:space="preserve">II </w:t>
            </w:r>
            <w:r w:rsidR="00A72860" w:rsidRPr="00810275">
              <w:rPr>
                <w:rFonts w:eastAsia="Times New Roman"/>
                <w:b/>
                <w:bCs/>
                <w:iCs/>
                <w:sz w:val="26"/>
                <w:szCs w:val="26"/>
                <w:lang w:val="lv-LV" w:eastAsia="lv-LV"/>
              </w:rPr>
              <w:t xml:space="preserve">Par finanšu pakalpojumu iekļaušanas termiņa pagarinājumu </w:t>
            </w:r>
          </w:p>
          <w:p w14:paraId="5106B41A" w14:textId="329BB304" w:rsidR="00D82547" w:rsidRPr="00810275" w:rsidRDefault="0012058F" w:rsidP="007D6C4F">
            <w:pPr>
              <w:jc w:val="both"/>
              <w:rPr>
                <w:rFonts w:eastAsia="Times New Roman"/>
                <w:sz w:val="26"/>
                <w:szCs w:val="26"/>
                <w:lang w:val="lv-LV" w:eastAsia="lv-LV"/>
              </w:rPr>
            </w:pPr>
            <w:proofErr w:type="spellStart"/>
            <w:r w:rsidRPr="00810275">
              <w:rPr>
                <w:rFonts w:eastAsia="Times New Roman"/>
                <w:sz w:val="26"/>
                <w:szCs w:val="26"/>
                <w:lang w:val="lv-LV" w:eastAsia="lv-LV"/>
              </w:rPr>
              <w:t>Portfeļgarantijas</w:t>
            </w:r>
            <w:proofErr w:type="spellEnd"/>
            <w:r w:rsidRPr="00810275">
              <w:rPr>
                <w:rFonts w:eastAsia="Times New Roman"/>
                <w:sz w:val="26"/>
                <w:szCs w:val="26"/>
                <w:lang w:val="lv-LV" w:eastAsia="lv-LV"/>
              </w:rPr>
              <w:t xml:space="preserve"> piešķir kredītiestāde</w:t>
            </w:r>
            <w:r w:rsidR="006876DA" w:rsidRPr="00810275">
              <w:rPr>
                <w:rFonts w:eastAsia="Times New Roman"/>
                <w:sz w:val="26"/>
                <w:szCs w:val="26"/>
                <w:lang w:val="lv-LV" w:eastAsia="lv-LV"/>
              </w:rPr>
              <w:t>s</w:t>
            </w:r>
            <w:r w:rsidRPr="00810275">
              <w:rPr>
                <w:rFonts w:eastAsia="Times New Roman"/>
                <w:sz w:val="26"/>
                <w:szCs w:val="26"/>
                <w:lang w:val="lv-LV" w:eastAsia="lv-LV"/>
              </w:rPr>
              <w:t xml:space="preserve">, </w:t>
            </w:r>
            <w:r w:rsidR="001F336A" w:rsidRPr="00810275">
              <w:rPr>
                <w:rFonts w:eastAsia="Times New Roman"/>
                <w:sz w:val="26"/>
                <w:szCs w:val="26"/>
                <w:lang w:val="lv-LV" w:eastAsia="lv-LV"/>
              </w:rPr>
              <w:t xml:space="preserve">kuras </w:t>
            </w:r>
            <w:r w:rsidRPr="00810275">
              <w:rPr>
                <w:rFonts w:eastAsia="Times New Roman"/>
                <w:sz w:val="26"/>
                <w:szCs w:val="26"/>
                <w:lang w:val="lv-LV" w:eastAsia="lv-LV"/>
              </w:rPr>
              <w:t>tika atlasītas atklātā, pārredzamā, nediskriminējošā un objektīvā atlases procedūrā</w:t>
            </w:r>
            <w:r w:rsidR="004D7A72" w:rsidRPr="00810275">
              <w:rPr>
                <w:rFonts w:eastAsia="Times New Roman"/>
                <w:sz w:val="26"/>
                <w:szCs w:val="26"/>
                <w:lang w:val="lv-LV" w:eastAsia="lv-LV"/>
              </w:rPr>
              <w:t xml:space="preserve"> atbilstoši </w:t>
            </w:r>
            <w:r w:rsidR="00C44F01">
              <w:rPr>
                <w:rFonts w:eastAsia="Times New Roman"/>
                <w:sz w:val="26"/>
                <w:szCs w:val="26"/>
                <w:lang w:val="lv-LV" w:eastAsia="lv-LV"/>
              </w:rPr>
              <w:t>akciju sabiedrības “</w:t>
            </w:r>
            <w:r w:rsidR="00C44F01" w:rsidRPr="00C44F01">
              <w:rPr>
                <w:rFonts w:eastAsia="Times New Roman"/>
                <w:sz w:val="26"/>
                <w:szCs w:val="26"/>
                <w:lang w:val="lv-LV" w:eastAsia="lv-LV"/>
              </w:rPr>
              <w:t xml:space="preserve">Attīstības finanšu institūcija </w:t>
            </w:r>
            <w:proofErr w:type="spellStart"/>
            <w:r w:rsidR="00C44F01" w:rsidRPr="00C44F01">
              <w:rPr>
                <w:rFonts w:eastAsia="Times New Roman"/>
                <w:sz w:val="26"/>
                <w:szCs w:val="26"/>
                <w:lang w:val="lv-LV" w:eastAsia="lv-LV"/>
              </w:rPr>
              <w:t>Altum</w:t>
            </w:r>
            <w:proofErr w:type="spellEnd"/>
            <w:r w:rsidR="00C44F01" w:rsidRPr="00C44F01">
              <w:rPr>
                <w:rFonts w:eastAsia="Times New Roman"/>
                <w:sz w:val="26"/>
                <w:szCs w:val="26"/>
                <w:lang w:val="lv-LV" w:eastAsia="lv-LV"/>
              </w:rPr>
              <w:t>”</w:t>
            </w:r>
            <w:r w:rsidR="00C44F01">
              <w:rPr>
                <w:rFonts w:eastAsia="Times New Roman"/>
                <w:sz w:val="26"/>
                <w:szCs w:val="26"/>
                <w:lang w:val="lv-LV" w:eastAsia="lv-LV"/>
              </w:rPr>
              <w:t xml:space="preserve"> (turpmāk – </w:t>
            </w:r>
            <w:proofErr w:type="spellStart"/>
            <w:r w:rsidR="00C44F01">
              <w:rPr>
                <w:rFonts w:eastAsia="Times New Roman"/>
                <w:sz w:val="26"/>
                <w:szCs w:val="26"/>
                <w:lang w:val="lv-LV" w:eastAsia="lv-LV"/>
              </w:rPr>
              <w:t>Altum</w:t>
            </w:r>
            <w:proofErr w:type="spellEnd"/>
            <w:r w:rsidR="00C44F01">
              <w:rPr>
                <w:rFonts w:eastAsia="Times New Roman"/>
                <w:sz w:val="26"/>
                <w:szCs w:val="26"/>
                <w:lang w:val="lv-LV" w:eastAsia="lv-LV"/>
              </w:rPr>
              <w:t xml:space="preserve">) </w:t>
            </w:r>
            <w:proofErr w:type="spellStart"/>
            <w:r w:rsidR="004D7A72" w:rsidRPr="00810275">
              <w:rPr>
                <w:rFonts w:eastAsia="Times New Roman"/>
                <w:sz w:val="26"/>
                <w:szCs w:val="26"/>
                <w:lang w:val="lv-LV" w:eastAsia="lv-LV"/>
              </w:rPr>
              <w:t>Portfeļgarantiju</w:t>
            </w:r>
            <w:proofErr w:type="spellEnd"/>
            <w:r w:rsidR="004D7A72" w:rsidRPr="00810275">
              <w:rPr>
                <w:rFonts w:eastAsia="Times New Roman"/>
                <w:sz w:val="26"/>
                <w:szCs w:val="26"/>
                <w:lang w:val="lv-LV" w:eastAsia="lv-LV"/>
              </w:rPr>
              <w:t xml:space="preserve"> programmas kredītiestāžu atlases noteikumiem</w:t>
            </w:r>
            <w:r w:rsidR="004D7A72" w:rsidRPr="00810275">
              <w:rPr>
                <w:sz w:val="26"/>
                <w:szCs w:val="26"/>
                <w:vertAlign w:val="superscript"/>
                <w:lang w:val="lv-LV" w:eastAsia="lv-LV"/>
              </w:rPr>
              <w:footnoteReference w:id="2"/>
            </w:r>
            <w:r w:rsidR="000D793C" w:rsidRPr="00810275">
              <w:rPr>
                <w:rFonts w:eastAsia="Times New Roman"/>
                <w:sz w:val="26"/>
                <w:szCs w:val="26"/>
                <w:lang w:val="lv-LV" w:eastAsia="lv-LV"/>
              </w:rPr>
              <w:t>.</w:t>
            </w:r>
            <w:r w:rsidR="004D7A72" w:rsidRPr="00810275">
              <w:rPr>
                <w:rFonts w:eastAsia="Times New Roman"/>
                <w:sz w:val="26"/>
                <w:szCs w:val="26"/>
                <w:lang w:val="lv-LV" w:eastAsia="lv-LV"/>
              </w:rPr>
              <w:t xml:space="preserve"> Kopumā divās atlases kārtās  </w:t>
            </w:r>
            <w:r w:rsidR="001F336A" w:rsidRPr="00810275">
              <w:rPr>
                <w:rFonts w:eastAsia="Times New Roman"/>
                <w:sz w:val="26"/>
                <w:szCs w:val="26"/>
                <w:lang w:val="lv-LV" w:eastAsia="lv-LV"/>
              </w:rPr>
              <w:t xml:space="preserve">ir noslēgti pieci sadarbības līgumi ar kredītiestādēm Komersantu </w:t>
            </w:r>
            <w:proofErr w:type="spellStart"/>
            <w:r w:rsidR="001F336A" w:rsidRPr="00810275">
              <w:rPr>
                <w:rFonts w:eastAsia="Times New Roman"/>
                <w:sz w:val="26"/>
                <w:szCs w:val="26"/>
                <w:lang w:val="lv-LV" w:eastAsia="lv-LV"/>
              </w:rPr>
              <w:t>portfeļgarantiju</w:t>
            </w:r>
            <w:proofErr w:type="spellEnd"/>
            <w:r w:rsidR="001F336A" w:rsidRPr="00810275">
              <w:rPr>
                <w:rFonts w:eastAsia="Times New Roman"/>
                <w:sz w:val="26"/>
                <w:szCs w:val="26"/>
                <w:lang w:val="lv-LV" w:eastAsia="lv-LV"/>
              </w:rPr>
              <w:t xml:space="preserve"> programmā</w:t>
            </w:r>
            <w:r w:rsidR="004D7A72" w:rsidRPr="00810275">
              <w:rPr>
                <w:rFonts w:eastAsia="Times New Roman"/>
                <w:sz w:val="26"/>
                <w:szCs w:val="26"/>
                <w:lang w:val="lv-LV" w:eastAsia="lv-LV"/>
              </w:rPr>
              <w:t>,</w:t>
            </w:r>
            <w:r w:rsidR="007D6C4F" w:rsidRPr="00810275">
              <w:rPr>
                <w:rFonts w:eastAsia="Times New Roman"/>
                <w:sz w:val="26"/>
                <w:szCs w:val="26"/>
                <w:lang w:val="lv-LV" w:eastAsia="lv-LV"/>
              </w:rPr>
              <w:t xml:space="preserve"> ar</w:t>
            </w:r>
            <w:r w:rsidR="004D7A72" w:rsidRPr="00810275">
              <w:rPr>
                <w:rFonts w:eastAsia="Times New Roman"/>
                <w:sz w:val="26"/>
                <w:szCs w:val="26"/>
                <w:lang w:val="lv-LV" w:eastAsia="lv-LV"/>
              </w:rPr>
              <w:t xml:space="preserve"> vēlāk</w:t>
            </w:r>
            <w:r w:rsidR="007D6C4F" w:rsidRPr="00810275">
              <w:rPr>
                <w:rFonts w:eastAsia="Times New Roman"/>
                <w:sz w:val="26"/>
                <w:szCs w:val="26"/>
                <w:lang w:val="lv-LV" w:eastAsia="lv-LV"/>
              </w:rPr>
              <w:t>o</w:t>
            </w:r>
            <w:r w:rsidR="004D7A72" w:rsidRPr="00810275">
              <w:rPr>
                <w:rFonts w:eastAsia="Times New Roman"/>
                <w:sz w:val="26"/>
                <w:szCs w:val="26"/>
                <w:lang w:val="lv-LV" w:eastAsia="lv-LV"/>
              </w:rPr>
              <w:t xml:space="preserve"> līguma darbības termiņ</w:t>
            </w:r>
            <w:r w:rsidR="007D6C4F" w:rsidRPr="00810275">
              <w:rPr>
                <w:rFonts w:eastAsia="Times New Roman"/>
                <w:sz w:val="26"/>
                <w:szCs w:val="26"/>
                <w:lang w:val="lv-LV" w:eastAsia="lv-LV"/>
              </w:rPr>
              <w:t xml:space="preserve">u </w:t>
            </w:r>
            <w:r w:rsidR="00C43BAA">
              <w:rPr>
                <w:rFonts w:eastAsia="Times New Roman"/>
                <w:sz w:val="26"/>
                <w:szCs w:val="26"/>
                <w:lang w:val="lv-LV" w:eastAsia="lv-LV"/>
              </w:rPr>
              <w:t>–</w:t>
            </w:r>
            <w:r w:rsidR="004D7A72" w:rsidRPr="00810275">
              <w:rPr>
                <w:rFonts w:eastAsia="Times New Roman"/>
                <w:sz w:val="26"/>
                <w:szCs w:val="26"/>
                <w:lang w:val="lv-LV" w:eastAsia="lv-LV"/>
              </w:rPr>
              <w:t xml:space="preserve"> </w:t>
            </w:r>
            <w:r w:rsidR="002F3AB7" w:rsidRPr="00810275">
              <w:rPr>
                <w:rFonts w:eastAsia="Times New Roman"/>
                <w:sz w:val="26"/>
                <w:szCs w:val="26"/>
                <w:lang w:val="lv-LV" w:eastAsia="lv-LV"/>
              </w:rPr>
              <w:t xml:space="preserve">2022.gada </w:t>
            </w:r>
            <w:r w:rsidR="009F423C" w:rsidRPr="00810275">
              <w:rPr>
                <w:rFonts w:eastAsia="Times New Roman"/>
                <w:sz w:val="26"/>
                <w:szCs w:val="26"/>
                <w:lang w:val="lv-LV" w:eastAsia="lv-LV"/>
              </w:rPr>
              <w:t>30.jūnijs</w:t>
            </w:r>
            <w:r w:rsidR="007D6C4F" w:rsidRPr="00810275">
              <w:rPr>
                <w:rFonts w:eastAsia="Times New Roman"/>
                <w:sz w:val="26"/>
                <w:szCs w:val="26"/>
                <w:lang w:val="lv-LV" w:eastAsia="lv-LV"/>
              </w:rPr>
              <w:t>.</w:t>
            </w:r>
          </w:p>
          <w:p w14:paraId="4DA5D037" w14:textId="1A2F6098" w:rsidR="00C72A3B" w:rsidRPr="00810275" w:rsidRDefault="009F6AB7" w:rsidP="007D6C4F">
            <w:pPr>
              <w:jc w:val="both"/>
              <w:rPr>
                <w:rFonts w:eastAsia="Times New Roman"/>
                <w:sz w:val="26"/>
                <w:szCs w:val="26"/>
                <w:lang w:val="lv-LV" w:eastAsia="lv-LV"/>
              </w:rPr>
            </w:pPr>
            <w:r w:rsidRPr="00810275">
              <w:rPr>
                <w:rFonts w:eastAsia="Times New Roman"/>
                <w:sz w:val="26"/>
                <w:szCs w:val="26"/>
                <w:lang w:val="lv-LV" w:eastAsia="lv-LV"/>
              </w:rPr>
              <w:t xml:space="preserve">Pašreiz MK noteikumu </w:t>
            </w:r>
            <w:r w:rsidR="00C44F01">
              <w:rPr>
                <w:rFonts w:eastAsia="Times New Roman"/>
                <w:sz w:val="26"/>
                <w:szCs w:val="26"/>
                <w:lang w:val="lv-LV" w:eastAsia="lv-LV"/>
              </w:rPr>
              <w:t>N</w:t>
            </w:r>
            <w:r w:rsidRPr="00810275">
              <w:rPr>
                <w:rFonts w:eastAsia="Times New Roman"/>
                <w:sz w:val="26"/>
                <w:szCs w:val="26"/>
                <w:lang w:val="lv-LV" w:eastAsia="lv-LV"/>
              </w:rPr>
              <w:t>r.537 19.3.</w:t>
            </w:r>
            <w:r w:rsidR="00C43BAA">
              <w:rPr>
                <w:rFonts w:eastAsia="Times New Roman"/>
                <w:sz w:val="26"/>
                <w:szCs w:val="26"/>
                <w:lang w:val="lv-LV" w:eastAsia="lv-LV"/>
              </w:rPr>
              <w:t>apakš</w:t>
            </w:r>
            <w:r w:rsidRPr="00810275">
              <w:rPr>
                <w:rFonts w:eastAsia="Times New Roman"/>
                <w:sz w:val="26"/>
                <w:szCs w:val="26"/>
                <w:lang w:val="lv-LV" w:eastAsia="lv-LV"/>
              </w:rPr>
              <w:t xml:space="preserve">punktā noteikts: kredītiestāde iekļauj finanšu pakalpojumus portfelī </w:t>
            </w:r>
            <w:r w:rsidRPr="00810275">
              <w:rPr>
                <w:rFonts w:eastAsia="Times New Roman"/>
                <w:i/>
                <w:iCs/>
                <w:sz w:val="26"/>
                <w:szCs w:val="26"/>
                <w:lang w:val="lv-LV" w:eastAsia="lv-LV"/>
              </w:rPr>
              <w:t>divus gadus no līguma noslēgšanas ar sabiedrību "</w:t>
            </w:r>
            <w:proofErr w:type="spellStart"/>
            <w:r w:rsidRPr="00810275">
              <w:rPr>
                <w:rFonts w:eastAsia="Times New Roman"/>
                <w:i/>
                <w:iCs/>
                <w:sz w:val="26"/>
                <w:szCs w:val="26"/>
                <w:lang w:val="lv-LV" w:eastAsia="lv-LV"/>
              </w:rPr>
              <w:t>Altum</w:t>
            </w:r>
            <w:proofErr w:type="spellEnd"/>
            <w:r w:rsidRPr="00810275">
              <w:rPr>
                <w:rFonts w:eastAsia="Times New Roman"/>
                <w:i/>
                <w:iCs/>
                <w:sz w:val="26"/>
                <w:szCs w:val="26"/>
                <w:lang w:val="lv-LV" w:eastAsia="lv-LV"/>
              </w:rPr>
              <w:t>"</w:t>
            </w:r>
            <w:r w:rsidRPr="00810275">
              <w:rPr>
                <w:rFonts w:eastAsia="Times New Roman"/>
                <w:sz w:val="26"/>
                <w:szCs w:val="26"/>
                <w:lang w:val="lv-LV" w:eastAsia="lv-LV"/>
              </w:rPr>
              <w:t xml:space="preserve">. </w:t>
            </w:r>
            <w:proofErr w:type="spellStart"/>
            <w:r w:rsidRPr="00810275">
              <w:rPr>
                <w:rFonts w:eastAsia="Times New Roman"/>
                <w:sz w:val="26"/>
                <w:szCs w:val="26"/>
                <w:lang w:val="lv-LV" w:eastAsia="lv-LV"/>
              </w:rPr>
              <w:t>Altum</w:t>
            </w:r>
            <w:proofErr w:type="spellEnd"/>
            <w:r w:rsidRPr="00810275">
              <w:rPr>
                <w:rFonts w:eastAsia="Times New Roman"/>
                <w:sz w:val="26"/>
                <w:szCs w:val="26"/>
                <w:lang w:val="lv-LV" w:eastAsia="lv-LV"/>
              </w:rPr>
              <w:t xml:space="preserve"> un kredītiestāde var vienoties par šā termiņa pagarināšanu, </w:t>
            </w:r>
            <w:r w:rsidRPr="00810275">
              <w:rPr>
                <w:rFonts w:eastAsia="Times New Roman"/>
                <w:i/>
                <w:iCs/>
                <w:sz w:val="26"/>
                <w:szCs w:val="26"/>
                <w:lang w:val="lv-LV" w:eastAsia="lv-LV"/>
              </w:rPr>
              <w:t>bet ne ilgāk kā par diviem gadiem</w:t>
            </w:r>
            <w:r w:rsidRPr="00810275">
              <w:rPr>
                <w:rFonts w:eastAsia="Times New Roman"/>
                <w:sz w:val="26"/>
                <w:szCs w:val="26"/>
                <w:lang w:val="lv-LV" w:eastAsia="lv-LV"/>
              </w:rPr>
              <w:t>.</w:t>
            </w:r>
            <w:r w:rsidR="00C72A3B" w:rsidRPr="00810275">
              <w:rPr>
                <w:rFonts w:eastAsia="Times New Roman"/>
                <w:sz w:val="26"/>
                <w:szCs w:val="26"/>
                <w:lang w:val="lv-LV" w:eastAsia="lv-LV"/>
              </w:rPr>
              <w:t xml:space="preserve"> Minētie </w:t>
            </w:r>
            <w:r w:rsidR="00C72A3B" w:rsidRPr="00810275">
              <w:rPr>
                <w:rFonts w:eastAsia="Times New Roman"/>
                <w:sz w:val="26"/>
                <w:szCs w:val="26"/>
                <w:lang w:val="lv-LV" w:eastAsia="lv-LV"/>
              </w:rPr>
              <w:lastRenderedPageBreak/>
              <w:t xml:space="preserve">ierobežojumi MK noteikumos </w:t>
            </w:r>
            <w:r w:rsidR="00C43BAA">
              <w:rPr>
                <w:rFonts w:eastAsia="Times New Roman"/>
                <w:sz w:val="26"/>
                <w:szCs w:val="26"/>
                <w:lang w:val="lv-LV" w:eastAsia="lv-LV"/>
              </w:rPr>
              <w:t>N</w:t>
            </w:r>
            <w:r w:rsidR="00C72A3B" w:rsidRPr="00810275">
              <w:rPr>
                <w:rFonts w:eastAsia="Times New Roman"/>
                <w:sz w:val="26"/>
                <w:szCs w:val="26"/>
                <w:lang w:val="lv-LV" w:eastAsia="lv-LV"/>
              </w:rPr>
              <w:t xml:space="preserve">r.537 iekļauti, pieņemot, ka 2021. </w:t>
            </w:r>
            <w:r w:rsidR="009F423C" w:rsidRPr="00810275">
              <w:rPr>
                <w:rFonts w:eastAsia="Times New Roman"/>
                <w:sz w:val="26"/>
                <w:szCs w:val="26"/>
                <w:lang w:val="lv-LV" w:eastAsia="lv-LV"/>
              </w:rPr>
              <w:t xml:space="preserve">vai </w:t>
            </w:r>
            <w:r w:rsidR="00C72A3B" w:rsidRPr="00810275">
              <w:rPr>
                <w:rFonts w:eastAsia="Times New Roman"/>
                <w:sz w:val="26"/>
                <w:szCs w:val="26"/>
                <w:lang w:val="lv-LV" w:eastAsia="lv-LV"/>
              </w:rPr>
              <w:t>2022.gadā programmas īstenošanai būs pieejams ES fondu finansējums un programmas īstenošana turpināsies atbilstoši jaunam normatīvajam regulējumam.</w:t>
            </w:r>
          </w:p>
          <w:p w14:paraId="618F14F0" w14:textId="26996D47" w:rsidR="001A4B8B" w:rsidRPr="00810275" w:rsidRDefault="009F6AB7" w:rsidP="007D6C4F">
            <w:pPr>
              <w:jc w:val="both"/>
              <w:rPr>
                <w:rFonts w:eastAsia="Times New Roman"/>
                <w:sz w:val="26"/>
                <w:szCs w:val="26"/>
                <w:lang w:val="lv-LV" w:eastAsia="lv-LV"/>
              </w:rPr>
            </w:pPr>
            <w:r w:rsidRPr="00810275">
              <w:rPr>
                <w:rFonts w:eastAsia="Times New Roman"/>
                <w:sz w:val="26"/>
                <w:szCs w:val="26"/>
                <w:lang w:val="lv-LV" w:eastAsia="lv-LV"/>
              </w:rPr>
              <w:t>Kredītiestāžu 1.atlase</w:t>
            </w:r>
            <w:r w:rsidR="00C72A3B" w:rsidRPr="00810275">
              <w:rPr>
                <w:rFonts w:eastAsia="Times New Roman"/>
                <w:sz w:val="26"/>
                <w:szCs w:val="26"/>
                <w:lang w:val="lv-LV" w:eastAsia="lv-LV"/>
              </w:rPr>
              <w:t xml:space="preserve"> norisinājās 2018.gadā</w:t>
            </w:r>
            <w:r w:rsidR="009F423C" w:rsidRPr="00810275">
              <w:rPr>
                <w:rFonts w:eastAsia="Times New Roman"/>
                <w:sz w:val="26"/>
                <w:szCs w:val="26"/>
                <w:lang w:val="lv-LV" w:eastAsia="lv-LV"/>
              </w:rPr>
              <w:t xml:space="preserve"> (atlasītas 3 kredītiestādes)</w:t>
            </w:r>
            <w:r w:rsidRPr="00810275">
              <w:rPr>
                <w:rFonts w:eastAsia="Times New Roman"/>
                <w:sz w:val="26"/>
                <w:szCs w:val="26"/>
                <w:lang w:val="lv-LV" w:eastAsia="lv-LV"/>
              </w:rPr>
              <w:t>, bet 2.</w:t>
            </w:r>
            <w:r w:rsidR="00C72A3B" w:rsidRPr="00810275">
              <w:rPr>
                <w:rFonts w:eastAsia="Times New Roman"/>
                <w:sz w:val="26"/>
                <w:szCs w:val="26"/>
                <w:lang w:val="lv-LV" w:eastAsia="lv-LV"/>
              </w:rPr>
              <w:t xml:space="preserve">atlase </w:t>
            </w:r>
            <w:r w:rsidRPr="00810275">
              <w:rPr>
                <w:rFonts w:eastAsia="Times New Roman"/>
                <w:sz w:val="26"/>
                <w:szCs w:val="26"/>
                <w:lang w:val="lv-LV" w:eastAsia="lv-LV"/>
              </w:rPr>
              <w:t>20</w:t>
            </w:r>
            <w:r w:rsidR="00C72A3B" w:rsidRPr="00810275">
              <w:rPr>
                <w:rFonts w:eastAsia="Times New Roman"/>
                <w:sz w:val="26"/>
                <w:szCs w:val="26"/>
                <w:lang w:val="lv-LV" w:eastAsia="lv-LV"/>
              </w:rPr>
              <w:t>19</w:t>
            </w:r>
            <w:r w:rsidRPr="00810275">
              <w:rPr>
                <w:rFonts w:eastAsia="Times New Roman"/>
                <w:sz w:val="26"/>
                <w:szCs w:val="26"/>
                <w:lang w:val="lv-LV" w:eastAsia="lv-LV"/>
              </w:rPr>
              <w:t>.</w:t>
            </w:r>
            <w:r w:rsidR="00C72A3B" w:rsidRPr="00810275">
              <w:rPr>
                <w:rFonts w:eastAsia="Times New Roman"/>
                <w:sz w:val="26"/>
                <w:szCs w:val="26"/>
                <w:lang w:val="lv-LV" w:eastAsia="lv-LV"/>
              </w:rPr>
              <w:t>gadā</w:t>
            </w:r>
            <w:r w:rsidR="009F423C" w:rsidRPr="00810275">
              <w:rPr>
                <w:rFonts w:eastAsia="Times New Roman"/>
                <w:sz w:val="26"/>
                <w:szCs w:val="26"/>
                <w:lang w:val="lv-LV" w:eastAsia="lv-LV"/>
              </w:rPr>
              <w:t xml:space="preserve"> (atlasītas 2 kredītiestādes)</w:t>
            </w:r>
            <w:r w:rsidR="00C72A3B" w:rsidRPr="00810275">
              <w:rPr>
                <w:rFonts w:eastAsia="Times New Roman"/>
                <w:sz w:val="26"/>
                <w:szCs w:val="26"/>
                <w:lang w:val="lv-LV" w:eastAsia="lv-LV"/>
              </w:rPr>
              <w:t>.</w:t>
            </w:r>
            <w:r w:rsidR="007D6C4F" w:rsidRPr="00810275">
              <w:rPr>
                <w:rFonts w:eastAsia="Times New Roman"/>
                <w:sz w:val="26"/>
                <w:szCs w:val="26"/>
                <w:lang w:val="lv-LV" w:eastAsia="lv-LV"/>
              </w:rPr>
              <w:t xml:space="preserve"> Līgumiem, kuri noslēgt</w:t>
            </w:r>
            <w:r w:rsidR="00066CEE" w:rsidRPr="00810275">
              <w:rPr>
                <w:rFonts w:eastAsia="Times New Roman"/>
                <w:sz w:val="26"/>
                <w:szCs w:val="26"/>
                <w:lang w:val="lv-LV" w:eastAsia="lv-LV"/>
              </w:rPr>
              <w:t>i</w:t>
            </w:r>
            <w:r w:rsidR="000D793C" w:rsidRPr="00810275">
              <w:rPr>
                <w:rFonts w:eastAsia="Times New Roman"/>
                <w:sz w:val="26"/>
                <w:szCs w:val="26"/>
                <w:lang w:val="lv-LV" w:eastAsia="lv-LV"/>
              </w:rPr>
              <w:t xml:space="preserve"> </w:t>
            </w:r>
            <w:r w:rsidR="003F3B70" w:rsidRPr="00810275">
              <w:rPr>
                <w:rFonts w:eastAsia="Times New Roman"/>
                <w:sz w:val="26"/>
                <w:szCs w:val="26"/>
                <w:lang w:val="lv-LV" w:eastAsia="lv-LV"/>
              </w:rPr>
              <w:t xml:space="preserve">1. </w:t>
            </w:r>
            <w:r w:rsidR="007D6C4F" w:rsidRPr="00810275">
              <w:rPr>
                <w:rFonts w:eastAsia="Times New Roman"/>
                <w:sz w:val="26"/>
                <w:szCs w:val="26"/>
                <w:lang w:val="lv-LV" w:eastAsia="lv-LV"/>
              </w:rPr>
              <w:t>atlases ietvaros</w:t>
            </w:r>
            <w:r w:rsidR="009F423C" w:rsidRPr="00810275">
              <w:rPr>
                <w:rFonts w:eastAsia="Times New Roman"/>
                <w:sz w:val="26"/>
                <w:szCs w:val="26"/>
                <w:lang w:val="lv-LV" w:eastAsia="lv-LV"/>
              </w:rPr>
              <w:t>,</w:t>
            </w:r>
            <w:r w:rsidR="007D6C4F" w:rsidRPr="00810275">
              <w:rPr>
                <w:rFonts w:eastAsia="Times New Roman"/>
                <w:sz w:val="26"/>
                <w:szCs w:val="26"/>
                <w:lang w:val="lv-LV" w:eastAsia="lv-LV"/>
              </w:rPr>
              <w:t xml:space="preserve"> </w:t>
            </w:r>
            <w:r w:rsidR="003F3B70" w:rsidRPr="00810275">
              <w:rPr>
                <w:rFonts w:eastAsia="Times New Roman"/>
                <w:sz w:val="26"/>
                <w:szCs w:val="26"/>
                <w:lang w:val="lv-LV" w:eastAsia="lv-LV"/>
              </w:rPr>
              <w:t xml:space="preserve">ir jau izmantota iespēja </w:t>
            </w:r>
            <w:r w:rsidR="00066CEE" w:rsidRPr="00810275">
              <w:rPr>
                <w:rFonts w:eastAsia="Times New Roman"/>
                <w:sz w:val="26"/>
                <w:szCs w:val="26"/>
                <w:lang w:val="lv-LV" w:eastAsia="lv-LV"/>
              </w:rPr>
              <w:t xml:space="preserve">pagarināt </w:t>
            </w:r>
            <w:r w:rsidR="003F3B70" w:rsidRPr="00810275">
              <w:rPr>
                <w:rFonts w:eastAsia="Times New Roman"/>
                <w:sz w:val="26"/>
                <w:szCs w:val="26"/>
                <w:lang w:val="lv-LV" w:eastAsia="lv-LV"/>
              </w:rPr>
              <w:t>līgumu darbības termiņ</w:t>
            </w:r>
            <w:r w:rsidR="00066CEE" w:rsidRPr="00810275">
              <w:rPr>
                <w:rFonts w:eastAsia="Times New Roman"/>
                <w:sz w:val="26"/>
                <w:szCs w:val="26"/>
                <w:lang w:val="lv-LV" w:eastAsia="lv-LV"/>
              </w:rPr>
              <w:t>u</w:t>
            </w:r>
            <w:r w:rsidR="003F3B70" w:rsidRPr="00810275">
              <w:rPr>
                <w:rFonts w:eastAsia="Times New Roman"/>
                <w:sz w:val="26"/>
                <w:szCs w:val="26"/>
                <w:lang w:val="lv-LV" w:eastAsia="lv-LV"/>
              </w:rPr>
              <w:t xml:space="preserve"> par diviem gadiem saskaņā ar MK noteikum</w:t>
            </w:r>
            <w:r w:rsidR="007D6C4F" w:rsidRPr="00810275">
              <w:rPr>
                <w:rFonts w:eastAsia="Times New Roman"/>
                <w:sz w:val="26"/>
                <w:szCs w:val="26"/>
                <w:lang w:val="lv-LV" w:eastAsia="lv-LV"/>
              </w:rPr>
              <w:t>u</w:t>
            </w:r>
            <w:r w:rsidR="003F3B70" w:rsidRPr="00810275">
              <w:rPr>
                <w:rFonts w:eastAsia="Times New Roman"/>
                <w:sz w:val="26"/>
                <w:szCs w:val="26"/>
                <w:lang w:val="lv-LV" w:eastAsia="lv-LV"/>
              </w:rPr>
              <w:t xml:space="preserve"> Nr.537</w:t>
            </w:r>
            <w:r w:rsidR="007D6C4F" w:rsidRPr="00810275">
              <w:rPr>
                <w:rFonts w:eastAsia="Times New Roman"/>
                <w:sz w:val="26"/>
                <w:szCs w:val="26"/>
                <w:lang w:val="lv-LV" w:eastAsia="lv-LV"/>
              </w:rPr>
              <w:t xml:space="preserve"> 19.3.</w:t>
            </w:r>
            <w:r w:rsidR="00C43BAA">
              <w:rPr>
                <w:rFonts w:eastAsia="Times New Roman"/>
                <w:sz w:val="26"/>
                <w:szCs w:val="26"/>
                <w:lang w:val="lv-LV" w:eastAsia="lv-LV"/>
              </w:rPr>
              <w:t>apakš</w:t>
            </w:r>
            <w:r w:rsidR="007D6C4F" w:rsidRPr="00810275">
              <w:rPr>
                <w:rFonts w:eastAsia="Times New Roman"/>
                <w:sz w:val="26"/>
                <w:szCs w:val="26"/>
                <w:lang w:val="lv-LV" w:eastAsia="lv-LV"/>
              </w:rPr>
              <w:t>punktu</w:t>
            </w:r>
            <w:r w:rsidR="003F3B70" w:rsidRPr="00810275">
              <w:rPr>
                <w:rFonts w:eastAsia="Times New Roman"/>
                <w:sz w:val="26"/>
                <w:szCs w:val="26"/>
                <w:lang w:val="lv-LV" w:eastAsia="lv-LV"/>
              </w:rPr>
              <w:t xml:space="preserve">, savukārt 2.kārtas līgumiem šāda iespēja vēl ir </w:t>
            </w:r>
            <w:r w:rsidR="00066CEE" w:rsidRPr="00810275">
              <w:rPr>
                <w:rFonts w:eastAsia="Times New Roman"/>
                <w:sz w:val="26"/>
                <w:szCs w:val="26"/>
                <w:lang w:val="lv-LV" w:eastAsia="lv-LV"/>
              </w:rPr>
              <w:t>pieejama</w:t>
            </w:r>
            <w:r w:rsidR="003F3B70" w:rsidRPr="00810275">
              <w:rPr>
                <w:rFonts w:eastAsia="Times New Roman"/>
                <w:sz w:val="26"/>
                <w:szCs w:val="26"/>
                <w:lang w:val="lv-LV" w:eastAsia="lv-LV"/>
              </w:rPr>
              <w:t>.</w:t>
            </w:r>
            <w:r w:rsidR="003F3B70" w:rsidRPr="00810275">
              <w:rPr>
                <w:rFonts w:eastAsia="Times New Roman"/>
                <w:sz w:val="24"/>
                <w:szCs w:val="24"/>
                <w:lang w:val="lv-LV"/>
              </w:rPr>
              <w:t xml:space="preserve"> </w:t>
            </w:r>
            <w:r w:rsidR="003F3B70" w:rsidRPr="00810275">
              <w:rPr>
                <w:rFonts w:eastAsia="Times New Roman"/>
                <w:sz w:val="26"/>
                <w:szCs w:val="26"/>
                <w:lang w:val="lv-LV" w:eastAsia="lv-LV"/>
              </w:rPr>
              <w:t>Ņemot vērā, ka ES</w:t>
            </w:r>
            <w:r w:rsidR="003F3B70" w:rsidRPr="00810275">
              <w:rPr>
                <w:rFonts w:eastAsia="Times New Roman"/>
                <w:sz w:val="24"/>
                <w:szCs w:val="24"/>
                <w:lang w:val="lv-LV"/>
              </w:rPr>
              <w:t xml:space="preserve"> </w:t>
            </w:r>
            <w:r w:rsidR="003F3B70" w:rsidRPr="00810275">
              <w:rPr>
                <w:rFonts w:eastAsia="Times New Roman"/>
                <w:sz w:val="26"/>
                <w:szCs w:val="26"/>
                <w:lang w:val="lv-LV" w:eastAsia="lv-LV"/>
              </w:rPr>
              <w:t>fondu 2021.-2027.gada plānošanas perioda uzsākšana ir aizkavējusies,</w:t>
            </w:r>
            <w:r w:rsidR="00C72A3B" w:rsidRPr="00810275">
              <w:rPr>
                <w:rFonts w:eastAsia="Times New Roman"/>
                <w:sz w:val="26"/>
                <w:szCs w:val="26"/>
                <w:lang w:val="lv-LV" w:eastAsia="lv-LV"/>
              </w:rPr>
              <w:t xml:space="preserve"> lai turpinātu nodrošināt  finansējuma pieejamību komersantiem</w:t>
            </w:r>
            <w:r w:rsidR="009F423C" w:rsidRPr="00810275">
              <w:rPr>
                <w:rFonts w:eastAsia="Times New Roman"/>
                <w:sz w:val="26"/>
                <w:szCs w:val="26"/>
                <w:lang w:val="lv-LV" w:eastAsia="lv-LV"/>
              </w:rPr>
              <w:t xml:space="preserve"> visās atlasītajās kredītiestādēs</w:t>
            </w:r>
            <w:r w:rsidR="00C72A3B" w:rsidRPr="00810275">
              <w:rPr>
                <w:rFonts w:eastAsia="Times New Roman"/>
                <w:sz w:val="26"/>
                <w:szCs w:val="26"/>
                <w:lang w:val="lv-LV" w:eastAsia="lv-LV"/>
              </w:rPr>
              <w:t>, ir</w:t>
            </w:r>
            <w:r w:rsidR="003F3B70" w:rsidRPr="00810275">
              <w:rPr>
                <w:rFonts w:eastAsia="Times New Roman"/>
                <w:sz w:val="26"/>
                <w:szCs w:val="26"/>
                <w:lang w:val="lv-LV" w:eastAsia="lv-LV"/>
              </w:rPr>
              <w:t xml:space="preserve"> </w:t>
            </w:r>
            <w:r w:rsidR="007D6C4F" w:rsidRPr="00810275">
              <w:rPr>
                <w:rFonts w:eastAsia="Times New Roman"/>
                <w:sz w:val="26"/>
                <w:szCs w:val="26"/>
                <w:lang w:val="lv-LV" w:eastAsia="lv-LV"/>
              </w:rPr>
              <w:t xml:space="preserve">nepieciešams </w:t>
            </w:r>
            <w:r w:rsidR="003F3B70" w:rsidRPr="00810275">
              <w:rPr>
                <w:rFonts w:eastAsia="Times New Roman"/>
                <w:sz w:val="26"/>
                <w:szCs w:val="26"/>
                <w:lang w:val="lv-LV" w:eastAsia="lv-LV"/>
              </w:rPr>
              <w:t xml:space="preserve">vienādot abu </w:t>
            </w:r>
            <w:r w:rsidR="009F423C" w:rsidRPr="00810275">
              <w:rPr>
                <w:rFonts w:eastAsia="Times New Roman"/>
                <w:sz w:val="26"/>
                <w:szCs w:val="26"/>
                <w:lang w:val="lv-LV" w:eastAsia="lv-LV"/>
              </w:rPr>
              <w:t xml:space="preserve">atlases </w:t>
            </w:r>
            <w:r w:rsidR="003F3B70" w:rsidRPr="00810275">
              <w:rPr>
                <w:rFonts w:eastAsia="Times New Roman"/>
                <w:sz w:val="26"/>
                <w:szCs w:val="26"/>
                <w:lang w:val="lv-LV" w:eastAsia="lv-LV"/>
              </w:rPr>
              <w:t>kārtu līgumu beigu termiņus un pagarināt tos līdz 2023.gada 3</w:t>
            </w:r>
            <w:r w:rsidR="00C72A3B" w:rsidRPr="00810275">
              <w:rPr>
                <w:rFonts w:eastAsia="Times New Roman"/>
                <w:sz w:val="26"/>
                <w:szCs w:val="26"/>
                <w:lang w:val="lv-LV" w:eastAsia="lv-LV"/>
              </w:rPr>
              <w:t>1</w:t>
            </w:r>
            <w:r w:rsidR="003F3B70" w:rsidRPr="00810275">
              <w:rPr>
                <w:rFonts w:eastAsia="Times New Roman"/>
                <w:sz w:val="26"/>
                <w:szCs w:val="26"/>
                <w:lang w:val="lv-LV" w:eastAsia="lv-LV"/>
              </w:rPr>
              <w:t>.</w:t>
            </w:r>
            <w:r w:rsidR="00C72A3B" w:rsidRPr="00810275">
              <w:rPr>
                <w:rFonts w:eastAsia="Times New Roman"/>
                <w:sz w:val="26"/>
                <w:szCs w:val="26"/>
                <w:lang w:val="lv-LV" w:eastAsia="lv-LV"/>
              </w:rPr>
              <w:t xml:space="preserve">decembrim. </w:t>
            </w:r>
            <w:r w:rsidR="009F423C" w:rsidRPr="00810275">
              <w:rPr>
                <w:rFonts w:eastAsia="Times New Roman"/>
                <w:sz w:val="26"/>
                <w:szCs w:val="26"/>
                <w:lang w:val="lv-LV" w:eastAsia="lv-LV"/>
              </w:rPr>
              <w:t xml:space="preserve">Ņemot vērā, ka </w:t>
            </w:r>
            <w:r w:rsidR="001A4B8B" w:rsidRPr="00810275">
              <w:rPr>
                <w:rFonts w:eastAsia="Times New Roman"/>
                <w:sz w:val="26"/>
                <w:szCs w:val="26"/>
                <w:lang w:val="lv-LV" w:eastAsia="lv-LV"/>
              </w:rPr>
              <w:t xml:space="preserve">jauna atlase ar ES fondu vai EU </w:t>
            </w:r>
            <w:proofErr w:type="spellStart"/>
            <w:r w:rsidR="001A4B8B" w:rsidRPr="00810275">
              <w:rPr>
                <w:rFonts w:eastAsia="Times New Roman"/>
                <w:sz w:val="26"/>
                <w:szCs w:val="26"/>
                <w:lang w:val="lv-LV" w:eastAsia="lv-LV"/>
              </w:rPr>
              <w:t>Invest</w:t>
            </w:r>
            <w:proofErr w:type="spellEnd"/>
            <w:r w:rsidR="001A4B8B" w:rsidRPr="00810275">
              <w:rPr>
                <w:rFonts w:eastAsia="Times New Roman"/>
                <w:sz w:val="26"/>
                <w:szCs w:val="26"/>
                <w:lang w:val="lv-LV" w:eastAsia="lv-LV"/>
              </w:rPr>
              <w:t xml:space="preserve"> finansējumu tiks veikta 2022. vai 2023.gadā, nav lietderīgi uz tik īsu laiku veikt atlasi esošā finansējuma ietvaros.</w:t>
            </w:r>
          </w:p>
          <w:p w14:paraId="28A356A7" w14:textId="1C1906C9" w:rsidR="00C72A3B" w:rsidRPr="00810275" w:rsidRDefault="003F3B70" w:rsidP="007D6C4F">
            <w:pPr>
              <w:jc w:val="both"/>
              <w:rPr>
                <w:rFonts w:eastAsia="Times New Roman"/>
                <w:sz w:val="26"/>
                <w:szCs w:val="26"/>
                <w:lang w:val="lv-LV" w:eastAsia="lv-LV"/>
              </w:rPr>
            </w:pPr>
            <w:r w:rsidRPr="00810275">
              <w:rPr>
                <w:rFonts w:eastAsia="Times New Roman"/>
                <w:sz w:val="26"/>
                <w:szCs w:val="26"/>
                <w:lang w:val="lv-LV" w:eastAsia="lv-LV"/>
              </w:rPr>
              <w:t xml:space="preserve">2023.gadā </w:t>
            </w:r>
            <w:r w:rsidR="00C72A3B" w:rsidRPr="00810275">
              <w:rPr>
                <w:rFonts w:eastAsia="Times New Roman"/>
                <w:sz w:val="26"/>
                <w:szCs w:val="26"/>
                <w:lang w:val="lv-LV" w:eastAsia="lv-LV"/>
              </w:rPr>
              <w:t xml:space="preserve">plānots, ka </w:t>
            </w:r>
            <w:r w:rsidRPr="00810275">
              <w:rPr>
                <w:rFonts w:eastAsia="Times New Roman"/>
                <w:sz w:val="26"/>
                <w:szCs w:val="26"/>
                <w:lang w:val="lv-LV" w:eastAsia="lv-LV"/>
              </w:rPr>
              <w:t xml:space="preserve">ar ES fondu </w:t>
            </w:r>
            <w:r w:rsidR="00C72A3B" w:rsidRPr="00810275">
              <w:rPr>
                <w:rFonts w:eastAsia="Times New Roman"/>
                <w:sz w:val="26"/>
                <w:szCs w:val="26"/>
                <w:lang w:val="lv-LV" w:eastAsia="lv-LV"/>
              </w:rPr>
              <w:t xml:space="preserve">vai EU </w:t>
            </w:r>
            <w:proofErr w:type="spellStart"/>
            <w:r w:rsidR="00C72A3B" w:rsidRPr="00810275">
              <w:rPr>
                <w:rFonts w:eastAsia="Times New Roman"/>
                <w:sz w:val="26"/>
                <w:szCs w:val="26"/>
                <w:lang w:val="lv-LV" w:eastAsia="lv-LV"/>
              </w:rPr>
              <w:t>Invest</w:t>
            </w:r>
            <w:proofErr w:type="spellEnd"/>
            <w:r w:rsidR="00C72A3B" w:rsidRPr="00810275">
              <w:rPr>
                <w:rFonts w:eastAsia="Times New Roman"/>
                <w:sz w:val="26"/>
                <w:szCs w:val="26"/>
                <w:lang w:val="lv-LV" w:eastAsia="lv-LV"/>
              </w:rPr>
              <w:t xml:space="preserve"> </w:t>
            </w:r>
            <w:r w:rsidRPr="00810275">
              <w:rPr>
                <w:rFonts w:eastAsia="Times New Roman"/>
                <w:sz w:val="26"/>
                <w:szCs w:val="26"/>
                <w:lang w:val="lv-LV" w:eastAsia="lv-LV"/>
              </w:rPr>
              <w:t xml:space="preserve">finansējumu </w:t>
            </w:r>
            <w:r w:rsidR="00C72A3B" w:rsidRPr="00810275">
              <w:rPr>
                <w:rFonts w:eastAsia="Times New Roman"/>
                <w:sz w:val="26"/>
                <w:szCs w:val="26"/>
                <w:lang w:val="lv-LV" w:eastAsia="lv-LV"/>
              </w:rPr>
              <w:t xml:space="preserve">tiks izstrādāts jauns normatīvais regulējums un veikta </w:t>
            </w:r>
            <w:r w:rsidRPr="00810275">
              <w:rPr>
                <w:rFonts w:eastAsia="Times New Roman"/>
                <w:sz w:val="26"/>
                <w:szCs w:val="26"/>
                <w:lang w:val="lv-LV" w:eastAsia="lv-LV"/>
              </w:rPr>
              <w:t>jaun</w:t>
            </w:r>
            <w:r w:rsidR="00C72A3B" w:rsidRPr="00810275">
              <w:rPr>
                <w:rFonts w:eastAsia="Times New Roman"/>
                <w:sz w:val="26"/>
                <w:szCs w:val="26"/>
                <w:lang w:val="lv-LV" w:eastAsia="lv-LV"/>
              </w:rPr>
              <w:t>a</w:t>
            </w:r>
            <w:r w:rsidRPr="00810275">
              <w:rPr>
                <w:rFonts w:eastAsia="Times New Roman"/>
                <w:sz w:val="26"/>
                <w:szCs w:val="26"/>
                <w:lang w:val="lv-LV" w:eastAsia="lv-LV"/>
              </w:rPr>
              <w:t xml:space="preserve"> </w:t>
            </w:r>
            <w:r w:rsidR="009F423C" w:rsidRPr="00810275">
              <w:rPr>
                <w:rFonts w:eastAsia="Times New Roman"/>
                <w:sz w:val="26"/>
                <w:szCs w:val="26"/>
                <w:lang w:val="lv-LV" w:eastAsia="lv-LV"/>
              </w:rPr>
              <w:t xml:space="preserve">kredītiestāžu </w:t>
            </w:r>
            <w:r w:rsidRPr="00810275">
              <w:rPr>
                <w:rFonts w:eastAsia="Times New Roman"/>
                <w:sz w:val="26"/>
                <w:szCs w:val="26"/>
                <w:lang w:val="lv-LV" w:eastAsia="lv-LV"/>
              </w:rPr>
              <w:t>atlas</w:t>
            </w:r>
            <w:r w:rsidR="009F423C" w:rsidRPr="00810275">
              <w:rPr>
                <w:rFonts w:eastAsia="Times New Roman"/>
                <w:sz w:val="26"/>
                <w:szCs w:val="26"/>
                <w:lang w:val="lv-LV" w:eastAsia="lv-LV"/>
              </w:rPr>
              <w:t>e</w:t>
            </w:r>
            <w:r w:rsidRPr="00810275">
              <w:rPr>
                <w:rFonts w:eastAsia="Times New Roman"/>
                <w:sz w:val="26"/>
                <w:szCs w:val="26"/>
                <w:lang w:val="lv-LV" w:eastAsia="lv-LV"/>
              </w:rPr>
              <w:t>, t.sk. izvērtējot iespēju palielināt maksimālo garantijas</w:t>
            </w:r>
            <w:r w:rsidR="007D6C4F" w:rsidRPr="00810275">
              <w:rPr>
                <w:rFonts w:eastAsia="Times New Roman"/>
                <w:sz w:val="26"/>
                <w:szCs w:val="26"/>
                <w:lang w:val="lv-LV" w:eastAsia="lv-LV"/>
              </w:rPr>
              <w:t xml:space="preserve"> summu. </w:t>
            </w:r>
          </w:p>
          <w:p w14:paraId="6309CFB5" w14:textId="698D35CB" w:rsidR="001A4B8B" w:rsidRPr="00810275" w:rsidRDefault="001A4B8B" w:rsidP="007D6C4F">
            <w:pPr>
              <w:jc w:val="both"/>
              <w:rPr>
                <w:rFonts w:eastAsia="Times New Roman"/>
                <w:sz w:val="26"/>
                <w:szCs w:val="26"/>
                <w:lang w:val="lv-LV" w:eastAsia="lv-LV"/>
              </w:rPr>
            </w:pPr>
            <w:r w:rsidRPr="00810275">
              <w:rPr>
                <w:rFonts w:eastAsia="Times New Roman"/>
                <w:sz w:val="26"/>
                <w:szCs w:val="26"/>
                <w:lang w:val="lv-LV" w:eastAsia="lv-LV"/>
              </w:rPr>
              <w:t xml:space="preserve">Jānorāda, ka līdzīgi rīkojās arī Eiropas Investīciju fonds, kas minēto apstākļu dēļ ir pagarinājis arī </w:t>
            </w:r>
            <w:proofErr w:type="spellStart"/>
            <w:r w:rsidRPr="00810275">
              <w:rPr>
                <w:rFonts w:eastAsia="Times New Roman"/>
                <w:sz w:val="26"/>
                <w:szCs w:val="26"/>
                <w:lang w:val="lv-LV" w:eastAsia="lv-LV"/>
              </w:rPr>
              <w:t>EaSI</w:t>
            </w:r>
            <w:proofErr w:type="spellEnd"/>
            <w:r w:rsidRPr="00810275">
              <w:rPr>
                <w:rFonts w:eastAsia="Times New Roman"/>
                <w:sz w:val="26"/>
                <w:szCs w:val="26"/>
                <w:lang w:val="lv-LV" w:eastAsia="lv-LV"/>
              </w:rPr>
              <w:t xml:space="preserve"> un </w:t>
            </w:r>
            <w:proofErr w:type="spellStart"/>
            <w:r w:rsidRPr="00810275">
              <w:rPr>
                <w:rFonts w:eastAsia="Times New Roman"/>
                <w:sz w:val="26"/>
                <w:szCs w:val="26"/>
                <w:lang w:val="lv-LV" w:eastAsia="lv-LV"/>
              </w:rPr>
              <w:t>Cosme</w:t>
            </w:r>
            <w:proofErr w:type="spellEnd"/>
            <w:r w:rsidRPr="00810275">
              <w:rPr>
                <w:rFonts w:eastAsia="Times New Roman"/>
                <w:sz w:val="26"/>
                <w:szCs w:val="26"/>
                <w:lang w:val="lv-LV" w:eastAsia="lv-LV"/>
              </w:rPr>
              <w:t xml:space="preserve"> līgumu darbības termiņu.</w:t>
            </w:r>
          </w:p>
          <w:p w14:paraId="6946FB5F" w14:textId="67021043" w:rsidR="007D6C4F" w:rsidRPr="00810275" w:rsidRDefault="007D6C4F" w:rsidP="007D6C4F">
            <w:pPr>
              <w:jc w:val="both"/>
              <w:rPr>
                <w:rFonts w:eastAsia="Times New Roman"/>
                <w:sz w:val="26"/>
                <w:szCs w:val="26"/>
                <w:lang w:val="lv-LV" w:eastAsia="lv-LV"/>
              </w:rPr>
            </w:pPr>
            <w:r w:rsidRPr="00810275">
              <w:rPr>
                <w:rFonts w:eastAsia="Times New Roman"/>
                <w:sz w:val="26"/>
                <w:szCs w:val="26"/>
                <w:lang w:val="lv-LV" w:eastAsia="lv-LV"/>
              </w:rPr>
              <w:t xml:space="preserve">Pēc </w:t>
            </w:r>
            <w:r w:rsidR="00C72A3B" w:rsidRPr="00810275">
              <w:rPr>
                <w:rFonts w:eastAsia="Times New Roman"/>
                <w:sz w:val="26"/>
                <w:szCs w:val="26"/>
                <w:lang w:val="lv-LV" w:eastAsia="lv-LV"/>
              </w:rPr>
              <w:t xml:space="preserve">minēto MK noteikumu </w:t>
            </w:r>
            <w:r w:rsidR="00C44F01">
              <w:rPr>
                <w:rFonts w:eastAsia="Times New Roman"/>
                <w:sz w:val="26"/>
                <w:szCs w:val="26"/>
                <w:lang w:val="lv-LV" w:eastAsia="lv-LV"/>
              </w:rPr>
              <w:t>N</w:t>
            </w:r>
            <w:r w:rsidR="00C72A3B" w:rsidRPr="00810275">
              <w:rPr>
                <w:rFonts w:eastAsia="Times New Roman"/>
                <w:sz w:val="26"/>
                <w:szCs w:val="26"/>
                <w:lang w:val="lv-LV" w:eastAsia="lv-LV"/>
              </w:rPr>
              <w:t xml:space="preserve">r.537 </w:t>
            </w:r>
            <w:r w:rsidRPr="00810275">
              <w:rPr>
                <w:rFonts w:eastAsia="Times New Roman"/>
                <w:sz w:val="26"/>
                <w:szCs w:val="26"/>
                <w:lang w:val="lv-LV" w:eastAsia="lv-LV"/>
              </w:rPr>
              <w:t xml:space="preserve">grozījumu veikšanas </w:t>
            </w:r>
            <w:proofErr w:type="spellStart"/>
            <w:r w:rsidR="00314994">
              <w:rPr>
                <w:rFonts w:eastAsia="Times New Roman"/>
                <w:sz w:val="26"/>
                <w:szCs w:val="26"/>
                <w:lang w:val="lv-LV" w:eastAsia="lv-LV"/>
              </w:rPr>
              <w:t>Altum</w:t>
            </w:r>
            <w:proofErr w:type="spellEnd"/>
            <w:r w:rsidR="00314994" w:rsidRPr="00810275">
              <w:rPr>
                <w:rFonts w:eastAsia="Times New Roman"/>
                <w:sz w:val="26"/>
                <w:szCs w:val="26"/>
                <w:lang w:val="lv-LV" w:eastAsia="lv-LV"/>
              </w:rPr>
              <w:t xml:space="preserve"> </w:t>
            </w:r>
            <w:r w:rsidR="00066CEE" w:rsidRPr="00810275">
              <w:rPr>
                <w:rFonts w:eastAsia="Times New Roman"/>
                <w:sz w:val="26"/>
                <w:szCs w:val="26"/>
                <w:lang w:val="lv-LV" w:eastAsia="lv-LV"/>
              </w:rPr>
              <w:t>l</w:t>
            </w:r>
            <w:r w:rsidR="00C72A3B" w:rsidRPr="00810275">
              <w:rPr>
                <w:rFonts w:eastAsia="Times New Roman"/>
                <w:sz w:val="26"/>
                <w:szCs w:val="26"/>
                <w:lang w:val="lv-LV" w:eastAsia="lv-LV"/>
              </w:rPr>
              <w:t>ī</w:t>
            </w:r>
            <w:r w:rsidR="00066CEE" w:rsidRPr="00810275">
              <w:rPr>
                <w:rFonts w:eastAsia="Times New Roman"/>
                <w:sz w:val="26"/>
                <w:szCs w:val="26"/>
                <w:lang w:val="lv-LV" w:eastAsia="lv-LV"/>
              </w:rPr>
              <w:t xml:space="preserve">dz </w:t>
            </w:r>
            <w:r w:rsidRPr="00810275">
              <w:rPr>
                <w:rFonts w:eastAsia="Times New Roman"/>
                <w:sz w:val="26"/>
                <w:szCs w:val="26"/>
                <w:lang w:val="lv-LV" w:eastAsia="lv-LV"/>
              </w:rPr>
              <w:t>2021.gada decembrim vieno</w:t>
            </w:r>
            <w:r w:rsidR="00C72A3B" w:rsidRPr="00810275">
              <w:rPr>
                <w:rFonts w:eastAsia="Times New Roman"/>
                <w:sz w:val="26"/>
                <w:szCs w:val="26"/>
                <w:lang w:val="lv-LV" w:eastAsia="lv-LV"/>
              </w:rPr>
              <w:t>s</w:t>
            </w:r>
            <w:r w:rsidRPr="00810275">
              <w:rPr>
                <w:rFonts w:eastAsia="Times New Roman"/>
                <w:sz w:val="26"/>
                <w:szCs w:val="26"/>
                <w:lang w:val="lv-LV" w:eastAsia="lv-LV"/>
              </w:rPr>
              <w:t xml:space="preserve">ies </w:t>
            </w:r>
            <w:r w:rsidR="00C72A3B" w:rsidRPr="00810275">
              <w:rPr>
                <w:rFonts w:eastAsia="Times New Roman"/>
                <w:sz w:val="26"/>
                <w:szCs w:val="26"/>
                <w:lang w:val="lv-LV" w:eastAsia="lv-LV"/>
              </w:rPr>
              <w:t xml:space="preserve">ar </w:t>
            </w:r>
            <w:r w:rsidRPr="00810275">
              <w:rPr>
                <w:rFonts w:eastAsia="Times New Roman"/>
                <w:sz w:val="26"/>
                <w:szCs w:val="26"/>
                <w:lang w:val="lv-LV" w:eastAsia="lv-LV"/>
              </w:rPr>
              <w:t xml:space="preserve">bankām, kuras īsteno Komersantu </w:t>
            </w:r>
            <w:proofErr w:type="spellStart"/>
            <w:r w:rsidRPr="00810275">
              <w:rPr>
                <w:rFonts w:eastAsia="Times New Roman"/>
                <w:sz w:val="26"/>
                <w:szCs w:val="26"/>
                <w:lang w:val="lv-LV" w:eastAsia="lv-LV"/>
              </w:rPr>
              <w:t>portfeļgarantiju</w:t>
            </w:r>
            <w:proofErr w:type="spellEnd"/>
            <w:r w:rsidRPr="00810275">
              <w:rPr>
                <w:rFonts w:eastAsia="Times New Roman"/>
                <w:sz w:val="26"/>
                <w:szCs w:val="26"/>
                <w:lang w:val="lv-LV" w:eastAsia="lv-LV"/>
              </w:rPr>
              <w:t xml:space="preserve"> programmu</w:t>
            </w:r>
            <w:r w:rsidR="00066CEE" w:rsidRPr="00810275">
              <w:rPr>
                <w:rFonts w:eastAsia="Times New Roman"/>
                <w:sz w:val="26"/>
                <w:szCs w:val="26"/>
                <w:lang w:val="lv-LV" w:eastAsia="lv-LV"/>
              </w:rPr>
              <w:t>,</w:t>
            </w:r>
            <w:r w:rsidRPr="00810275">
              <w:rPr>
                <w:rFonts w:eastAsia="Times New Roman"/>
                <w:sz w:val="26"/>
                <w:szCs w:val="26"/>
                <w:lang w:val="lv-LV" w:eastAsia="lv-LV"/>
              </w:rPr>
              <w:t xml:space="preserve">  </w:t>
            </w:r>
            <w:r w:rsidR="00066CEE" w:rsidRPr="00810275">
              <w:rPr>
                <w:rFonts w:eastAsia="Times New Roman"/>
                <w:sz w:val="26"/>
                <w:szCs w:val="26"/>
                <w:lang w:val="lv-LV" w:eastAsia="lv-LV"/>
              </w:rPr>
              <w:t xml:space="preserve">par </w:t>
            </w:r>
            <w:r w:rsidRPr="00810275">
              <w:rPr>
                <w:rFonts w:eastAsia="Times New Roman"/>
                <w:sz w:val="26"/>
                <w:szCs w:val="26"/>
                <w:lang w:val="lv-LV" w:eastAsia="lv-LV"/>
              </w:rPr>
              <w:t>līgumu darbības termiņu pagarināšanu</w:t>
            </w:r>
            <w:r w:rsidR="00066CEE" w:rsidRPr="00810275">
              <w:rPr>
                <w:rFonts w:eastAsia="Times New Roman"/>
                <w:sz w:val="26"/>
                <w:szCs w:val="26"/>
                <w:lang w:val="lv-LV" w:eastAsia="lv-LV"/>
              </w:rPr>
              <w:t xml:space="preserve">. </w:t>
            </w:r>
          </w:p>
          <w:p w14:paraId="09F04E06" w14:textId="22159B88" w:rsidR="00512A94" w:rsidRPr="00810275" w:rsidRDefault="000D793C" w:rsidP="001A4B8B">
            <w:pPr>
              <w:jc w:val="both"/>
              <w:rPr>
                <w:lang w:val="lv-LV"/>
              </w:rPr>
            </w:pPr>
            <w:r w:rsidRPr="00810275">
              <w:rPr>
                <w:rFonts w:eastAsia="Times New Roman"/>
                <w:sz w:val="26"/>
                <w:szCs w:val="26"/>
                <w:lang w:val="lv-LV" w:eastAsia="lv-LV"/>
              </w:rPr>
              <w:t xml:space="preserve">Ar programmas riska segumu 7 milj. </w:t>
            </w:r>
            <w:proofErr w:type="spellStart"/>
            <w:r w:rsidR="00C43BAA" w:rsidRPr="009E63D5">
              <w:rPr>
                <w:rFonts w:eastAsia="Times New Roman"/>
                <w:i/>
                <w:iCs/>
                <w:sz w:val="26"/>
                <w:szCs w:val="26"/>
                <w:lang w:val="lv-LV" w:eastAsia="lv-LV"/>
              </w:rPr>
              <w:t>euro</w:t>
            </w:r>
            <w:proofErr w:type="spellEnd"/>
            <w:r w:rsidRPr="00810275">
              <w:rPr>
                <w:rFonts w:eastAsia="Times New Roman"/>
                <w:sz w:val="26"/>
                <w:szCs w:val="26"/>
                <w:lang w:val="lv-LV" w:eastAsia="lv-LV"/>
              </w:rPr>
              <w:t>, kas noteikti MK noteikumu Nr.537 5. punktā</w:t>
            </w:r>
            <w:r w:rsidR="009F423C" w:rsidRPr="00810275">
              <w:rPr>
                <w:rFonts w:eastAsia="Times New Roman"/>
                <w:sz w:val="26"/>
                <w:szCs w:val="26"/>
                <w:lang w:val="lv-LV" w:eastAsia="lv-LV"/>
              </w:rPr>
              <w:t>,</w:t>
            </w:r>
            <w:r w:rsidRPr="00810275">
              <w:rPr>
                <w:rFonts w:eastAsia="Times New Roman"/>
                <w:sz w:val="26"/>
                <w:szCs w:val="26"/>
                <w:lang w:val="lv-LV" w:eastAsia="lv-LV"/>
              </w:rPr>
              <w:t xml:space="preserve"> un maksimālo </w:t>
            </w:r>
            <w:proofErr w:type="spellStart"/>
            <w:r w:rsidRPr="00810275">
              <w:rPr>
                <w:rFonts w:eastAsia="Times New Roman"/>
                <w:sz w:val="26"/>
                <w:szCs w:val="26"/>
                <w:lang w:val="lv-LV" w:eastAsia="lv-LV"/>
              </w:rPr>
              <w:t>cap</w:t>
            </w:r>
            <w:proofErr w:type="spellEnd"/>
            <w:r w:rsidRPr="00810275">
              <w:rPr>
                <w:rFonts w:eastAsia="Times New Roman"/>
                <w:sz w:val="26"/>
                <w:szCs w:val="26"/>
                <w:lang w:val="lv-LV" w:eastAsia="lv-LV"/>
              </w:rPr>
              <w:t xml:space="preserve"> </w:t>
            </w:r>
            <w:proofErr w:type="spellStart"/>
            <w:r w:rsidRPr="00810275">
              <w:rPr>
                <w:rFonts w:eastAsia="Times New Roman"/>
                <w:sz w:val="26"/>
                <w:szCs w:val="26"/>
                <w:lang w:val="lv-LV" w:eastAsia="lv-LV"/>
              </w:rPr>
              <w:t>rate</w:t>
            </w:r>
            <w:proofErr w:type="spellEnd"/>
            <w:r w:rsidRPr="00810275">
              <w:rPr>
                <w:rFonts w:eastAsia="Times New Roman"/>
                <w:sz w:val="26"/>
                <w:szCs w:val="26"/>
                <w:lang w:val="lv-LV" w:eastAsia="lv-LV"/>
              </w:rPr>
              <w:t xml:space="preserve"> 17.5% un garantijas likmi 80% ir iespējams sniegt garantijas 40 milj. </w:t>
            </w:r>
            <w:proofErr w:type="spellStart"/>
            <w:r w:rsidR="007E6A9B" w:rsidRPr="000A1A9B">
              <w:rPr>
                <w:rFonts w:eastAsia="Times New Roman"/>
                <w:i/>
                <w:iCs/>
                <w:sz w:val="26"/>
                <w:szCs w:val="26"/>
                <w:lang w:val="lv-LV" w:eastAsia="lv-LV"/>
              </w:rPr>
              <w:t>euro</w:t>
            </w:r>
            <w:proofErr w:type="spellEnd"/>
            <w:r w:rsidR="007E6A9B">
              <w:rPr>
                <w:rFonts w:eastAsia="Times New Roman"/>
                <w:sz w:val="26"/>
                <w:szCs w:val="26"/>
                <w:lang w:val="lv-LV" w:eastAsia="lv-LV"/>
              </w:rPr>
              <w:t xml:space="preserve"> </w:t>
            </w:r>
            <w:r w:rsidRPr="00810275">
              <w:rPr>
                <w:rFonts w:eastAsia="Times New Roman"/>
                <w:sz w:val="26"/>
                <w:szCs w:val="26"/>
                <w:lang w:val="lv-LV" w:eastAsia="lv-LV"/>
              </w:rPr>
              <w:t>apmērā. 2021. gada I. ceturk</w:t>
            </w:r>
            <w:r w:rsidR="009F423C" w:rsidRPr="00810275">
              <w:rPr>
                <w:rFonts w:eastAsia="Times New Roman"/>
                <w:sz w:val="26"/>
                <w:szCs w:val="26"/>
                <w:lang w:val="lv-LV" w:eastAsia="lv-LV"/>
              </w:rPr>
              <w:t>šņa</w:t>
            </w:r>
            <w:r w:rsidRPr="00810275">
              <w:rPr>
                <w:rFonts w:eastAsia="Times New Roman"/>
                <w:sz w:val="26"/>
                <w:szCs w:val="26"/>
                <w:lang w:val="lv-LV" w:eastAsia="lv-LV"/>
              </w:rPr>
              <w:t xml:space="preserve"> </w:t>
            </w:r>
            <w:r w:rsidR="009F423C" w:rsidRPr="00810275">
              <w:rPr>
                <w:rFonts w:eastAsia="Times New Roman"/>
                <w:sz w:val="26"/>
                <w:szCs w:val="26"/>
                <w:lang w:val="lv-LV" w:eastAsia="lv-LV"/>
              </w:rPr>
              <w:t xml:space="preserve">beigās </w:t>
            </w:r>
            <w:r w:rsidRPr="00810275">
              <w:rPr>
                <w:rFonts w:eastAsia="Times New Roman"/>
                <w:sz w:val="26"/>
                <w:szCs w:val="26"/>
                <w:lang w:val="lv-LV" w:eastAsia="lv-LV"/>
              </w:rPr>
              <w:t xml:space="preserve">programmas ietvaros ir izsniegta 481 garantija 20,5 milj. </w:t>
            </w:r>
            <w:proofErr w:type="spellStart"/>
            <w:r w:rsidR="007E6A9B" w:rsidRPr="000A1A9B">
              <w:rPr>
                <w:rFonts w:eastAsia="Times New Roman"/>
                <w:i/>
                <w:iCs/>
                <w:sz w:val="26"/>
                <w:szCs w:val="26"/>
                <w:lang w:val="lv-LV" w:eastAsia="lv-LV"/>
              </w:rPr>
              <w:t>euro</w:t>
            </w:r>
            <w:proofErr w:type="spellEnd"/>
            <w:r w:rsidR="007E6A9B">
              <w:rPr>
                <w:rFonts w:eastAsia="Times New Roman"/>
                <w:sz w:val="26"/>
                <w:szCs w:val="26"/>
                <w:lang w:val="lv-LV" w:eastAsia="lv-LV"/>
              </w:rPr>
              <w:t xml:space="preserve"> </w:t>
            </w:r>
            <w:r w:rsidRPr="00810275">
              <w:rPr>
                <w:rFonts w:eastAsia="Times New Roman"/>
                <w:sz w:val="26"/>
                <w:szCs w:val="26"/>
                <w:lang w:val="lv-LV" w:eastAsia="lv-LV"/>
              </w:rPr>
              <w:t xml:space="preserve">apmērā. </w:t>
            </w:r>
          </w:p>
        </w:tc>
      </w:tr>
      <w:tr w:rsidR="00844176" w:rsidRPr="00204393" w14:paraId="41041CF1" w14:textId="77777777" w:rsidTr="00434856">
        <w:trPr>
          <w:trHeight w:val="465"/>
        </w:trPr>
        <w:tc>
          <w:tcPr>
            <w:tcW w:w="411" w:type="dxa"/>
            <w:tcBorders>
              <w:top w:val="outset" w:sz="6" w:space="0" w:color="414142"/>
              <w:left w:val="outset" w:sz="6" w:space="0" w:color="414142"/>
              <w:bottom w:val="outset" w:sz="6" w:space="0" w:color="414142"/>
              <w:right w:val="outset" w:sz="6" w:space="0" w:color="414142"/>
            </w:tcBorders>
            <w:hideMark/>
          </w:tcPr>
          <w:p w14:paraId="5CAB363A" w14:textId="77777777" w:rsidR="00844176" w:rsidRPr="009F423C" w:rsidRDefault="00844176" w:rsidP="003D3252">
            <w:pPr>
              <w:contextualSpacing/>
              <w:rPr>
                <w:rFonts w:eastAsia="Times New Roman"/>
                <w:sz w:val="26"/>
                <w:szCs w:val="26"/>
                <w:lang w:val="lv-LV" w:eastAsia="lv-LV"/>
              </w:rPr>
            </w:pPr>
            <w:r w:rsidRPr="009F423C">
              <w:rPr>
                <w:sz w:val="26"/>
                <w:lang w:val="lv-LV"/>
              </w:rPr>
              <w:lastRenderedPageBreak/>
              <w:t>3.</w:t>
            </w:r>
          </w:p>
        </w:tc>
        <w:tc>
          <w:tcPr>
            <w:tcW w:w="2558" w:type="dxa"/>
            <w:tcBorders>
              <w:top w:val="outset" w:sz="6" w:space="0" w:color="414142"/>
              <w:left w:val="outset" w:sz="6" w:space="0" w:color="414142"/>
              <w:bottom w:val="outset" w:sz="6" w:space="0" w:color="414142"/>
              <w:right w:val="outset" w:sz="6" w:space="0" w:color="414142"/>
            </w:tcBorders>
            <w:hideMark/>
          </w:tcPr>
          <w:p w14:paraId="2F4C459C" w14:textId="2F738161" w:rsidR="00844176" w:rsidRPr="009F423C" w:rsidRDefault="00557B17" w:rsidP="003D3252">
            <w:pPr>
              <w:contextualSpacing/>
              <w:rPr>
                <w:rFonts w:eastAsia="Times New Roman"/>
                <w:sz w:val="26"/>
                <w:szCs w:val="26"/>
                <w:lang w:val="lv-LV" w:eastAsia="lv-LV"/>
              </w:rPr>
            </w:pPr>
            <w:r w:rsidRPr="009F423C">
              <w:rPr>
                <w:sz w:val="26"/>
                <w:lang w:val="lv-LV"/>
              </w:rPr>
              <w:t>Projekta izstrādē iesaistītās institūcijas un publiskas personas kapitālsabiedrības</w:t>
            </w:r>
          </w:p>
        </w:tc>
        <w:tc>
          <w:tcPr>
            <w:tcW w:w="6160" w:type="dxa"/>
            <w:tcBorders>
              <w:top w:val="outset" w:sz="6" w:space="0" w:color="414142"/>
              <w:left w:val="outset" w:sz="6" w:space="0" w:color="414142"/>
              <w:bottom w:val="outset" w:sz="6" w:space="0" w:color="414142"/>
              <w:right w:val="outset" w:sz="6" w:space="0" w:color="414142"/>
            </w:tcBorders>
            <w:hideMark/>
          </w:tcPr>
          <w:p w14:paraId="1C1732C9" w14:textId="1C9BB769" w:rsidR="00844176" w:rsidRPr="009F423C" w:rsidRDefault="00CE0AC5" w:rsidP="003D3252">
            <w:pPr>
              <w:ind w:left="-31"/>
              <w:contextualSpacing/>
              <w:rPr>
                <w:rFonts w:eastAsia="Times New Roman"/>
                <w:sz w:val="26"/>
                <w:szCs w:val="26"/>
                <w:lang w:val="lv-LV" w:eastAsia="lv-LV"/>
              </w:rPr>
            </w:pPr>
            <w:r w:rsidRPr="009F423C">
              <w:rPr>
                <w:sz w:val="26"/>
                <w:szCs w:val="26"/>
                <w:lang w:val="lv-LV"/>
              </w:rPr>
              <w:t>E</w:t>
            </w:r>
            <w:r w:rsidR="00547ACF" w:rsidRPr="009F423C">
              <w:rPr>
                <w:sz w:val="26"/>
                <w:szCs w:val="26"/>
                <w:lang w:val="lv-LV"/>
              </w:rPr>
              <w:t>konomikas ministrija</w:t>
            </w:r>
            <w:r w:rsidRPr="009F423C">
              <w:rPr>
                <w:sz w:val="26"/>
                <w:szCs w:val="26"/>
                <w:lang w:val="lv-LV"/>
              </w:rPr>
              <w:t xml:space="preserve">, </w:t>
            </w:r>
            <w:proofErr w:type="spellStart"/>
            <w:r w:rsidR="00547ACF" w:rsidRPr="009F423C">
              <w:rPr>
                <w:sz w:val="26"/>
                <w:szCs w:val="26"/>
                <w:lang w:val="lv-LV"/>
              </w:rPr>
              <w:t>Altum</w:t>
            </w:r>
            <w:proofErr w:type="spellEnd"/>
          </w:p>
        </w:tc>
      </w:tr>
      <w:tr w:rsidR="00844176" w:rsidRPr="00204393" w14:paraId="3C98D228" w14:textId="77777777" w:rsidTr="00434856">
        <w:tc>
          <w:tcPr>
            <w:tcW w:w="411" w:type="dxa"/>
            <w:tcBorders>
              <w:top w:val="outset" w:sz="6" w:space="0" w:color="414142"/>
              <w:left w:val="outset" w:sz="6" w:space="0" w:color="414142"/>
              <w:bottom w:val="outset" w:sz="6" w:space="0" w:color="414142"/>
              <w:right w:val="outset" w:sz="6" w:space="0" w:color="414142"/>
            </w:tcBorders>
            <w:hideMark/>
          </w:tcPr>
          <w:p w14:paraId="55D70DCF" w14:textId="77777777" w:rsidR="00844176" w:rsidRPr="009F423C" w:rsidRDefault="00844176" w:rsidP="003D3252">
            <w:pPr>
              <w:contextualSpacing/>
              <w:rPr>
                <w:rFonts w:eastAsia="Times New Roman"/>
                <w:sz w:val="26"/>
                <w:szCs w:val="26"/>
                <w:lang w:val="lv-LV" w:eastAsia="lv-LV"/>
              </w:rPr>
            </w:pPr>
            <w:r w:rsidRPr="009F423C">
              <w:rPr>
                <w:sz w:val="26"/>
                <w:lang w:val="lv-LV"/>
              </w:rPr>
              <w:t>4.</w:t>
            </w:r>
          </w:p>
        </w:tc>
        <w:tc>
          <w:tcPr>
            <w:tcW w:w="2558" w:type="dxa"/>
            <w:tcBorders>
              <w:top w:val="outset" w:sz="6" w:space="0" w:color="414142"/>
              <w:left w:val="outset" w:sz="6" w:space="0" w:color="414142"/>
              <w:bottom w:val="outset" w:sz="6" w:space="0" w:color="414142"/>
              <w:right w:val="outset" w:sz="6" w:space="0" w:color="414142"/>
            </w:tcBorders>
            <w:hideMark/>
          </w:tcPr>
          <w:p w14:paraId="3639AA3F" w14:textId="77777777" w:rsidR="00844176" w:rsidRPr="009F423C" w:rsidRDefault="00844176" w:rsidP="003D3252">
            <w:pPr>
              <w:contextualSpacing/>
              <w:rPr>
                <w:rFonts w:eastAsia="Times New Roman"/>
                <w:sz w:val="26"/>
                <w:szCs w:val="26"/>
                <w:lang w:val="lv-LV" w:eastAsia="lv-LV"/>
              </w:rPr>
            </w:pPr>
            <w:r w:rsidRPr="009F423C">
              <w:rPr>
                <w:sz w:val="26"/>
                <w:lang w:val="lv-LV"/>
              </w:rPr>
              <w:t>Cita informācija</w:t>
            </w:r>
          </w:p>
        </w:tc>
        <w:tc>
          <w:tcPr>
            <w:tcW w:w="6160" w:type="dxa"/>
            <w:tcBorders>
              <w:top w:val="outset" w:sz="6" w:space="0" w:color="414142"/>
              <w:left w:val="outset" w:sz="6" w:space="0" w:color="414142"/>
              <w:bottom w:val="outset" w:sz="6" w:space="0" w:color="414142"/>
              <w:right w:val="outset" w:sz="6" w:space="0" w:color="414142"/>
            </w:tcBorders>
            <w:hideMark/>
          </w:tcPr>
          <w:p w14:paraId="5D4509E1" w14:textId="5EFCDE3B" w:rsidR="00844176" w:rsidRPr="009F423C" w:rsidRDefault="00AA0266" w:rsidP="003D3252">
            <w:pPr>
              <w:contextualSpacing/>
              <w:rPr>
                <w:rFonts w:eastAsia="Times New Roman"/>
                <w:sz w:val="26"/>
                <w:szCs w:val="26"/>
                <w:lang w:val="lv-LV" w:eastAsia="lv-LV"/>
              </w:rPr>
            </w:pPr>
            <w:r w:rsidRPr="009F423C">
              <w:rPr>
                <w:sz w:val="26"/>
                <w:lang w:val="lv-LV" w:eastAsia="lv-LV"/>
              </w:rPr>
              <w:t>Nav</w:t>
            </w:r>
          </w:p>
        </w:tc>
      </w:tr>
    </w:tbl>
    <w:p w14:paraId="00447F19" w14:textId="3BFE4D51" w:rsidR="009A00EB" w:rsidRPr="009F423C" w:rsidRDefault="009A00EB" w:rsidP="009A00EB">
      <w:pPr>
        <w:contextualSpacing/>
        <w:rPr>
          <w:rFonts w:eastAsia="Times New Roman"/>
          <w:sz w:val="26"/>
          <w:szCs w:val="26"/>
          <w:lang w:val="lv-LV" w:eastAsia="lv-LV"/>
        </w:rPr>
      </w:pPr>
    </w:p>
    <w:tbl>
      <w:tblPr>
        <w:tblW w:w="912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0"/>
        <w:gridCol w:w="2702"/>
        <w:gridCol w:w="6157"/>
      </w:tblGrid>
      <w:tr w:rsidR="00844176" w:rsidRPr="005571E1" w14:paraId="5271E387" w14:textId="77777777" w:rsidTr="003D3252">
        <w:trPr>
          <w:trHeight w:val="555"/>
        </w:trPr>
        <w:tc>
          <w:tcPr>
            <w:tcW w:w="9129" w:type="dxa"/>
            <w:gridSpan w:val="3"/>
            <w:tcBorders>
              <w:top w:val="single" w:sz="4" w:space="0" w:color="auto"/>
              <w:left w:val="single" w:sz="4" w:space="0" w:color="auto"/>
              <w:bottom w:val="single" w:sz="4" w:space="0" w:color="auto"/>
              <w:right w:val="single" w:sz="4" w:space="0" w:color="auto"/>
            </w:tcBorders>
            <w:hideMark/>
          </w:tcPr>
          <w:p w14:paraId="4DC32511" w14:textId="2050B5AE" w:rsidR="00844176" w:rsidRPr="009F423C" w:rsidRDefault="009A00EB" w:rsidP="003D3252">
            <w:pPr>
              <w:contextualSpacing/>
              <w:jc w:val="center"/>
              <w:rPr>
                <w:rFonts w:eastAsia="Times New Roman"/>
                <w:sz w:val="26"/>
                <w:szCs w:val="26"/>
                <w:lang w:val="lv-LV" w:eastAsia="lv-LV"/>
              </w:rPr>
            </w:pPr>
            <w:r w:rsidRPr="009F423C">
              <w:rPr>
                <w:rFonts w:eastAsia="Times New Roman"/>
                <w:b/>
                <w:bCs/>
                <w:sz w:val="26"/>
                <w:szCs w:val="26"/>
                <w:lang w:val="lv-LV" w:eastAsia="lv-LV"/>
              </w:rPr>
              <w:t>II. Tiesību akta projekta ietekme uz sabiedrību, tautsaimniecības attīstību un administratīvo slogu</w:t>
            </w:r>
          </w:p>
        </w:tc>
      </w:tr>
      <w:tr w:rsidR="00A76C0A" w:rsidRPr="005571E1" w14:paraId="7F8630C6" w14:textId="77777777" w:rsidTr="00D51DD0">
        <w:trPr>
          <w:trHeight w:val="465"/>
        </w:trPr>
        <w:tc>
          <w:tcPr>
            <w:tcW w:w="270" w:type="dxa"/>
            <w:tcBorders>
              <w:top w:val="single" w:sz="4" w:space="0" w:color="auto"/>
              <w:left w:val="outset" w:sz="6" w:space="0" w:color="414142"/>
              <w:bottom w:val="outset" w:sz="6" w:space="0" w:color="414142"/>
              <w:right w:val="outset" w:sz="6" w:space="0" w:color="414142"/>
            </w:tcBorders>
            <w:hideMark/>
          </w:tcPr>
          <w:p w14:paraId="523CFEBF"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1.</w:t>
            </w:r>
          </w:p>
        </w:tc>
        <w:tc>
          <w:tcPr>
            <w:tcW w:w="2702" w:type="dxa"/>
            <w:tcBorders>
              <w:top w:val="single" w:sz="4" w:space="0" w:color="auto"/>
              <w:left w:val="outset" w:sz="6" w:space="0" w:color="414142"/>
              <w:bottom w:val="outset" w:sz="6" w:space="0" w:color="414142"/>
              <w:right w:val="outset" w:sz="6" w:space="0" w:color="414142"/>
            </w:tcBorders>
            <w:hideMark/>
          </w:tcPr>
          <w:p w14:paraId="0905C526"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 xml:space="preserve">Sabiedrības </w:t>
            </w:r>
            <w:proofErr w:type="spellStart"/>
            <w:r w:rsidRPr="009F423C">
              <w:rPr>
                <w:rFonts w:eastAsia="Times New Roman"/>
                <w:sz w:val="26"/>
                <w:szCs w:val="26"/>
                <w:lang w:val="lv-LV" w:eastAsia="lv-LV"/>
              </w:rPr>
              <w:t>mērķgrupas</w:t>
            </w:r>
            <w:proofErr w:type="spellEnd"/>
            <w:r w:rsidRPr="009F423C">
              <w:rPr>
                <w:rFonts w:eastAsia="Times New Roman"/>
                <w:sz w:val="26"/>
                <w:szCs w:val="26"/>
                <w:lang w:val="lv-LV" w:eastAsia="lv-LV"/>
              </w:rPr>
              <w:t xml:space="preserve">, kuras tiesiskais </w:t>
            </w:r>
            <w:r w:rsidRPr="009F423C">
              <w:rPr>
                <w:rFonts w:eastAsia="Times New Roman"/>
                <w:sz w:val="26"/>
                <w:szCs w:val="26"/>
                <w:lang w:val="lv-LV" w:eastAsia="lv-LV"/>
              </w:rPr>
              <w:lastRenderedPageBreak/>
              <w:t>regulējums ietekmē vai varētu ietekmēt</w:t>
            </w:r>
          </w:p>
        </w:tc>
        <w:tc>
          <w:tcPr>
            <w:tcW w:w="6157" w:type="dxa"/>
            <w:tcBorders>
              <w:top w:val="single" w:sz="4" w:space="0" w:color="auto"/>
              <w:left w:val="outset" w:sz="6" w:space="0" w:color="414142"/>
              <w:bottom w:val="outset" w:sz="6" w:space="0" w:color="414142"/>
              <w:right w:val="outset" w:sz="6" w:space="0" w:color="414142"/>
            </w:tcBorders>
            <w:hideMark/>
          </w:tcPr>
          <w:p w14:paraId="3D68FB87" w14:textId="68936F28" w:rsidR="0014739B" w:rsidRPr="009F423C" w:rsidRDefault="00CB1F66" w:rsidP="005F3196">
            <w:pPr>
              <w:ind w:right="201"/>
              <w:contextualSpacing/>
              <w:jc w:val="both"/>
              <w:rPr>
                <w:sz w:val="26"/>
                <w:szCs w:val="26"/>
                <w:lang w:val="lv-LV"/>
              </w:rPr>
            </w:pPr>
            <w:r w:rsidRPr="009F423C">
              <w:rPr>
                <w:sz w:val="26"/>
                <w:szCs w:val="26"/>
                <w:lang w:val="lv-LV"/>
              </w:rPr>
              <w:lastRenderedPageBreak/>
              <w:t>Latvijā reģistrēti saimnieciskās darbības veicēji</w:t>
            </w:r>
            <w:r w:rsidR="00CB30D1" w:rsidRPr="009F423C">
              <w:rPr>
                <w:sz w:val="26"/>
                <w:szCs w:val="26"/>
                <w:lang w:val="lv-LV"/>
              </w:rPr>
              <w:t>.</w:t>
            </w:r>
          </w:p>
        </w:tc>
      </w:tr>
      <w:tr w:rsidR="00A76C0A" w:rsidRPr="00204393" w14:paraId="718E705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5A0A07C0"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2.</w:t>
            </w:r>
          </w:p>
        </w:tc>
        <w:tc>
          <w:tcPr>
            <w:tcW w:w="2702" w:type="dxa"/>
            <w:tcBorders>
              <w:top w:val="outset" w:sz="6" w:space="0" w:color="414142"/>
              <w:left w:val="outset" w:sz="6" w:space="0" w:color="414142"/>
              <w:bottom w:val="outset" w:sz="6" w:space="0" w:color="414142"/>
              <w:right w:val="outset" w:sz="6" w:space="0" w:color="414142"/>
            </w:tcBorders>
            <w:hideMark/>
          </w:tcPr>
          <w:p w14:paraId="4DD83946"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Tiesiskā regulējuma ietekme uz tautsaimniecību un administratīvo slogu</w:t>
            </w:r>
          </w:p>
        </w:tc>
        <w:tc>
          <w:tcPr>
            <w:tcW w:w="6157" w:type="dxa"/>
            <w:tcBorders>
              <w:top w:val="outset" w:sz="6" w:space="0" w:color="414142"/>
              <w:left w:val="outset" w:sz="6" w:space="0" w:color="414142"/>
              <w:bottom w:val="outset" w:sz="6" w:space="0" w:color="414142"/>
              <w:right w:val="outset" w:sz="6" w:space="0" w:color="414142"/>
            </w:tcBorders>
            <w:hideMark/>
          </w:tcPr>
          <w:p w14:paraId="33918B01" w14:textId="31FC7498" w:rsidR="009A00EB" w:rsidRPr="009F423C" w:rsidRDefault="00DD0405" w:rsidP="00772B32">
            <w:pPr>
              <w:pStyle w:val="BodyText"/>
              <w:ind w:right="201"/>
              <w:contextualSpacing/>
              <w:rPr>
                <w:rFonts w:eastAsia="Calibri"/>
                <w:sz w:val="26"/>
                <w:szCs w:val="26"/>
                <w:lang w:eastAsia="en-US"/>
              </w:rPr>
            </w:pPr>
            <w:r w:rsidRPr="009F423C">
              <w:rPr>
                <w:rFonts w:eastAsia="Calibri"/>
                <w:sz w:val="26"/>
                <w:szCs w:val="26"/>
                <w:lang w:eastAsia="en-US"/>
              </w:rPr>
              <w:t>Projekts šo jomu neskar</w:t>
            </w:r>
          </w:p>
        </w:tc>
      </w:tr>
      <w:tr w:rsidR="00A76C0A" w:rsidRPr="00204393" w14:paraId="6AF18C8D" w14:textId="77777777" w:rsidTr="00D51DD0">
        <w:trPr>
          <w:trHeight w:val="510"/>
        </w:trPr>
        <w:tc>
          <w:tcPr>
            <w:tcW w:w="270" w:type="dxa"/>
            <w:tcBorders>
              <w:top w:val="outset" w:sz="6" w:space="0" w:color="414142"/>
              <w:left w:val="outset" w:sz="6" w:space="0" w:color="414142"/>
              <w:bottom w:val="outset" w:sz="6" w:space="0" w:color="414142"/>
              <w:right w:val="outset" w:sz="6" w:space="0" w:color="414142"/>
            </w:tcBorders>
            <w:hideMark/>
          </w:tcPr>
          <w:p w14:paraId="0079992C"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3.</w:t>
            </w:r>
          </w:p>
        </w:tc>
        <w:tc>
          <w:tcPr>
            <w:tcW w:w="2702" w:type="dxa"/>
            <w:tcBorders>
              <w:top w:val="outset" w:sz="6" w:space="0" w:color="414142"/>
              <w:left w:val="outset" w:sz="6" w:space="0" w:color="414142"/>
              <w:bottom w:val="outset" w:sz="6" w:space="0" w:color="414142"/>
              <w:right w:val="outset" w:sz="6" w:space="0" w:color="414142"/>
            </w:tcBorders>
            <w:hideMark/>
          </w:tcPr>
          <w:p w14:paraId="53F5EA5A"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Administratīvo izmaksu monetārs novērtējums</w:t>
            </w:r>
          </w:p>
        </w:tc>
        <w:tc>
          <w:tcPr>
            <w:tcW w:w="6157" w:type="dxa"/>
            <w:tcBorders>
              <w:top w:val="outset" w:sz="6" w:space="0" w:color="414142"/>
              <w:left w:val="outset" w:sz="6" w:space="0" w:color="414142"/>
              <w:bottom w:val="outset" w:sz="6" w:space="0" w:color="414142"/>
              <w:right w:val="outset" w:sz="6" w:space="0" w:color="414142"/>
            </w:tcBorders>
            <w:hideMark/>
          </w:tcPr>
          <w:p w14:paraId="1C2C4F79" w14:textId="7FD21686" w:rsidR="009A00EB" w:rsidRPr="009F423C" w:rsidRDefault="009A00EB" w:rsidP="005F3196">
            <w:pPr>
              <w:pStyle w:val="BodyText"/>
              <w:ind w:right="201"/>
              <w:contextualSpacing/>
              <w:rPr>
                <w:rFonts w:eastAsia="Calibri"/>
                <w:sz w:val="26"/>
                <w:szCs w:val="26"/>
                <w:lang w:eastAsia="en-US"/>
              </w:rPr>
            </w:pPr>
            <w:r w:rsidRPr="009F423C">
              <w:rPr>
                <w:rFonts w:eastAsia="Calibri"/>
                <w:sz w:val="26"/>
                <w:szCs w:val="26"/>
                <w:lang w:eastAsia="en-US"/>
              </w:rPr>
              <w:t>Projekts šo jomu neskar</w:t>
            </w:r>
          </w:p>
        </w:tc>
      </w:tr>
      <w:tr w:rsidR="00A76C0A" w:rsidRPr="00204393" w14:paraId="259E0982" w14:textId="77777777" w:rsidTr="00D51DD0">
        <w:trPr>
          <w:trHeight w:val="510"/>
        </w:trPr>
        <w:tc>
          <w:tcPr>
            <w:tcW w:w="270" w:type="dxa"/>
            <w:tcBorders>
              <w:top w:val="outset" w:sz="6" w:space="0" w:color="auto"/>
              <w:left w:val="outset" w:sz="6" w:space="0" w:color="auto"/>
              <w:bottom w:val="outset" w:sz="6" w:space="0" w:color="auto"/>
              <w:right w:val="outset" w:sz="6" w:space="0" w:color="auto"/>
            </w:tcBorders>
          </w:tcPr>
          <w:p w14:paraId="4FA9F4E2"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4.</w:t>
            </w:r>
          </w:p>
        </w:tc>
        <w:tc>
          <w:tcPr>
            <w:tcW w:w="2702" w:type="dxa"/>
            <w:tcBorders>
              <w:top w:val="outset" w:sz="6" w:space="0" w:color="auto"/>
              <w:left w:val="outset" w:sz="6" w:space="0" w:color="auto"/>
              <w:bottom w:val="outset" w:sz="6" w:space="0" w:color="auto"/>
              <w:right w:val="outset" w:sz="6" w:space="0" w:color="auto"/>
            </w:tcBorders>
          </w:tcPr>
          <w:p w14:paraId="46245F16"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Atbilstības izmaksu monetārs novērtējums</w:t>
            </w:r>
          </w:p>
        </w:tc>
        <w:tc>
          <w:tcPr>
            <w:tcW w:w="6157" w:type="dxa"/>
            <w:tcBorders>
              <w:top w:val="outset" w:sz="6" w:space="0" w:color="auto"/>
              <w:left w:val="outset" w:sz="6" w:space="0" w:color="auto"/>
              <w:bottom w:val="outset" w:sz="6" w:space="0" w:color="auto"/>
              <w:right w:val="outset" w:sz="6" w:space="0" w:color="auto"/>
            </w:tcBorders>
          </w:tcPr>
          <w:p w14:paraId="7C60B8CA" w14:textId="39B71D86" w:rsidR="009A00EB" w:rsidRPr="009F423C" w:rsidRDefault="009A00EB" w:rsidP="005F3196">
            <w:pPr>
              <w:pStyle w:val="BodyText"/>
              <w:ind w:right="201"/>
              <w:contextualSpacing/>
              <w:rPr>
                <w:rFonts w:eastAsia="Calibri"/>
                <w:sz w:val="26"/>
                <w:szCs w:val="26"/>
                <w:lang w:eastAsia="en-US"/>
              </w:rPr>
            </w:pPr>
            <w:r w:rsidRPr="009F423C">
              <w:rPr>
                <w:rFonts w:eastAsia="Calibri"/>
                <w:sz w:val="26"/>
                <w:szCs w:val="26"/>
                <w:lang w:eastAsia="en-US"/>
              </w:rPr>
              <w:t>Projekts šo jomu neskar</w:t>
            </w:r>
          </w:p>
        </w:tc>
      </w:tr>
      <w:tr w:rsidR="00A76C0A" w:rsidRPr="00204393" w14:paraId="14FCA979" w14:textId="77777777" w:rsidTr="00D51DD0">
        <w:trPr>
          <w:trHeight w:val="345"/>
        </w:trPr>
        <w:tc>
          <w:tcPr>
            <w:tcW w:w="270" w:type="dxa"/>
            <w:tcBorders>
              <w:top w:val="outset" w:sz="6" w:space="0" w:color="414142"/>
              <w:left w:val="outset" w:sz="6" w:space="0" w:color="414142"/>
              <w:bottom w:val="outset" w:sz="6" w:space="0" w:color="414142"/>
              <w:right w:val="outset" w:sz="6" w:space="0" w:color="414142"/>
            </w:tcBorders>
            <w:hideMark/>
          </w:tcPr>
          <w:p w14:paraId="3ADF77E6"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5.</w:t>
            </w:r>
          </w:p>
        </w:tc>
        <w:tc>
          <w:tcPr>
            <w:tcW w:w="2702" w:type="dxa"/>
            <w:tcBorders>
              <w:top w:val="outset" w:sz="6" w:space="0" w:color="414142"/>
              <w:left w:val="outset" w:sz="6" w:space="0" w:color="414142"/>
              <w:bottom w:val="outset" w:sz="6" w:space="0" w:color="414142"/>
              <w:right w:val="outset" w:sz="6" w:space="0" w:color="414142"/>
            </w:tcBorders>
            <w:hideMark/>
          </w:tcPr>
          <w:p w14:paraId="2A078AD2" w14:textId="77777777" w:rsidR="009A00EB" w:rsidRPr="009F423C" w:rsidRDefault="009A00EB" w:rsidP="009A00EB">
            <w:pPr>
              <w:contextualSpacing/>
              <w:rPr>
                <w:rFonts w:eastAsia="Times New Roman"/>
                <w:sz w:val="26"/>
                <w:szCs w:val="26"/>
                <w:lang w:val="lv-LV" w:eastAsia="lv-LV"/>
              </w:rPr>
            </w:pPr>
            <w:r w:rsidRPr="009F423C">
              <w:rPr>
                <w:rFonts w:eastAsia="Times New Roman"/>
                <w:sz w:val="26"/>
                <w:szCs w:val="26"/>
                <w:lang w:val="lv-LV" w:eastAsia="lv-LV"/>
              </w:rPr>
              <w:t>Cita informācija</w:t>
            </w:r>
          </w:p>
        </w:tc>
        <w:tc>
          <w:tcPr>
            <w:tcW w:w="6157" w:type="dxa"/>
            <w:tcBorders>
              <w:top w:val="outset" w:sz="6" w:space="0" w:color="414142"/>
              <w:left w:val="outset" w:sz="6" w:space="0" w:color="414142"/>
              <w:bottom w:val="outset" w:sz="6" w:space="0" w:color="414142"/>
              <w:right w:val="outset" w:sz="6" w:space="0" w:color="414142"/>
            </w:tcBorders>
            <w:hideMark/>
          </w:tcPr>
          <w:p w14:paraId="7E657313" w14:textId="77777777" w:rsidR="009A00EB" w:rsidRPr="009F423C" w:rsidRDefault="009A00EB" w:rsidP="005F3196">
            <w:pPr>
              <w:ind w:right="201"/>
              <w:contextualSpacing/>
              <w:jc w:val="both"/>
              <w:rPr>
                <w:sz w:val="26"/>
                <w:szCs w:val="26"/>
                <w:lang w:val="lv-LV"/>
              </w:rPr>
            </w:pPr>
            <w:r w:rsidRPr="009F423C">
              <w:rPr>
                <w:sz w:val="26"/>
                <w:szCs w:val="26"/>
                <w:lang w:val="lv-LV"/>
              </w:rPr>
              <w:t>Nav</w:t>
            </w:r>
          </w:p>
        </w:tc>
      </w:tr>
    </w:tbl>
    <w:p w14:paraId="57D2014F" w14:textId="77777777" w:rsidR="00E0333C" w:rsidRPr="009F423C" w:rsidRDefault="00E0333C" w:rsidP="00370711">
      <w:pPr>
        <w:contextualSpacing/>
        <w:rPr>
          <w:rFonts w:eastAsia="Times New Roman"/>
          <w:sz w:val="26"/>
          <w:szCs w:val="26"/>
          <w:lang w:val="lv-LV" w:eastAsia="lv-LV"/>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E0333C" w:rsidRPr="005571E1" w14:paraId="5C3AC8E5"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hideMark/>
          </w:tcPr>
          <w:p w14:paraId="2E8916C1" w14:textId="77777777" w:rsidR="00E0333C" w:rsidRPr="009F423C" w:rsidRDefault="00E0333C" w:rsidP="00370711">
            <w:pPr>
              <w:contextualSpacing/>
              <w:rPr>
                <w:rFonts w:eastAsia="Times New Roman"/>
                <w:b/>
                <w:sz w:val="26"/>
                <w:szCs w:val="26"/>
                <w:lang w:val="lv-LV" w:eastAsia="lv-LV"/>
              </w:rPr>
            </w:pPr>
            <w:r w:rsidRPr="009F423C">
              <w:rPr>
                <w:rFonts w:eastAsia="Times New Roman"/>
                <w:b/>
                <w:bCs/>
                <w:sz w:val="26"/>
                <w:szCs w:val="26"/>
                <w:lang w:val="lv-LV" w:eastAsia="lv-LV"/>
              </w:rPr>
              <w:t>III. Tiesību akta projekta ietekme uz valsts budžetu un pašvaldību budžetiem</w:t>
            </w:r>
          </w:p>
        </w:tc>
      </w:tr>
      <w:tr w:rsidR="00E0333C" w:rsidRPr="00204393" w14:paraId="07D6D83D" w14:textId="77777777" w:rsidTr="002E7B7E">
        <w:tc>
          <w:tcPr>
            <w:tcW w:w="9180" w:type="dxa"/>
            <w:tcBorders>
              <w:top w:val="single" w:sz="4" w:space="0" w:color="auto"/>
              <w:left w:val="single" w:sz="4" w:space="0" w:color="auto"/>
              <w:bottom w:val="single" w:sz="4" w:space="0" w:color="auto"/>
              <w:right w:val="single" w:sz="4" w:space="0" w:color="auto"/>
            </w:tcBorders>
            <w:shd w:val="clear" w:color="auto" w:fill="auto"/>
          </w:tcPr>
          <w:p w14:paraId="5639F0C7" w14:textId="43ACAAB1" w:rsidR="00E0333C" w:rsidRPr="009F423C" w:rsidRDefault="003A4F11" w:rsidP="009E63D5">
            <w:pPr>
              <w:jc w:val="center"/>
              <w:rPr>
                <w:rFonts w:eastAsia="Times New Roman"/>
                <w:sz w:val="26"/>
                <w:szCs w:val="26"/>
                <w:lang w:val="lv-LV" w:eastAsia="lv-LV"/>
              </w:rPr>
            </w:pPr>
            <w:r w:rsidRPr="009F423C">
              <w:rPr>
                <w:sz w:val="26"/>
                <w:szCs w:val="26"/>
                <w:lang w:val="lv-LV"/>
              </w:rPr>
              <w:t>Projekts šo jomu neskar</w:t>
            </w:r>
          </w:p>
        </w:tc>
      </w:tr>
    </w:tbl>
    <w:p w14:paraId="57F14BC5" w14:textId="512F1E09" w:rsidR="00844176" w:rsidRPr="009F423C" w:rsidRDefault="00844176" w:rsidP="00370711">
      <w:pPr>
        <w:contextualSpacing/>
        <w:rPr>
          <w:rFonts w:eastAsia="Times New Roman"/>
          <w:sz w:val="26"/>
          <w:szCs w:val="26"/>
          <w:lang w:val="lv-LV"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844176" w:rsidRPr="005571E1" w14:paraId="6C33CD82" w14:textId="77777777" w:rsidTr="00320B22">
        <w:trPr>
          <w:trHeight w:val="450"/>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5EF4B0E9" w14:textId="77777777" w:rsidR="00844176" w:rsidRPr="009F423C" w:rsidRDefault="00844176" w:rsidP="00320B22">
            <w:pPr>
              <w:ind w:firstLine="300"/>
              <w:contextualSpacing/>
              <w:rPr>
                <w:rFonts w:eastAsia="Times New Roman"/>
                <w:b/>
                <w:bCs/>
                <w:sz w:val="26"/>
                <w:szCs w:val="26"/>
                <w:lang w:val="lv-LV" w:eastAsia="lv-LV"/>
              </w:rPr>
            </w:pPr>
            <w:r w:rsidRPr="009F423C">
              <w:rPr>
                <w:rFonts w:eastAsia="Times New Roman"/>
                <w:b/>
                <w:bCs/>
                <w:sz w:val="26"/>
                <w:szCs w:val="26"/>
                <w:lang w:val="lv-LV" w:eastAsia="lv-LV"/>
              </w:rPr>
              <w:t>IV. Tiesību akta projekta ietekme uz spēkā esošo tiesību normu sistēmu</w:t>
            </w:r>
          </w:p>
        </w:tc>
      </w:tr>
      <w:tr w:rsidR="00C44F01" w:rsidRPr="00204393" w14:paraId="1D5D3C8F" w14:textId="77777777" w:rsidTr="00C44F01">
        <w:tc>
          <w:tcPr>
            <w:tcW w:w="5000" w:type="pct"/>
            <w:tcBorders>
              <w:top w:val="outset" w:sz="6" w:space="0" w:color="414142"/>
              <w:left w:val="outset" w:sz="6" w:space="0" w:color="414142"/>
              <w:bottom w:val="outset" w:sz="6" w:space="0" w:color="414142"/>
              <w:right w:val="outset" w:sz="6" w:space="0" w:color="414142"/>
            </w:tcBorders>
          </w:tcPr>
          <w:p w14:paraId="60BBBD62" w14:textId="197D0446" w:rsidR="00C44F01" w:rsidRPr="009F423C" w:rsidRDefault="00C44F01" w:rsidP="009E63D5">
            <w:pPr>
              <w:jc w:val="center"/>
              <w:rPr>
                <w:sz w:val="26"/>
                <w:szCs w:val="26"/>
                <w:lang w:val="lv-LV"/>
              </w:rPr>
            </w:pPr>
            <w:r w:rsidRPr="009F423C">
              <w:rPr>
                <w:sz w:val="26"/>
                <w:szCs w:val="26"/>
                <w:lang w:val="lv-LV"/>
              </w:rPr>
              <w:t>Projekts šo jomu neskar</w:t>
            </w:r>
          </w:p>
        </w:tc>
      </w:tr>
    </w:tbl>
    <w:p w14:paraId="2A21AD4B" w14:textId="77777777" w:rsidR="00844176" w:rsidRPr="009F423C" w:rsidRDefault="00844176" w:rsidP="00370711">
      <w:pPr>
        <w:contextualSpacing/>
        <w:rPr>
          <w:rFonts w:eastAsia="Times New Roman"/>
          <w:sz w:val="26"/>
          <w:szCs w:val="26"/>
          <w:lang w:val="lv-LV" w:eastAsia="lv-LV"/>
        </w:rPr>
      </w:pPr>
    </w:p>
    <w:tbl>
      <w:tblPr>
        <w:tblW w:w="920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05"/>
      </w:tblGrid>
      <w:tr w:rsidR="00844176" w:rsidRPr="00204393" w14:paraId="07C3ABEE" w14:textId="77777777" w:rsidTr="00871E2F">
        <w:tc>
          <w:tcPr>
            <w:tcW w:w="0" w:type="auto"/>
            <w:tcBorders>
              <w:top w:val="outset" w:sz="6" w:space="0" w:color="414142"/>
              <w:left w:val="outset" w:sz="6" w:space="0" w:color="414142"/>
              <w:bottom w:val="outset" w:sz="6" w:space="0" w:color="414142"/>
              <w:right w:val="outset" w:sz="6" w:space="0" w:color="414142"/>
            </w:tcBorders>
            <w:hideMark/>
          </w:tcPr>
          <w:p w14:paraId="6901DE8D" w14:textId="77777777" w:rsidR="00844176" w:rsidRPr="009F423C" w:rsidRDefault="00844176" w:rsidP="00370711">
            <w:pPr>
              <w:contextualSpacing/>
              <w:jc w:val="center"/>
              <w:rPr>
                <w:rFonts w:eastAsia="Times New Roman"/>
                <w:sz w:val="26"/>
                <w:szCs w:val="26"/>
                <w:lang w:val="lv-LV" w:eastAsia="lv-LV"/>
              </w:rPr>
            </w:pPr>
            <w:r w:rsidRPr="009F423C">
              <w:rPr>
                <w:b/>
                <w:sz w:val="26"/>
                <w:lang w:val="lv-LV"/>
              </w:rPr>
              <w:t>V. Tiesību akta projekta atbilstība Latvijas Republikas starptautiskajām saistībām</w:t>
            </w:r>
          </w:p>
        </w:tc>
      </w:tr>
      <w:tr w:rsidR="00C44F01" w:rsidRPr="00204393" w14:paraId="5886CCC2" w14:textId="77777777" w:rsidTr="00871E2F">
        <w:tc>
          <w:tcPr>
            <w:tcW w:w="0" w:type="auto"/>
            <w:tcBorders>
              <w:top w:val="outset" w:sz="6" w:space="0" w:color="414142"/>
              <w:left w:val="outset" w:sz="6" w:space="0" w:color="414142"/>
              <w:bottom w:val="outset" w:sz="6" w:space="0" w:color="414142"/>
              <w:right w:val="outset" w:sz="6" w:space="0" w:color="414142"/>
            </w:tcBorders>
          </w:tcPr>
          <w:p w14:paraId="333377C7" w14:textId="6BF0870E" w:rsidR="00C44F01" w:rsidRPr="009F423C" w:rsidRDefault="00C44F01" w:rsidP="00370711">
            <w:pPr>
              <w:contextualSpacing/>
              <w:jc w:val="center"/>
              <w:rPr>
                <w:b/>
                <w:sz w:val="26"/>
                <w:lang w:val="lv-LV"/>
              </w:rPr>
            </w:pPr>
            <w:r w:rsidRPr="009F423C">
              <w:rPr>
                <w:sz w:val="26"/>
                <w:szCs w:val="26"/>
                <w:lang w:val="lv-LV"/>
              </w:rPr>
              <w:t>Projekts šo jomu neskar</w:t>
            </w:r>
            <w:r>
              <w:rPr>
                <w:sz w:val="26"/>
                <w:szCs w:val="26"/>
                <w:lang w:val="lv-LV"/>
              </w:rPr>
              <w:t>.</w:t>
            </w:r>
          </w:p>
        </w:tc>
      </w:tr>
    </w:tbl>
    <w:p w14:paraId="1F45E5ED" w14:textId="0BEAAA20" w:rsidR="00844176" w:rsidRPr="009F423C" w:rsidRDefault="00844176" w:rsidP="00370711">
      <w:pPr>
        <w:contextualSpacing/>
        <w:rPr>
          <w:sz w:val="26"/>
          <w:lang w:val="lv-LV"/>
        </w:rPr>
      </w:pPr>
    </w:p>
    <w:tbl>
      <w:tblPr>
        <w:tblW w:w="9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
        <w:gridCol w:w="2665"/>
        <w:gridCol w:w="6234"/>
      </w:tblGrid>
      <w:tr w:rsidR="006F4B13" w:rsidRPr="005571E1" w14:paraId="7EEC0F00" w14:textId="77777777" w:rsidTr="006C5DED">
        <w:trPr>
          <w:trHeight w:val="421"/>
        </w:trPr>
        <w:tc>
          <w:tcPr>
            <w:tcW w:w="9211" w:type="dxa"/>
            <w:gridSpan w:val="3"/>
            <w:tcBorders>
              <w:top w:val="single" w:sz="2" w:space="0" w:color="auto"/>
            </w:tcBorders>
            <w:vAlign w:val="center"/>
          </w:tcPr>
          <w:p w14:paraId="7BCCE7F8" w14:textId="77777777" w:rsidR="006F4B13" w:rsidRPr="009F423C" w:rsidRDefault="006F4B13" w:rsidP="00370711">
            <w:pPr>
              <w:ind w:left="57" w:right="57"/>
              <w:contextualSpacing/>
              <w:jc w:val="center"/>
              <w:rPr>
                <w:rFonts w:eastAsia="Times New Roman"/>
                <w:sz w:val="25"/>
                <w:szCs w:val="25"/>
                <w:lang w:val="lv-LV"/>
              </w:rPr>
            </w:pPr>
            <w:r w:rsidRPr="009F423C">
              <w:rPr>
                <w:rFonts w:eastAsia="Times New Roman"/>
                <w:b/>
                <w:sz w:val="25"/>
                <w:szCs w:val="25"/>
                <w:lang w:val="lv-LV"/>
              </w:rPr>
              <w:t>VI. Sabiedrības līdzdalība un komunikācijas aktivitātes</w:t>
            </w:r>
          </w:p>
        </w:tc>
      </w:tr>
      <w:tr w:rsidR="006F4B13" w:rsidRPr="005571E1" w14:paraId="6FEF54FD" w14:textId="77777777" w:rsidTr="00E50D80">
        <w:trPr>
          <w:trHeight w:val="553"/>
        </w:trPr>
        <w:tc>
          <w:tcPr>
            <w:tcW w:w="312" w:type="dxa"/>
          </w:tcPr>
          <w:p w14:paraId="41086138" w14:textId="77777777" w:rsidR="006F4B13" w:rsidRPr="009F423C" w:rsidRDefault="006F4B13" w:rsidP="00370711">
            <w:pPr>
              <w:ind w:left="57" w:right="57"/>
              <w:contextualSpacing/>
              <w:jc w:val="both"/>
              <w:rPr>
                <w:sz w:val="25"/>
                <w:lang w:val="lv-LV"/>
              </w:rPr>
            </w:pPr>
            <w:r w:rsidRPr="009F423C">
              <w:rPr>
                <w:sz w:val="25"/>
                <w:lang w:val="lv-LV"/>
              </w:rPr>
              <w:t>1.</w:t>
            </w:r>
          </w:p>
        </w:tc>
        <w:tc>
          <w:tcPr>
            <w:tcW w:w="2665" w:type="dxa"/>
          </w:tcPr>
          <w:p w14:paraId="798682AC" w14:textId="77777777" w:rsidR="006F4B13" w:rsidRPr="009F423C" w:rsidRDefault="006F4B13" w:rsidP="00370711">
            <w:pPr>
              <w:tabs>
                <w:tab w:val="left" w:pos="170"/>
              </w:tabs>
              <w:ind w:left="57" w:right="57"/>
              <w:contextualSpacing/>
              <w:rPr>
                <w:rFonts w:eastAsia="PMingLiU"/>
                <w:sz w:val="26"/>
                <w:szCs w:val="26"/>
                <w:lang w:val="lv-LV" w:eastAsia="ja-JP"/>
              </w:rPr>
            </w:pPr>
            <w:r w:rsidRPr="009F423C">
              <w:rPr>
                <w:rFonts w:eastAsia="PMingLiU"/>
                <w:sz w:val="26"/>
                <w:szCs w:val="26"/>
                <w:lang w:val="lv-LV" w:eastAsia="ja-JP"/>
              </w:rPr>
              <w:t>Plānotās sabiedrības līdzdalības un komunikācijas aktivitātes saistībā ar projektu</w:t>
            </w:r>
          </w:p>
        </w:tc>
        <w:tc>
          <w:tcPr>
            <w:tcW w:w="6234" w:type="dxa"/>
          </w:tcPr>
          <w:p w14:paraId="384FFED0" w14:textId="3D11A9EF" w:rsidR="00D27E4D" w:rsidRPr="009F423C" w:rsidRDefault="005832C9" w:rsidP="0069630E">
            <w:pPr>
              <w:jc w:val="both"/>
              <w:rPr>
                <w:rFonts w:eastAsia="PMingLiU"/>
                <w:sz w:val="26"/>
                <w:szCs w:val="26"/>
                <w:lang w:val="lv-LV" w:eastAsia="ja-JP"/>
              </w:rPr>
            </w:pPr>
            <w:r w:rsidRPr="009F423C">
              <w:rPr>
                <w:bCs/>
                <w:i/>
                <w:iCs/>
                <w:sz w:val="26"/>
                <w:szCs w:val="26"/>
                <w:lang w:val="lv-LV"/>
              </w:rPr>
              <w:t>Sabiedrības līdzdalība Noteikumu projekta izstrādē tiek īstenota atbilstoši Ministru kabineta 2009. gada 25. augusta noteikumiem Nr. 970 “Sabiedrības līdzdalības kārtība attīstības plānošanas procesā” 7.4.</w:t>
            </w:r>
            <w:r w:rsidRPr="009F423C">
              <w:rPr>
                <w:i/>
                <w:iCs/>
                <w:sz w:val="26"/>
                <w:szCs w:val="26"/>
                <w:vertAlign w:val="superscript"/>
                <w:lang w:val="lv-LV"/>
              </w:rPr>
              <w:t>1</w:t>
            </w:r>
            <w:r w:rsidRPr="009F423C">
              <w:rPr>
                <w:bCs/>
                <w:i/>
                <w:iCs/>
                <w:sz w:val="26"/>
                <w:szCs w:val="26"/>
                <w:lang w:val="lv-LV"/>
              </w:rPr>
              <w:t xml:space="preserve"> apakšpunktā, proti, sabiedrības pārstāvjiem tiek dota iespēja rakstiski sniegt viedokli par Noteikumu projektu tā izstrādes stadijā</w:t>
            </w:r>
            <w:r w:rsidR="00C44F01">
              <w:rPr>
                <w:bCs/>
                <w:sz w:val="26"/>
                <w:szCs w:val="26"/>
                <w:lang w:val="lv-LV"/>
              </w:rPr>
              <w:t xml:space="preserve">, publicējot informāciju Ekonomikas ministrijas un Valsts kancelejas </w:t>
            </w:r>
            <w:r w:rsidR="00D66620">
              <w:rPr>
                <w:bCs/>
                <w:sz w:val="26"/>
                <w:szCs w:val="26"/>
                <w:lang w:val="lv-LV"/>
              </w:rPr>
              <w:t>tīmekļvietnē</w:t>
            </w:r>
            <w:r w:rsidR="00C44F01">
              <w:rPr>
                <w:bCs/>
                <w:sz w:val="26"/>
                <w:szCs w:val="26"/>
                <w:lang w:val="lv-LV"/>
              </w:rPr>
              <w:t>.</w:t>
            </w:r>
          </w:p>
        </w:tc>
      </w:tr>
      <w:tr w:rsidR="006F4B13" w:rsidRPr="005571E1" w14:paraId="3F5FD1CD" w14:textId="77777777" w:rsidTr="00E50D80">
        <w:trPr>
          <w:trHeight w:val="339"/>
        </w:trPr>
        <w:tc>
          <w:tcPr>
            <w:tcW w:w="312" w:type="dxa"/>
          </w:tcPr>
          <w:p w14:paraId="4B9C6F89" w14:textId="77777777" w:rsidR="006F4B13" w:rsidRPr="009F423C" w:rsidRDefault="006F4B13" w:rsidP="00370711">
            <w:pPr>
              <w:ind w:left="57" w:right="57"/>
              <w:contextualSpacing/>
              <w:jc w:val="both"/>
              <w:rPr>
                <w:sz w:val="25"/>
                <w:lang w:val="lv-LV"/>
              </w:rPr>
            </w:pPr>
            <w:r w:rsidRPr="009F423C">
              <w:rPr>
                <w:sz w:val="25"/>
                <w:lang w:val="lv-LV"/>
              </w:rPr>
              <w:t>2.</w:t>
            </w:r>
          </w:p>
        </w:tc>
        <w:tc>
          <w:tcPr>
            <w:tcW w:w="2665" w:type="dxa"/>
          </w:tcPr>
          <w:p w14:paraId="4B6FBDE6" w14:textId="77777777" w:rsidR="006F4B13" w:rsidRPr="009F423C" w:rsidRDefault="006F4B13" w:rsidP="00370711">
            <w:pPr>
              <w:ind w:left="57" w:right="57"/>
              <w:contextualSpacing/>
              <w:rPr>
                <w:rFonts w:eastAsia="PMingLiU"/>
                <w:sz w:val="26"/>
                <w:szCs w:val="26"/>
                <w:lang w:val="lv-LV" w:eastAsia="ja-JP"/>
              </w:rPr>
            </w:pPr>
            <w:r w:rsidRPr="009F423C">
              <w:rPr>
                <w:rFonts w:eastAsia="PMingLiU"/>
                <w:sz w:val="26"/>
                <w:szCs w:val="26"/>
                <w:lang w:val="lv-LV" w:eastAsia="ja-JP"/>
              </w:rPr>
              <w:t>Sabiedrības līdzdalība projekta izstrādē</w:t>
            </w:r>
          </w:p>
        </w:tc>
        <w:tc>
          <w:tcPr>
            <w:tcW w:w="6234" w:type="dxa"/>
          </w:tcPr>
          <w:p w14:paraId="18D5064F" w14:textId="521DCBC2" w:rsidR="006F4B13" w:rsidRPr="009F423C" w:rsidRDefault="00686578" w:rsidP="00686578">
            <w:pPr>
              <w:ind w:right="113"/>
              <w:contextualSpacing/>
              <w:jc w:val="both"/>
              <w:rPr>
                <w:rFonts w:eastAsia="PMingLiU"/>
                <w:sz w:val="26"/>
                <w:szCs w:val="26"/>
                <w:lang w:val="lv-LV" w:eastAsia="ja-JP"/>
              </w:rPr>
            </w:pPr>
            <w:r w:rsidRPr="009F423C">
              <w:rPr>
                <w:rFonts w:eastAsia="PMingLiU"/>
                <w:sz w:val="26"/>
                <w:szCs w:val="26"/>
                <w:lang w:val="lv-LV" w:eastAsia="ja-JP"/>
              </w:rPr>
              <w:t xml:space="preserve">Sabiedrības līdzdalība tiek nodrošināta, ievietojot projektu Ekonomikas ministrijas </w:t>
            </w:r>
            <w:r w:rsidRPr="009F423C">
              <w:rPr>
                <w:rFonts w:eastAsia="Times New Roman"/>
                <w:iCs/>
                <w:sz w:val="26"/>
                <w:szCs w:val="26"/>
                <w:lang w:val="lv-LV"/>
              </w:rPr>
              <w:t xml:space="preserve">un Ministru kabineta </w:t>
            </w:r>
            <w:r w:rsidR="00475237" w:rsidRPr="009F423C">
              <w:rPr>
                <w:rFonts w:eastAsia="PMingLiU"/>
                <w:sz w:val="26"/>
                <w:szCs w:val="26"/>
                <w:lang w:val="lv-LV" w:eastAsia="ja-JP"/>
              </w:rPr>
              <w:t>tīmekļa vietnē</w:t>
            </w:r>
            <w:r w:rsidRPr="009F423C">
              <w:rPr>
                <w:rFonts w:eastAsia="PMingLiU"/>
                <w:sz w:val="26"/>
                <w:szCs w:val="26"/>
                <w:lang w:val="lv-LV" w:eastAsia="ja-JP"/>
              </w:rPr>
              <w:t xml:space="preserve"> sabiedriskajai apspriešanai</w:t>
            </w:r>
            <w:r w:rsidR="00281F98" w:rsidRPr="009F423C">
              <w:rPr>
                <w:rFonts w:eastAsia="PMingLiU"/>
                <w:sz w:val="26"/>
                <w:szCs w:val="26"/>
                <w:lang w:val="lv-LV" w:eastAsia="ja-JP"/>
              </w:rPr>
              <w:t xml:space="preserve"> - </w:t>
            </w:r>
            <w:hyperlink r:id="rId8" w:history="1">
              <w:r w:rsidR="00281F98" w:rsidRPr="009F423C">
                <w:rPr>
                  <w:rStyle w:val="Hyperlink"/>
                  <w:rFonts w:eastAsia="PMingLiU"/>
                  <w:sz w:val="26"/>
                  <w:szCs w:val="26"/>
                  <w:lang w:val="lv-LV" w:eastAsia="ja-JP"/>
                </w:rPr>
                <w:t>https://www.em.gov.lv/lv/Ministrija/sabiedribas_lidzdaliba/diskusiju_dokumenti/</w:t>
              </w:r>
            </w:hyperlink>
            <w:r w:rsidR="009E63D5">
              <w:rPr>
                <w:rStyle w:val="Hyperlink"/>
                <w:rFonts w:eastAsia="PMingLiU"/>
                <w:sz w:val="26"/>
                <w:szCs w:val="26"/>
                <w:lang w:val="lv-LV" w:eastAsia="ja-JP"/>
              </w:rPr>
              <w:t xml:space="preserve">; </w:t>
            </w:r>
            <w:r w:rsidR="009E63D5" w:rsidRPr="009E63D5">
              <w:rPr>
                <w:rStyle w:val="Hyperlink"/>
                <w:rFonts w:eastAsia="PMingLiU"/>
                <w:sz w:val="26"/>
                <w:szCs w:val="26"/>
                <w:lang w:val="lv-LV" w:eastAsia="ja-JP"/>
              </w:rPr>
              <w:t>https://www.mk.gov.lv/lv/ministru-kabineta-diskusiju-dokumenti</w:t>
            </w:r>
          </w:p>
        </w:tc>
      </w:tr>
      <w:tr w:rsidR="006F4B13" w:rsidRPr="00204393" w14:paraId="0F937EA3" w14:textId="77777777" w:rsidTr="00E50D80">
        <w:trPr>
          <w:trHeight w:val="476"/>
        </w:trPr>
        <w:tc>
          <w:tcPr>
            <w:tcW w:w="312" w:type="dxa"/>
          </w:tcPr>
          <w:p w14:paraId="5A007BCA" w14:textId="77777777" w:rsidR="006F4B13" w:rsidRPr="009F423C" w:rsidRDefault="006F4B13" w:rsidP="00370711">
            <w:pPr>
              <w:ind w:left="57" w:right="57"/>
              <w:contextualSpacing/>
              <w:jc w:val="both"/>
              <w:rPr>
                <w:sz w:val="25"/>
                <w:lang w:val="lv-LV"/>
              </w:rPr>
            </w:pPr>
            <w:r w:rsidRPr="009F423C">
              <w:rPr>
                <w:sz w:val="25"/>
                <w:lang w:val="lv-LV"/>
              </w:rPr>
              <w:t>3.</w:t>
            </w:r>
          </w:p>
        </w:tc>
        <w:tc>
          <w:tcPr>
            <w:tcW w:w="2665" w:type="dxa"/>
          </w:tcPr>
          <w:p w14:paraId="5F99D7D0" w14:textId="77777777" w:rsidR="006F4B13" w:rsidRPr="009F423C" w:rsidRDefault="006F4B13" w:rsidP="00370711">
            <w:pPr>
              <w:ind w:left="57" w:right="57"/>
              <w:contextualSpacing/>
              <w:rPr>
                <w:rFonts w:eastAsia="PMingLiU"/>
                <w:sz w:val="26"/>
                <w:szCs w:val="26"/>
                <w:lang w:val="lv-LV" w:eastAsia="ja-JP"/>
              </w:rPr>
            </w:pPr>
            <w:r w:rsidRPr="009F423C">
              <w:rPr>
                <w:rFonts w:eastAsia="PMingLiU"/>
                <w:sz w:val="26"/>
                <w:szCs w:val="26"/>
                <w:lang w:val="lv-LV" w:eastAsia="ja-JP"/>
              </w:rPr>
              <w:t>Sabiedrības līdzdalības rezultāti</w:t>
            </w:r>
          </w:p>
        </w:tc>
        <w:tc>
          <w:tcPr>
            <w:tcW w:w="6234" w:type="dxa"/>
          </w:tcPr>
          <w:p w14:paraId="2BF921D4" w14:textId="35B7544E" w:rsidR="006F4B13" w:rsidRPr="009F423C" w:rsidRDefault="00C6650F" w:rsidP="00C6650F">
            <w:pPr>
              <w:jc w:val="both"/>
              <w:rPr>
                <w:bCs/>
                <w:i/>
                <w:iCs/>
                <w:sz w:val="26"/>
                <w:szCs w:val="26"/>
                <w:lang w:val="lv-LV"/>
              </w:rPr>
            </w:pPr>
            <w:r w:rsidRPr="009F423C">
              <w:rPr>
                <w:bCs/>
                <w:i/>
                <w:iCs/>
                <w:sz w:val="26"/>
                <w:szCs w:val="26"/>
                <w:lang w:val="lv-LV"/>
              </w:rPr>
              <w:t>Tiks papildināts pēc sabiedriskās apspriešanas</w:t>
            </w:r>
          </w:p>
        </w:tc>
      </w:tr>
      <w:tr w:rsidR="006F4B13" w:rsidRPr="00204393" w14:paraId="13638F96" w14:textId="77777777" w:rsidTr="00E50D80">
        <w:trPr>
          <w:trHeight w:val="205"/>
        </w:trPr>
        <w:tc>
          <w:tcPr>
            <w:tcW w:w="312" w:type="dxa"/>
          </w:tcPr>
          <w:p w14:paraId="286DE4AB" w14:textId="77777777" w:rsidR="006F4B13" w:rsidRPr="009F423C" w:rsidRDefault="006F4B13" w:rsidP="00282251">
            <w:pPr>
              <w:ind w:left="57" w:right="57"/>
              <w:contextualSpacing/>
              <w:jc w:val="both"/>
              <w:rPr>
                <w:sz w:val="25"/>
                <w:lang w:val="lv-LV"/>
              </w:rPr>
            </w:pPr>
            <w:r w:rsidRPr="009F423C">
              <w:rPr>
                <w:sz w:val="25"/>
                <w:lang w:val="lv-LV"/>
              </w:rPr>
              <w:t>4.</w:t>
            </w:r>
          </w:p>
        </w:tc>
        <w:tc>
          <w:tcPr>
            <w:tcW w:w="2665" w:type="dxa"/>
          </w:tcPr>
          <w:p w14:paraId="1AEA4978" w14:textId="77777777" w:rsidR="006F4B13" w:rsidRPr="009F423C" w:rsidRDefault="006F4B13" w:rsidP="00282251">
            <w:pPr>
              <w:ind w:left="57" w:right="57"/>
              <w:contextualSpacing/>
              <w:rPr>
                <w:rFonts w:eastAsia="PMingLiU"/>
                <w:sz w:val="26"/>
                <w:szCs w:val="26"/>
                <w:lang w:val="lv-LV" w:eastAsia="ja-JP"/>
              </w:rPr>
            </w:pPr>
            <w:r w:rsidRPr="009F423C">
              <w:rPr>
                <w:rFonts w:eastAsia="PMingLiU"/>
                <w:sz w:val="26"/>
                <w:szCs w:val="26"/>
                <w:lang w:val="lv-LV" w:eastAsia="ja-JP"/>
              </w:rPr>
              <w:t>Cita informācija</w:t>
            </w:r>
          </w:p>
        </w:tc>
        <w:tc>
          <w:tcPr>
            <w:tcW w:w="6234" w:type="dxa"/>
          </w:tcPr>
          <w:p w14:paraId="29112FCD" w14:textId="5927F71D" w:rsidR="006F4B13" w:rsidRPr="009F423C" w:rsidRDefault="006F4B13" w:rsidP="00282251">
            <w:pPr>
              <w:ind w:left="57" w:right="113"/>
              <w:contextualSpacing/>
              <w:jc w:val="both"/>
              <w:rPr>
                <w:rFonts w:eastAsia="PMingLiU"/>
                <w:sz w:val="26"/>
                <w:szCs w:val="26"/>
                <w:lang w:val="lv-LV" w:eastAsia="ja-JP"/>
              </w:rPr>
            </w:pPr>
            <w:r w:rsidRPr="009F423C">
              <w:rPr>
                <w:rFonts w:eastAsia="PMingLiU"/>
                <w:sz w:val="26"/>
                <w:szCs w:val="26"/>
                <w:lang w:val="lv-LV" w:eastAsia="ja-JP"/>
              </w:rPr>
              <w:t>Nav</w:t>
            </w:r>
          </w:p>
        </w:tc>
      </w:tr>
    </w:tbl>
    <w:p w14:paraId="07B85D36" w14:textId="1E6EF1D8" w:rsidR="00844176" w:rsidRPr="009F423C" w:rsidRDefault="00844176" w:rsidP="00282251">
      <w:pPr>
        <w:contextualSpacing/>
        <w:rPr>
          <w:rFonts w:eastAsia="Times New Roman"/>
          <w:sz w:val="26"/>
          <w:szCs w:val="26"/>
          <w:lang w:val="lv-LV" w:eastAsia="lv-LV"/>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68"/>
        <w:gridCol w:w="2701"/>
        <w:gridCol w:w="6237"/>
      </w:tblGrid>
      <w:tr w:rsidR="00844176" w:rsidRPr="005571E1" w14:paraId="72278BCA" w14:textId="77777777" w:rsidTr="00320B22">
        <w:trPr>
          <w:trHeight w:val="375"/>
        </w:trPr>
        <w:tc>
          <w:tcPr>
            <w:tcW w:w="9206" w:type="dxa"/>
            <w:gridSpan w:val="3"/>
            <w:tcBorders>
              <w:top w:val="outset" w:sz="6" w:space="0" w:color="414142"/>
              <w:left w:val="outset" w:sz="6" w:space="0" w:color="414142"/>
              <w:bottom w:val="outset" w:sz="6" w:space="0" w:color="414142"/>
              <w:right w:val="outset" w:sz="6" w:space="0" w:color="414142"/>
            </w:tcBorders>
            <w:hideMark/>
          </w:tcPr>
          <w:p w14:paraId="34C12EA7" w14:textId="53912CA3" w:rsidR="00844176" w:rsidRPr="009F423C" w:rsidRDefault="00844176" w:rsidP="005A1518">
            <w:pPr>
              <w:spacing w:before="100" w:beforeAutospacing="1" w:after="100" w:afterAutospacing="1"/>
              <w:ind w:firstLine="300"/>
              <w:jc w:val="center"/>
              <w:rPr>
                <w:rFonts w:eastAsia="Times New Roman"/>
                <w:sz w:val="26"/>
                <w:szCs w:val="26"/>
                <w:lang w:val="lv-LV" w:eastAsia="lv-LV"/>
              </w:rPr>
            </w:pPr>
            <w:r w:rsidRPr="009F423C">
              <w:rPr>
                <w:b/>
                <w:sz w:val="26"/>
                <w:lang w:val="lv-LV"/>
              </w:rPr>
              <w:t>VII. Tiesību akta projekta izpildes nodrošināšana un tās ietekme uz institūcijām</w:t>
            </w:r>
          </w:p>
        </w:tc>
      </w:tr>
      <w:tr w:rsidR="00844176" w:rsidRPr="00204393" w14:paraId="3BE578E7" w14:textId="77777777" w:rsidTr="00320B22">
        <w:trPr>
          <w:trHeight w:val="420"/>
        </w:trPr>
        <w:tc>
          <w:tcPr>
            <w:tcW w:w="268" w:type="dxa"/>
            <w:tcBorders>
              <w:top w:val="outset" w:sz="6" w:space="0" w:color="414142"/>
              <w:left w:val="outset" w:sz="6" w:space="0" w:color="414142"/>
              <w:bottom w:val="outset" w:sz="6" w:space="0" w:color="414142"/>
              <w:right w:val="outset" w:sz="6" w:space="0" w:color="414142"/>
            </w:tcBorders>
            <w:hideMark/>
          </w:tcPr>
          <w:p w14:paraId="722ABD64" w14:textId="77777777" w:rsidR="00844176" w:rsidRPr="009F423C" w:rsidRDefault="00844176" w:rsidP="00282251">
            <w:pPr>
              <w:contextualSpacing/>
              <w:rPr>
                <w:rFonts w:eastAsia="Times New Roman"/>
                <w:sz w:val="26"/>
                <w:szCs w:val="26"/>
                <w:lang w:val="lv-LV" w:eastAsia="lv-LV"/>
              </w:rPr>
            </w:pPr>
            <w:r w:rsidRPr="009F423C">
              <w:rPr>
                <w:sz w:val="26"/>
                <w:lang w:val="lv-LV"/>
              </w:rPr>
              <w:lastRenderedPageBreak/>
              <w:t>1.</w:t>
            </w:r>
          </w:p>
        </w:tc>
        <w:tc>
          <w:tcPr>
            <w:tcW w:w="2701" w:type="dxa"/>
            <w:tcBorders>
              <w:top w:val="outset" w:sz="6" w:space="0" w:color="414142"/>
              <w:left w:val="outset" w:sz="6" w:space="0" w:color="414142"/>
              <w:bottom w:val="outset" w:sz="6" w:space="0" w:color="414142"/>
              <w:right w:val="outset" w:sz="6" w:space="0" w:color="414142"/>
            </w:tcBorders>
            <w:hideMark/>
          </w:tcPr>
          <w:p w14:paraId="6CB08CA7" w14:textId="77777777" w:rsidR="00844176" w:rsidRPr="009F423C" w:rsidRDefault="00844176" w:rsidP="00282251">
            <w:pPr>
              <w:ind w:right="112"/>
              <w:contextualSpacing/>
              <w:jc w:val="both"/>
              <w:rPr>
                <w:sz w:val="26"/>
                <w:szCs w:val="26"/>
                <w:lang w:val="lv-LV"/>
              </w:rPr>
            </w:pPr>
            <w:r w:rsidRPr="009F423C">
              <w:rPr>
                <w:sz w:val="26"/>
                <w:szCs w:val="26"/>
                <w:lang w:val="lv-LV"/>
              </w:rPr>
              <w:t>Projekta izpildē iesaistītās institūcijas</w:t>
            </w:r>
          </w:p>
        </w:tc>
        <w:tc>
          <w:tcPr>
            <w:tcW w:w="6237" w:type="dxa"/>
            <w:tcBorders>
              <w:top w:val="outset" w:sz="6" w:space="0" w:color="414142"/>
              <w:left w:val="outset" w:sz="6" w:space="0" w:color="414142"/>
              <w:bottom w:val="outset" w:sz="6" w:space="0" w:color="414142"/>
              <w:right w:val="outset" w:sz="6" w:space="0" w:color="414142"/>
            </w:tcBorders>
            <w:hideMark/>
          </w:tcPr>
          <w:p w14:paraId="4C10CF17" w14:textId="3A1249B9" w:rsidR="00844176" w:rsidRPr="009F423C" w:rsidRDefault="00844176" w:rsidP="00282251">
            <w:pPr>
              <w:ind w:left="82" w:right="161"/>
              <w:contextualSpacing/>
              <w:jc w:val="both"/>
              <w:rPr>
                <w:sz w:val="26"/>
                <w:szCs w:val="26"/>
                <w:lang w:val="lv-LV"/>
              </w:rPr>
            </w:pPr>
            <w:r w:rsidRPr="009F423C">
              <w:rPr>
                <w:sz w:val="26"/>
                <w:szCs w:val="26"/>
                <w:lang w:val="lv-LV"/>
              </w:rPr>
              <w:t>E</w:t>
            </w:r>
            <w:r w:rsidR="00733C32" w:rsidRPr="009F423C">
              <w:rPr>
                <w:sz w:val="26"/>
                <w:szCs w:val="26"/>
                <w:lang w:val="lv-LV"/>
              </w:rPr>
              <w:t>konomikas ministrija</w:t>
            </w:r>
            <w:r w:rsidR="0074545C" w:rsidRPr="009F423C">
              <w:rPr>
                <w:sz w:val="26"/>
                <w:szCs w:val="26"/>
                <w:lang w:val="lv-LV"/>
              </w:rPr>
              <w:t xml:space="preserve">, </w:t>
            </w:r>
            <w:proofErr w:type="spellStart"/>
            <w:r w:rsidR="00733C32" w:rsidRPr="009F423C">
              <w:rPr>
                <w:sz w:val="26"/>
                <w:szCs w:val="26"/>
                <w:lang w:val="lv-LV"/>
              </w:rPr>
              <w:t>Altum</w:t>
            </w:r>
            <w:proofErr w:type="spellEnd"/>
          </w:p>
        </w:tc>
      </w:tr>
      <w:tr w:rsidR="00844176" w:rsidRPr="005571E1" w14:paraId="2CF2C3EA" w14:textId="77777777" w:rsidTr="00320B22">
        <w:trPr>
          <w:trHeight w:val="450"/>
        </w:trPr>
        <w:tc>
          <w:tcPr>
            <w:tcW w:w="268" w:type="dxa"/>
            <w:tcBorders>
              <w:top w:val="outset" w:sz="6" w:space="0" w:color="414142"/>
              <w:left w:val="outset" w:sz="6" w:space="0" w:color="414142"/>
              <w:bottom w:val="outset" w:sz="6" w:space="0" w:color="414142"/>
              <w:right w:val="outset" w:sz="6" w:space="0" w:color="414142"/>
            </w:tcBorders>
            <w:hideMark/>
          </w:tcPr>
          <w:p w14:paraId="6D5BFDB2" w14:textId="77777777" w:rsidR="00844176" w:rsidRPr="009F423C" w:rsidRDefault="00844176" w:rsidP="00282251">
            <w:pPr>
              <w:contextualSpacing/>
              <w:rPr>
                <w:rFonts w:eastAsia="Times New Roman"/>
                <w:sz w:val="26"/>
                <w:szCs w:val="26"/>
                <w:lang w:val="lv-LV" w:eastAsia="lv-LV"/>
              </w:rPr>
            </w:pPr>
            <w:r w:rsidRPr="009F423C">
              <w:rPr>
                <w:sz w:val="26"/>
                <w:lang w:val="lv-LV"/>
              </w:rPr>
              <w:t>2.</w:t>
            </w:r>
          </w:p>
        </w:tc>
        <w:tc>
          <w:tcPr>
            <w:tcW w:w="2701" w:type="dxa"/>
            <w:tcBorders>
              <w:top w:val="outset" w:sz="6" w:space="0" w:color="414142"/>
              <w:left w:val="outset" w:sz="6" w:space="0" w:color="414142"/>
              <w:bottom w:val="outset" w:sz="6" w:space="0" w:color="414142"/>
              <w:right w:val="outset" w:sz="6" w:space="0" w:color="414142"/>
            </w:tcBorders>
            <w:hideMark/>
          </w:tcPr>
          <w:p w14:paraId="7D209650" w14:textId="77777777" w:rsidR="00844176" w:rsidRPr="009F423C" w:rsidRDefault="00844176" w:rsidP="00282251">
            <w:pPr>
              <w:ind w:right="112"/>
              <w:contextualSpacing/>
              <w:jc w:val="both"/>
              <w:rPr>
                <w:sz w:val="26"/>
                <w:szCs w:val="26"/>
                <w:lang w:val="lv-LV"/>
              </w:rPr>
            </w:pPr>
            <w:r w:rsidRPr="009F423C">
              <w:rPr>
                <w:sz w:val="26"/>
                <w:szCs w:val="26"/>
                <w:lang w:val="lv-LV"/>
              </w:rPr>
              <w:t>Projekta izpildes ietekme uz pārvaldes funkcijām un institucionālo struktūru. Jaunu institūciju izveide, esošu institūciju likvidācija vai reorganizācija, to ietekme uz institūcijas cilvēkresursiem.</w:t>
            </w:r>
          </w:p>
        </w:tc>
        <w:tc>
          <w:tcPr>
            <w:tcW w:w="6237" w:type="dxa"/>
            <w:tcBorders>
              <w:top w:val="outset" w:sz="6" w:space="0" w:color="414142"/>
              <w:left w:val="outset" w:sz="6" w:space="0" w:color="414142"/>
              <w:bottom w:val="outset" w:sz="6" w:space="0" w:color="414142"/>
              <w:right w:val="outset" w:sz="6" w:space="0" w:color="414142"/>
            </w:tcBorders>
            <w:hideMark/>
          </w:tcPr>
          <w:p w14:paraId="5F5A7977" w14:textId="7D6498BB" w:rsidR="00844176" w:rsidRPr="00616AB7" w:rsidRDefault="00D217E6" w:rsidP="00282251">
            <w:pPr>
              <w:ind w:left="82" w:right="161"/>
              <w:contextualSpacing/>
              <w:jc w:val="both"/>
              <w:rPr>
                <w:sz w:val="26"/>
                <w:szCs w:val="26"/>
                <w:lang w:val="lv-LV"/>
              </w:rPr>
            </w:pPr>
            <w:r w:rsidRPr="009F423C">
              <w:rPr>
                <w:sz w:val="26"/>
                <w:szCs w:val="26"/>
                <w:lang w:val="lv-LV"/>
              </w:rPr>
              <w:t>Noteikumu p</w:t>
            </w:r>
            <w:r w:rsidR="00844176" w:rsidRPr="009F423C">
              <w:rPr>
                <w:sz w:val="26"/>
                <w:szCs w:val="26"/>
                <w:lang w:val="lv-LV"/>
              </w:rPr>
              <w:t>roj</w:t>
            </w:r>
            <w:r w:rsidR="00733C32" w:rsidRPr="009F423C">
              <w:rPr>
                <w:sz w:val="26"/>
                <w:szCs w:val="26"/>
                <w:lang w:val="lv-LV"/>
              </w:rPr>
              <w:t>ekta izpilde tiks nodrošināta Ekonomikas ministrijas</w:t>
            </w:r>
            <w:r w:rsidR="00844176" w:rsidRPr="009F423C">
              <w:rPr>
                <w:sz w:val="26"/>
                <w:szCs w:val="26"/>
                <w:lang w:val="lv-LV"/>
              </w:rPr>
              <w:t xml:space="preserve"> un </w:t>
            </w:r>
            <w:proofErr w:type="spellStart"/>
            <w:r w:rsidR="00733C32" w:rsidRPr="009F423C">
              <w:rPr>
                <w:sz w:val="26"/>
                <w:szCs w:val="26"/>
                <w:lang w:val="lv-LV"/>
              </w:rPr>
              <w:t>Altum</w:t>
            </w:r>
            <w:proofErr w:type="spellEnd"/>
            <w:r w:rsidR="00733C32" w:rsidRPr="009F423C">
              <w:rPr>
                <w:sz w:val="26"/>
                <w:szCs w:val="26"/>
                <w:lang w:val="lv-LV"/>
              </w:rPr>
              <w:t xml:space="preserve"> </w:t>
            </w:r>
            <w:r w:rsidR="00844176" w:rsidRPr="009F423C">
              <w:rPr>
                <w:sz w:val="26"/>
                <w:szCs w:val="26"/>
                <w:lang w:val="lv-LV"/>
              </w:rPr>
              <w:t xml:space="preserve">esošo funkciju </w:t>
            </w:r>
            <w:r w:rsidR="002B7681" w:rsidRPr="009F423C">
              <w:rPr>
                <w:sz w:val="26"/>
                <w:szCs w:val="26"/>
                <w:lang w:val="lv-LV"/>
              </w:rPr>
              <w:t xml:space="preserve">un cilvēkresursu </w:t>
            </w:r>
            <w:r w:rsidR="00844176" w:rsidRPr="009F423C">
              <w:rPr>
                <w:sz w:val="26"/>
                <w:szCs w:val="26"/>
                <w:lang w:val="lv-LV"/>
              </w:rPr>
              <w:t>ietvaros</w:t>
            </w:r>
            <w:r w:rsidR="00804BA0" w:rsidRPr="009F423C">
              <w:rPr>
                <w:sz w:val="26"/>
                <w:szCs w:val="26"/>
                <w:lang w:val="lv-LV"/>
              </w:rPr>
              <w:t>.</w:t>
            </w:r>
            <w:r w:rsidR="00616AB7">
              <w:rPr>
                <w:sz w:val="26"/>
                <w:szCs w:val="26"/>
                <w:lang w:val="lv-LV"/>
              </w:rPr>
              <w:t xml:space="preserve"> Nav </w:t>
            </w:r>
            <w:r w:rsidR="00616AB7" w:rsidRPr="00616AB7">
              <w:rPr>
                <w:sz w:val="26"/>
                <w:szCs w:val="26"/>
                <w:lang w:val="lv-LV"/>
              </w:rPr>
              <w:t>nepieciešams veidot jaunas institūcijas, likvidēt vai reorganizēt esošās</w:t>
            </w:r>
            <w:r w:rsidR="00616AB7">
              <w:rPr>
                <w:sz w:val="26"/>
                <w:szCs w:val="26"/>
                <w:lang w:val="lv-LV"/>
              </w:rPr>
              <w:t>.</w:t>
            </w:r>
          </w:p>
        </w:tc>
      </w:tr>
      <w:tr w:rsidR="00844176" w:rsidRPr="00204393" w14:paraId="2EBACAF6" w14:textId="77777777" w:rsidTr="00320B22">
        <w:trPr>
          <w:trHeight w:val="390"/>
        </w:trPr>
        <w:tc>
          <w:tcPr>
            <w:tcW w:w="268" w:type="dxa"/>
            <w:tcBorders>
              <w:top w:val="outset" w:sz="6" w:space="0" w:color="414142"/>
              <w:left w:val="outset" w:sz="6" w:space="0" w:color="414142"/>
              <w:bottom w:val="outset" w:sz="6" w:space="0" w:color="414142"/>
              <w:right w:val="outset" w:sz="6" w:space="0" w:color="414142"/>
            </w:tcBorders>
            <w:hideMark/>
          </w:tcPr>
          <w:p w14:paraId="7852C13F" w14:textId="77777777" w:rsidR="00844176" w:rsidRPr="009F423C" w:rsidRDefault="00844176" w:rsidP="00282251">
            <w:pPr>
              <w:contextualSpacing/>
              <w:rPr>
                <w:rFonts w:eastAsia="Times New Roman"/>
                <w:sz w:val="26"/>
                <w:szCs w:val="26"/>
                <w:lang w:val="lv-LV" w:eastAsia="lv-LV"/>
              </w:rPr>
            </w:pPr>
            <w:r w:rsidRPr="009F423C">
              <w:rPr>
                <w:sz w:val="26"/>
                <w:lang w:val="lv-LV"/>
              </w:rPr>
              <w:t>3.</w:t>
            </w:r>
          </w:p>
        </w:tc>
        <w:tc>
          <w:tcPr>
            <w:tcW w:w="2701" w:type="dxa"/>
            <w:tcBorders>
              <w:top w:val="outset" w:sz="6" w:space="0" w:color="414142"/>
              <w:left w:val="outset" w:sz="6" w:space="0" w:color="414142"/>
              <w:bottom w:val="outset" w:sz="6" w:space="0" w:color="414142"/>
              <w:right w:val="outset" w:sz="6" w:space="0" w:color="414142"/>
            </w:tcBorders>
            <w:hideMark/>
          </w:tcPr>
          <w:p w14:paraId="19CC748B" w14:textId="77777777" w:rsidR="00844176" w:rsidRPr="009F423C" w:rsidRDefault="00844176" w:rsidP="00282251">
            <w:pPr>
              <w:contextualSpacing/>
              <w:jc w:val="both"/>
              <w:rPr>
                <w:rFonts w:eastAsia="Times New Roman"/>
                <w:sz w:val="26"/>
                <w:szCs w:val="26"/>
                <w:lang w:val="lv-LV" w:eastAsia="lv-LV"/>
              </w:rPr>
            </w:pPr>
            <w:r w:rsidRPr="009F423C">
              <w:rPr>
                <w:rFonts w:eastAsia="Times New Roman"/>
                <w:sz w:val="26"/>
                <w:szCs w:val="26"/>
                <w:lang w:val="lv-LV" w:eastAsia="lv-LV"/>
              </w:rPr>
              <w:t>Cita informācija</w:t>
            </w:r>
          </w:p>
        </w:tc>
        <w:tc>
          <w:tcPr>
            <w:tcW w:w="6237" w:type="dxa"/>
            <w:tcBorders>
              <w:top w:val="outset" w:sz="6" w:space="0" w:color="414142"/>
              <w:left w:val="outset" w:sz="6" w:space="0" w:color="414142"/>
              <w:bottom w:val="outset" w:sz="6" w:space="0" w:color="414142"/>
              <w:right w:val="outset" w:sz="6" w:space="0" w:color="414142"/>
            </w:tcBorders>
            <w:hideMark/>
          </w:tcPr>
          <w:p w14:paraId="539FA647" w14:textId="77777777" w:rsidR="00844176" w:rsidRPr="009F423C" w:rsidRDefault="00844176" w:rsidP="00282251">
            <w:pPr>
              <w:contextualSpacing/>
              <w:jc w:val="both"/>
              <w:rPr>
                <w:rFonts w:eastAsia="Times New Roman"/>
                <w:sz w:val="26"/>
                <w:szCs w:val="26"/>
                <w:lang w:val="lv-LV" w:eastAsia="lv-LV"/>
              </w:rPr>
            </w:pPr>
            <w:r w:rsidRPr="009F423C">
              <w:rPr>
                <w:rFonts w:eastAsia="Times New Roman"/>
                <w:sz w:val="26"/>
                <w:szCs w:val="26"/>
                <w:lang w:val="lv-LV" w:eastAsia="lv-LV"/>
              </w:rPr>
              <w:t>Nav</w:t>
            </w:r>
          </w:p>
        </w:tc>
      </w:tr>
    </w:tbl>
    <w:p w14:paraId="03EE94B5" w14:textId="1CE65C68" w:rsidR="00862580" w:rsidRPr="009F423C" w:rsidRDefault="00862580" w:rsidP="00282251">
      <w:pPr>
        <w:contextualSpacing/>
        <w:jc w:val="both"/>
        <w:rPr>
          <w:sz w:val="26"/>
          <w:lang w:val="lv-LV"/>
        </w:rPr>
      </w:pPr>
    </w:p>
    <w:p w14:paraId="37747DD5" w14:textId="2FB96D27" w:rsidR="004354EC" w:rsidRPr="009F423C" w:rsidRDefault="004354EC" w:rsidP="004354EC">
      <w:pPr>
        <w:jc w:val="both"/>
        <w:rPr>
          <w:b/>
          <w:bCs/>
          <w:sz w:val="26"/>
          <w:szCs w:val="26"/>
          <w:lang w:val="lv-LV"/>
        </w:rPr>
      </w:pPr>
      <w:r w:rsidRPr="009F423C">
        <w:rPr>
          <w:b/>
          <w:bCs/>
          <w:sz w:val="26"/>
          <w:szCs w:val="26"/>
          <w:lang w:val="lv-LV"/>
        </w:rPr>
        <w:t xml:space="preserve">Ekonomikas ministrs </w:t>
      </w:r>
      <w:r w:rsidRPr="009F423C">
        <w:rPr>
          <w:b/>
          <w:bCs/>
          <w:sz w:val="26"/>
          <w:szCs w:val="26"/>
          <w:lang w:val="lv-LV"/>
        </w:rPr>
        <w:tab/>
      </w:r>
      <w:r w:rsidRPr="009F423C">
        <w:rPr>
          <w:b/>
          <w:bCs/>
          <w:sz w:val="26"/>
          <w:szCs w:val="26"/>
          <w:lang w:val="lv-LV"/>
        </w:rPr>
        <w:tab/>
      </w:r>
      <w:r w:rsidRPr="009F423C">
        <w:rPr>
          <w:b/>
          <w:bCs/>
          <w:sz w:val="26"/>
          <w:szCs w:val="26"/>
          <w:lang w:val="lv-LV"/>
        </w:rPr>
        <w:tab/>
      </w:r>
      <w:r w:rsidRPr="009F423C">
        <w:rPr>
          <w:b/>
          <w:bCs/>
          <w:sz w:val="26"/>
          <w:szCs w:val="26"/>
          <w:lang w:val="lv-LV"/>
        </w:rPr>
        <w:tab/>
      </w:r>
      <w:r w:rsidRPr="009F423C">
        <w:rPr>
          <w:b/>
          <w:bCs/>
          <w:sz w:val="26"/>
          <w:szCs w:val="26"/>
          <w:lang w:val="lv-LV"/>
        </w:rPr>
        <w:tab/>
      </w:r>
      <w:r w:rsidRPr="009F423C">
        <w:rPr>
          <w:b/>
          <w:bCs/>
          <w:sz w:val="26"/>
          <w:szCs w:val="26"/>
          <w:lang w:val="lv-LV"/>
        </w:rPr>
        <w:tab/>
      </w:r>
      <w:r w:rsidRPr="009F423C">
        <w:rPr>
          <w:b/>
          <w:bCs/>
          <w:sz w:val="26"/>
          <w:szCs w:val="26"/>
          <w:lang w:val="lv-LV"/>
        </w:rPr>
        <w:tab/>
        <w:t>J. </w:t>
      </w:r>
      <w:proofErr w:type="spellStart"/>
      <w:r w:rsidRPr="009F423C">
        <w:rPr>
          <w:b/>
          <w:bCs/>
          <w:sz w:val="26"/>
          <w:szCs w:val="26"/>
          <w:lang w:val="lv-LV"/>
        </w:rPr>
        <w:t>Vitenbergs</w:t>
      </w:r>
      <w:proofErr w:type="spellEnd"/>
    </w:p>
    <w:p w14:paraId="0B0C3138" w14:textId="77777777" w:rsidR="004354EC" w:rsidRPr="009F423C" w:rsidRDefault="004354EC" w:rsidP="004354EC">
      <w:pPr>
        <w:jc w:val="both"/>
        <w:rPr>
          <w:b/>
          <w:bCs/>
          <w:sz w:val="26"/>
          <w:szCs w:val="26"/>
          <w:lang w:val="lv-LV"/>
        </w:rPr>
      </w:pPr>
      <w:r w:rsidRPr="009F423C">
        <w:rPr>
          <w:b/>
          <w:bCs/>
          <w:sz w:val="26"/>
          <w:szCs w:val="26"/>
          <w:lang w:val="lv-LV"/>
        </w:rPr>
        <w:tab/>
      </w:r>
      <w:r w:rsidRPr="009F423C">
        <w:rPr>
          <w:b/>
          <w:bCs/>
          <w:sz w:val="26"/>
          <w:szCs w:val="26"/>
          <w:lang w:val="lv-LV"/>
        </w:rPr>
        <w:tab/>
      </w:r>
      <w:r w:rsidRPr="009F423C">
        <w:rPr>
          <w:b/>
          <w:bCs/>
          <w:sz w:val="26"/>
          <w:szCs w:val="26"/>
          <w:lang w:val="lv-LV"/>
        </w:rPr>
        <w:tab/>
      </w:r>
      <w:r w:rsidRPr="009F423C">
        <w:rPr>
          <w:b/>
          <w:bCs/>
          <w:sz w:val="26"/>
          <w:szCs w:val="26"/>
          <w:lang w:val="lv-LV"/>
        </w:rPr>
        <w:tab/>
      </w:r>
    </w:p>
    <w:p w14:paraId="68D59FCA" w14:textId="77777777" w:rsidR="00F94564" w:rsidRPr="009F423C" w:rsidRDefault="00F94564" w:rsidP="00F94564">
      <w:pPr>
        <w:jc w:val="both"/>
        <w:rPr>
          <w:sz w:val="26"/>
          <w:szCs w:val="26"/>
          <w:lang w:val="lv-LV"/>
        </w:rPr>
      </w:pPr>
      <w:r w:rsidRPr="009F423C">
        <w:rPr>
          <w:sz w:val="26"/>
          <w:szCs w:val="26"/>
          <w:lang w:val="lv-LV"/>
        </w:rPr>
        <w:t>Vīza:</w:t>
      </w:r>
    </w:p>
    <w:p w14:paraId="09EED9EE" w14:textId="4E74AC81" w:rsidR="00F94564" w:rsidRPr="009F423C" w:rsidRDefault="00F94564" w:rsidP="00EB062E">
      <w:pPr>
        <w:jc w:val="both"/>
        <w:rPr>
          <w:b/>
          <w:bCs/>
          <w:sz w:val="26"/>
          <w:szCs w:val="26"/>
          <w:lang w:val="lv-LV"/>
        </w:rPr>
      </w:pPr>
      <w:r w:rsidRPr="009F423C">
        <w:rPr>
          <w:b/>
          <w:bCs/>
          <w:sz w:val="26"/>
          <w:szCs w:val="26"/>
          <w:lang w:val="lv-LV"/>
        </w:rPr>
        <w:t>Valsts sekretār</w:t>
      </w:r>
      <w:r w:rsidR="00EB062E" w:rsidRPr="009F423C">
        <w:rPr>
          <w:b/>
          <w:bCs/>
          <w:sz w:val="26"/>
          <w:szCs w:val="26"/>
          <w:lang w:val="lv-LV"/>
        </w:rPr>
        <w:t>s</w:t>
      </w:r>
      <w:r w:rsidRPr="009F423C">
        <w:rPr>
          <w:b/>
          <w:bCs/>
          <w:sz w:val="26"/>
          <w:szCs w:val="26"/>
          <w:lang w:val="lv-LV"/>
        </w:rPr>
        <w:t xml:space="preserve"> </w:t>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r w:rsidR="00EB062E" w:rsidRPr="009F423C">
        <w:rPr>
          <w:b/>
          <w:bCs/>
          <w:sz w:val="26"/>
          <w:szCs w:val="26"/>
          <w:lang w:val="lv-LV"/>
        </w:rPr>
        <w:tab/>
      </w:r>
      <w:proofErr w:type="spellStart"/>
      <w:r w:rsidR="00EB062E" w:rsidRPr="009F423C">
        <w:rPr>
          <w:b/>
          <w:bCs/>
          <w:sz w:val="26"/>
          <w:szCs w:val="26"/>
          <w:lang w:val="lv-LV"/>
        </w:rPr>
        <w:t>E.Valantis</w:t>
      </w:r>
      <w:proofErr w:type="spellEnd"/>
    </w:p>
    <w:p w14:paraId="686EDB4F" w14:textId="0FC0C259" w:rsidR="00862580" w:rsidRPr="001A4B8B" w:rsidRDefault="00862580" w:rsidP="00282251">
      <w:pPr>
        <w:tabs>
          <w:tab w:val="left" w:pos="6237"/>
        </w:tabs>
        <w:contextualSpacing/>
        <w:rPr>
          <w:lang w:val="lv-LV"/>
        </w:rPr>
      </w:pPr>
    </w:p>
    <w:p w14:paraId="662E936E" w14:textId="77777777" w:rsidR="00D217E6" w:rsidRPr="009F423C" w:rsidRDefault="00D217E6" w:rsidP="00282251">
      <w:pPr>
        <w:tabs>
          <w:tab w:val="left" w:pos="6840"/>
        </w:tabs>
        <w:contextualSpacing/>
        <w:jc w:val="both"/>
        <w:rPr>
          <w:lang w:val="lv-LV"/>
        </w:rPr>
      </w:pPr>
    </w:p>
    <w:p w14:paraId="5B8D44CD" w14:textId="34B6A3DA" w:rsidR="00862580" w:rsidRPr="009F423C" w:rsidRDefault="00862580" w:rsidP="006A454E">
      <w:pPr>
        <w:pStyle w:val="Header"/>
        <w:tabs>
          <w:tab w:val="clear" w:pos="4153"/>
          <w:tab w:val="clear" w:pos="8306"/>
        </w:tabs>
        <w:contextualSpacing/>
        <w:rPr>
          <w:lang w:val="lv-LV"/>
        </w:rPr>
      </w:pPr>
    </w:p>
    <w:sectPr w:rsidR="00862580" w:rsidRPr="009F423C" w:rsidSect="006064F8">
      <w:headerReference w:type="default" r:id="rId9"/>
      <w:endnotePr>
        <w:numFmt w:val="decimal"/>
      </w:endnotePr>
      <w:type w:val="continuous"/>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870A7" w14:textId="77777777" w:rsidR="004A53B0" w:rsidRDefault="004A53B0" w:rsidP="006B2FEF">
      <w:r>
        <w:separator/>
      </w:r>
    </w:p>
  </w:endnote>
  <w:endnote w:type="continuationSeparator" w:id="0">
    <w:p w14:paraId="3FA13851" w14:textId="77777777" w:rsidR="004A53B0" w:rsidRDefault="004A53B0" w:rsidP="006B2FEF">
      <w:r>
        <w:continuationSeparator/>
      </w:r>
    </w:p>
  </w:endnote>
  <w:endnote w:type="continuationNotice" w:id="1">
    <w:p w14:paraId="6B473327" w14:textId="77777777" w:rsidR="004A53B0" w:rsidRDefault="004A5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1680E" w14:textId="77777777" w:rsidR="004A53B0" w:rsidRDefault="004A53B0" w:rsidP="006B2FEF">
      <w:r>
        <w:separator/>
      </w:r>
    </w:p>
  </w:footnote>
  <w:footnote w:type="continuationSeparator" w:id="0">
    <w:p w14:paraId="509706EC" w14:textId="77777777" w:rsidR="004A53B0" w:rsidRDefault="004A53B0" w:rsidP="006B2FEF">
      <w:r>
        <w:continuationSeparator/>
      </w:r>
    </w:p>
  </w:footnote>
  <w:footnote w:type="continuationNotice" w:id="1">
    <w:p w14:paraId="621D9DBB" w14:textId="77777777" w:rsidR="004A53B0" w:rsidRDefault="004A53B0"/>
  </w:footnote>
  <w:footnote w:id="2">
    <w:p w14:paraId="21B98E0B" w14:textId="27A3DEB2" w:rsidR="004D7A72" w:rsidRPr="00714C7F" w:rsidRDefault="004D7A72" w:rsidP="004D7A72">
      <w:pPr>
        <w:pStyle w:val="FootnoteText"/>
        <w:rPr>
          <w:rFonts w:cstheme="minorHAnsi"/>
          <w:sz w:val="16"/>
          <w:szCs w:val="16"/>
        </w:rPr>
      </w:pPr>
      <w:r w:rsidRPr="00714C7F">
        <w:rPr>
          <w:rStyle w:val="FootnoteReference"/>
          <w:rFonts w:cstheme="minorHAnsi"/>
          <w:sz w:val="16"/>
          <w:szCs w:val="16"/>
        </w:rPr>
        <w:footnoteRef/>
      </w:r>
      <w:r w:rsidRPr="00714C7F">
        <w:rPr>
          <w:rFonts w:cstheme="minorHAnsi"/>
          <w:sz w:val="16"/>
          <w:szCs w:val="16"/>
        </w:rPr>
        <w:t xml:space="preserve"> Apstiprināti </w:t>
      </w:r>
      <w:r w:rsidR="00066CEE">
        <w:rPr>
          <w:rFonts w:cstheme="minorHAnsi"/>
          <w:sz w:val="16"/>
          <w:szCs w:val="16"/>
        </w:rPr>
        <w:t xml:space="preserve">ALTUM </w:t>
      </w:r>
      <w:r w:rsidRPr="00714C7F">
        <w:rPr>
          <w:rFonts w:cstheme="minorHAnsi"/>
          <w:sz w:val="16"/>
          <w:szCs w:val="16"/>
        </w:rPr>
        <w:t>Atlases komisijas 2018.gada 8.februāra sēdē</w:t>
      </w:r>
      <w:r>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7235"/>
      <w:docPartObj>
        <w:docPartGallery w:val="Page Numbers (Top of Page)"/>
        <w:docPartUnique/>
      </w:docPartObj>
    </w:sdtPr>
    <w:sdtEndPr>
      <w:rPr>
        <w:sz w:val="24"/>
        <w:szCs w:val="24"/>
      </w:rPr>
    </w:sdtEndPr>
    <w:sdtContent>
      <w:p w14:paraId="4597F8B3" w14:textId="605F079C" w:rsidR="0007156D" w:rsidRPr="005A1518" w:rsidRDefault="0007156D" w:rsidP="005A1518">
        <w:pPr>
          <w:pStyle w:val="Header"/>
          <w:jc w:val="center"/>
          <w:rPr>
            <w:sz w:val="24"/>
          </w:rPr>
        </w:pPr>
        <w:r w:rsidRPr="00B014C2">
          <w:rPr>
            <w:sz w:val="24"/>
            <w:szCs w:val="24"/>
          </w:rPr>
          <w:fldChar w:fldCharType="begin"/>
        </w:r>
        <w:r w:rsidRPr="00B014C2">
          <w:rPr>
            <w:sz w:val="24"/>
            <w:szCs w:val="24"/>
          </w:rPr>
          <w:instrText xml:space="preserve"> PAGE   \* MERGEFORMAT </w:instrText>
        </w:r>
        <w:r w:rsidRPr="00B014C2">
          <w:rPr>
            <w:sz w:val="24"/>
            <w:szCs w:val="24"/>
          </w:rPr>
          <w:fldChar w:fldCharType="separate"/>
        </w:r>
        <w:r w:rsidR="00557927">
          <w:rPr>
            <w:noProof/>
            <w:sz w:val="24"/>
            <w:szCs w:val="24"/>
          </w:rPr>
          <w:t>9</w:t>
        </w:r>
        <w:r w:rsidRPr="00B014C2">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6491D"/>
    <w:multiLevelType w:val="multilevel"/>
    <w:tmpl w:val="3B56E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4108"/>
    <w:multiLevelType w:val="hybridMultilevel"/>
    <w:tmpl w:val="0BAACA02"/>
    <w:lvl w:ilvl="0" w:tplc="E4B49416">
      <w:start w:val="1"/>
      <w:numFmt w:val="decimal"/>
      <w:lvlText w:val="%1."/>
      <w:lvlJc w:val="left"/>
      <w:pPr>
        <w:tabs>
          <w:tab w:val="num" w:pos="720"/>
        </w:tabs>
        <w:ind w:left="720" w:hanging="360"/>
      </w:pPr>
    </w:lvl>
    <w:lvl w:ilvl="1" w:tplc="B39E44DE" w:tentative="1">
      <w:start w:val="1"/>
      <w:numFmt w:val="decimal"/>
      <w:lvlText w:val="%2."/>
      <w:lvlJc w:val="left"/>
      <w:pPr>
        <w:tabs>
          <w:tab w:val="num" w:pos="1440"/>
        </w:tabs>
        <w:ind w:left="1440" w:hanging="360"/>
      </w:pPr>
    </w:lvl>
    <w:lvl w:ilvl="2" w:tplc="8342FDB4" w:tentative="1">
      <w:start w:val="1"/>
      <w:numFmt w:val="decimal"/>
      <w:lvlText w:val="%3."/>
      <w:lvlJc w:val="left"/>
      <w:pPr>
        <w:tabs>
          <w:tab w:val="num" w:pos="2160"/>
        </w:tabs>
        <w:ind w:left="2160" w:hanging="360"/>
      </w:pPr>
    </w:lvl>
    <w:lvl w:ilvl="3" w:tplc="A266D1DC" w:tentative="1">
      <w:start w:val="1"/>
      <w:numFmt w:val="decimal"/>
      <w:lvlText w:val="%4."/>
      <w:lvlJc w:val="left"/>
      <w:pPr>
        <w:tabs>
          <w:tab w:val="num" w:pos="2880"/>
        </w:tabs>
        <w:ind w:left="2880" w:hanging="360"/>
      </w:pPr>
    </w:lvl>
    <w:lvl w:ilvl="4" w:tplc="84C617B8" w:tentative="1">
      <w:start w:val="1"/>
      <w:numFmt w:val="decimal"/>
      <w:lvlText w:val="%5."/>
      <w:lvlJc w:val="left"/>
      <w:pPr>
        <w:tabs>
          <w:tab w:val="num" w:pos="3600"/>
        </w:tabs>
        <w:ind w:left="3600" w:hanging="360"/>
      </w:pPr>
    </w:lvl>
    <w:lvl w:ilvl="5" w:tplc="6BDE9922" w:tentative="1">
      <w:start w:val="1"/>
      <w:numFmt w:val="decimal"/>
      <w:lvlText w:val="%6."/>
      <w:lvlJc w:val="left"/>
      <w:pPr>
        <w:tabs>
          <w:tab w:val="num" w:pos="4320"/>
        </w:tabs>
        <w:ind w:left="4320" w:hanging="360"/>
      </w:pPr>
    </w:lvl>
    <w:lvl w:ilvl="6" w:tplc="471C8944" w:tentative="1">
      <w:start w:val="1"/>
      <w:numFmt w:val="decimal"/>
      <w:lvlText w:val="%7."/>
      <w:lvlJc w:val="left"/>
      <w:pPr>
        <w:tabs>
          <w:tab w:val="num" w:pos="5040"/>
        </w:tabs>
        <w:ind w:left="5040" w:hanging="360"/>
      </w:pPr>
    </w:lvl>
    <w:lvl w:ilvl="7" w:tplc="8C3EA2A8" w:tentative="1">
      <w:start w:val="1"/>
      <w:numFmt w:val="decimal"/>
      <w:lvlText w:val="%8."/>
      <w:lvlJc w:val="left"/>
      <w:pPr>
        <w:tabs>
          <w:tab w:val="num" w:pos="5760"/>
        </w:tabs>
        <w:ind w:left="5760" w:hanging="360"/>
      </w:pPr>
    </w:lvl>
    <w:lvl w:ilvl="8" w:tplc="AE60418A" w:tentative="1">
      <w:start w:val="1"/>
      <w:numFmt w:val="decimal"/>
      <w:lvlText w:val="%9."/>
      <w:lvlJc w:val="left"/>
      <w:pPr>
        <w:tabs>
          <w:tab w:val="num" w:pos="6480"/>
        </w:tabs>
        <w:ind w:left="6480" w:hanging="360"/>
      </w:pPr>
    </w:lvl>
  </w:abstractNum>
  <w:abstractNum w:abstractNumId="2" w15:restartNumberingAfterBreak="0">
    <w:nsid w:val="0875247A"/>
    <w:multiLevelType w:val="hybridMultilevel"/>
    <w:tmpl w:val="9E303A1E"/>
    <w:lvl w:ilvl="0" w:tplc="CE983B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0316DF"/>
    <w:multiLevelType w:val="hybridMultilevel"/>
    <w:tmpl w:val="4DB486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605FE9"/>
    <w:multiLevelType w:val="hybridMultilevel"/>
    <w:tmpl w:val="F4669DEE"/>
    <w:lvl w:ilvl="0" w:tplc="960E13E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8307F7"/>
    <w:multiLevelType w:val="hybridMultilevel"/>
    <w:tmpl w:val="AA90F2CA"/>
    <w:lvl w:ilvl="0" w:tplc="A254E062">
      <w:start w:val="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A12D9"/>
    <w:multiLevelType w:val="hybridMultilevel"/>
    <w:tmpl w:val="345AECB2"/>
    <w:lvl w:ilvl="0" w:tplc="960E13E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8E5236"/>
    <w:multiLevelType w:val="hybridMultilevel"/>
    <w:tmpl w:val="4E0A5B6E"/>
    <w:lvl w:ilvl="0" w:tplc="28443DA4">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58065C"/>
    <w:multiLevelType w:val="hybridMultilevel"/>
    <w:tmpl w:val="D4D803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2927AB"/>
    <w:multiLevelType w:val="hybridMultilevel"/>
    <w:tmpl w:val="A75604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285F28"/>
    <w:multiLevelType w:val="hybridMultilevel"/>
    <w:tmpl w:val="210069D8"/>
    <w:lvl w:ilvl="0" w:tplc="A7948D9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54D5118"/>
    <w:multiLevelType w:val="multilevel"/>
    <w:tmpl w:val="74FE8F0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7450EA"/>
    <w:multiLevelType w:val="hybridMultilevel"/>
    <w:tmpl w:val="B66C0196"/>
    <w:lvl w:ilvl="0" w:tplc="F614FF4A">
      <w:start w:val="3"/>
      <w:numFmt w:val="decimal"/>
      <w:lvlText w:val="%1."/>
      <w:lvlJc w:val="left"/>
      <w:pPr>
        <w:tabs>
          <w:tab w:val="num" w:pos="720"/>
        </w:tabs>
        <w:ind w:left="720" w:hanging="360"/>
      </w:pPr>
    </w:lvl>
    <w:lvl w:ilvl="1" w:tplc="7D4AE8A4" w:tentative="1">
      <w:start w:val="1"/>
      <w:numFmt w:val="decimal"/>
      <w:lvlText w:val="%2."/>
      <w:lvlJc w:val="left"/>
      <w:pPr>
        <w:tabs>
          <w:tab w:val="num" w:pos="1440"/>
        </w:tabs>
        <w:ind w:left="1440" w:hanging="360"/>
      </w:pPr>
    </w:lvl>
    <w:lvl w:ilvl="2" w:tplc="7CCAEF06" w:tentative="1">
      <w:start w:val="1"/>
      <w:numFmt w:val="decimal"/>
      <w:lvlText w:val="%3."/>
      <w:lvlJc w:val="left"/>
      <w:pPr>
        <w:tabs>
          <w:tab w:val="num" w:pos="2160"/>
        </w:tabs>
        <w:ind w:left="2160" w:hanging="360"/>
      </w:pPr>
    </w:lvl>
    <w:lvl w:ilvl="3" w:tplc="3D08A506" w:tentative="1">
      <w:start w:val="1"/>
      <w:numFmt w:val="decimal"/>
      <w:lvlText w:val="%4."/>
      <w:lvlJc w:val="left"/>
      <w:pPr>
        <w:tabs>
          <w:tab w:val="num" w:pos="2880"/>
        </w:tabs>
        <w:ind w:left="2880" w:hanging="360"/>
      </w:pPr>
    </w:lvl>
    <w:lvl w:ilvl="4" w:tplc="43627BDA" w:tentative="1">
      <w:start w:val="1"/>
      <w:numFmt w:val="decimal"/>
      <w:lvlText w:val="%5."/>
      <w:lvlJc w:val="left"/>
      <w:pPr>
        <w:tabs>
          <w:tab w:val="num" w:pos="3600"/>
        </w:tabs>
        <w:ind w:left="3600" w:hanging="360"/>
      </w:pPr>
    </w:lvl>
    <w:lvl w:ilvl="5" w:tplc="CDA4A38C" w:tentative="1">
      <w:start w:val="1"/>
      <w:numFmt w:val="decimal"/>
      <w:lvlText w:val="%6."/>
      <w:lvlJc w:val="left"/>
      <w:pPr>
        <w:tabs>
          <w:tab w:val="num" w:pos="4320"/>
        </w:tabs>
        <w:ind w:left="4320" w:hanging="360"/>
      </w:pPr>
    </w:lvl>
    <w:lvl w:ilvl="6" w:tplc="A4D40BFC" w:tentative="1">
      <w:start w:val="1"/>
      <w:numFmt w:val="decimal"/>
      <w:lvlText w:val="%7."/>
      <w:lvlJc w:val="left"/>
      <w:pPr>
        <w:tabs>
          <w:tab w:val="num" w:pos="5040"/>
        </w:tabs>
        <w:ind w:left="5040" w:hanging="360"/>
      </w:pPr>
    </w:lvl>
    <w:lvl w:ilvl="7" w:tplc="07F2266E" w:tentative="1">
      <w:start w:val="1"/>
      <w:numFmt w:val="decimal"/>
      <w:lvlText w:val="%8."/>
      <w:lvlJc w:val="left"/>
      <w:pPr>
        <w:tabs>
          <w:tab w:val="num" w:pos="5760"/>
        </w:tabs>
        <w:ind w:left="5760" w:hanging="360"/>
      </w:pPr>
    </w:lvl>
    <w:lvl w:ilvl="8" w:tplc="B8A04268" w:tentative="1">
      <w:start w:val="1"/>
      <w:numFmt w:val="decimal"/>
      <w:lvlText w:val="%9."/>
      <w:lvlJc w:val="left"/>
      <w:pPr>
        <w:tabs>
          <w:tab w:val="num" w:pos="6480"/>
        </w:tabs>
        <w:ind w:left="6480" w:hanging="360"/>
      </w:pPr>
    </w:lvl>
  </w:abstractNum>
  <w:abstractNum w:abstractNumId="14"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A37041"/>
    <w:multiLevelType w:val="hybridMultilevel"/>
    <w:tmpl w:val="A1E685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8B70A7"/>
    <w:multiLevelType w:val="hybridMultilevel"/>
    <w:tmpl w:val="A75604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7133C3"/>
    <w:multiLevelType w:val="hybridMultilevel"/>
    <w:tmpl w:val="F4B2D3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6351B06"/>
    <w:multiLevelType w:val="hybridMultilevel"/>
    <w:tmpl w:val="BA2C9F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4"/>
  </w:num>
  <w:num w:numId="3">
    <w:abstractNumId w:val="10"/>
  </w:num>
  <w:num w:numId="4">
    <w:abstractNumId w:val="2"/>
  </w:num>
  <w:num w:numId="5">
    <w:abstractNumId w:val="12"/>
  </w:num>
  <w:num w:numId="6">
    <w:abstractNumId w:val="18"/>
  </w:num>
  <w:num w:numId="7">
    <w:abstractNumId w:val="3"/>
  </w:num>
  <w:num w:numId="8">
    <w:abstractNumId w:val="1"/>
  </w:num>
  <w:num w:numId="9">
    <w:abstractNumId w:val="0"/>
  </w:num>
  <w:num w:numId="10">
    <w:abstractNumId w:val="13"/>
  </w:num>
  <w:num w:numId="11">
    <w:abstractNumId w:val="17"/>
  </w:num>
  <w:num w:numId="12">
    <w:abstractNumId w:val="7"/>
  </w:num>
  <w:num w:numId="13">
    <w:abstractNumId w:val="8"/>
  </w:num>
  <w:num w:numId="14">
    <w:abstractNumId w:val="15"/>
  </w:num>
  <w:num w:numId="15">
    <w:abstractNumId w:val="9"/>
  </w:num>
  <w:num w:numId="16">
    <w:abstractNumId w:val="16"/>
  </w:num>
  <w:num w:numId="17">
    <w:abstractNumId w:val="11"/>
  </w:num>
  <w:num w:numId="18">
    <w:abstractNumId w:val="4"/>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D3"/>
    <w:rsid w:val="000008A9"/>
    <w:rsid w:val="000058AA"/>
    <w:rsid w:val="0000653D"/>
    <w:rsid w:val="00007491"/>
    <w:rsid w:val="0001048C"/>
    <w:rsid w:val="00013B61"/>
    <w:rsid w:val="00014B9F"/>
    <w:rsid w:val="00015C48"/>
    <w:rsid w:val="00016159"/>
    <w:rsid w:val="0002003C"/>
    <w:rsid w:val="000231D2"/>
    <w:rsid w:val="000240CA"/>
    <w:rsid w:val="00024ACB"/>
    <w:rsid w:val="00024D9D"/>
    <w:rsid w:val="0002596F"/>
    <w:rsid w:val="00026092"/>
    <w:rsid w:val="00026F18"/>
    <w:rsid w:val="0003012D"/>
    <w:rsid w:val="00030B7E"/>
    <w:rsid w:val="00030C7E"/>
    <w:rsid w:val="0003245D"/>
    <w:rsid w:val="00032471"/>
    <w:rsid w:val="0003265E"/>
    <w:rsid w:val="0003309D"/>
    <w:rsid w:val="00033F5A"/>
    <w:rsid w:val="00035C7B"/>
    <w:rsid w:val="000430AC"/>
    <w:rsid w:val="0004380E"/>
    <w:rsid w:val="00044683"/>
    <w:rsid w:val="00044743"/>
    <w:rsid w:val="00047095"/>
    <w:rsid w:val="00047962"/>
    <w:rsid w:val="000527A4"/>
    <w:rsid w:val="000638B5"/>
    <w:rsid w:val="00065216"/>
    <w:rsid w:val="00066CEE"/>
    <w:rsid w:val="00066E71"/>
    <w:rsid w:val="000675E0"/>
    <w:rsid w:val="000678CD"/>
    <w:rsid w:val="00070F56"/>
    <w:rsid w:val="00071082"/>
    <w:rsid w:val="0007156D"/>
    <w:rsid w:val="00071BC9"/>
    <w:rsid w:val="00072B02"/>
    <w:rsid w:val="0007330D"/>
    <w:rsid w:val="0007405A"/>
    <w:rsid w:val="00074090"/>
    <w:rsid w:val="000773A5"/>
    <w:rsid w:val="00077D13"/>
    <w:rsid w:val="0008002B"/>
    <w:rsid w:val="00080352"/>
    <w:rsid w:val="000818FB"/>
    <w:rsid w:val="00081EC5"/>
    <w:rsid w:val="0008515E"/>
    <w:rsid w:val="00085640"/>
    <w:rsid w:val="00091668"/>
    <w:rsid w:val="00091F4F"/>
    <w:rsid w:val="0009324B"/>
    <w:rsid w:val="00094B1E"/>
    <w:rsid w:val="00094DE4"/>
    <w:rsid w:val="00095280"/>
    <w:rsid w:val="00096060"/>
    <w:rsid w:val="00096120"/>
    <w:rsid w:val="000961FC"/>
    <w:rsid w:val="000964C6"/>
    <w:rsid w:val="000A0059"/>
    <w:rsid w:val="000A14E3"/>
    <w:rsid w:val="000A22FB"/>
    <w:rsid w:val="000A37C3"/>
    <w:rsid w:val="000A38DA"/>
    <w:rsid w:val="000A44CE"/>
    <w:rsid w:val="000B0748"/>
    <w:rsid w:val="000B1926"/>
    <w:rsid w:val="000B1B64"/>
    <w:rsid w:val="000B2C54"/>
    <w:rsid w:val="000B3449"/>
    <w:rsid w:val="000B3FAB"/>
    <w:rsid w:val="000B492B"/>
    <w:rsid w:val="000B71B4"/>
    <w:rsid w:val="000C090A"/>
    <w:rsid w:val="000C33C1"/>
    <w:rsid w:val="000C4418"/>
    <w:rsid w:val="000C50F5"/>
    <w:rsid w:val="000C71B9"/>
    <w:rsid w:val="000D0CAC"/>
    <w:rsid w:val="000D2474"/>
    <w:rsid w:val="000D3D56"/>
    <w:rsid w:val="000D43D9"/>
    <w:rsid w:val="000D460D"/>
    <w:rsid w:val="000D74B9"/>
    <w:rsid w:val="000D793C"/>
    <w:rsid w:val="000E257B"/>
    <w:rsid w:val="000E3267"/>
    <w:rsid w:val="000E49C8"/>
    <w:rsid w:val="000E53C3"/>
    <w:rsid w:val="000E56F8"/>
    <w:rsid w:val="000E5DD2"/>
    <w:rsid w:val="000E63F3"/>
    <w:rsid w:val="000F0A62"/>
    <w:rsid w:val="000F0E0E"/>
    <w:rsid w:val="000F25D2"/>
    <w:rsid w:val="000F2EA7"/>
    <w:rsid w:val="000F4230"/>
    <w:rsid w:val="000F785A"/>
    <w:rsid w:val="001001F5"/>
    <w:rsid w:val="00102922"/>
    <w:rsid w:val="00102B0D"/>
    <w:rsid w:val="00102B1D"/>
    <w:rsid w:val="00102C5B"/>
    <w:rsid w:val="00105D17"/>
    <w:rsid w:val="00110128"/>
    <w:rsid w:val="00111E15"/>
    <w:rsid w:val="0011606F"/>
    <w:rsid w:val="0012058F"/>
    <w:rsid w:val="0012353E"/>
    <w:rsid w:val="001257ED"/>
    <w:rsid w:val="0012624C"/>
    <w:rsid w:val="00130058"/>
    <w:rsid w:val="0013024B"/>
    <w:rsid w:val="00131AB3"/>
    <w:rsid w:val="00131C9F"/>
    <w:rsid w:val="00136CCC"/>
    <w:rsid w:val="00137388"/>
    <w:rsid w:val="00137F96"/>
    <w:rsid w:val="00142C3C"/>
    <w:rsid w:val="00143BB6"/>
    <w:rsid w:val="00145366"/>
    <w:rsid w:val="00146697"/>
    <w:rsid w:val="00146D17"/>
    <w:rsid w:val="0014739B"/>
    <w:rsid w:val="00150256"/>
    <w:rsid w:val="00151BBD"/>
    <w:rsid w:val="00152387"/>
    <w:rsid w:val="0015295F"/>
    <w:rsid w:val="00156C28"/>
    <w:rsid w:val="0016143E"/>
    <w:rsid w:val="00161BA7"/>
    <w:rsid w:val="001631BE"/>
    <w:rsid w:val="001633A3"/>
    <w:rsid w:val="001650AC"/>
    <w:rsid w:val="001655DD"/>
    <w:rsid w:val="00165747"/>
    <w:rsid w:val="00165F5E"/>
    <w:rsid w:val="0016668A"/>
    <w:rsid w:val="00166A8B"/>
    <w:rsid w:val="0016744E"/>
    <w:rsid w:val="00167597"/>
    <w:rsid w:val="00172082"/>
    <w:rsid w:val="00176AB2"/>
    <w:rsid w:val="00177250"/>
    <w:rsid w:val="00177882"/>
    <w:rsid w:val="00177C69"/>
    <w:rsid w:val="00180E2B"/>
    <w:rsid w:val="00183B65"/>
    <w:rsid w:val="00183C0A"/>
    <w:rsid w:val="001850AC"/>
    <w:rsid w:val="00186A4D"/>
    <w:rsid w:val="00187140"/>
    <w:rsid w:val="00187CC8"/>
    <w:rsid w:val="00190B3D"/>
    <w:rsid w:val="00191B63"/>
    <w:rsid w:val="00192D14"/>
    <w:rsid w:val="001935C8"/>
    <w:rsid w:val="001946C8"/>
    <w:rsid w:val="00195D43"/>
    <w:rsid w:val="001A00DC"/>
    <w:rsid w:val="001A120C"/>
    <w:rsid w:val="001A1322"/>
    <w:rsid w:val="001A1368"/>
    <w:rsid w:val="001A1439"/>
    <w:rsid w:val="001A2748"/>
    <w:rsid w:val="001A38EA"/>
    <w:rsid w:val="001A3ED2"/>
    <w:rsid w:val="001A4B8B"/>
    <w:rsid w:val="001A7C3A"/>
    <w:rsid w:val="001A7E1D"/>
    <w:rsid w:val="001B1AD3"/>
    <w:rsid w:val="001B70CA"/>
    <w:rsid w:val="001B7454"/>
    <w:rsid w:val="001C0801"/>
    <w:rsid w:val="001C143C"/>
    <w:rsid w:val="001C1B72"/>
    <w:rsid w:val="001C2832"/>
    <w:rsid w:val="001C29A2"/>
    <w:rsid w:val="001C362D"/>
    <w:rsid w:val="001C5ED6"/>
    <w:rsid w:val="001C6208"/>
    <w:rsid w:val="001C68A2"/>
    <w:rsid w:val="001C70CC"/>
    <w:rsid w:val="001D0561"/>
    <w:rsid w:val="001D0800"/>
    <w:rsid w:val="001D2C06"/>
    <w:rsid w:val="001D3167"/>
    <w:rsid w:val="001D57E4"/>
    <w:rsid w:val="001D65C7"/>
    <w:rsid w:val="001D6EFA"/>
    <w:rsid w:val="001D7397"/>
    <w:rsid w:val="001D7DC1"/>
    <w:rsid w:val="001E023A"/>
    <w:rsid w:val="001E11E3"/>
    <w:rsid w:val="001E1B0F"/>
    <w:rsid w:val="001E29B8"/>
    <w:rsid w:val="001E323F"/>
    <w:rsid w:val="001E3588"/>
    <w:rsid w:val="001E4C2F"/>
    <w:rsid w:val="001E5FBC"/>
    <w:rsid w:val="001E76BE"/>
    <w:rsid w:val="001F2BA2"/>
    <w:rsid w:val="001F336A"/>
    <w:rsid w:val="001F6DBE"/>
    <w:rsid w:val="001F7086"/>
    <w:rsid w:val="001F7AAD"/>
    <w:rsid w:val="00200E07"/>
    <w:rsid w:val="00200E7D"/>
    <w:rsid w:val="00201D17"/>
    <w:rsid w:val="00204393"/>
    <w:rsid w:val="0020468C"/>
    <w:rsid w:val="002107BF"/>
    <w:rsid w:val="00210E64"/>
    <w:rsid w:val="00211315"/>
    <w:rsid w:val="00215A5A"/>
    <w:rsid w:val="00215C6A"/>
    <w:rsid w:val="0021738A"/>
    <w:rsid w:val="002177B0"/>
    <w:rsid w:val="00217F5B"/>
    <w:rsid w:val="00223778"/>
    <w:rsid w:val="00224E84"/>
    <w:rsid w:val="002267E7"/>
    <w:rsid w:val="002278EE"/>
    <w:rsid w:val="00227BC3"/>
    <w:rsid w:val="00227F25"/>
    <w:rsid w:val="00232596"/>
    <w:rsid w:val="00234025"/>
    <w:rsid w:val="00234470"/>
    <w:rsid w:val="0023582E"/>
    <w:rsid w:val="00237878"/>
    <w:rsid w:val="002438ED"/>
    <w:rsid w:val="00244A9E"/>
    <w:rsid w:val="00246849"/>
    <w:rsid w:val="00250127"/>
    <w:rsid w:val="0025023B"/>
    <w:rsid w:val="00251FA5"/>
    <w:rsid w:val="00252EEF"/>
    <w:rsid w:val="00253B6C"/>
    <w:rsid w:val="00254651"/>
    <w:rsid w:val="00254901"/>
    <w:rsid w:val="0025543B"/>
    <w:rsid w:val="00255BAC"/>
    <w:rsid w:val="0025654B"/>
    <w:rsid w:val="002565F1"/>
    <w:rsid w:val="00257981"/>
    <w:rsid w:val="002601C7"/>
    <w:rsid w:val="00261B97"/>
    <w:rsid w:val="002651EA"/>
    <w:rsid w:val="0027369F"/>
    <w:rsid w:val="00273700"/>
    <w:rsid w:val="00273B21"/>
    <w:rsid w:val="00277D9D"/>
    <w:rsid w:val="00281C0B"/>
    <w:rsid w:val="00281F89"/>
    <w:rsid w:val="00281F98"/>
    <w:rsid w:val="00282251"/>
    <w:rsid w:val="0028288E"/>
    <w:rsid w:val="00290EE2"/>
    <w:rsid w:val="00291C35"/>
    <w:rsid w:val="00292062"/>
    <w:rsid w:val="002932D2"/>
    <w:rsid w:val="00294DDB"/>
    <w:rsid w:val="00294DF3"/>
    <w:rsid w:val="002957B7"/>
    <w:rsid w:val="002A0435"/>
    <w:rsid w:val="002A0BC1"/>
    <w:rsid w:val="002A166A"/>
    <w:rsid w:val="002A1AA4"/>
    <w:rsid w:val="002A3287"/>
    <w:rsid w:val="002A3EC2"/>
    <w:rsid w:val="002A59B7"/>
    <w:rsid w:val="002A6400"/>
    <w:rsid w:val="002B071C"/>
    <w:rsid w:val="002B24D2"/>
    <w:rsid w:val="002B3EAE"/>
    <w:rsid w:val="002B4900"/>
    <w:rsid w:val="002B6364"/>
    <w:rsid w:val="002B69B2"/>
    <w:rsid w:val="002B7681"/>
    <w:rsid w:val="002B7F82"/>
    <w:rsid w:val="002C15A0"/>
    <w:rsid w:val="002C22CF"/>
    <w:rsid w:val="002C3E23"/>
    <w:rsid w:val="002C3E51"/>
    <w:rsid w:val="002C504B"/>
    <w:rsid w:val="002C65E0"/>
    <w:rsid w:val="002C743D"/>
    <w:rsid w:val="002D339C"/>
    <w:rsid w:val="002D43A2"/>
    <w:rsid w:val="002D6A10"/>
    <w:rsid w:val="002D6BDB"/>
    <w:rsid w:val="002D744A"/>
    <w:rsid w:val="002D7D0E"/>
    <w:rsid w:val="002E024D"/>
    <w:rsid w:val="002E1075"/>
    <w:rsid w:val="002E5019"/>
    <w:rsid w:val="002E5643"/>
    <w:rsid w:val="002E678E"/>
    <w:rsid w:val="002E708A"/>
    <w:rsid w:val="002E7635"/>
    <w:rsid w:val="002F06CE"/>
    <w:rsid w:val="002F1DDB"/>
    <w:rsid w:val="002F3AB7"/>
    <w:rsid w:val="002F5587"/>
    <w:rsid w:val="002F5FB0"/>
    <w:rsid w:val="002F741D"/>
    <w:rsid w:val="00300B84"/>
    <w:rsid w:val="00301A6D"/>
    <w:rsid w:val="0030247A"/>
    <w:rsid w:val="00303955"/>
    <w:rsid w:val="00303F18"/>
    <w:rsid w:val="00304810"/>
    <w:rsid w:val="003055C3"/>
    <w:rsid w:val="003061FB"/>
    <w:rsid w:val="00306270"/>
    <w:rsid w:val="0031008A"/>
    <w:rsid w:val="00310924"/>
    <w:rsid w:val="0031165D"/>
    <w:rsid w:val="0031259B"/>
    <w:rsid w:val="00314287"/>
    <w:rsid w:val="00314298"/>
    <w:rsid w:val="0031471E"/>
    <w:rsid w:val="00314994"/>
    <w:rsid w:val="003176D3"/>
    <w:rsid w:val="00320B22"/>
    <w:rsid w:val="003228DE"/>
    <w:rsid w:val="00323C8A"/>
    <w:rsid w:val="003251AC"/>
    <w:rsid w:val="00326096"/>
    <w:rsid w:val="00326AE5"/>
    <w:rsid w:val="00330421"/>
    <w:rsid w:val="0033237E"/>
    <w:rsid w:val="003334FB"/>
    <w:rsid w:val="003344E7"/>
    <w:rsid w:val="00334E90"/>
    <w:rsid w:val="0033779C"/>
    <w:rsid w:val="00337AC6"/>
    <w:rsid w:val="00343A18"/>
    <w:rsid w:val="0034476B"/>
    <w:rsid w:val="00346913"/>
    <w:rsid w:val="003469B5"/>
    <w:rsid w:val="00346CE0"/>
    <w:rsid w:val="00347A58"/>
    <w:rsid w:val="003513E6"/>
    <w:rsid w:val="00354ABE"/>
    <w:rsid w:val="00356492"/>
    <w:rsid w:val="00357C6C"/>
    <w:rsid w:val="00360657"/>
    <w:rsid w:val="00366AFE"/>
    <w:rsid w:val="00367B98"/>
    <w:rsid w:val="00370711"/>
    <w:rsid w:val="00371757"/>
    <w:rsid w:val="00373F39"/>
    <w:rsid w:val="00374F73"/>
    <w:rsid w:val="0037530A"/>
    <w:rsid w:val="00375D4C"/>
    <w:rsid w:val="00375F30"/>
    <w:rsid w:val="00376F09"/>
    <w:rsid w:val="00380AC5"/>
    <w:rsid w:val="00380D03"/>
    <w:rsid w:val="00381382"/>
    <w:rsid w:val="003814A5"/>
    <w:rsid w:val="00381B26"/>
    <w:rsid w:val="00382FEC"/>
    <w:rsid w:val="00385772"/>
    <w:rsid w:val="00387734"/>
    <w:rsid w:val="003911D7"/>
    <w:rsid w:val="0039139B"/>
    <w:rsid w:val="003913FB"/>
    <w:rsid w:val="00391F87"/>
    <w:rsid w:val="0039281D"/>
    <w:rsid w:val="00392998"/>
    <w:rsid w:val="00392FEE"/>
    <w:rsid w:val="0039319E"/>
    <w:rsid w:val="00393E8A"/>
    <w:rsid w:val="003942A0"/>
    <w:rsid w:val="003949F0"/>
    <w:rsid w:val="00395460"/>
    <w:rsid w:val="00396152"/>
    <w:rsid w:val="003962D9"/>
    <w:rsid w:val="00397D0E"/>
    <w:rsid w:val="003A1D77"/>
    <w:rsid w:val="003A24AD"/>
    <w:rsid w:val="003A2C91"/>
    <w:rsid w:val="003A3B51"/>
    <w:rsid w:val="003A40AD"/>
    <w:rsid w:val="003A4F11"/>
    <w:rsid w:val="003A66B2"/>
    <w:rsid w:val="003A6A32"/>
    <w:rsid w:val="003A6B7C"/>
    <w:rsid w:val="003A7D7E"/>
    <w:rsid w:val="003B1693"/>
    <w:rsid w:val="003B32EC"/>
    <w:rsid w:val="003B3488"/>
    <w:rsid w:val="003B5E55"/>
    <w:rsid w:val="003B5F6A"/>
    <w:rsid w:val="003B623A"/>
    <w:rsid w:val="003B63BE"/>
    <w:rsid w:val="003B69B2"/>
    <w:rsid w:val="003B7B62"/>
    <w:rsid w:val="003B7EE6"/>
    <w:rsid w:val="003C072B"/>
    <w:rsid w:val="003C3D3D"/>
    <w:rsid w:val="003C5836"/>
    <w:rsid w:val="003C585E"/>
    <w:rsid w:val="003C7796"/>
    <w:rsid w:val="003D0189"/>
    <w:rsid w:val="003D0448"/>
    <w:rsid w:val="003D0D82"/>
    <w:rsid w:val="003D0FB7"/>
    <w:rsid w:val="003D1A86"/>
    <w:rsid w:val="003D3252"/>
    <w:rsid w:val="003D3CA2"/>
    <w:rsid w:val="003D3E7E"/>
    <w:rsid w:val="003D7F0B"/>
    <w:rsid w:val="003E06DF"/>
    <w:rsid w:val="003E145E"/>
    <w:rsid w:val="003E171B"/>
    <w:rsid w:val="003E3100"/>
    <w:rsid w:val="003E4132"/>
    <w:rsid w:val="003E5276"/>
    <w:rsid w:val="003E5596"/>
    <w:rsid w:val="003E58C7"/>
    <w:rsid w:val="003E5A6D"/>
    <w:rsid w:val="003E5B81"/>
    <w:rsid w:val="003E5D7B"/>
    <w:rsid w:val="003E637A"/>
    <w:rsid w:val="003E78C2"/>
    <w:rsid w:val="003F0341"/>
    <w:rsid w:val="003F288B"/>
    <w:rsid w:val="003F2B20"/>
    <w:rsid w:val="003F2C34"/>
    <w:rsid w:val="003F2DF0"/>
    <w:rsid w:val="003F30FC"/>
    <w:rsid w:val="003F3B70"/>
    <w:rsid w:val="003F45CD"/>
    <w:rsid w:val="003F4CC7"/>
    <w:rsid w:val="003F7C94"/>
    <w:rsid w:val="00401397"/>
    <w:rsid w:val="004038BC"/>
    <w:rsid w:val="00406AE2"/>
    <w:rsid w:val="0041036A"/>
    <w:rsid w:val="00412337"/>
    <w:rsid w:val="0041316A"/>
    <w:rsid w:val="004158F6"/>
    <w:rsid w:val="00415A66"/>
    <w:rsid w:val="00416A31"/>
    <w:rsid w:val="00416FC7"/>
    <w:rsid w:val="00417136"/>
    <w:rsid w:val="00417240"/>
    <w:rsid w:val="0041770B"/>
    <w:rsid w:val="004205F6"/>
    <w:rsid w:val="00420760"/>
    <w:rsid w:val="00420CFF"/>
    <w:rsid w:val="004224C2"/>
    <w:rsid w:val="00423B46"/>
    <w:rsid w:val="00424376"/>
    <w:rsid w:val="00425AA9"/>
    <w:rsid w:val="00426250"/>
    <w:rsid w:val="00426A69"/>
    <w:rsid w:val="00426B77"/>
    <w:rsid w:val="00430F61"/>
    <w:rsid w:val="00431019"/>
    <w:rsid w:val="00433EC2"/>
    <w:rsid w:val="00434856"/>
    <w:rsid w:val="00434CD9"/>
    <w:rsid w:val="004352F7"/>
    <w:rsid w:val="004354EC"/>
    <w:rsid w:val="0043554A"/>
    <w:rsid w:val="0043619D"/>
    <w:rsid w:val="004362D3"/>
    <w:rsid w:val="00442A8B"/>
    <w:rsid w:val="00442D1E"/>
    <w:rsid w:val="00443016"/>
    <w:rsid w:val="00444344"/>
    <w:rsid w:val="00445945"/>
    <w:rsid w:val="00450691"/>
    <w:rsid w:val="00450D9C"/>
    <w:rsid w:val="00452140"/>
    <w:rsid w:val="00453BB3"/>
    <w:rsid w:val="004545A3"/>
    <w:rsid w:val="00454695"/>
    <w:rsid w:val="004569E8"/>
    <w:rsid w:val="00457427"/>
    <w:rsid w:val="00457C1C"/>
    <w:rsid w:val="004615AE"/>
    <w:rsid w:val="004617B1"/>
    <w:rsid w:val="004619FE"/>
    <w:rsid w:val="00462400"/>
    <w:rsid w:val="00462679"/>
    <w:rsid w:val="00463574"/>
    <w:rsid w:val="00464762"/>
    <w:rsid w:val="00466669"/>
    <w:rsid w:val="004666F3"/>
    <w:rsid w:val="00467343"/>
    <w:rsid w:val="0047031A"/>
    <w:rsid w:val="00471A6D"/>
    <w:rsid w:val="0047322E"/>
    <w:rsid w:val="004741BD"/>
    <w:rsid w:val="00475237"/>
    <w:rsid w:val="004757CE"/>
    <w:rsid w:val="00475FA3"/>
    <w:rsid w:val="00476F80"/>
    <w:rsid w:val="00480F68"/>
    <w:rsid w:val="00481C20"/>
    <w:rsid w:val="00483B86"/>
    <w:rsid w:val="00485293"/>
    <w:rsid w:val="004858C7"/>
    <w:rsid w:val="00485C40"/>
    <w:rsid w:val="00485E47"/>
    <w:rsid w:val="00490499"/>
    <w:rsid w:val="00497AB8"/>
    <w:rsid w:val="004A23B4"/>
    <w:rsid w:val="004A2EE3"/>
    <w:rsid w:val="004A4356"/>
    <w:rsid w:val="004A53B0"/>
    <w:rsid w:val="004A5EEF"/>
    <w:rsid w:val="004B0B1D"/>
    <w:rsid w:val="004B261A"/>
    <w:rsid w:val="004B3C41"/>
    <w:rsid w:val="004B6792"/>
    <w:rsid w:val="004C0738"/>
    <w:rsid w:val="004C0D20"/>
    <w:rsid w:val="004C0FE6"/>
    <w:rsid w:val="004C20F1"/>
    <w:rsid w:val="004C212C"/>
    <w:rsid w:val="004C253C"/>
    <w:rsid w:val="004C2FC4"/>
    <w:rsid w:val="004C30C9"/>
    <w:rsid w:val="004D0B68"/>
    <w:rsid w:val="004D0F95"/>
    <w:rsid w:val="004D232B"/>
    <w:rsid w:val="004D3010"/>
    <w:rsid w:val="004D3ABB"/>
    <w:rsid w:val="004D4A6B"/>
    <w:rsid w:val="004D7A72"/>
    <w:rsid w:val="004E1476"/>
    <w:rsid w:val="004E4946"/>
    <w:rsid w:val="004E5D38"/>
    <w:rsid w:val="004E603B"/>
    <w:rsid w:val="004E626B"/>
    <w:rsid w:val="004E6C7D"/>
    <w:rsid w:val="004F13BD"/>
    <w:rsid w:val="004F29F8"/>
    <w:rsid w:val="004F478F"/>
    <w:rsid w:val="00501246"/>
    <w:rsid w:val="0050230D"/>
    <w:rsid w:val="0050364D"/>
    <w:rsid w:val="00503D17"/>
    <w:rsid w:val="00504D6E"/>
    <w:rsid w:val="005116FB"/>
    <w:rsid w:val="00512A94"/>
    <w:rsid w:val="0051378F"/>
    <w:rsid w:val="00514B75"/>
    <w:rsid w:val="00515D44"/>
    <w:rsid w:val="00522270"/>
    <w:rsid w:val="005223A2"/>
    <w:rsid w:val="00531AFF"/>
    <w:rsid w:val="00532875"/>
    <w:rsid w:val="00533F84"/>
    <w:rsid w:val="00534305"/>
    <w:rsid w:val="0053691B"/>
    <w:rsid w:val="00537DC8"/>
    <w:rsid w:val="00537FF8"/>
    <w:rsid w:val="00542913"/>
    <w:rsid w:val="0054467E"/>
    <w:rsid w:val="0054516F"/>
    <w:rsid w:val="005464E6"/>
    <w:rsid w:val="00546938"/>
    <w:rsid w:val="00547ACF"/>
    <w:rsid w:val="005519BC"/>
    <w:rsid w:val="005525C7"/>
    <w:rsid w:val="00552639"/>
    <w:rsid w:val="00555557"/>
    <w:rsid w:val="00556F8F"/>
    <w:rsid w:val="005571E1"/>
    <w:rsid w:val="00557927"/>
    <w:rsid w:val="00557AA8"/>
    <w:rsid w:val="00557B17"/>
    <w:rsid w:val="00561126"/>
    <w:rsid w:val="00561142"/>
    <w:rsid w:val="00561296"/>
    <w:rsid w:val="00566916"/>
    <w:rsid w:val="00566B9F"/>
    <w:rsid w:val="00566F71"/>
    <w:rsid w:val="00567EBC"/>
    <w:rsid w:val="00567FC5"/>
    <w:rsid w:val="00571CCF"/>
    <w:rsid w:val="00572180"/>
    <w:rsid w:val="00572337"/>
    <w:rsid w:val="0057338A"/>
    <w:rsid w:val="00573FFE"/>
    <w:rsid w:val="00575FC3"/>
    <w:rsid w:val="00575FE5"/>
    <w:rsid w:val="0057625C"/>
    <w:rsid w:val="00576743"/>
    <w:rsid w:val="005771D5"/>
    <w:rsid w:val="0058066B"/>
    <w:rsid w:val="0058099B"/>
    <w:rsid w:val="00580B98"/>
    <w:rsid w:val="00581784"/>
    <w:rsid w:val="005832C9"/>
    <w:rsid w:val="005836A3"/>
    <w:rsid w:val="00583CBA"/>
    <w:rsid w:val="00584453"/>
    <w:rsid w:val="00591838"/>
    <w:rsid w:val="00592809"/>
    <w:rsid w:val="00593343"/>
    <w:rsid w:val="00594A83"/>
    <w:rsid w:val="005A0C78"/>
    <w:rsid w:val="005A1518"/>
    <w:rsid w:val="005A4807"/>
    <w:rsid w:val="005A4865"/>
    <w:rsid w:val="005A5A80"/>
    <w:rsid w:val="005A7042"/>
    <w:rsid w:val="005B0FC7"/>
    <w:rsid w:val="005B297A"/>
    <w:rsid w:val="005B29EF"/>
    <w:rsid w:val="005B2DA5"/>
    <w:rsid w:val="005B476F"/>
    <w:rsid w:val="005B5F05"/>
    <w:rsid w:val="005B6095"/>
    <w:rsid w:val="005B65B8"/>
    <w:rsid w:val="005B6A0D"/>
    <w:rsid w:val="005B6D1C"/>
    <w:rsid w:val="005B6FD2"/>
    <w:rsid w:val="005C04E5"/>
    <w:rsid w:val="005C1507"/>
    <w:rsid w:val="005C1764"/>
    <w:rsid w:val="005C3B2C"/>
    <w:rsid w:val="005C3BE8"/>
    <w:rsid w:val="005C3D03"/>
    <w:rsid w:val="005C51FA"/>
    <w:rsid w:val="005C5413"/>
    <w:rsid w:val="005C59B9"/>
    <w:rsid w:val="005C63C7"/>
    <w:rsid w:val="005C6628"/>
    <w:rsid w:val="005C6B2C"/>
    <w:rsid w:val="005C73E4"/>
    <w:rsid w:val="005C7B1F"/>
    <w:rsid w:val="005D06E8"/>
    <w:rsid w:val="005D1195"/>
    <w:rsid w:val="005D11E7"/>
    <w:rsid w:val="005D2167"/>
    <w:rsid w:val="005D688E"/>
    <w:rsid w:val="005D6B98"/>
    <w:rsid w:val="005D6F53"/>
    <w:rsid w:val="005D794E"/>
    <w:rsid w:val="005E2FF9"/>
    <w:rsid w:val="005E30B2"/>
    <w:rsid w:val="005E3715"/>
    <w:rsid w:val="005E39B3"/>
    <w:rsid w:val="005E4164"/>
    <w:rsid w:val="005E539F"/>
    <w:rsid w:val="005F1F64"/>
    <w:rsid w:val="005F24C4"/>
    <w:rsid w:val="005F3196"/>
    <w:rsid w:val="005F32D1"/>
    <w:rsid w:val="005F3FC6"/>
    <w:rsid w:val="005F75C4"/>
    <w:rsid w:val="006002BF"/>
    <w:rsid w:val="00600301"/>
    <w:rsid w:val="006008D1"/>
    <w:rsid w:val="00603CC2"/>
    <w:rsid w:val="006064F8"/>
    <w:rsid w:val="006101CF"/>
    <w:rsid w:val="00611ADA"/>
    <w:rsid w:val="00611E18"/>
    <w:rsid w:val="00611FC0"/>
    <w:rsid w:val="00613A4A"/>
    <w:rsid w:val="00614157"/>
    <w:rsid w:val="00614913"/>
    <w:rsid w:val="00614A2A"/>
    <w:rsid w:val="00614ECD"/>
    <w:rsid w:val="00616AB7"/>
    <w:rsid w:val="00622341"/>
    <w:rsid w:val="006231D7"/>
    <w:rsid w:val="00624A71"/>
    <w:rsid w:val="00626031"/>
    <w:rsid w:val="00630C6C"/>
    <w:rsid w:val="00630ED2"/>
    <w:rsid w:val="00631935"/>
    <w:rsid w:val="006356D3"/>
    <w:rsid w:val="00636B91"/>
    <w:rsid w:val="00636DC6"/>
    <w:rsid w:val="006373FF"/>
    <w:rsid w:val="00637833"/>
    <w:rsid w:val="00641AC4"/>
    <w:rsid w:val="00646A6F"/>
    <w:rsid w:val="0065168D"/>
    <w:rsid w:val="00653397"/>
    <w:rsid w:val="006535C3"/>
    <w:rsid w:val="006553CD"/>
    <w:rsid w:val="006559F5"/>
    <w:rsid w:val="006574D3"/>
    <w:rsid w:val="0065752A"/>
    <w:rsid w:val="00661782"/>
    <w:rsid w:val="00662C11"/>
    <w:rsid w:val="0066570F"/>
    <w:rsid w:val="00672822"/>
    <w:rsid w:val="006729D2"/>
    <w:rsid w:val="00673B07"/>
    <w:rsid w:val="00673BC6"/>
    <w:rsid w:val="00675BE6"/>
    <w:rsid w:val="00676E72"/>
    <w:rsid w:val="006775B3"/>
    <w:rsid w:val="00684808"/>
    <w:rsid w:val="0068483E"/>
    <w:rsid w:val="00686578"/>
    <w:rsid w:val="006876DA"/>
    <w:rsid w:val="00687967"/>
    <w:rsid w:val="00690F72"/>
    <w:rsid w:val="00695FE4"/>
    <w:rsid w:val="0069630E"/>
    <w:rsid w:val="006A0A28"/>
    <w:rsid w:val="006A0F95"/>
    <w:rsid w:val="006A454E"/>
    <w:rsid w:val="006A4BE4"/>
    <w:rsid w:val="006A516C"/>
    <w:rsid w:val="006A56D3"/>
    <w:rsid w:val="006A6B80"/>
    <w:rsid w:val="006B1301"/>
    <w:rsid w:val="006B2D92"/>
    <w:rsid w:val="006B2FEF"/>
    <w:rsid w:val="006B4A7A"/>
    <w:rsid w:val="006B4B31"/>
    <w:rsid w:val="006B6581"/>
    <w:rsid w:val="006B6D6C"/>
    <w:rsid w:val="006B77B3"/>
    <w:rsid w:val="006C20C5"/>
    <w:rsid w:val="006C4918"/>
    <w:rsid w:val="006C5DED"/>
    <w:rsid w:val="006C5ECD"/>
    <w:rsid w:val="006D1520"/>
    <w:rsid w:val="006D2482"/>
    <w:rsid w:val="006D2E02"/>
    <w:rsid w:val="006D2F0C"/>
    <w:rsid w:val="006D3604"/>
    <w:rsid w:val="006D416D"/>
    <w:rsid w:val="006D536E"/>
    <w:rsid w:val="006D5EB4"/>
    <w:rsid w:val="006D6EE2"/>
    <w:rsid w:val="006E2082"/>
    <w:rsid w:val="006E3BE5"/>
    <w:rsid w:val="006E5D5B"/>
    <w:rsid w:val="006E67BA"/>
    <w:rsid w:val="006F057A"/>
    <w:rsid w:val="006F2362"/>
    <w:rsid w:val="006F47EB"/>
    <w:rsid w:val="006F4B13"/>
    <w:rsid w:val="006F4DE9"/>
    <w:rsid w:val="006F61B5"/>
    <w:rsid w:val="006F71C2"/>
    <w:rsid w:val="007008B0"/>
    <w:rsid w:val="00700AC3"/>
    <w:rsid w:val="00700AD6"/>
    <w:rsid w:val="00700E68"/>
    <w:rsid w:val="00701065"/>
    <w:rsid w:val="0070175E"/>
    <w:rsid w:val="00702366"/>
    <w:rsid w:val="00703DC5"/>
    <w:rsid w:val="007040F2"/>
    <w:rsid w:val="007049DF"/>
    <w:rsid w:val="00705DFA"/>
    <w:rsid w:val="007061B6"/>
    <w:rsid w:val="007120EE"/>
    <w:rsid w:val="0071279F"/>
    <w:rsid w:val="007153C5"/>
    <w:rsid w:val="00715955"/>
    <w:rsid w:val="007161D3"/>
    <w:rsid w:val="00717792"/>
    <w:rsid w:val="0072038E"/>
    <w:rsid w:val="00720C35"/>
    <w:rsid w:val="00720E7B"/>
    <w:rsid w:val="0072232C"/>
    <w:rsid w:val="007262F0"/>
    <w:rsid w:val="00727BE9"/>
    <w:rsid w:val="007314F1"/>
    <w:rsid w:val="00731BE9"/>
    <w:rsid w:val="00731E2B"/>
    <w:rsid w:val="00733C32"/>
    <w:rsid w:val="00734DAD"/>
    <w:rsid w:val="007366D2"/>
    <w:rsid w:val="007420D7"/>
    <w:rsid w:val="0074545C"/>
    <w:rsid w:val="0074742D"/>
    <w:rsid w:val="00752DBC"/>
    <w:rsid w:val="00753FF4"/>
    <w:rsid w:val="0075411D"/>
    <w:rsid w:val="00755CB1"/>
    <w:rsid w:val="00756116"/>
    <w:rsid w:val="00756F8A"/>
    <w:rsid w:val="00757367"/>
    <w:rsid w:val="007601AF"/>
    <w:rsid w:val="0076022A"/>
    <w:rsid w:val="00760295"/>
    <w:rsid w:val="00760998"/>
    <w:rsid w:val="00760B97"/>
    <w:rsid w:val="00762675"/>
    <w:rsid w:val="00762FC8"/>
    <w:rsid w:val="00765825"/>
    <w:rsid w:val="007700D3"/>
    <w:rsid w:val="00770970"/>
    <w:rsid w:val="0077131C"/>
    <w:rsid w:val="0077138B"/>
    <w:rsid w:val="00772B32"/>
    <w:rsid w:val="0077534E"/>
    <w:rsid w:val="00777133"/>
    <w:rsid w:val="0077733C"/>
    <w:rsid w:val="0078045E"/>
    <w:rsid w:val="00780B70"/>
    <w:rsid w:val="00782332"/>
    <w:rsid w:val="00782502"/>
    <w:rsid w:val="00782847"/>
    <w:rsid w:val="00783777"/>
    <w:rsid w:val="00783D20"/>
    <w:rsid w:val="00785232"/>
    <w:rsid w:val="0078549A"/>
    <w:rsid w:val="007862D0"/>
    <w:rsid w:val="00786BFC"/>
    <w:rsid w:val="0079247D"/>
    <w:rsid w:val="00794F2D"/>
    <w:rsid w:val="007954D3"/>
    <w:rsid w:val="00796159"/>
    <w:rsid w:val="00797AAD"/>
    <w:rsid w:val="007A2F02"/>
    <w:rsid w:val="007A5127"/>
    <w:rsid w:val="007A5C51"/>
    <w:rsid w:val="007B25FF"/>
    <w:rsid w:val="007B2A03"/>
    <w:rsid w:val="007B41D7"/>
    <w:rsid w:val="007B70B5"/>
    <w:rsid w:val="007C0DB7"/>
    <w:rsid w:val="007C1A7D"/>
    <w:rsid w:val="007C1F6C"/>
    <w:rsid w:val="007C4094"/>
    <w:rsid w:val="007C45C5"/>
    <w:rsid w:val="007C608D"/>
    <w:rsid w:val="007C614A"/>
    <w:rsid w:val="007D2473"/>
    <w:rsid w:val="007D29EC"/>
    <w:rsid w:val="007D50AE"/>
    <w:rsid w:val="007D516C"/>
    <w:rsid w:val="007D6C4F"/>
    <w:rsid w:val="007E1EA6"/>
    <w:rsid w:val="007E2AE1"/>
    <w:rsid w:val="007E2FDE"/>
    <w:rsid w:val="007E4C1F"/>
    <w:rsid w:val="007E50CC"/>
    <w:rsid w:val="007E6851"/>
    <w:rsid w:val="007E6943"/>
    <w:rsid w:val="007E6A9B"/>
    <w:rsid w:val="007F0204"/>
    <w:rsid w:val="007F3879"/>
    <w:rsid w:val="007F4575"/>
    <w:rsid w:val="007F52A5"/>
    <w:rsid w:val="007F5C3C"/>
    <w:rsid w:val="007F5C58"/>
    <w:rsid w:val="007F6449"/>
    <w:rsid w:val="007F6674"/>
    <w:rsid w:val="00804BA0"/>
    <w:rsid w:val="0080630B"/>
    <w:rsid w:val="00806AB5"/>
    <w:rsid w:val="00807142"/>
    <w:rsid w:val="008074E3"/>
    <w:rsid w:val="00807802"/>
    <w:rsid w:val="0080799C"/>
    <w:rsid w:val="00810275"/>
    <w:rsid w:val="00810C18"/>
    <w:rsid w:val="00814421"/>
    <w:rsid w:val="00814596"/>
    <w:rsid w:val="00814AFC"/>
    <w:rsid w:val="00814B22"/>
    <w:rsid w:val="00822862"/>
    <w:rsid w:val="0082350A"/>
    <w:rsid w:val="00823765"/>
    <w:rsid w:val="0082597B"/>
    <w:rsid w:val="0082639D"/>
    <w:rsid w:val="00830C89"/>
    <w:rsid w:val="00831A5D"/>
    <w:rsid w:val="00831DB4"/>
    <w:rsid w:val="008365EC"/>
    <w:rsid w:val="00837390"/>
    <w:rsid w:val="00837EDF"/>
    <w:rsid w:val="00840A8F"/>
    <w:rsid w:val="00844176"/>
    <w:rsid w:val="00844A32"/>
    <w:rsid w:val="00846A9D"/>
    <w:rsid w:val="008503CA"/>
    <w:rsid w:val="00852BA6"/>
    <w:rsid w:val="0085308E"/>
    <w:rsid w:val="0085318D"/>
    <w:rsid w:val="008565FB"/>
    <w:rsid w:val="008574FF"/>
    <w:rsid w:val="008577FA"/>
    <w:rsid w:val="00862580"/>
    <w:rsid w:val="00862834"/>
    <w:rsid w:val="00870E97"/>
    <w:rsid w:val="008713B8"/>
    <w:rsid w:val="00871516"/>
    <w:rsid w:val="008717E5"/>
    <w:rsid w:val="00871E2F"/>
    <w:rsid w:val="0087272B"/>
    <w:rsid w:val="00876284"/>
    <w:rsid w:val="008764DD"/>
    <w:rsid w:val="00877499"/>
    <w:rsid w:val="00880720"/>
    <w:rsid w:val="00880A3E"/>
    <w:rsid w:val="008814E9"/>
    <w:rsid w:val="00881D71"/>
    <w:rsid w:val="00883C37"/>
    <w:rsid w:val="008841EB"/>
    <w:rsid w:val="0088688D"/>
    <w:rsid w:val="008910B2"/>
    <w:rsid w:val="00891622"/>
    <w:rsid w:val="00891C00"/>
    <w:rsid w:val="008921BE"/>
    <w:rsid w:val="00895E41"/>
    <w:rsid w:val="0089734D"/>
    <w:rsid w:val="008A0A32"/>
    <w:rsid w:val="008A1056"/>
    <w:rsid w:val="008A50CB"/>
    <w:rsid w:val="008A7CC5"/>
    <w:rsid w:val="008B0720"/>
    <w:rsid w:val="008B1C5A"/>
    <w:rsid w:val="008B1CC3"/>
    <w:rsid w:val="008B206C"/>
    <w:rsid w:val="008B34AA"/>
    <w:rsid w:val="008B4335"/>
    <w:rsid w:val="008B5413"/>
    <w:rsid w:val="008B56DF"/>
    <w:rsid w:val="008B5B2C"/>
    <w:rsid w:val="008B5EFB"/>
    <w:rsid w:val="008B69DC"/>
    <w:rsid w:val="008C089C"/>
    <w:rsid w:val="008C4728"/>
    <w:rsid w:val="008C7959"/>
    <w:rsid w:val="008D09FC"/>
    <w:rsid w:val="008D3653"/>
    <w:rsid w:val="008D4F09"/>
    <w:rsid w:val="008D539E"/>
    <w:rsid w:val="008D637C"/>
    <w:rsid w:val="008D65D5"/>
    <w:rsid w:val="008D75EB"/>
    <w:rsid w:val="008D7F23"/>
    <w:rsid w:val="008E12FB"/>
    <w:rsid w:val="008E1F57"/>
    <w:rsid w:val="008E5D85"/>
    <w:rsid w:val="008E751B"/>
    <w:rsid w:val="008F5CF9"/>
    <w:rsid w:val="00900C33"/>
    <w:rsid w:val="0090193D"/>
    <w:rsid w:val="009034C7"/>
    <w:rsid w:val="00906ABE"/>
    <w:rsid w:val="00906D17"/>
    <w:rsid w:val="00906F7B"/>
    <w:rsid w:val="00907D1C"/>
    <w:rsid w:val="00907DD7"/>
    <w:rsid w:val="00910BBC"/>
    <w:rsid w:val="0091182D"/>
    <w:rsid w:val="00911DA2"/>
    <w:rsid w:val="00915081"/>
    <w:rsid w:val="009165D6"/>
    <w:rsid w:val="00917D6F"/>
    <w:rsid w:val="00921504"/>
    <w:rsid w:val="00921E12"/>
    <w:rsid w:val="00922352"/>
    <w:rsid w:val="0092710C"/>
    <w:rsid w:val="0093112B"/>
    <w:rsid w:val="0093298F"/>
    <w:rsid w:val="009354F2"/>
    <w:rsid w:val="009370A3"/>
    <w:rsid w:val="00937BB0"/>
    <w:rsid w:val="0094022B"/>
    <w:rsid w:val="00940DC7"/>
    <w:rsid w:val="00941E05"/>
    <w:rsid w:val="00942D63"/>
    <w:rsid w:val="0094437B"/>
    <w:rsid w:val="00945065"/>
    <w:rsid w:val="009455DB"/>
    <w:rsid w:val="00945DB2"/>
    <w:rsid w:val="009511D6"/>
    <w:rsid w:val="00951ED7"/>
    <w:rsid w:val="00954428"/>
    <w:rsid w:val="00954541"/>
    <w:rsid w:val="00954C0F"/>
    <w:rsid w:val="00956218"/>
    <w:rsid w:val="00956C4B"/>
    <w:rsid w:val="00957E64"/>
    <w:rsid w:val="00961605"/>
    <w:rsid w:val="009620C5"/>
    <w:rsid w:val="00963C88"/>
    <w:rsid w:val="00965995"/>
    <w:rsid w:val="0096636E"/>
    <w:rsid w:val="00966814"/>
    <w:rsid w:val="00970D58"/>
    <w:rsid w:val="00973167"/>
    <w:rsid w:val="00974141"/>
    <w:rsid w:val="00980174"/>
    <w:rsid w:val="00981A42"/>
    <w:rsid w:val="00985A6C"/>
    <w:rsid w:val="009921E3"/>
    <w:rsid w:val="0099282E"/>
    <w:rsid w:val="00993596"/>
    <w:rsid w:val="00995A52"/>
    <w:rsid w:val="0099759D"/>
    <w:rsid w:val="009A00EB"/>
    <w:rsid w:val="009A6766"/>
    <w:rsid w:val="009A692C"/>
    <w:rsid w:val="009A75A0"/>
    <w:rsid w:val="009A7E10"/>
    <w:rsid w:val="009B1CEB"/>
    <w:rsid w:val="009B2576"/>
    <w:rsid w:val="009B3508"/>
    <w:rsid w:val="009B3AE3"/>
    <w:rsid w:val="009B430C"/>
    <w:rsid w:val="009B43EB"/>
    <w:rsid w:val="009B584C"/>
    <w:rsid w:val="009B6613"/>
    <w:rsid w:val="009B6674"/>
    <w:rsid w:val="009B7000"/>
    <w:rsid w:val="009B75D4"/>
    <w:rsid w:val="009C0178"/>
    <w:rsid w:val="009C030C"/>
    <w:rsid w:val="009C061A"/>
    <w:rsid w:val="009C108E"/>
    <w:rsid w:val="009C1FE8"/>
    <w:rsid w:val="009C228A"/>
    <w:rsid w:val="009C282F"/>
    <w:rsid w:val="009C2E2D"/>
    <w:rsid w:val="009C3257"/>
    <w:rsid w:val="009C5640"/>
    <w:rsid w:val="009C7F6E"/>
    <w:rsid w:val="009D0A96"/>
    <w:rsid w:val="009D1051"/>
    <w:rsid w:val="009D2037"/>
    <w:rsid w:val="009D3F87"/>
    <w:rsid w:val="009D43B2"/>
    <w:rsid w:val="009E03F3"/>
    <w:rsid w:val="009E5C84"/>
    <w:rsid w:val="009E63D5"/>
    <w:rsid w:val="009F0FC9"/>
    <w:rsid w:val="009F1A7E"/>
    <w:rsid w:val="009F423C"/>
    <w:rsid w:val="009F6AB7"/>
    <w:rsid w:val="00A035A7"/>
    <w:rsid w:val="00A03E32"/>
    <w:rsid w:val="00A075B0"/>
    <w:rsid w:val="00A11259"/>
    <w:rsid w:val="00A12B76"/>
    <w:rsid w:val="00A13D94"/>
    <w:rsid w:val="00A13FC8"/>
    <w:rsid w:val="00A14369"/>
    <w:rsid w:val="00A154D5"/>
    <w:rsid w:val="00A2067E"/>
    <w:rsid w:val="00A20B99"/>
    <w:rsid w:val="00A21F19"/>
    <w:rsid w:val="00A229AC"/>
    <w:rsid w:val="00A23E8B"/>
    <w:rsid w:val="00A25225"/>
    <w:rsid w:val="00A26607"/>
    <w:rsid w:val="00A26676"/>
    <w:rsid w:val="00A267B2"/>
    <w:rsid w:val="00A27A02"/>
    <w:rsid w:val="00A30DAB"/>
    <w:rsid w:val="00A31038"/>
    <w:rsid w:val="00A3172A"/>
    <w:rsid w:val="00A32A3F"/>
    <w:rsid w:val="00A337C5"/>
    <w:rsid w:val="00A33B10"/>
    <w:rsid w:val="00A340FB"/>
    <w:rsid w:val="00A34C17"/>
    <w:rsid w:val="00A34EAB"/>
    <w:rsid w:val="00A3537A"/>
    <w:rsid w:val="00A37CD5"/>
    <w:rsid w:val="00A41FB2"/>
    <w:rsid w:val="00A43105"/>
    <w:rsid w:val="00A43A02"/>
    <w:rsid w:val="00A468F1"/>
    <w:rsid w:val="00A471D7"/>
    <w:rsid w:val="00A475CE"/>
    <w:rsid w:val="00A541ED"/>
    <w:rsid w:val="00A5551D"/>
    <w:rsid w:val="00A562DC"/>
    <w:rsid w:val="00A56657"/>
    <w:rsid w:val="00A56E9B"/>
    <w:rsid w:val="00A56F27"/>
    <w:rsid w:val="00A57518"/>
    <w:rsid w:val="00A60C80"/>
    <w:rsid w:val="00A66F1F"/>
    <w:rsid w:val="00A71824"/>
    <w:rsid w:val="00A718EE"/>
    <w:rsid w:val="00A71B71"/>
    <w:rsid w:val="00A72860"/>
    <w:rsid w:val="00A72936"/>
    <w:rsid w:val="00A73448"/>
    <w:rsid w:val="00A76C0A"/>
    <w:rsid w:val="00A82313"/>
    <w:rsid w:val="00A86F1C"/>
    <w:rsid w:val="00A87032"/>
    <w:rsid w:val="00A9174A"/>
    <w:rsid w:val="00A92A07"/>
    <w:rsid w:val="00A93054"/>
    <w:rsid w:val="00A94B68"/>
    <w:rsid w:val="00A969CC"/>
    <w:rsid w:val="00A96C8D"/>
    <w:rsid w:val="00A9708B"/>
    <w:rsid w:val="00AA0266"/>
    <w:rsid w:val="00AA0B5A"/>
    <w:rsid w:val="00AA34A6"/>
    <w:rsid w:val="00AA3A72"/>
    <w:rsid w:val="00AA45BA"/>
    <w:rsid w:val="00AA6E88"/>
    <w:rsid w:val="00AB30B4"/>
    <w:rsid w:val="00AB3EB4"/>
    <w:rsid w:val="00AB44B7"/>
    <w:rsid w:val="00AB4677"/>
    <w:rsid w:val="00AB6AE8"/>
    <w:rsid w:val="00AC16D2"/>
    <w:rsid w:val="00AC24BD"/>
    <w:rsid w:val="00AC5779"/>
    <w:rsid w:val="00AD0A3A"/>
    <w:rsid w:val="00AD3D79"/>
    <w:rsid w:val="00AD48AA"/>
    <w:rsid w:val="00AD5B91"/>
    <w:rsid w:val="00AD5C75"/>
    <w:rsid w:val="00AD6AEF"/>
    <w:rsid w:val="00AE0055"/>
    <w:rsid w:val="00AE091D"/>
    <w:rsid w:val="00AE3B88"/>
    <w:rsid w:val="00AE4C8F"/>
    <w:rsid w:val="00AE5675"/>
    <w:rsid w:val="00AE57EC"/>
    <w:rsid w:val="00AE64F9"/>
    <w:rsid w:val="00AF163D"/>
    <w:rsid w:val="00AF1C04"/>
    <w:rsid w:val="00AF2547"/>
    <w:rsid w:val="00AF254A"/>
    <w:rsid w:val="00AF36C9"/>
    <w:rsid w:val="00AF5DF5"/>
    <w:rsid w:val="00AF755E"/>
    <w:rsid w:val="00B02EDD"/>
    <w:rsid w:val="00B039A0"/>
    <w:rsid w:val="00B04603"/>
    <w:rsid w:val="00B0569D"/>
    <w:rsid w:val="00B1092B"/>
    <w:rsid w:val="00B10B94"/>
    <w:rsid w:val="00B111A5"/>
    <w:rsid w:val="00B117F2"/>
    <w:rsid w:val="00B13379"/>
    <w:rsid w:val="00B13C6F"/>
    <w:rsid w:val="00B14D75"/>
    <w:rsid w:val="00B15DBA"/>
    <w:rsid w:val="00B16A95"/>
    <w:rsid w:val="00B228C3"/>
    <w:rsid w:val="00B2297A"/>
    <w:rsid w:val="00B230F6"/>
    <w:rsid w:val="00B26202"/>
    <w:rsid w:val="00B300C7"/>
    <w:rsid w:val="00B30CFE"/>
    <w:rsid w:val="00B32793"/>
    <w:rsid w:val="00B33D89"/>
    <w:rsid w:val="00B34CC7"/>
    <w:rsid w:val="00B34F7D"/>
    <w:rsid w:val="00B355D9"/>
    <w:rsid w:val="00B404B6"/>
    <w:rsid w:val="00B414FF"/>
    <w:rsid w:val="00B4164D"/>
    <w:rsid w:val="00B450C4"/>
    <w:rsid w:val="00B457C4"/>
    <w:rsid w:val="00B462F7"/>
    <w:rsid w:val="00B4697F"/>
    <w:rsid w:val="00B46A16"/>
    <w:rsid w:val="00B47747"/>
    <w:rsid w:val="00B47E34"/>
    <w:rsid w:val="00B50D88"/>
    <w:rsid w:val="00B51099"/>
    <w:rsid w:val="00B51427"/>
    <w:rsid w:val="00B5564B"/>
    <w:rsid w:val="00B55A30"/>
    <w:rsid w:val="00B56A48"/>
    <w:rsid w:val="00B56B47"/>
    <w:rsid w:val="00B618A9"/>
    <w:rsid w:val="00B621AF"/>
    <w:rsid w:val="00B652FE"/>
    <w:rsid w:val="00B65A0A"/>
    <w:rsid w:val="00B65CF6"/>
    <w:rsid w:val="00B700CC"/>
    <w:rsid w:val="00B72365"/>
    <w:rsid w:val="00B7453B"/>
    <w:rsid w:val="00B74890"/>
    <w:rsid w:val="00B74B38"/>
    <w:rsid w:val="00B75313"/>
    <w:rsid w:val="00B762A0"/>
    <w:rsid w:val="00B77E56"/>
    <w:rsid w:val="00B80371"/>
    <w:rsid w:val="00B8269F"/>
    <w:rsid w:val="00B837AE"/>
    <w:rsid w:val="00B83EED"/>
    <w:rsid w:val="00B85597"/>
    <w:rsid w:val="00B85A89"/>
    <w:rsid w:val="00B868AD"/>
    <w:rsid w:val="00B86DD0"/>
    <w:rsid w:val="00B8759E"/>
    <w:rsid w:val="00B91B04"/>
    <w:rsid w:val="00B9742D"/>
    <w:rsid w:val="00BA131A"/>
    <w:rsid w:val="00BA208A"/>
    <w:rsid w:val="00BA2274"/>
    <w:rsid w:val="00BA31BC"/>
    <w:rsid w:val="00BB0042"/>
    <w:rsid w:val="00BB0BAA"/>
    <w:rsid w:val="00BB1EA2"/>
    <w:rsid w:val="00BB480B"/>
    <w:rsid w:val="00BB4E62"/>
    <w:rsid w:val="00BB55EA"/>
    <w:rsid w:val="00BB6326"/>
    <w:rsid w:val="00BB7389"/>
    <w:rsid w:val="00BB7D03"/>
    <w:rsid w:val="00BC0DDD"/>
    <w:rsid w:val="00BC31E7"/>
    <w:rsid w:val="00BC608E"/>
    <w:rsid w:val="00BC69DC"/>
    <w:rsid w:val="00BC7045"/>
    <w:rsid w:val="00BD07F2"/>
    <w:rsid w:val="00BD20AE"/>
    <w:rsid w:val="00BD39EE"/>
    <w:rsid w:val="00BD4AE8"/>
    <w:rsid w:val="00BD746F"/>
    <w:rsid w:val="00BD7AE1"/>
    <w:rsid w:val="00BE0E6C"/>
    <w:rsid w:val="00BE15E4"/>
    <w:rsid w:val="00BE6127"/>
    <w:rsid w:val="00BE786E"/>
    <w:rsid w:val="00BF13E6"/>
    <w:rsid w:val="00BF15B9"/>
    <w:rsid w:val="00BF2AA4"/>
    <w:rsid w:val="00BF3FC2"/>
    <w:rsid w:val="00BF5793"/>
    <w:rsid w:val="00BF742F"/>
    <w:rsid w:val="00BF7A72"/>
    <w:rsid w:val="00BF7BD9"/>
    <w:rsid w:val="00BF7D60"/>
    <w:rsid w:val="00C017FE"/>
    <w:rsid w:val="00C03273"/>
    <w:rsid w:val="00C0447C"/>
    <w:rsid w:val="00C04CAF"/>
    <w:rsid w:val="00C050AF"/>
    <w:rsid w:val="00C054A9"/>
    <w:rsid w:val="00C05EF2"/>
    <w:rsid w:val="00C0600E"/>
    <w:rsid w:val="00C07585"/>
    <w:rsid w:val="00C11685"/>
    <w:rsid w:val="00C1189F"/>
    <w:rsid w:val="00C12263"/>
    <w:rsid w:val="00C12CF8"/>
    <w:rsid w:val="00C136CD"/>
    <w:rsid w:val="00C13D67"/>
    <w:rsid w:val="00C14903"/>
    <w:rsid w:val="00C151DF"/>
    <w:rsid w:val="00C1563D"/>
    <w:rsid w:val="00C15EB7"/>
    <w:rsid w:val="00C1626D"/>
    <w:rsid w:val="00C16DED"/>
    <w:rsid w:val="00C17A3E"/>
    <w:rsid w:val="00C212B4"/>
    <w:rsid w:val="00C21746"/>
    <w:rsid w:val="00C220E6"/>
    <w:rsid w:val="00C23427"/>
    <w:rsid w:val="00C23F73"/>
    <w:rsid w:val="00C25016"/>
    <w:rsid w:val="00C2517F"/>
    <w:rsid w:val="00C26333"/>
    <w:rsid w:val="00C264E6"/>
    <w:rsid w:val="00C26E37"/>
    <w:rsid w:val="00C271E6"/>
    <w:rsid w:val="00C32C97"/>
    <w:rsid w:val="00C32DF0"/>
    <w:rsid w:val="00C33A18"/>
    <w:rsid w:val="00C34E17"/>
    <w:rsid w:val="00C353F8"/>
    <w:rsid w:val="00C35A54"/>
    <w:rsid w:val="00C416DB"/>
    <w:rsid w:val="00C423B7"/>
    <w:rsid w:val="00C42887"/>
    <w:rsid w:val="00C42ACD"/>
    <w:rsid w:val="00C42C49"/>
    <w:rsid w:val="00C43BAA"/>
    <w:rsid w:val="00C446A5"/>
    <w:rsid w:val="00C44F01"/>
    <w:rsid w:val="00C45150"/>
    <w:rsid w:val="00C46737"/>
    <w:rsid w:val="00C51DEA"/>
    <w:rsid w:val="00C52004"/>
    <w:rsid w:val="00C56568"/>
    <w:rsid w:val="00C61AB3"/>
    <w:rsid w:val="00C62D9D"/>
    <w:rsid w:val="00C6333E"/>
    <w:rsid w:val="00C633A8"/>
    <w:rsid w:val="00C64DE5"/>
    <w:rsid w:val="00C65AAE"/>
    <w:rsid w:val="00C6650F"/>
    <w:rsid w:val="00C66A4D"/>
    <w:rsid w:val="00C7141D"/>
    <w:rsid w:val="00C72945"/>
    <w:rsid w:val="00C72A3B"/>
    <w:rsid w:val="00C72B02"/>
    <w:rsid w:val="00C74707"/>
    <w:rsid w:val="00C758F1"/>
    <w:rsid w:val="00C75E3A"/>
    <w:rsid w:val="00C77378"/>
    <w:rsid w:val="00C77C68"/>
    <w:rsid w:val="00C82E0E"/>
    <w:rsid w:val="00C83D8B"/>
    <w:rsid w:val="00C85115"/>
    <w:rsid w:val="00C86896"/>
    <w:rsid w:val="00C86AE5"/>
    <w:rsid w:val="00C87BC6"/>
    <w:rsid w:val="00C90DBB"/>
    <w:rsid w:val="00C933DE"/>
    <w:rsid w:val="00C95D2F"/>
    <w:rsid w:val="00C97FEB"/>
    <w:rsid w:val="00CA082C"/>
    <w:rsid w:val="00CA0BCB"/>
    <w:rsid w:val="00CA373F"/>
    <w:rsid w:val="00CA6DEA"/>
    <w:rsid w:val="00CB0DAC"/>
    <w:rsid w:val="00CB1F66"/>
    <w:rsid w:val="00CB237D"/>
    <w:rsid w:val="00CB2A80"/>
    <w:rsid w:val="00CB2F00"/>
    <w:rsid w:val="00CB30D1"/>
    <w:rsid w:val="00CB5A26"/>
    <w:rsid w:val="00CB6AC4"/>
    <w:rsid w:val="00CB7DE8"/>
    <w:rsid w:val="00CC0BD5"/>
    <w:rsid w:val="00CC10D3"/>
    <w:rsid w:val="00CC2DAC"/>
    <w:rsid w:val="00CC4858"/>
    <w:rsid w:val="00CD1C12"/>
    <w:rsid w:val="00CD1D66"/>
    <w:rsid w:val="00CD1F7F"/>
    <w:rsid w:val="00CD2774"/>
    <w:rsid w:val="00CD3066"/>
    <w:rsid w:val="00CD57A7"/>
    <w:rsid w:val="00CD5FCA"/>
    <w:rsid w:val="00CD6F2A"/>
    <w:rsid w:val="00CD7CCA"/>
    <w:rsid w:val="00CE0AC5"/>
    <w:rsid w:val="00CE1DD6"/>
    <w:rsid w:val="00CE261F"/>
    <w:rsid w:val="00CE35E1"/>
    <w:rsid w:val="00CE5541"/>
    <w:rsid w:val="00CE5C53"/>
    <w:rsid w:val="00CF0573"/>
    <w:rsid w:val="00CF0ACA"/>
    <w:rsid w:val="00CF4607"/>
    <w:rsid w:val="00CF6767"/>
    <w:rsid w:val="00CF747C"/>
    <w:rsid w:val="00D00576"/>
    <w:rsid w:val="00D0207F"/>
    <w:rsid w:val="00D02CD4"/>
    <w:rsid w:val="00D04299"/>
    <w:rsid w:val="00D0506F"/>
    <w:rsid w:val="00D052D0"/>
    <w:rsid w:val="00D05A7A"/>
    <w:rsid w:val="00D0780B"/>
    <w:rsid w:val="00D07B78"/>
    <w:rsid w:val="00D12B80"/>
    <w:rsid w:val="00D13BD0"/>
    <w:rsid w:val="00D13D6F"/>
    <w:rsid w:val="00D165F4"/>
    <w:rsid w:val="00D1668E"/>
    <w:rsid w:val="00D16C33"/>
    <w:rsid w:val="00D177EA"/>
    <w:rsid w:val="00D20CC5"/>
    <w:rsid w:val="00D217AC"/>
    <w:rsid w:val="00D217E6"/>
    <w:rsid w:val="00D22073"/>
    <w:rsid w:val="00D27E4D"/>
    <w:rsid w:val="00D301D6"/>
    <w:rsid w:val="00D31BE1"/>
    <w:rsid w:val="00D35B96"/>
    <w:rsid w:val="00D37973"/>
    <w:rsid w:val="00D40EAC"/>
    <w:rsid w:val="00D41F46"/>
    <w:rsid w:val="00D4222D"/>
    <w:rsid w:val="00D42754"/>
    <w:rsid w:val="00D455A4"/>
    <w:rsid w:val="00D517A4"/>
    <w:rsid w:val="00D51DD0"/>
    <w:rsid w:val="00D5265D"/>
    <w:rsid w:val="00D60415"/>
    <w:rsid w:val="00D62E09"/>
    <w:rsid w:val="00D64101"/>
    <w:rsid w:val="00D64FFD"/>
    <w:rsid w:val="00D66620"/>
    <w:rsid w:val="00D670EB"/>
    <w:rsid w:val="00D671F5"/>
    <w:rsid w:val="00D67CE9"/>
    <w:rsid w:val="00D70AAA"/>
    <w:rsid w:val="00D7105E"/>
    <w:rsid w:val="00D71684"/>
    <w:rsid w:val="00D72D32"/>
    <w:rsid w:val="00D74824"/>
    <w:rsid w:val="00D7671C"/>
    <w:rsid w:val="00D767E6"/>
    <w:rsid w:val="00D76D7C"/>
    <w:rsid w:val="00D77A0C"/>
    <w:rsid w:val="00D8131B"/>
    <w:rsid w:val="00D81D94"/>
    <w:rsid w:val="00D82547"/>
    <w:rsid w:val="00D82825"/>
    <w:rsid w:val="00D8420C"/>
    <w:rsid w:val="00D84DE0"/>
    <w:rsid w:val="00D90CAE"/>
    <w:rsid w:val="00D96FBA"/>
    <w:rsid w:val="00D97622"/>
    <w:rsid w:val="00DA1B53"/>
    <w:rsid w:val="00DA1FCE"/>
    <w:rsid w:val="00DA239C"/>
    <w:rsid w:val="00DA433D"/>
    <w:rsid w:val="00DA58AF"/>
    <w:rsid w:val="00DA6988"/>
    <w:rsid w:val="00DA7141"/>
    <w:rsid w:val="00DA744D"/>
    <w:rsid w:val="00DB1E78"/>
    <w:rsid w:val="00DB3228"/>
    <w:rsid w:val="00DB3721"/>
    <w:rsid w:val="00DB3D04"/>
    <w:rsid w:val="00DB57B4"/>
    <w:rsid w:val="00DC067D"/>
    <w:rsid w:val="00DC07AE"/>
    <w:rsid w:val="00DC10A1"/>
    <w:rsid w:val="00DC15CB"/>
    <w:rsid w:val="00DC1AC5"/>
    <w:rsid w:val="00DC1E2F"/>
    <w:rsid w:val="00DC1EAD"/>
    <w:rsid w:val="00DC2365"/>
    <w:rsid w:val="00DC3534"/>
    <w:rsid w:val="00DC499A"/>
    <w:rsid w:val="00DC64F8"/>
    <w:rsid w:val="00DC72F1"/>
    <w:rsid w:val="00DD00BE"/>
    <w:rsid w:val="00DD02D4"/>
    <w:rsid w:val="00DD0405"/>
    <w:rsid w:val="00DD0953"/>
    <w:rsid w:val="00DD0F2E"/>
    <w:rsid w:val="00DD1CB9"/>
    <w:rsid w:val="00DD1F77"/>
    <w:rsid w:val="00DD23E0"/>
    <w:rsid w:val="00DD2637"/>
    <w:rsid w:val="00DD2F35"/>
    <w:rsid w:val="00DD696D"/>
    <w:rsid w:val="00DD6FA5"/>
    <w:rsid w:val="00DD7872"/>
    <w:rsid w:val="00DE0724"/>
    <w:rsid w:val="00DE0896"/>
    <w:rsid w:val="00DE0AD5"/>
    <w:rsid w:val="00DE61A9"/>
    <w:rsid w:val="00DE7E62"/>
    <w:rsid w:val="00DF1C2B"/>
    <w:rsid w:val="00DF2F6B"/>
    <w:rsid w:val="00DF3993"/>
    <w:rsid w:val="00DF6E16"/>
    <w:rsid w:val="00DF77D8"/>
    <w:rsid w:val="00E00218"/>
    <w:rsid w:val="00E018E1"/>
    <w:rsid w:val="00E0333C"/>
    <w:rsid w:val="00E0484E"/>
    <w:rsid w:val="00E07AC4"/>
    <w:rsid w:val="00E10305"/>
    <w:rsid w:val="00E1062C"/>
    <w:rsid w:val="00E1136D"/>
    <w:rsid w:val="00E116BA"/>
    <w:rsid w:val="00E11D27"/>
    <w:rsid w:val="00E11D29"/>
    <w:rsid w:val="00E140A6"/>
    <w:rsid w:val="00E15447"/>
    <w:rsid w:val="00E15B7B"/>
    <w:rsid w:val="00E20773"/>
    <w:rsid w:val="00E2107F"/>
    <w:rsid w:val="00E23059"/>
    <w:rsid w:val="00E231E0"/>
    <w:rsid w:val="00E30352"/>
    <w:rsid w:val="00E33146"/>
    <w:rsid w:val="00E33F29"/>
    <w:rsid w:val="00E36F7D"/>
    <w:rsid w:val="00E374D1"/>
    <w:rsid w:val="00E37F50"/>
    <w:rsid w:val="00E40942"/>
    <w:rsid w:val="00E455E2"/>
    <w:rsid w:val="00E50D80"/>
    <w:rsid w:val="00E50E6F"/>
    <w:rsid w:val="00E51035"/>
    <w:rsid w:val="00E53438"/>
    <w:rsid w:val="00E539B3"/>
    <w:rsid w:val="00E55EC8"/>
    <w:rsid w:val="00E56469"/>
    <w:rsid w:val="00E56D02"/>
    <w:rsid w:val="00E57209"/>
    <w:rsid w:val="00E5727D"/>
    <w:rsid w:val="00E57FAB"/>
    <w:rsid w:val="00E60EDC"/>
    <w:rsid w:val="00E670D3"/>
    <w:rsid w:val="00E713A7"/>
    <w:rsid w:val="00E72404"/>
    <w:rsid w:val="00E73990"/>
    <w:rsid w:val="00E74A15"/>
    <w:rsid w:val="00E74B1D"/>
    <w:rsid w:val="00E7567F"/>
    <w:rsid w:val="00E76D01"/>
    <w:rsid w:val="00E81F3E"/>
    <w:rsid w:val="00E85807"/>
    <w:rsid w:val="00E86211"/>
    <w:rsid w:val="00E86ACB"/>
    <w:rsid w:val="00E900E0"/>
    <w:rsid w:val="00E90628"/>
    <w:rsid w:val="00E9122B"/>
    <w:rsid w:val="00E92559"/>
    <w:rsid w:val="00E93677"/>
    <w:rsid w:val="00E93CFE"/>
    <w:rsid w:val="00E953B9"/>
    <w:rsid w:val="00EA0D43"/>
    <w:rsid w:val="00EA0EBB"/>
    <w:rsid w:val="00EA1619"/>
    <w:rsid w:val="00EA49CE"/>
    <w:rsid w:val="00EA4CBA"/>
    <w:rsid w:val="00EA6CD3"/>
    <w:rsid w:val="00EA7EDF"/>
    <w:rsid w:val="00EB062E"/>
    <w:rsid w:val="00EB184B"/>
    <w:rsid w:val="00EB1F01"/>
    <w:rsid w:val="00EB27FB"/>
    <w:rsid w:val="00EC03E6"/>
    <w:rsid w:val="00EC218F"/>
    <w:rsid w:val="00EC5935"/>
    <w:rsid w:val="00ED053C"/>
    <w:rsid w:val="00ED0911"/>
    <w:rsid w:val="00ED0A46"/>
    <w:rsid w:val="00ED18C9"/>
    <w:rsid w:val="00ED2979"/>
    <w:rsid w:val="00ED321C"/>
    <w:rsid w:val="00ED377A"/>
    <w:rsid w:val="00ED39FF"/>
    <w:rsid w:val="00ED4255"/>
    <w:rsid w:val="00ED5CF7"/>
    <w:rsid w:val="00ED603E"/>
    <w:rsid w:val="00EE0C47"/>
    <w:rsid w:val="00EE1CB0"/>
    <w:rsid w:val="00EE44FE"/>
    <w:rsid w:val="00EE4A54"/>
    <w:rsid w:val="00EE4C51"/>
    <w:rsid w:val="00EE61BD"/>
    <w:rsid w:val="00EE7BA0"/>
    <w:rsid w:val="00EF2696"/>
    <w:rsid w:val="00EF55B6"/>
    <w:rsid w:val="00F00E88"/>
    <w:rsid w:val="00F01691"/>
    <w:rsid w:val="00F019FA"/>
    <w:rsid w:val="00F02EB7"/>
    <w:rsid w:val="00F03FAA"/>
    <w:rsid w:val="00F0482C"/>
    <w:rsid w:val="00F04A52"/>
    <w:rsid w:val="00F0662E"/>
    <w:rsid w:val="00F066C5"/>
    <w:rsid w:val="00F06F21"/>
    <w:rsid w:val="00F11383"/>
    <w:rsid w:val="00F1504D"/>
    <w:rsid w:val="00F15773"/>
    <w:rsid w:val="00F1588A"/>
    <w:rsid w:val="00F205D5"/>
    <w:rsid w:val="00F2290E"/>
    <w:rsid w:val="00F23C9C"/>
    <w:rsid w:val="00F25C34"/>
    <w:rsid w:val="00F25F7D"/>
    <w:rsid w:val="00F2652E"/>
    <w:rsid w:val="00F27363"/>
    <w:rsid w:val="00F30608"/>
    <w:rsid w:val="00F30A0A"/>
    <w:rsid w:val="00F32129"/>
    <w:rsid w:val="00F32822"/>
    <w:rsid w:val="00F32ADC"/>
    <w:rsid w:val="00F352DD"/>
    <w:rsid w:val="00F35567"/>
    <w:rsid w:val="00F373AD"/>
    <w:rsid w:val="00F40716"/>
    <w:rsid w:val="00F40762"/>
    <w:rsid w:val="00F40F20"/>
    <w:rsid w:val="00F418C2"/>
    <w:rsid w:val="00F42208"/>
    <w:rsid w:val="00F449A8"/>
    <w:rsid w:val="00F44B3E"/>
    <w:rsid w:val="00F4599D"/>
    <w:rsid w:val="00F47AB9"/>
    <w:rsid w:val="00F51164"/>
    <w:rsid w:val="00F53042"/>
    <w:rsid w:val="00F53217"/>
    <w:rsid w:val="00F53508"/>
    <w:rsid w:val="00F53B91"/>
    <w:rsid w:val="00F53D49"/>
    <w:rsid w:val="00F542FA"/>
    <w:rsid w:val="00F543D6"/>
    <w:rsid w:val="00F5586F"/>
    <w:rsid w:val="00F56EB4"/>
    <w:rsid w:val="00F63A74"/>
    <w:rsid w:val="00F64D33"/>
    <w:rsid w:val="00F652EB"/>
    <w:rsid w:val="00F669EB"/>
    <w:rsid w:val="00F66C35"/>
    <w:rsid w:val="00F70443"/>
    <w:rsid w:val="00F7097D"/>
    <w:rsid w:val="00F716EF"/>
    <w:rsid w:val="00F77D50"/>
    <w:rsid w:val="00F81A0A"/>
    <w:rsid w:val="00F838F0"/>
    <w:rsid w:val="00F858D1"/>
    <w:rsid w:val="00F85A24"/>
    <w:rsid w:val="00F9016C"/>
    <w:rsid w:val="00F929ED"/>
    <w:rsid w:val="00F9305D"/>
    <w:rsid w:val="00F94564"/>
    <w:rsid w:val="00F94D89"/>
    <w:rsid w:val="00F9522F"/>
    <w:rsid w:val="00F96902"/>
    <w:rsid w:val="00FA2346"/>
    <w:rsid w:val="00FA37DC"/>
    <w:rsid w:val="00FA3AB1"/>
    <w:rsid w:val="00FA3B62"/>
    <w:rsid w:val="00FA4EC5"/>
    <w:rsid w:val="00FA5EE1"/>
    <w:rsid w:val="00FA64B2"/>
    <w:rsid w:val="00FB0E29"/>
    <w:rsid w:val="00FB1472"/>
    <w:rsid w:val="00FB3115"/>
    <w:rsid w:val="00FB392A"/>
    <w:rsid w:val="00FB5467"/>
    <w:rsid w:val="00FC0F65"/>
    <w:rsid w:val="00FC3C5A"/>
    <w:rsid w:val="00FC3C7A"/>
    <w:rsid w:val="00FC4BE9"/>
    <w:rsid w:val="00FC6839"/>
    <w:rsid w:val="00FC6FCC"/>
    <w:rsid w:val="00FD01FC"/>
    <w:rsid w:val="00FD061B"/>
    <w:rsid w:val="00FD5F34"/>
    <w:rsid w:val="00FD5FEF"/>
    <w:rsid w:val="00FE2D33"/>
    <w:rsid w:val="00FE6FC3"/>
    <w:rsid w:val="00FE76B5"/>
    <w:rsid w:val="00FE76D2"/>
    <w:rsid w:val="00FF15B4"/>
    <w:rsid w:val="00FF22AC"/>
    <w:rsid w:val="00FF2598"/>
    <w:rsid w:val="00FF3664"/>
    <w:rsid w:val="00FF42CE"/>
    <w:rsid w:val="00FF5967"/>
    <w:rsid w:val="00FF6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49DE3"/>
  <w15:docId w15:val="{FFC5070A-869C-45D7-974A-330AE733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D3"/>
    <w:pPr>
      <w:spacing w:after="0" w:line="240" w:lineRule="auto"/>
    </w:pPr>
    <w:rPr>
      <w:rFonts w:ascii="Times New Roman" w:eastAsia="Calibri"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6CD3"/>
    <w:pPr>
      <w:tabs>
        <w:tab w:val="center" w:pos="4153"/>
        <w:tab w:val="right" w:pos="8306"/>
      </w:tabs>
    </w:pPr>
  </w:style>
  <w:style w:type="character" w:customStyle="1" w:styleId="FooterChar">
    <w:name w:val="Footer Char"/>
    <w:basedOn w:val="DefaultParagraphFont"/>
    <w:link w:val="Footer"/>
    <w:uiPriority w:val="99"/>
    <w:rsid w:val="00EA6CD3"/>
    <w:rPr>
      <w:rFonts w:ascii="Times New Roman" w:eastAsia="Calibri" w:hAnsi="Times New Roman" w:cs="Times New Roman"/>
      <w:sz w:val="20"/>
      <w:szCs w:val="20"/>
      <w:lang w:val="en-AU"/>
    </w:rPr>
  </w:style>
  <w:style w:type="paragraph" w:styleId="BodyText">
    <w:name w:val="Body Text"/>
    <w:basedOn w:val="Normal"/>
    <w:link w:val="BodyTextChar"/>
    <w:unhideWhenUsed/>
    <w:rsid w:val="00EA6CD3"/>
    <w:pPr>
      <w:jc w:val="both"/>
    </w:pPr>
    <w:rPr>
      <w:rFonts w:eastAsia="Times New Roman"/>
      <w:sz w:val="28"/>
      <w:lang w:val="lv-LV" w:eastAsia="lv-LV"/>
    </w:rPr>
  </w:style>
  <w:style w:type="character" w:customStyle="1" w:styleId="BodyTextChar">
    <w:name w:val="Body Text Char"/>
    <w:basedOn w:val="DefaultParagraphFont"/>
    <w:link w:val="BodyText"/>
    <w:rsid w:val="00EA6CD3"/>
    <w:rPr>
      <w:rFonts w:ascii="Times New Roman" w:eastAsia="Times New Roman" w:hAnsi="Times New Roman" w:cs="Times New Roman"/>
      <w:sz w:val="28"/>
      <w:szCs w:val="20"/>
      <w:lang w:eastAsia="lv-LV"/>
    </w:rPr>
  </w:style>
  <w:style w:type="paragraph" w:styleId="Header">
    <w:name w:val="header"/>
    <w:basedOn w:val="Normal"/>
    <w:link w:val="HeaderChar"/>
    <w:unhideWhenUsed/>
    <w:rsid w:val="00EA6CD3"/>
    <w:pPr>
      <w:tabs>
        <w:tab w:val="center" w:pos="4153"/>
        <w:tab w:val="right" w:pos="8306"/>
      </w:tabs>
    </w:pPr>
  </w:style>
  <w:style w:type="character" w:customStyle="1" w:styleId="HeaderChar">
    <w:name w:val="Header Char"/>
    <w:basedOn w:val="DefaultParagraphFont"/>
    <w:link w:val="Header"/>
    <w:rsid w:val="00EA6CD3"/>
    <w:rPr>
      <w:rFonts w:ascii="Times New Roman" w:eastAsia="Calibri" w:hAnsi="Times New Roman" w:cs="Times New Roman"/>
      <w:sz w:val="20"/>
      <w:szCs w:val="20"/>
      <w:lang w:val="en-AU"/>
    </w:rPr>
  </w:style>
  <w:style w:type="paragraph" w:customStyle="1" w:styleId="naisf">
    <w:name w:val="naisf"/>
    <w:basedOn w:val="Normal"/>
    <w:rsid w:val="00EA6CD3"/>
    <w:pPr>
      <w:spacing w:before="75" w:after="75"/>
      <w:ind w:firstLine="375"/>
      <w:jc w:val="both"/>
    </w:pPr>
    <w:rPr>
      <w:rFonts w:eastAsia="Times New Roman"/>
      <w:sz w:val="24"/>
      <w:szCs w:val="24"/>
      <w:lang w:val="lv-LV" w:eastAsia="lv-LV"/>
    </w:rPr>
  </w:style>
  <w:style w:type="paragraph" w:customStyle="1" w:styleId="naiskr">
    <w:name w:val="naiskr"/>
    <w:basedOn w:val="Normal"/>
    <w:rsid w:val="00EA6CD3"/>
    <w:pPr>
      <w:spacing w:before="75" w:after="75"/>
    </w:pPr>
    <w:rPr>
      <w:rFonts w:eastAsia="Times New Roman"/>
      <w:sz w:val="24"/>
      <w:szCs w:val="24"/>
      <w:lang w:val="lv-LV" w:eastAsia="lv-LV"/>
    </w:rPr>
  </w:style>
  <w:style w:type="paragraph" w:customStyle="1" w:styleId="tv2131">
    <w:name w:val="tv2131"/>
    <w:basedOn w:val="Normal"/>
    <w:rsid w:val="00EA6CD3"/>
    <w:pPr>
      <w:spacing w:line="360" w:lineRule="auto"/>
      <w:ind w:firstLine="335"/>
    </w:pPr>
    <w:rPr>
      <w:rFonts w:eastAsia="Times New Roman"/>
      <w:color w:val="414142"/>
      <w:sz w:val="22"/>
      <w:szCs w:val="22"/>
      <w:lang w:val="en-US"/>
    </w:rPr>
  </w:style>
  <w:style w:type="paragraph" w:styleId="BalloonText">
    <w:name w:val="Balloon Text"/>
    <w:basedOn w:val="Normal"/>
    <w:link w:val="BalloonTextChar"/>
    <w:uiPriority w:val="99"/>
    <w:semiHidden/>
    <w:unhideWhenUsed/>
    <w:rsid w:val="008D65D5"/>
    <w:rPr>
      <w:rFonts w:ascii="Tahoma" w:hAnsi="Tahoma" w:cs="Tahoma"/>
      <w:sz w:val="16"/>
      <w:szCs w:val="16"/>
    </w:rPr>
  </w:style>
  <w:style w:type="character" w:customStyle="1" w:styleId="BalloonTextChar">
    <w:name w:val="Balloon Text Char"/>
    <w:basedOn w:val="DefaultParagraphFont"/>
    <w:link w:val="BalloonText"/>
    <w:uiPriority w:val="99"/>
    <w:semiHidden/>
    <w:rsid w:val="008D65D5"/>
    <w:rPr>
      <w:rFonts w:ascii="Tahoma" w:eastAsia="Calibri" w:hAnsi="Tahoma" w:cs="Tahoma"/>
      <w:sz w:val="16"/>
      <w:szCs w:val="16"/>
      <w:lang w:val="en-AU"/>
    </w:rPr>
  </w:style>
  <w:style w:type="paragraph" w:styleId="ListParagraph">
    <w:name w:val="List Paragraph"/>
    <w:aliases w:val="2,Strip,H&amp;P List Paragraph,Saraksta rindkopa,Saraksta rindkopa1"/>
    <w:basedOn w:val="Normal"/>
    <w:link w:val="ListParagraphChar"/>
    <w:uiPriority w:val="34"/>
    <w:qFormat/>
    <w:rsid w:val="00166A8B"/>
    <w:pPr>
      <w:ind w:left="720"/>
      <w:contextualSpacing/>
    </w:pPr>
  </w:style>
  <w:style w:type="character" w:styleId="CommentReference">
    <w:name w:val="annotation reference"/>
    <w:basedOn w:val="DefaultParagraphFont"/>
    <w:uiPriority w:val="99"/>
    <w:unhideWhenUsed/>
    <w:rsid w:val="00961605"/>
    <w:rPr>
      <w:sz w:val="16"/>
      <w:szCs w:val="16"/>
    </w:rPr>
  </w:style>
  <w:style w:type="paragraph" w:styleId="CommentText">
    <w:name w:val="annotation text"/>
    <w:basedOn w:val="Normal"/>
    <w:link w:val="CommentTextChar"/>
    <w:uiPriority w:val="99"/>
    <w:unhideWhenUsed/>
    <w:rsid w:val="00961605"/>
  </w:style>
  <w:style w:type="character" w:customStyle="1" w:styleId="CommentTextChar">
    <w:name w:val="Comment Text Char"/>
    <w:basedOn w:val="DefaultParagraphFont"/>
    <w:link w:val="CommentText"/>
    <w:uiPriority w:val="99"/>
    <w:rsid w:val="00961605"/>
    <w:rPr>
      <w:rFonts w:ascii="Times New Roman" w:eastAsia="Calibri"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61605"/>
    <w:rPr>
      <w:b/>
      <w:bCs/>
    </w:rPr>
  </w:style>
  <w:style w:type="character" w:customStyle="1" w:styleId="CommentSubjectChar">
    <w:name w:val="Comment Subject Char"/>
    <w:basedOn w:val="CommentTextChar"/>
    <w:link w:val="CommentSubject"/>
    <w:uiPriority w:val="99"/>
    <w:semiHidden/>
    <w:rsid w:val="00961605"/>
    <w:rPr>
      <w:rFonts w:ascii="Times New Roman" w:eastAsia="Calibri" w:hAnsi="Times New Roman" w:cs="Times New Roman"/>
      <w:b/>
      <w:bCs/>
      <w:sz w:val="20"/>
      <w:szCs w:val="20"/>
      <w:lang w:val="en-AU"/>
    </w:rPr>
  </w:style>
  <w:style w:type="character" w:styleId="Hyperlink">
    <w:name w:val="Hyperlink"/>
    <w:basedOn w:val="DefaultParagraphFont"/>
    <w:uiPriority w:val="99"/>
    <w:unhideWhenUsed/>
    <w:rsid w:val="00B46A16"/>
    <w:rPr>
      <w:color w:val="0000FF" w:themeColor="hyperlink"/>
      <w:u w:val="single"/>
    </w:rPr>
  </w:style>
  <w:style w:type="paragraph" w:styleId="FootnoteText">
    <w:name w:val="footnote text"/>
    <w:basedOn w:val="Normal"/>
    <w:link w:val="FootnoteTextChar"/>
    <w:uiPriority w:val="99"/>
    <w:rsid w:val="00AD6AEF"/>
    <w:pPr>
      <w:jc w:val="both"/>
    </w:pPr>
    <w:rPr>
      <w:rFonts w:eastAsia="Times New Roman"/>
      <w:lang w:val="lv-LV"/>
    </w:rPr>
  </w:style>
  <w:style w:type="character" w:customStyle="1" w:styleId="FootnoteTextChar">
    <w:name w:val="Footnote Text Char"/>
    <w:basedOn w:val="DefaultParagraphFont"/>
    <w:link w:val="FootnoteText"/>
    <w:uiPriority w:val="99"/>
    <w:rsid w:val="00AD6A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D6AEF"/>
    <w:rPr>
      <w:rFonts w:ascii="Times New Roman" w:hAnsi="Times New Roman"/>
      <w:vertAlign w:val="superscript"/>
    </w:rPr>
  </w:style>
  <w:style w:type="character" w:customStyle="1" w:styleId="apple-converted-space">
    <w:name w:val="apple-converted-space"/>
    <w:basedOn w:val="DefaultParagraphFont"/>
    <w:rsid w:val="00753FF4"/>
  </w:style>
  <w:style w:type="character" w:customStyle="1" w:styleId="bumpedfont15">
    <w:name w:val="bumpedfont15"/>
    <w:rsid w:val="006C20C5"/>
  </w:style>
  <w:style w:type="character" w:styleId="PlaceholderText">
    <w:name w:val="Placeholder Text"/>
    <w:basedOn w:val="DefaultParagraphFont"/>
    <w:uiPriority w:val="99"/>
    <w:semiHidden/>
    <w:rsid w:val="00200E7D"/>
    <w:rPr>
      <w:color w:val="808080"/>
    </w:rPr>
  </w:style>
  <w:style w:type="character" w:customStyle="1" w:styleId="ListParagraphChar">
    <w:name w:val="List Paragraph Char"/>
    <w:aliases w:val="2 Char,Strip Char,H&amp;P List Paragraph Char,Saraksta rindkopa Char,Saraksta rindkopa1 Char"/>
    <w:link w:val="ListParagraph"/>
    <w:uiPriority w:val="34"/>
    <w:locked/>
    <w:rsid w:val="00D165F4"/>
    <w:rPr>
      <w:rFonts w:ascii="Times New Roman" w:eastAsia="Calibri" w:hAnsi="Times New Roman" w:cs="Times New Roman"/>
      <w:sz w:val="20"/>
      <w:szCs w:val="20"/>
      <w:lang w:val="en-AU"/>
    </w:rPr>
  </w:style>
  <w:style w:type="paragraph" w:styleId="NormalWeb">
    <w:name w:val="Normal (Web)"/>
    <w:basedOn w:val="Normal"/>
    <w:uiPriority w:val="99"/>
    <w:semiHidden/>
    <w:unhideWhenUsed/>
    <w:rsid w:val="005E30B2"/>
    <w:pPr>
      <w:spacing w:before="100" w:beforeAutospacing="1" w:after="100" w:afterAutospacing="1"/>
    </w:pPr>
    <w:rPr>
      <w:rFonts w:eastAsia="Times New Roman"/>
      <w:sz w:val="24"/>
      <w:szCs w:val="24"/>
      <w:lang w:val="lv-LV" w:eastAsia="lv-LV"/>
    </w:rPr>
  </w:style>
  <w:style w:type="paragraph" w:customStyle="1" w:styleId="naisnod">
    <w:name w:val="naisnod"/>
    <w:basedOn w:val="Normal"/>
    <w:rsid w:val="00DC64F8"/>
    <w:pPr>
      <w:spacing w:before="100" w:beforeAutospacing="1" w:after="100" w:afterAutospacing="1"/>
    </w:pPr>
    <w:rPr>
      <w:rFonts w:eastAsia="Times New Roman"/>
      <w:sz w:val="24"/>
      <w:szCs w:val="24"/>
      <w:lang w:val="lv-LV" w:eastAsia="lv-LV"/>
    </w:rPr>
  </w:style>
  <w:style w:type="paragraph" w:customStyle="1" w:styleId="Default">
    <w:name w:val="Default"/>
    <w:rsid w:val="00FE76B5"/>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tv213">
    <w:name w:val="tv213"/>
    <w:basedOn w:val="Normal"/>
    <w:rsid w:val="00F94D89"/>
    <w:pPr>
      <w:spacing w:before="100" w:beforeAutospacing="1" w:after="100" w:afterAutospacing="1"/>
    </w:pPr>
    <w:rPr>
      <w:rFonts w:eastAsia="Times New Roman"/>
      <w:sz w:val="24"/>
      <w:szCs w:val="24"/>
      <w:lang w:val="lv-LV" w:eastAsia="lv-LV"/>
    </w:rPr>
  </w:style>
  <w:style w:type="paragraph" w:styleId="Revision">
    <w:name w:val="Revision"/>
    <w:hidden/>
    <w:uiPriority w:val="99"/>
    <w:semiHidden/>
    <w:rsid w:val="00733C32"/>
    <w:pPr>
      <w:spacing w:after="0" w:line="240" w:lineRule="auto"/>
    </w:pPr>
    <w:rPr>
      <w:rFonts w:ascii="Times New Roman" w:eastAsia="Calibri" w:hAnsi="Times New Roman" w:cs="Times New Roman"/>
      <w:sz w:val="20"/>
      <w:szCs w:val="20"/>
      <w:lang w:val="en-AU"/>
    </w:rPr>
  </w:style>
  <w:style w:type="character" w:styleId="FollowedHyperlink">
    <w:name w:val="FollowedHyperlink"/>
    <w:basedOn w:val="DefaultParagraphFont"/>
    <w:uiPriority w:val="99"/>
    <w:semiHidden/>
    <w:unhideWhenUsed/>
    <w:rsid w:val="00547ACF"/>
    <w:rPr>
      <w:color w:val="800080" w:themeColor="followedHyperlink"/>
      <w:u w:val="single"/>
    </w:rPr>
  </w:style>
  <w:style w:type="character" w:customStyle="1" w:styleId="Mention1">
    <w:name w:val="Mention1"/>
    <w:basedOn w:val="DefaultParagraphFont"/>
    <w:uiPriority w:val="99"/>
    <w:semiHidden/>
    <w:unhideWhenUsed/>
    <w:rsid w:val="00547ACF"/>
    <w:rPr>
      <w:color w:val="2B579A"/>
      <w:shd w:val="clear" w:color="auto" w:fill="E6E6E6"/>
    </w:rPr>
  </w:style>
  <w:style w:type="character" w:customStyle="1" w:styleId="Mention2">
    <w:name w:val="Mention2"/>
    <w:basedOn w:val="DefaultParagraphFont"/>
    <w:uiPriority w:val="99"/>
    <w:semiHidden/>
    <w:unhideWhenUsed/>
    <w:rsid w:val="00B621AF"/>
    <w:rPr>
      <w:color w:val="2B579A"/>
      <w:shd w:val="clear" w:color="auto" w:fill="E6E6E6"/>
    </w:rPr>
  </w:style>
  <w:style w:type="character" w:styleId="BookTitle">
    <w:name w:val="Book Title"/>
    <w:basedOn w:val="DefaultParagraphFont"/>
    <w:uiPriority w:val="33"/>
    <w:qFormat/>
    <w:rsid w:val="00D97622"/>
    <w:rPr>
      <w:b/>
      <w:bCs/>
      <w:i/>
      <w:iCs/>
      <w:spacing w:val="5"/>
    </w:rPr>
  </w:style>
  <w:style w:type="character" w:customStyle="1" w:styleId="UnresolvedMention1">
    <w:name w:val="Unresolved Mention1"/>
    <w:basedOn w:val="DefaultParagraphFont"/>
    <w:uiPriority w:val="99"/>
    <w:semiHidden/>
    <w:unhideWhenUsed/>
    <w:rsid w:val="005A0C78"/>
    <w:rPr>
      <w:color w:val="808080"/>
      <w:shd w:val="clear" w:color="auto" w:fill="E6E6E6"/>
    </w:rPr>
  </w:style>
  <w:style w:type="paragraph" w:styleId="EndnoteText">
    <w:name w:val="endnote text"/>
    <w:basedOn w:val="Normal"/>
    <w:link w:val="EndnoteTextChar"/>
    <w:uiPriority w:val="99"/>
    <w:semiHidden/>
    <w:unhideWhenUsed/>
    <w:rsid w:val="00E81F3E"/>
  </w:style>
  <w:style w:type="character" w:customStyle="1" w:styleId="EndnoteTextChar">
    <w:name w:val="Endnote Text Char"/>
    <w:basedOn w:val="DefaultParagraphFont"/>
    <w:link w:val="EndnoteText"/>
    <w:uiPriority w:val="99"/>
    <w:semiHidden/>
    <w:rsid w:val="00E81F3E"/>
    <w:rPr>
      <w:rFonts w:ascii="Times New Roman" w:eastAsia="Calibri" w:hAnsi="Times New Roman" w:cs="Times New Roman"/>
      <w:sz w:val="20"/>
      <w:szCs w:val="20"/>
      <w:lang w:val="en-AU"/>
    </w:rPr>
  </w:style>
  <w:style w:type="character" w:styleId="EndnoteReference">
    <w:name w:val="endnote reference"/>
    <w:basedOn w:val="DefaultParagraphFont"/>
    <w:uiPriority w:val="99"/>
    <w:semiHidden/>
    <w:unhideWhenUsed/>
    <w:rsid w:val="00E81F3E"/>
    <w:rPr>
      <w:vertAlign w:val="superscript"/>
    </w:rPr>
  </w:style>
  <w:style w:type="character" w:customStyle="1" w:styleId="italics">
    <w:name w:val="italics"/>
    <w:basedOn w:val="DefaultParagraphFont"/>
    <w:rsid w:val="00580B98"/>
  </w:style>
  <w:style w:type="character" w:styleId="UnresolvedMention">
    <w:name w:val="Unresolved Mention"/>
    <w:basedOn w:val="DefaultParagraphFont"/>
    <w:uiPriority w:val="99"/>
    <w:semiHidden/>
    <w:unhideWhenUsed/>
    <w:rsid w:val="000A38DA"/>
    <w:rPr>
      <w:color w:val="605E5C"/>
      <w:shd w:val="clear" w:color="auto" w:fill="E1DFDD"/>
    </w:rPr>
  </w:style>
  <w:style w:type="paragraph" w:customStyle="1" w:styleId="Normal1">
    <w:name w:val="Normal1"/>
    <w:basedOn w:val="Normal"/>
    <w:rsid w:val="00837EDF"/>
    <w:pPr>
      <w:spacing w:before="100" w:beforeAutospacing="1" w:after="100" w:afterAutospacing="1"/>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1098">
      <w:bodyDiv w:val="1"/>
      <w:marLeft w:val="0"/>
      <w:marRight w:val="0"/>
      <w:marTop w:val="0"/>
      <w:marBottom w:val="0"/>
      <w:divBdr>
        <w:top w:val="none" w:sz="0" w:space="0" w:color="auto"/>
        <w:left w:val="none" w:sz="0" w:space="0" w:color="auto"/>
        <w:bottom w:val="none" w:sz="0" w:space="0" w:color="auto"/>
        <w:right w:val="none" w:sz="0" w:space="0" w:color="auto"/>
      </w:divBdr>
    </w:div>
    <w:div w:id="163324401">
      <w:bodyDiv w:val="1"/>
      <w:marLeft w:val="0"/>
      <w:marRight w:val="0"/>
      <w:marTop w:val="0"/>
      <w:marBottom w:val="0"/>
      <w:divBdr>
        <w:top w:val="none" w:sz="0" w:space="0" w:color="auto"/>
        <w:left w:val="none" w:sz="0" w:space="0" w:color="auto"/>
        <w:bottom w:val="none" w:sz="0" w:space="0" w:color="auto"/>
        <w:right w:val="none" w:sz="0" w:space="0" w:color="auto"/>
      </w:divBdr>
    </w:div>
    <w:div w:id="187447022">
      <w:bodyDiv w:val="1"/>
      <w:marLeft w:val="0"/>
      <w:marRight w:val="0"/>
      <w:marTop w:val="0"/>
      <w:marBottom w:val="0"/>
      <w:divBdr>
        <w:top w:val="none" w:sz="0" w:space="0" w:color="auto"/>
        <w:left w:val="none" w:sz="0" w:space="0" w:color="auto"/>
        <w:bottom w:val="none" w:sz="0" w:space="0" w:color="auto"/>
        <w:right w:val="none" w:sz="0" w:space="0" w:color="auto"/>
      </w:divBdr>
    </w:div>
    <w:div w:id="192698535">
      <w:bodyDiv w:val="1"/>
      <w:marLeft w:val="0"/>
      <w:marRight w:val="0"/>
      <w:marTop w:val="0"/>
      <w:marBottom w:val="0"/>
      <w:divBdr>
        <w:top w:val="none" w:sz="0" w:space="0" w:color="auto"/>
        <w:left w:val="none" w:sz="0" w:space="0" w:color="auto"/>
        <w:bottom w:val="none" w:sz="0" w:space="0" w:color="auto"/>
        <w:right w:val="none" w:sz="0" w:space="0" w:color="auto"/>
      </w:divBdr>
    </w:div>
    <w:div w:id="311568523">
      <w:bodyDiv w:val="1"/>
      <w:marLeft w:val="0"/>
      <w:marRight w:val="0"/>
      <w:marTop w:val="0"/>
      <w:marBottom w:val="0"/>
      <w:divBdr>
        <w:top w:val="none" w:sz="0" w:space="0" w:color="auto"/>
        <w:left w:val="none" w:sz="0" w:space="0" w:color="auto"/>
        <w:bottom w:val="none" w:sz="0" w:space="0" w:color="auto"/>
        <w:right w:val="none" w:sz="0" w:space="0" w:color="auto"/>
      </w:divBdr>
      <w:divsChild>
        <w:div w:id="1732731101">
          <w:marLeft w:val="0"/>
          <w:marRight w:val="0"/>
          <w:marTop w:val="0"/>
          <w:marBottom w:val="0"/>
          <w:divBdr>
            <w:top w:val="none" w:sz="0" w:space="0" w:color="auto"/>
            <w:left w:val="none" w:sz="0" w:space="0" w:color="auto"/>
            <w:bottom w:val="none" w:sz="0" w:space="0" w:color="auto"/>
            <w:right w:val="none" w:sz="0" w:space="0" w:color="auto"/>
          </w:divBdr>
          <w:divsChild>
            <w:div w:id="1926914412">
              <w:marLeft w:val="0"/>
              <w:marRight w:val="0"/>
              <w:marTop w:val="0"/>
              <w:marBottom w:val="0"/>
              <w:divBdr>
                <w:top w:val="none" w:sz="0" w:space="0" w:color="auto"/>
                <w:left w:val="none" w:sz="0" w:space="0" w:color="auto"/>
                <w:bottom w:val="none" w:sz="0" w:space="0" w:color="auto"/>
                <w:right w:val="none" w:sz="0" w:space="0" w:color="auto"/>
              </w:divBdr>
              <w:divsChild>
                <w:div w:id="2054378398">
                  <w:marLeft w:val="0"/>
                  <w:marRight w:val="0"/>
                  <w:marTop w:val="0"/>
                  <w:marBottom w:val="0"/>
                  <w:divBdr>
                    <w:top w:val="none" w:sz="0" w:space="0" w:color="auto"/>
                    <w:left w:val="none" w:sz="0" w:space="0" w:color="auto"/>
                    <w:bottom w:val="none" w:sz="0" w:space="0" w:color="auto"/>
                    <w:right w:val="none" w:sz="0" w:space="0" w:color="auto"/>
                  </w:divBdr>
                  <w:divsChild>
                    <w:div w:id="1514342674">
                      <w:marLeft w:val="0"/>
                      <w:marRight w:val="0"/>
                      <w:marTop w:val="0"/>
                      <w:marBottom w:val="0"/>
                      <w:divBdr>
                        <w:top w:val="none" w:sz="0" w:space="0" w:color="auto"/>
                        <w:left w:val="none" w:sz="0" w:space="0" w:color="auto"/>
                        <w:bottom w:val="none" w:sz="0" w:space="0" w:color="auto"/>
                        <w:right w:val="none" w:sz="0" w:space="0" w:color="auto"/>
                      </w:divBdr>
                      <w:divsChild>
                        <w:div w:id="20871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7003">
              <w:marLeft w:val="0"/>
              <w:marRight w:val="0"/>
              <w:marTop w:val="0"/>
              <w:marBottom w:val="0"/>
              <w:divBdr>
                <w:top w:val="none" w:sz="0" w:space="0" w:color="auto"/>
                <w:left w:val="none" w:sz="0" w:space="0" w:color="auto"/>
                <w:bottom w:val="none" w:sz="0" w:space="0" w:color="auto"/>
                <w:right w:val="none" w:sz="0" w:space="0" w:color="auto"/>
              </w:divBdr>
            </w:div>
            <w:div w:id="1219634301">
              <w:marLeft w:val="0"/>
              <w:marRight w:val="0"/>
              <w:marTop w:val="0"/>
              <w:marBottom w:val="0"/>
              <w:divBdr>
                <w:top w:val="none" w:sz="0" w:space="0" w:color="auto"/>
                <w:left w:val="none" w:sz="0" w:space="0" w:color="auto"/>
                <w:bottom w:val="none" w:sz="0" w:space="0" w:color="auto"/>
                <w:right w:val="none" w:sz="0" w:space="0" w:color="auto"/>
              </w:divBdr>
              <w:divsChild>
                <w:div w:id="90516642">
                  <w:marLeft w:val="0"/>
                  <w:marRight w:val="0"/>
                  <w:marTop w:val="0"/>
                  <w:marBottom w:val="0"/>
                  <w:divBdr>
                    <w:top w:val="none" w:sz="0" w:space="0" w:color="auto"/>
                    <w:left w:val="none" w:sz="0" w:space="0" w:color="auto"/>
                    <w:bottom w:val="none" w:sz="0" w:space="0" w:color="auto"/>
                    <w:right w:val="none" w:sz="0" w:space="0" w:color="auto"/>
                  </w:divBdr>
                  <w:divsChild>
                    <w:div w:id="2074035035">
                      <w:marLeft w:val="0"/>
                      <w:marRight w:val="0"/>
                      <w:marTop w:val="0"/>
                      <w:marBottom w:val="0"/>
                      <w:divBdr>
                        <w:top w:val="none" w:sz="0" w:space="0" w:color="auto"/>
                        <w:left w:val="none" w:sz="0" w:space="0" w:color="auto"/>
                        <w:bottom w:val="none" w:sz="0" w:space="0" w:color="auto"/>
                        <w:right w:val="none" w:sz="0" w:space="0" w:color="auto"/>
                      </w:divBdr>
                      <w:divsChild>
                        <w:div w:id="10855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57699">
      <w:bodyDiv w:val="1"/>
      <w:marLeft w:val="0"/>
      <w:marRight w:val="0"/>
      <w:marTop w:val="0"/>
      <w:marBottom w:val="0"/>
      <w:divBdr>
        <w:top w:val="none" w:sz="0" w:space="0" w:color="auto"/>
        <w:left w:val="none" w:sz="0" w:space="0" w:color="auto"/>
        <w:bottom w:val="none" w:sz="0" w:space="0" w:color="auto"/>
        <w:right w:val="none" w:sz="0" w:space="0" w:color="auto"/>
      </w:divBdr>
    </w:div>
    <w:div w:id="385682458">
      <w:bodyDiv w:val="1"/>
      <w:marLeft w:val="0"/>
      <w:marRight w:val="0"/>
      <w:marTop w:val="0"/>
      <w:marBottom w:val="0"/>
      <w:divBdr>
        <w:top w:val="none" w:sz="0" w:space="0" w:color="auto"/>
        <w:left w:val="none" w:sz="0" w:space="0" w:color="auto"/>
        <w:bottom w:val="none" w:sz="0" w:space="0" w:color="auto"/>
        <w:right w:val="none" w:sz="0" w:space="0" w:color="auto"/>
      </w:divBdr>
    </w:div>
    <w:div w:id="418718476">
      <w:bodyDiv w:val="1"/>
      <w:marLeft w:val="0"/>
      <w:marRight w:val="0"/>
      <w:marTop w:val="0"/>
      <w:marBottom w:val="0"/>
      <w:divBdr>
        <w:top w:val="none" w:sz="0" w:space="0" w:color="auto"/>
        <w:left w:val="none" w:sz="0" w:space="0" w:color="auto"/>
        <w:bottom w:val="none" w:sz="0" w:space="0" w:color="auto"/>
        <w:right w:val="none" w:sz="0" w:space="0" w:color="auto"/>
      </w:divBdr>
    </w:div>
    <w:div w:id="436565123">
      <w:bodyDiv w:val="1"/>
      <w:marLeft w:val="0"/>
      <w:marRight w:val="0"/>
      <w:marTop w:val="0"/>
      <w:marBottom w:val="0"/>
      <w:divBdr>
        <w:top w:val="none" w:sz="0" w:space="0" w:color="auto"/>
        <w:left w:val="none" w:sz="0" w:space="0" w:color="auto"/>
        <w:bottom w:val="none" w:sz="0" w:space="0" w:color="auto"/>
        <w:right w:val="none" w:sz="0" w:space="0" w:color="auto"/>
      </w:divBdr>
    </w:div>
    <w:div w:id="437062753">
      <w:bodyDiv w:val="1"/>
      <w:marLeft w:val="0"/>
      <w:marRight w:val="0"/>
      <w:marTop w:val="0"/>
      <w:marBottom w:val="0"/>
      <w:divBdr>
        <w:top w:val="none" w:sz="0" w:space="0" w:color="auto"/>
        <w:left w:val="none" w:sz="0" w:space="0" w:color="auto"/>
        <w:bottom w:val="none" w:sz="0" w:space="0" w:color="auto"/>
        <w:right w:val="none" w:sz="0" w:space="0" w:color="auto"/>
      </w:divBdr>
    </w:div>
    <w:div w:id="480268138">
      <w:bodyDiv w:val="1"/>
      <w:marLeft w:val="0"/>
      <w:marRight w:val="0"/>
      <w:marTop w:val="0"/>
      <w:marBottom w:val="0"/>
      <w:divBdr>
        <w:top w:val="none" w:sz="0" w:space="0" w:color="auto"/>
        <w:left w:val="none" w:sz="0" w:space="0" w:color="auto"/>
        <w:bottom w:val="none" w:sz="0" w:space="0" w:color="auto"/>
        <w:right w:val="none" w:sz="0" w:space="0" w:color="auto"/>
      </w:divBdr>
    </w:div>
    <w:div w:id="505942513">
      <w:bodyDiv w:val="1"/>
      <w:marLeft w:val="0"/>
      <w:marRight w:val="0"/>
      <w:marTop w:val="0"/>
      <w:marBottom w:val="0"/>
      <w:divBdr>
        <w:top w:val="none" w:sz="0" w:space="0" w:color="auto"/>
        <w:left w:val="none" w:sz="0" w:space="0" w:color="auto"/>
        <w:bottom w:val="none" w:sz="0" w:space="0" w:color="auto"/>
        <w:right w:val="none" w:sz="0" w:space="0" w:color="auto"/>
      </w:divBdr>
    </w:div>
    <w:div w:id="550457146">
      <w:bodyDiv w:val="1"/>
      <w:marLeft w:val="0"/>
      <w:marRight w:val="0"/>
      <w:marTop w:val="0"/>
      <w:marBottom w:val="0"/>
      <w:divBdr>
        <w:top w:val="none" w:sz="0" w:space="0" w:color="auto"/>
        <w:left w:val="none" w:sz="0" w:space="0" w:color="auto"/>
        <w:bottom w:val="none" w:sz="0" w:space="0" w:color="auto"/>
        <w:right w:val="none" w:sz="0" w:space="0" w:color="auto"/>
      </w:divBdr>
    </w:div>
    <w:div w:id="559900845">
      <w:bodyDiv w:val="1"/>
      <w:marLeft w:val="0"/>
      <w:marRight w:val="0"/>
      <w:marTop w:val="0"/>
      <w:marBottom w:val="0"/>
      <w:divBdr>
        <w:top w:val="none" w:sz="0" w:space="0" w:color="auto"/>
        <w:left w:val="none" w:sz="0" w:space="0" w:color="auto"/>
        <w:bottom w:val="none" w:sz="0" w:space="0" w:color="auto"/>
        <w:right w:val="none" w:sz="0" w:space="0" w:color="auto"/>
      </w:divBdr>
    </w:div>
    <w:div w:id="561454382">
      <w:bodyDiv w:val="1"/>
      <w:marLeft w:val="0"/>
      <w:marRight w:val="0"/>
      <w:marTop w:val="0"/>
      <w:marBottom w:val="0"/>
      <w:divBdr>
        <w:top w:val="none" w:sz="0" w:space="0" w:color="auto"/>
        <w:left w:val="none" w:sz="0" w:space="0" w:color="auto"/>
        <w:bottom w:val="none" w:sz="0" w:space="0" w:color="auto"/>
        <w:right w:val="none" w:sz="0" w:space="0" w:color="auto"/>
      </w:divBdr>
    </w:div>
    <w:div w:id="659895293">
      <w:bodyDiv w:val="1"/>
      <w:marLeft w:val="0"/>
      <w:marRight w:val="0"/>
      <w:marTop w:val="0"/>
      <w:marBottom w:val="0"/>
      <w:divBdr>
        <w:top w:val="none" w:sz="0" w:space="0" w:color="auto"/>
        <w:left w:val="none" w:sz="0" w:space="0" w:color="auto"/>
        <w:bottom w:val="none" w:sz="0" w:space="0" w:color="auto"/>
        <w:right w:val="none" w:sz="0" w:space="0" w:color="auto"/>
      </w:divBdr>
    </w:div>
    <w:div w:id="772239477">
      <w:bodyDiv w:val="1"/>
      <w:marLeft w:val="0"/>
      <w:marRight w:val="0"/>
      <w:marTop w:val="0"/>
      <w:marBottom w:val="0"/>
      <w:divBdr>
        <w:top w:val="none" w:sz="0" w:space="0" w:color="auto"/>
        <w:left w:val="none" w:sz="0" w:space="0" w:color="auto"/>
        <w:bottom w:val="none" w:sz="0" w:space="0" w:color="auto"/>
        <w:right w:val="none" w:sz="0" w:space="0" w:color="auto"/>
      </w:divBdr>
    </w:div>
    <w:div w:id="828709906">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185511215">
      <w:bodyDiv w:val="1"/>
      <w:marLeft w:val="0"/>
      <w:marRight w:val="0"/>
      <w:marTop w:val="0"/>
      <w:marBottom w:val="0"/>
      <w:divBdr>
        <w:top w:val="none" w:sz="0" w:space="0" w:color="auto"/>
        <w:left w:val="none" w:sz="0" w:space="0" w:color="auto"/>
        <w:bottom w:val="none" w:sz="0" w:space="0" w:color="auto"/>
        <w:right w:val="none" w:sz="0" w:space="0" w:color="auto"/>
      </w:divBdr>
    </w:div>
    <w:div w:id="1368067931">
      <w:bodyDiv w:val="1"/>
      <w:marLeft w:val="0"/>
      <w:marRight w:val="0"/>
      <w:marTop w:val="0"/>
      <w:marBottom w:val="0"/>
      <w:divBdr>
        <w:top w:val="none" w:sz="0" w:space="0" w:color="auto"/>
        <w:left w:val="none" w:sz="0" w:space="0" w:color="auto"/>
        <w:bottom w:val="none" w:sz="0" w:space="0" w:color="auto"/>
        <w:right w:val="none" w:sz="0" w:space="0" w:color="auto"/>
      </w:divBdr>
    </w:div>
    <w:div w:id="1373574577">
      <w:bodyDiv w:val="1"/>
      <w:marLeft w:val="0"/>
      <w:marRight w:val="0"/>
      <w:marTop w:val="0"/>
      <w:marBottom w:val="0"/>
      <w:divBdr>
        <w:top w:val="none" w:sz="0" w:space="0" w:color="auto"/>
        <w:left w:val="none" w:sz="0" w:space="0" w:color="auto"/>
        <w:bottom w:val="none" w:sz="0" w:space="0" w:color="auto"/>
        <w:right w:val="none" w:sz="0" w:space="0" w:color="auto"/>
      </w:divBdr>
    </w:div>
    <w:div w:id="1457413180">
      <w:bodyDiv w:val="1"/>
      <w:marLeft w:val="0"/>
      <w:marRight w:val="0"/>
      <w:marTop w:val="0"/>
      <w:marBottom w:val="0"/>
      <w:divBdr>
        <w:top w:val="none" w:sz="0" w:space="0" w:color="auto"/>
        <w:left w:val="none" w:sz="0" w:space="0" w:color="auto"/>
        <w:bottom w:val="none" w:sz="0" w:space="0" w:color="auto"/>
        <w:right w:val="none" w:sz="0" w:space="0" w:color="auto"/>
      </w:divBdr>
    </w:div>
    <w:div w:id="1521432168">
      <w:bodyDiv w:val="1"/>
      <w:marLeft w:val="0"/>
      <w:marRight w:val="0"/>
      <w:marTop w:val="0"/>
      <w:marBottom w:val="0"/>
      <w:divBdr>
        <w:top w:val="none" w:sz="0" w:space="0" w:color="auto"/>
        <w:left w:val="none" w:sz="0" w:space="0" w:color="auto"/>
        <w:bottom w:val="none" w:sz="0" w:space="0" w:color="auto"/>
        <w:right w:val="none" w:sz="0" w:space="0" w:color="auto"/>
      </w:divBdr>
    </w:div>
    <w:div w:id="1575358383">
      <w:bodyDiv w:val="1"/>
      <w:marLeft w:val="0"/>
      <w:marRight w:val="0"/>
      <w:marTop w:val="0"/>
      <w:marBottom w:val="0"/>
      <w:divBdr>
        <w:top w:val="none" w:sz="0" w:space="0" w:color="auto"/>
        <w:left w:val="none" w:sz="0" w:space="0" w:color="auto"/>
        <w:bottom w:val="none" w:sz="0" w:space="0" w:color="auto"/>
        <w:right w:val="none" w:sz="0" w:space="0" w:color="auto"/>
      </w:divBdr>
    </w:div>
    <w:div w:id="1661274302">
      <w:bodyDiv w:val="1"/>
      <w:marLeft w:val="0"/>
      <w:marRight w:val="0"/>
      <w:marTop w:val="0"/>
      <w:marBottom w:val="0"/>
      <w:divBdr>
        <w:top w:val="none" w:sz="0" w:space="0" w:color="auto"/>
        <w:left w:val="none" w:sz="0" w:space="0" w:color="auto"/>
        <w:bottom w:val="none" w:sz="0" w:space="0" w:color="auto"/>
        <w:right w:val="none" w:sz="0" w:space="0" w:color="auto"/>
      </w:divBdr>
    </w:div>
    <w:div w:id="1685815095">
      <w:bodyDiv w:val="1"/>
      <w:marLeft w:val="0"/>
      <w:marRight w:val="0"/>
      <w:marTop w:val="0"/>
      <w:marBottom w:val="0"/>
      <w:divBdr>
        <w:top w:val="none" w:sz="0" w:space="0" w:color="auto"/>
        <w:left w:val="none" w:sz="0" w:space="0" w:color="auto"/>
        <w:bottom w:val="none" w:sz="0" w:space="0" w:color="auto"/>
        <w:right w:val="none" w:sz="0" w:space="0" w:color="auto"/>
      </w:divBdr>
    </w:div>
    <w:div w:id="1843668056">
      <w:bodyDiv w:val="1"/>
      <w:marLeft w:val="0"/>
      <w:marRight w:val="0"/>
      <w:marTop w:val="0"/>
      <w:marBottom w:val="0"/>
      <w:divBdr>
        <w:top w:val="none" w:sz="0" w:space="0" w:color="auto"/>
        <w:left w:val="none" w:sz="0" w:space="0" w:color="auto"/>
        <w:bottom w:val="none" w:sz="0" w:space="0" w:color="auto"/>
        <w:right w:val="none" w:sz="0" w:space="0" w:color="auto"/>
      </w:divBdr>
    </w:div>
    <w:div w:id="1850220149">
      <w:bodyDiv w:val="1"/>
      <w:marLeft w:val="0"/>
      <w:marRight w:val="0"/>
      <w:marTop w:val="0"/>
      <w:marBottom w:val="0"/>
      <w:divBdr>
        <w:top w:val="none" w:sz="0" w:space="0" w:color="auto"/>
        <w:left w:val="none" w:sz="0" w:space="0" w:color="auto"/>
        <w:bottom w:val="none" w:sz="0" w:space="0" w:color="auto"/>
        <w:right w:val="none" w:sz="0" w:space="0" w:color="auto"/>
      </w:divBdr>
      <w:divsChild>
        <w:div w:id="815025347">
          <w:marLeft w:val="0"/>
          <w:marRight w:val="0"/>
          <w:marTop w:val="0"/>
          <w:marBottom w:val="0"/>
          <w:divBdr>
            <w:top w:val="none" w:sz="0" w:space="0" w:color="auto"/>
            <w:left w:val="none" w:sz="0" w:space="0" w:color="auto"/>
            <w:bottom w:val="none" w:sz="0" w:space="0" w:color="auto"/>
            <w:right w:val="none" w:sz="0" w:space="0" w:color="auto"/>
          </w:divBdr>
        </w:div>
      </w:divsChild>
    </w:div>
    <w:div w:id="2033723270">
      <w:bodyDiv w:val="1"/>
      <w:marLeft w:val="0"/>
      <w:marRight w:val="0"/>
      <w:marTop w:val="0"/>
      <w:marBottom w:val="0"/>
      <w:divBdr>
        <w:top w:val="none" w:sz="0" w:space="0" w:color="auto"/>
        <w:left w:val="none" w:sz="0" w:space="0" w:color="auto"/>
        <w:bottom w:val="none" w:sz="0" w:space="0" w:color="auto"/>
        <w:right w:val="none" w:sz="0" w:space="0" w:color="auto"/>
      </w:divBdr>
    </w:div>
    <w:div w:id="211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Ministrija/sabiedribas_lidzdaliba/diskusiju_dokumen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645B-2860-4B56-807B-D7560EEA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7482</Words>
  <Characters>4265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Altum</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Dita.Tetere@em.gov.lv</dc:creator>
  <dc:description>67013298
Signe.Tuklere@em.gov</dc:description>
  <cp:lastModifiedBy>Kristīne Priedīte</cp:lastModifiedBy>
  <cp:revision>20</cp:revision>
  <cp:lastPrinted>2017-07-21T07:32:00Z</cp:lastPrinted>
  <dcterms:created xsi:type="dcterms:W3CDTF">2021-07-28T07:27:00Z</dcterms:created>
  <dcterms:modified xsi:type="dcterms:W3CDTF">2021-07-28T13:14:00Z</dcterms:modified>
</cp:coreProperties>
</file>