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4A5C6" w14:textId="77777777" w:rsidR="000B5557" w:rsidRPr="00F5511B" w:rsidRDefault="00274E16" w:rsidP="00C90DD8">
      <w:pPr>
        <w:pStyle w:val="NoSpacing"/>
        <w:rPr>
          <w:highlight w:val="yellow"/>
        </w:rPr>
      </w:pPr>
      <w:r w:rsidRPr="00F5511B">
        <w:rPr>
          <w:noProof/>
          <w:highlight w:val="yellow"/>
          <w:lang w:val="en-US"/>
        </w:rPr>
        <w:drawing>
          <wp:anchor distT="0" distB="0" distL="114300" distR="114300" simplePos="0" relativeHeight="251658243" behindDoc="0" locked="0" layoutInCell="1" allowOverlap="1" wp14:anchorId="248C3CC6" wp14:editId="33043E10">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anchor>
        </w:drawing>
      </w:r>
    </w:p>
    <w:p w14:paraId="4C984637" w14:textId="77777777" w:rsidR="0018221C" w:rsidRPr="00F5511B" w:rsidRDefault="0018221C" w:rsidP="000B5557">
      <w:pPr>
        <w:spacing w:after="60" w:line="240" w:lineRule="auto"/>
        <w:jc w:val="right"/>
        <w:rPr>
          <w:rFonts w:cs="Times New Roman"/>
          <w:highlight w:val="yellow"/>
        </w:rPr>
      </w:pPr>
    </w:p>
    <w:p w14:paraId="08CA890C" w14:textId="77777777" w:rsidR="00745BE8" w:rsidRPr="00F5511B" w:rsidRDefault="00745BE8" w:rsidP="00745BE8">
      <w:pPr>
        <w:spacing w:after="60" w:line="240" w:lineRule="auto"/>
        <w:jc w:val="right"/>
        <w:rPr>
          <w:rFonts w:cs="Times New Roman"/>
          <w:highlight w:val="yellow"/>
        </w:rPr>
      </w:pPr>
    </w:p>
    <w:p w14:paraId="5CF83566" w14:textId="77777777" w:rsidR="00BF7685" w:rsidRPr="00F5511B" w:rsidRDefault="00BF7685" w:rsidP="000B5557">
      <w:pPr>
        <w:spacing w:after="60" w:line="240" w:lineRule="auto"/>
        <w:jc w:val="right"/>
        <w:rPr>
          <w:rFonts w:cs="Times New Roman"/>
          <w:highlight w:val="yellow"/>
        </w:rPr>
      </w:pPr>
    </w:p>
    <w:p w14:paraId="3925720E" w14:textId="77777777" w:rsidR="000B5557" w:rsidRPr="00F5511B" w:rsidRDefault="000B5557" w:rsidP="000B5557">
      <w:pPr>
        <w:spacing w:after="60" w:line="240" w:lineRule="auto"/>
        <w:jc w:val="right"/>
        <w:rPr>
          <w:rFonts w:cs="Times New Roman"/>
          <w:highlight w:val="yellow"/>
        </w:rPr>
      </w:pPr>
    </w:p>
    <w:p w14:paraId="6C95616B" w14:textId="77777777" w:rsidR="000B5557" w:rsidRPr="00F5511B" w:rsidRDefault="000B5557" w:rsidP="000B5557">
      <w:pPr>
        <w:spacing w:after="60" w:line="240" w:lineRule="auto"/>
        <w:jc w:val="right"/>
        <w:rPr>
          <w:rFonts w:cs="Times New Roman"/>
          <w:highlight w:val="yellow"/>
        </w:rPr>
      </w:pPr>
    </w:p>
    <w:p w14:paraId="39C73A03" w14:textId="77777777" w:rsidR="000B5557" w:rsidRPr="00F5511B" w:rsidRDefault="000B5557" w:rsidP="000B5557">
      <w:pPr>
        <w:spacing w:after="60" w:line="240" w:lineRule="auto"/>
        <w:jc w:val="right"/>
        <w:rPr>
          <w:rFonts w:cs="Times New Roman"/>
          <w:highlight w:val="yellow"/>
        </w:rPr>
      </w:pPr>
    </w:p>
    <w:p w14:paraId="2B094D8C" w14:textId="77777777" w:rsidR="000B5557" w:rsidRPr="00F5511B" w:rsidRDefault="000B5557" w:rsidP="000B5557">
      <w:pPr>
        <w:spacing w:after="60" w:line="240" w:lineRule="auto"/>
        <w:jc w:val="right"/>
        <w:rPr>
          <w:rFonts w:cs="Times New Roman"/>
          <w:highlight w:val="yellow"/>
        </w:rPr>
      </w:pPr>
    </w:p>
    <w:p w14:paraId="1EF0C024" w14:textId="77777777" w:rsidR="00F747B7" w:rsidRPr="00F5511B" w:rsidRDefault="00F747B7" w:rsidP="006728CE">
      <w:pPr>
        <w:spacing w:after="120"/>
        <w:jc w:val="center"/>
        <w:rPr>
          <w:rFonts w:cs="Times New Roman"/>
          <w:highlight w:val="yellow"/>
        </w:rPr>
      </w:pPr>
    </w:p>
    <w:p w14:paraId="1507D51C" w14:textId="77777777" w:rsidR="00F747B7" w:rsidRPr="00F5511B" w:rsidRDefault="00F747B7" w:rsidP="006728CE">
      <w:pPr>
        <w:spacing w:after="120"/>
        <w:jc w:val="center"/>
        <w:rPr>
          <w:rFonts w:cs="Times New Roman"/>
          <w:highlight w:val="yellow"/>
        </w:rPr>
      </w:pPr>
    </w:p>
    <w:p w14:paraId="68875734" w14:textId="77777777" w:rsidR="00CE50AB" w:rsidRPr="00F5511B" w:rsidRDefault="00CE50AB" w:rsidP="006728CE">
      <w:pPr>
        <w:spacing w:after="120"/>
        <w:jc w:val="center"/>
        <w:rPr>
          <w:rFonts w:cs="Times New Roman"/>
          <w:highlight w:val="yellow"/>
        </w:rPr>
      </w:pPr>
    </w:p>
    <w:p w14:paraId="2B296366" w14:textId="77777777" w:rsidR="00CE50AB" w:rsidRPr="00F5511B" w:rsidRDefault="00CE50AB" w:rsidP="006728CE">
      <w:pPr>
        <w:spacing w:after="120"/>
        <w:jc w:val="center"/>
        <w:rPr>
          <w:rFonts w:cs="Times New Roman"/>
          <w:highlight w:val="yellow"/>
        </w:rPr>
      </w:pPr>
    </w:p>
    <w:p w14:paraId="6DD6FD0B" w14:textId="77777777" w:rsidR="006728CE" w:rsidRPr="00F5511B" w:rsidRDefault="006728CE" w:rsidP="006728CE">
      <w:pPr>
        <w:spacing w:after="120"/>
        <w:jc w:val="center"/>
        <w:rPr>
          <w:rFonts w:cs="Times New Roman"/>
          <w:b/>
          <w:color w:val="00859B"/>
          <w:sz w:val="56"/>
          <w:szCs w:val="56"/>
        </w:rPr>
      </w:pPr>
      <w:r w:rsidRPr="00F5511B">
        <w:rPr>
          <w:rFonts w:cs="Times New Roman"/>
          <w:b/>
          <w:color w:val="00859B"/>
          <w:sz w:val="56"/>
          <w:szCs w:val="56"/>
        </w:rPr>
        <w:t>Ekonomikas ministrijas</w:t>
      </w:r>
    </w:p>
    <w:p w14:paraId="6BB689A7" w14:textId="77777777" w:rsidR="006728CE" w:rsidRPr="00F5511B" w:rsidRDefault="006728CE" w:rsidP="006728CE">
      <w:pPr>
        <w:spacing w:after="120"/>
        <w:jc w:val="center"/>
        <w:rPr>
          <w:rFonts w:cs="Times New Roman"/>
          <w:b/>
          <w:color w:val="00859B"/>
          <w:sz w:val="56"/>
          <w:szCs w:val="56"/>
        </w:rPr>
      </w:pPr>
      <w:r w:rsidRPr="00F5511B">
        <w:rPr>
          <w:rFonts w:cs="Times New Roman"/>
          <w:b/>
          <w:color w:val="00859B"/>
          <w:sz w:val="56"/>
          <w:szCs w:val="56"/>
        </w:rPr>
        <w:t>20</w:t>
      </w:r>
      <w:r w:rsidR="00F5511B" w:rsidRPr="00F5511B">
        <w:rPr>
          <w:rFonts w:cs="Times New Roman"/>
          <w:b/>
          <w:color w:val="00859B"/>
          <w:sz w:val="56"/>
          <w:szCs w:val="56"/>
        </w:rPr>
        <w:t>20</w:t>
      </w:r>
      <w:r w:rsidRPr="00F5511B">
        <w:rPr>
          <w:rFonts w:cs="Times New Roman"/>
          <w:b/>
          <w:color w:val="00859B"/>
          <w:sz w:val="56"/>
          <w:szCs w:val="56"/>
        </w:rPr>
        <w:t>.gada publiskais pārskats</w:t>
      </w:r>
    </w:p>
    <w:p w14:paraId="54CBB2D8" w14:textId="77777777" w:rsidR="006728CE" w:rsidRPr="00F5511B" w:rsidRDefault="006728CE" w:rsidP="006728CE">
      <w:pPr>
        <w:rPr>
          <w:highlight w:val="yellow"/>
        </w:rPr>
      </w:pPr>
    </w:p>
    <w:p w14:paraId="2598E6F5" w14:textId="77777777" w:rsidR="006728CE" w:rsidRPr="00F5511B" w:rsidRDefault="006728CE" w:rsidP="006728CE">
      <w:pPr>
        <w:rPr>
          <w:highlight w:val="yellow"/>
        </w:rPr>
      </w:pPr>
    </w:p>
    <w:p w14:paraId="75E0FA5A" w14:textId="77777777" w:rsidR="006A2695" w:rsidRPr="00F5511B" w:rsidRDefault="006A2695" w:rsidP="006728CE">
      <w:pPr>
        <w:rPr>
          <w:highlight w:val="yellow"/>
        </w:rPr>
      </w:pPr>
    </w:p>
    <w:p w14:paraId="52F1351F" w14:textId="77777777" w:rsidR="006A2695" w:rsidRPr="00F5511B" w:rsidRDefault="006A2695" w:rsidP="006728CE">
      <w:pPr>
        <w:rPr>
          <w:highlight w:val="yellow"/>
        </w:rPr>
      </w:pPr>
    </w:p>
    <w:p w14:paraId="0A8FCBCB" w14:textId="77777777" w:rsidR="00274ECC" w:rsidRPr="00F5511B" w:rsidRDefault="00274ECC" w:rsidP="006728CE">
      <w:pPr>
        <w:rPr>
          <w:highlight w:val="yellow"/>
        </w:rPr>
      </w:pPr>
    </w:p>
    <w:p w14:paraId="4989E2F1" w14:textId="77777777" w:rsidR="00274ECC" w:rsidRPr="00F5511B" w:rsidRDefault="00274ECC" w:rsidP="006728CE">
      <w:pPr>
        <w:rPr>
          <w:highlight w:val="yellow"/>
        </w:rPr>
      </w:pPr>
    </w:p>
    <w:p w14:paraId="49D41A3B" w14:textId="77777777" w:rsidR="00274ECC" w:rsidRPr="00F5511B" w:rsidRDefault="00274ECC" w:rsidP="006728CE">
      <w:pPr>
        <w:rPr>
          <w:highlight w:val="yellow"/>
        </w:rPr>
      </w:pPr>
    </w:p>
    <w:p w14:paraId="68FF2BBD" w14:textId="77777777" w:rsidR="00274ECC" w:rsidRPr="00F5511B" w:rsidRDefault="00274ECC" w:rsidP="006728CE">
      <w:pPr>
        <w:rPr>
          <w:highlight w:val="yellow"/>
        </w:rPr>
      </w:pPr>
    </w:p>
    <w:p w14:paraId="203DD77D" w14:textId="77777777" w:rsidR="00274ECC" w:rsidRPr="00F5511B" w:rsidRDefault="00274ECC" w:rsidP="006728CE">
      <w:pPr>
        <w:rPr>
          <w:highlight w:val="yellow"/>
        </w:rPr>
      </w:pPr>
    </w:p>
    <w:p w14:paraId="7F80AA7A" w14:textId="77777777" w:rsidR="00274ECC" w:rsidRPr="00F5511B" w:rsidRDefault="00274ECC" w:rsidP="006728CE">
      <w:pPr>
        <w:rPr>
          <w:highlight w:val="yellow"/>
        </w:rPr>
      </w:pPr>
    </w:p>
    <w:p w14:paraId="061902E2" w14:textId="77777777" w:rsidR="00274ECC" w:rsidRPr="00F5511B" w:rsidRDefault="00274ECC" w:rsidP="006728CE">
      <w:pPr>
        <w:rPr>
          <w:highlight w:val="yellow"/>
        </w:rPr>
      </w:pPr>
    </w:p>
    <w:p w14:paraId="0890559F" w14:textId="77777777" w:rsidR="00274ECC" w:rsidRPr="00F5511B" w:rsidRDefault="00274ECC" w:rsidP="006728CE">
      <w:pPr>
        <w:rPr>
          <w:highlight w:val="yellow"/>
        </w:rPr>
      </w:pPr>
    </w:p>
    <w:p w14:paraId="24316D1C" w14:textId="77777777" w:rsidR="00274ECC" w:rsidRPr="00F5511B" w:rsidRDefault="00274ECC" w:rsidP="006728CE">
      <w:pPr>
        <w:rPr>
          <w:highlight w:val="yellow"/>
        </w:rPr>
      </w:pPr>
    </w:p>
    <w:p w14:paraId="1733956E" w14:textId="77777777" w:rsidR="00CE50AB" w:rsidRPr="00F5511B" w:rsidRDefault="00CE50AB" w:rsidP="006728CE">
      <w:pPr>
        <w:rPr>
          <w:highlight w:val="yellow"/>
        </w:rPr>
      </w:pPr>
    </w:p>
    <w:p w14:paraId="30F850AA" w14:textId="77777777" w:rsidR="00CE50AB" w:rsidRPr="00F5511B" w:rsidRDefault="00CE50AB" w:rsidP="006728CE">
      <w:pPr>
        <w:rPr>
          <w:highlight w:val="yellow"/>
        </w:rPr>
      </w:pPr>
    </w:p>
    <w:p w14:paraId="413B49F9" w14:textId="77777777" w:rsidR="007121BC" w:rsidRPr="00F5511B" w:rsidRDefault="006728CE" w:rsidP="008B20EF">
      <w:pPr>
        <w:spacing w:after="0" w:line="240" w:lineRule="auto"/>
        <w:jc w:val="center"/>
        <w:rPr>
          <w:rFonts w:eastAsia="Calibri" w:cs="Times New Roman"/>
          <w:b/>
          <w:color w:val="00859B"/>
          <w:sz w:val="32"/>
          <w:szCs w:val="32"/>
          <w:highlight w:val="yellow"/>
        </w:rPr>
      </w:pPr>
      <w:r w:rsidRPr="00F5511B">
        <w:rPr>
          <w:rFonts w:eastAsia="Calibri" w:cs="Times New Roman"/>
          <w:b/>
          <w:color w:val="00859B"/>
          <w:sz w:val="32"/>
          <w:szCs w:val="32"/>
        </w:rPr>
        <w:t xml:space="preserve">Rīga </w:t>
      </w:r>
      <w:r w:rsidR="00C27554" w:rsidRPr="00F5511B">
        <w:rPr>
          <w:rFonts w:eastAsia="Calibri" w:cs="Times New Roman"/>
          <w:b/>
          <w:color w:val="00859B"/>
          <w:sz w:val="32"/>
          <w:szCs w:val="32"/>
        </w:rPr>
        <w:t>–</w:t>
      </w:r>
      <w:r w:rsidR="00987CB5" w:rsidRPr="00F5511B">
        <w:rPr>
          <w:rFonts w:eastAsia="Calibri" w:cs="Times New Roman"/>
          <w:b/>
          <w:color w:val="00859B"/>
          <w:sz w:val="32"/>
          <w:szCs w:val="32"/>
        </w:rPr>
        <w:t xml:space="preserve"> 20</w:t>
      </w:r>
      <w:r w:rsidR="000C5CD0" w:rsidRPr="00F5511B">
        <w:rPr>
          <w:rFonts w:eastAsia="Calibri" w:cs="Times New Roman"/>
          <w:b/>
          <w:color w:val="00859B"/>
          <w:sz w:val="32"/>
          <w:szCs w:val="32"/>
        </w:rPr>
        <w:t>2</w:t>
      </w:r>
      <w:r w:rsidR="00F5511B" w:rsidRPr="00F5511B">
        <w:rPr>
          <w:rFonts w:eastAsia="Calibri" w:cs="Times New Roman"/>
          <w:b/>
          <w:color w:val="00859B"/>
          <w:sz w:val="32"/>
          <w:szCs w:val="32"/>
        </w:rPr>
        <w:t>1</w:t>
      </w:r>
      <w:r w:rsidR="007121BC" w:rsidRPr="00F5511B">
        <w:rPr>
          <w:rFonts w:cs="Times New Roman"/>
          <w:b/>
          <w:i/>
          <w:color w:val="00859B"/>
          <w:highlight w:val="yellow"/>
        </w:rPr>
        <w:br w:type="page"/>
      </w:r>
    </w:p>
    <w:p w14:paraId="1A91A27C" w14:textId="530A2202" w:rsidR="00274ECC" w:rsidRPr="00F5511B" w:rsidRDefault="00BC60D9" w:rsidP="00274ECC">
      <w:pPr>
        <w:tabs>
          <w:tab w:val="right" w:leader="dot" w:pos="14459"/>
        </w:tabs>
        <w:spacing w:before="120"/>
        <w:rPr>
          <w:smallCaps/>
          <w:highlight w:val="yellow"/>
        </w:rPr>
      </w:pPr>
      <w:bookmarkStart w:id="0" w:name="_Hlk516217280"/>
      <w:bookmarkEnd w:id="0"/>
      <w:r>
        <w:rPr>
          <w:noProof/>
          <w:highlight w:val="yellow"/>
          <w:lang w:eastAsia="lv-LV"/>
        </w:rPr>
        <w:lastRenderedPageBreak/>
        <mc:AlternateContent>
          <mc:Choice Requires="wps">
            <w:drawing>
              <wp:anchor distT="0" distB="0" distL="114300" distR="114300" simplePos="0" relativeHeight="251658240" behindDoc="0" locked="0" layoutInCell="1" allowOverlap="1" wp14:anchorId="42F7E3D7" wp14:editId="57F7A88E">
                <wp:simplePos x="0" y="0"/>
                <wp:positionH relativeFrom="column">
                  <wp:posOffset>-120015</wp:posOffset>
                </wp:positionH>
                <wp:positionV relativeFrom="paragraph">
                  <wp:posOffset>141605</wp:posOffset>
                </wp:positionV>
                <wp:extent cx="1809750" cy="720090"/>
                <wp:effectExtent l="19050" t="19050" r="0" b="3810"/>
                <wp:wrapNone/>
                <wp:docPr id="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72009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482D56E" w14:textId="77777777" w:rsidR="00003D52" w:rsidRPr="007237CA" w:rsidRDefault="00003D5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F7E3D7" id="Round Diagonal Corner Rectangle 1" o:spid="_x0000_s1026" style="position:absolute;margin-left:-9.45pt;margin-top:11.15pt;width:142.5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809750,7200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" adj="-11796480,,5400" path="m120017,l1809750,r,l1809750,600073v,66284,-53733,120017,-120017,120017l,720090r,l,120017c,53733,53733,,120017,xe" fillcolor="#00859b" strokecolor="#62b1c6" strokeweight="3pt">
                <v:stroke joinstyle="miter"/>
                <v:formulas/>
                <v:path arrowok="t" o:connecttype="custom" o:connectlocs="120017,0;1809750,0;1809750,0;1809750,600073;1689733,720090;0,720090;0,720090;0,120017;120017,0" o:connectangles="0,0,0,0,0,0,0,0,0" textboxrect="0,0,1809750,720090"/>
                <v:textbox>
                  <w:txbxContent>
                    <w:p w14:paraId="7482D56E" w14:textId="77777777" w:rsidR="00003D52" w:rsidRPr="007237CA" w:rsidRDefault="00003D52"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0133E65" w14:textId="77777777" w:rsidR="00274ECC" w:rsidRPr="00F5511B" w:rsidRDefault="00274ECC" w:rsidP="00274ECC">
      <w:pPr>
        <w:tabs>
          <w:tab w:val="right" w:leader="dot" w:pos="14459"/>
        </w:tabs>
        <w:spacing w:before="120"/>
        <w:rPr>
          <w:smallCaps/>
          <w:highlight w:val="yellow"/>
        </w:rPr>
      </w:pPr>
    </w:p>
    <w:p w14:paraId="5D4D903E" w14:textId="77777777" w:rsidR="00274ECC" w:rsidRPr="00F5511B" w:rsidRDefault="00274ECC" w:rsidP="00274ECC">
      <w:pPr>
        <w:tabs>
          <w:tab w:val="right" w:leader="dot" w:pos="14459"/>
        </w:tabs>
        <w:spacing w:before="120"/>
        <w:rPr>
          <w:smallCaps/>
          <w:highlight w:val="yellow"/>
        </w:rPr>
      </w:pPr>
    </w:p>
    <w:sdt>
      <w:sdtPr>
        <w:rPr>
          <w:highlight w:val="yellow"/>
        </w:rPr>
        <w:id w:val="966864908"/>
        <w:docPartObj>
          <w:docPartGallery w:val="Table of Contents"/>
          <w:docPartUnique/>
        </w:docPartObj>
      </w:sdtPr>
      <w:sdtEndPr>
        <w:rPr>
          <w:noProof/>
        </w:rPr>
      </w:sdtEndPr>
      <w:sdtContent>
        <w:p w14:paraId="47A29D2D" w14:textId="19005D9A" w:rsidR="003C6A28" w:rsidRDefault="00EA274E" w:rsidP="00E9218F">
          <w:pPr>
            <w:pStyle w:val="TOC1"/>
            <w:rPr>
              <w:rFonts w:asciiTheme="minorHAnsi" w:eastAsiaTheme="minorEastAsia" w:hAnsiTheme="minorHAnsi"/>
              <w:noProof/>
              <w:sz w:val="22"/>
              <w:lang w:eastAsia="lv-LV"/>
            </w:rPr>
          </w:pPr>
          <w:r w:rsidRPr="00165A35">
            <w:rPr>
              <w:rFonts w:asciiTheme="majorHAnsi" w:eastAsiaTheme="majorEastAsia" w:hAnsiTheme="majorHAnsi" w:cstheme="majorBidi"/>
              <w:color w:val="365F91" w:themeColor="accent1" w:themeShade="BF"/>
              <w:sz w:val="32"/>
              <w:szCs w:val="32"/>
              <w:lang w:val="en-US"/>
            </w:rPr>
            <w:fldChar w:fldCharType="begin"/>
          </w:r>
          <w:r w:rsidR="00B40B8F" w:rsidRPr="00165A35">
            <w:instrText xml:space="preserve"> TOC \o "1-3" \h \z \u </w:instrText>
          </w:r>
          <w:r w:rsidRPr="00165A35">
            <w:rPr>
              <w:rFonts w:asciiTheme="majorHAnsi" w:eastAsiaTheme="majorEastAsia" w:hAnsiTheme="majorHAnsi" w:cstheme="majorBidi"/>
              <w:color w:val="365F91" w:themeColor="accent1" w:themeShade="BF"/>
              <w:sz w:val="32"/>
              <w:szCs w:val="32"/>
              <w:lang w:val="en-US"/>
            </w:rPr>
            <w:fldChar w:fldCharType="separate"/>
          </w:r>
          <w:hyperlink r:id="rId12" w:anchor="_Toc78874590" w:history="1">
            <w:r w:rsidR="003C6A28" w:rsidRPr="00B439F6">
              <w:rPr>
                <w:rStyle w:val="Hyperlink"/>
                <w:noProof/>
              </w:rPr>
              <w:t>1.</w:t>
            </w:r>
            <w:r w:rsidR="003C6A28">
              <w:rPr>
                <w:rFonts w:asciiTheme="minorHAnsi" w:eastAsiaTheme="minorEastAsia" w:hAnsiTheme="minorHAnsi"/>
                <w:noProof/>
                <w:sz w:val="22"/>
                <w:lang w:eastAsia="lv-LV"/>
              </w:rPr>
              <w:tab/>
            </w:r>
            <w:r w:rsidR="003C6A28" w:rsidRPr="00B439F6">
              <w:rPr>
                <w:rStyle w:val="Hyperlink"/>
                <w:noProof/>
              </w:rPr>
              <w:t>Saīsinājumi</w:t>
            </w:r>
            <w:r w:rsidR="003C6A28">
              <w:rPr>
                <w:noProof/>
                <w:webHidden/>
              </w:rPr>
              <w:tab/>
              <w:t>4</w:t>
            </w:r>
          </w:hyperlink>
        </w:p>
        <w:p w14:paraId="4474B3D6" w14:textId="42DF1940" w:rsidR="003C6A28" w:rsidRDefault="00A548C7" w:rsidP="00E9218F">
          <w:pPr>
            <w:pStyle w:val="TOC1"/>
            <w:rPr>
              <w:rFonts w:asciiTheme="minorHAnsi" w:eastAsiaTheme="minorEastAsia" w:hAnsiTheme="minorHAnsi"/>
              <w:noProof/>
              <w:sz w:val="22"/>
              <w:lang w:eastAsia="lv-LV"/>
            </w:rPr>
          </w:pPr>
          <w:hyperlink r:id="rId13" w:anchor="_Toc78874591" w:history="1">
            <w:r w:rsidR="003C6A28" w:rsidRPr="00B439F6">
              <w:rPr>
                <w:rStyle w:val="Hyperlink"/>
                <w:noProof/>
              </w:rPr>
              <w:t>2.</w:t>
            </w:r>
            <w:r w:rsidR="003C6A28">
              <w:rPr>
                <w:rFonts w:asciiTheme="minorHAnsi" w:eastAsiaTheme="minorEastAsia" w:hAnsiTheme="minorHAnsi"/>
                <w:noProof/>
                <w:sz w:val="22"/>
                <w:lang w:eastAsia="lv-LV"/>
              </w:rPr>
              <w:tab/>
            </w:r>
            <w:r w:rsidR="003C6A28" w:rsidRPr="00B439F6">
              <w:rPr>
                <w:rStyle w:val="Hyperlink"/>
                <w:noProof/>
              </w:rPr>
              <w:t>Pamatinformācija par Ekonomikas ministriju</w:t>
            </w:r>
            <w:r w:rsidR="003C6A28">
              <w:rPr>
                <w:noProof/>
                <w:webHidden/>
              </w:rPr>
              <w:tab/>
            </w:r>
            <w:r w:rsidR="003C6A28">
              <w:rPr>
                <w:noProof/>
                <w:webHidden/>
              </w:rPr>
              <w:fldChar w:fldCharType="begin"/>
            </w:r>
            <w:r w:rsidR="003C6A28">
              <w:rPr>
                <w:noProof/>
                <w:webHidden/>
              </w:rPr>
              <w:instrText xml:space="preserve"> PAGEREF _Toc78874591 \h </w:instrText>
            </w:r>
            <w:r w:rsidR="003C6A28">
              <w:rPr>
                <w:noProof/>
                <w:webHidden/>
              </w:rPr>
            </w:r>
            <w:r w:rsidR="003C6A28">
              <w:rPr>
                <w:noProof/>
                <w:webHidden/>
              </w:rPr>
              <w:fldChar w:fldCharType="separate"/>
            </w:r>
            <w:r w:rsidR="003C6A28">
              <w:rPr>
                <w:noProof/>
                <w:webHidden/>
              </w:rPr>
              <w:t>5</w:t>
            </w:r>
            <w:r w:rsidR="003C6A28">
              <w:rPr>
                <w:noProof/>
                <w:webHidden/>
              </w:rPr>
              <w:fldChar w:fldCharType="end"/>
            </w:r>
          </w:hyperlink>
        </w:p>
        <w:p w14:paraId="4C23E3E5" w14:textId="3538CFA4" w:rsidR="003C6A28" w:rsidRDefault="00A548C7" w:rsidP="00E9218F">
          <w:pPr>
            <w:pStyle w:val="TOC1"/>
            <w:rPr>
              <w:rFonts w:asciiTheme="minorHAnsi" w:eastAsiaTheme="minorEastAsia" w:hAnsiTheme="minorHAnsi"/>
              <w:noProof/>
              <w:sz w:val="22"/>
              <w:lang w:eastAsia="lv-LV"/>
            </w:rPr>
          </w:pPr>
          <w:hyperlink r:id="rId14" w:anchor="_Toc78874592" w:history="1">
            <w:r w:rsidR="003C6A28" w:rsidRPr="00B439F6">
              <w:rPr>
                <w:rStyle w:val="Hyperlink"/>
                <w:noProof/>
              </w:rPr>
              <w:t>3.</w:t>
            </w:r>
            <w:r w:rsidR="003C6A28">
              <w:rPr>
                <w:rFonts w:asciiTheme="minorHAnsi" w:eastAsiaTheme="minorEastAsia" w:hAnsiTheme="minorHAnsi"/>
                <w:noProof/>
                <w:sz w:val="22"/>
                <w:lang w:eastAsia="lv-LV"/>
              </w:rPr>
              <w:tab/>
            </w:r>
            <w:r w:rsidR="003C6A28" w:rsidRPr="00B439F6">
              <w:rPr>
                <w:rStyle w:val="Hyperlink"/>
                <w:noProof/>
              </w:rPr>
              <w:t>EM darbības virzienu mērķu sasniegšana 2020.gadā</w:t>
            </w:r>
            <w:r w:rsidR="003C6A28">
              <w:rPr>
                <w:noProof/>
                <w:webHidden/>
              </w:rPr>
              <w:tab/>
            </w:r>
            <w:r w:rsidR="003C6A28">
              <w:rPr>
                <w:noProof/>
                <w:webHidden/>
              </w:rPr>
              <w:fldChar w:fldCharType="begin"/>
            </w:r>
            <w:r w:rsidR="003C6A28">
              <w:rPr>
                <w:noProof/>
                <w:webHidden/>
              </w:rPr>
              <w:instrText xml:space="preserve"> PAGEREF _Toc78874592 \h </w:instrText>
            </w:r>
            <w:r w:rsidR="003C6A28">
              <w:rPr>
                <w:noProof/>
                <w:webHidden/>
              </w:rPr>
            </w:r>
            <w:r w:rsidR="003C6A28">
              <w:rPr>
                <w:noProof/>
                <w:webHidden/>
              </w:rPr>
              <w:fldChar w:fldCharType="separate"/>
            </w:r>
            <w:r w:rsidR="003C6A28">
              <w:rPr>
                <w:noProof/>
                <w:webHidden/>
              </w:rPr>
              <w:t>6</w:t>
            </w:r>
            <w:r w:rsidR="003C6A28">
              <w:rPr>
                <w:noProof/>
                <w:webHidden/>
              </w:rPr>
              <w:fldChar w:fldCharType="end"/>
            </w:r>
          </w:hyperlink>
        </w:p>
        <w:p w14:paraId="17EAA927" w14:textId="07B7A491" w:rsidR="003C6A28" w:rsidRDefault="00A548C7">
          <w:pPr>
            <w:pStyle w:val="TOC2"/>
            <w:rPr>
              <w:rFonts w:asciiTheme="minorHAnsi" w:eastAsiaTheme="minorEastAsia" w:hAnsiTheme="minorHAnsi"/>
              <w:noProof/>
              <w:sz w:val="22"/>
              <w:lang w:eastAsia="lv-LV"/>
            </w:rPr>
          </w:pPr>
          <w:hyperlink w:anchor="_Toc78874593" w:history="1">
            <w:r w:rsidR="003C6A28" w:rsidRPr="00B439F6">
              <w:rPr>
                <w:rStyle w:val="Hyperlink"/>
                <w:rFonts w:eastAsia="Franklin Gothic Book"/>
                <w:noProof/>
              </w:rPr>
              <w:t>3.1.</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Produktivitātes paaugstināšana</w:t>
            </w:r>
            <w:r w:rsidR="003C6A28">
              <w:rPr>
                <w:noProof/>
                <w:webHidden/>
              </w:rPr>
              <w:tab/>
            </w:r>
            <w:r w:rsidR="003C6A28">
              <w:rPr>
                <w:noProof/>
                <w:webHidden/>
              </w:rPr>
              <w:fldChar w:fldCharType="begin"/>
            </w:r>
            <w:r w:rsidR="003C6A28">
              <w:rPr>
                <w:noProof/>
                <w:webHidden/>
              </w:rPr>
              <w:instrText xml:space="preserve"> PAGEREF _Toc78874593 \h </w:instrText>
            </w:r>
            <w:r w:rsidR="003C6A28">
              <w:rPr>
                <w:noProof/>
                <w:webHidden/>
              </w:rPr>
            </w:r>
            <w:r w:rsidR="003C6A28">
              <w:rPr>
                <w:noProof/>
                <w:webHidden/>
              </w:rPr>
              <w:fldChar w:fldCharType="separate"/>
            </w:r>
            <w:r w:rsidR="003C6A28">
              <w:rPr>
                <w:noProof/>
                <w:webHidden/>
              </w:rPr>
              <w:t>6</w:t>
            </w:r>
            <w:r w:rsidR="003C6A28">
              <w:rPr>
                <w:noProof/>
                <w:webHidden/>
              </w:rPr>
              <w:fldChar w:fldCharType="end"/>
            </w:r>
          </w:hyperlink>
        </w:p>
        <w:p w14:paraId="2067F24B" w14:textId="735EE9EB" w:rsidR="003C6A28" w:rsidRDefault="00A548C7">
          <w:pPr>
            <w:pStyle w:val="TOC2"/>
            <w:rPr>
              <w:rFonts w:asciiTheme="minorHAnsi" w:eastAsiaTheme="minorEastAsia" w:hAnsiTheme="minorHAnsi"/>
              <w:noProof/>
              <w:sz w:val="22"/>
              <w:lang w:eastAsia="lv-LV"/>
            </w:rPr>
          </w:pPr>
          <w:hyperlink w:anchor="_Toc78874594" w:history="1">
            <w:r w:rsidR="003C6A28" w:rsidRPr="00B439F6">
              <w:rPr>
                <w:rStyle w:val="Hyperlink"/>
                <w:rFonts w:eastAsia="Franklin Gothic Book"/>
                <w:noProof/>
              </w:rPr>
              <w:t>3.2.</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Eksporta veicināšana</w:t>
            </w:r>
            <w:r w:rsidR="003C6A28">
              <w:rPr>
                <w:noProof/>
                <w:webHidden/>
              </w:rPr>
              <w:tab/>
            </w:r>
            <w:r w:rsidR="003C6A28">
              <w:rPr>
                <w:noProof/>
                <w:webHidden/>
              </w:rPr>
              <w:fldChar w:fldCharType="begin"/>
            </w:r>
            <w:r w:rsidR="003C6A28">
              <w:rPr>
                <w:noProof/>
                <w:webHidden/>
              </w:rPr>
              <w:instrText xml:space="preserve"> PAGEREF _Toc78874594 \h </w:instrText>
            </w:r>
            <w:r w:rsidR="003C6A28">
              <w:rPr>
                <w:noProof/>
                <w:webHidden/>
              </w:rPr>
            </w:r>
            <w:r w:rsidR="003C6A28">
              <w:rPr>
                <w:noProof/>
                <w:webHidden/>
              </w:rPr>
              <w:fldChar w:fldCharType="separate"/>
            </w:r>
            <w:r w:rsidR="003C6A28">
              <w:rPr>
                <w:noProof/>
                <w:webHidden/>
              </w:rPr>
              <w:t>7</w:t>
            </w:r>
            <w:r w:rsidR="003C6A28">
              <w:rPr>
                <w:noProof/>
                <w:webHidden/>
              </w:rPr>
              <w:fldChar w:fldCharType="end"/>
            </w:r>
          </w:hyperlink>
        </w:p>
        <w:p w14:paraId="4EC6F8C4" w14:textId="51E60BB3" w:rsidR="003C6A28" w:rsidRDefault="00A548C7">
          <w:pPr>
            <w:pStyle w:val="TOC2"/>
            <w:rPr>
              <w:rFonts w:asciiTheme="minorHAnsi" w:eastAsiaTheme="minorEastAsia" w:hAnsiTheme="minorHAnsi"/>
              <w:noProof/>
              <w:sz w:val="22"/>
              <w:lang w:eastAsia="lv-LV"/>
            </w:rPr>
          </w:pPr>
          <w:hyperlink w:anchor="_Toc78874595" w:history="1">
            <w:r w:rsidR="003C6A28" w:rsidRPr="00B439F6">
              <w:rPr>
                <w:rStyle w:val="Hyperlink"/>
                <w:rFonts w:eastAsia="Franklin Gothic Book"/>
                <w:noProof/>
              </w:rPr>
              <w:t>3.3.</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Investīciju veicināšana un piesaiste</w:t>
            </w:r>
            <w:r w:rsidR="003C6A28">
              <w:rPr>
                <w:noProof/>
                <w:webHidden/>
              </w:rPr>
              <w:tab/>
            </w:r>
            <w:r w:rsidR="003C6A28">
              <w:rPr>
                <w:noProof/>
                <w:webHidden/>
              </w:rPr>
              <w:fldChar w:fldCharType="begin"/>
            </w:r>
            <w:r w:rsidR="003C6A28">
              <w:rPr>
                <w:noProof/>
                <w:webHidden/>
              </w:rPr>
              <w:instrText xml:space="preserve"> PAGEREF _Toc78874595 \h </w:instrText>
            </w:r>
            <w:r w:rsidR="003C6A28">
              <w:rPr>
                <w:noProof/>
                <w:webHidden/>
              </w:rPr>
            </w:r>
            <w:r w:rsidR="003C6A28">
              <w:rPr>
                <w:noProof/>
                <w:webHidden/>
              </w:rPr>
              <w:fldChar w:fldCharType="separate"/>
            </w:r>
            <w:r w:rsidR="003C6A28">
              <w:rPr>
                <w:noProof/>
                <w:webHidden/>
              </w:rPr>
              <w:t>7</w:t>
            </w:r>
            <w:r w:rsidR="003C6A28">
              <w:rPr>
                <w:noProof/>
                <w:webHidden/>
              </w:rPr>
              <w:fldChar w:fldCharType="end"/>
            </w:r>
          </w:hyperlink>
        </w:p>
        <w:p w14:paraId="42426905" w14:textId="50C7EF90" w:rsidR="003C6A28" w:rsidRDefault="00A548C7">
          <w:pPr>
            <w:pStyle w:val="TOC2"/>
            <w:rPr>
              <w:rFonts w:asciiTheme="minorHAnsi" w:eastAsiaTheme="minorEastAsia" w:hAnsiTheme="minorHAnsi"/>
              <w:noProof/>
              <w:sz w:val="22"/>
              <w:lang w:eastAsia="lv-LV"/>
            </w:rPr>
          </w:pPr>
          <w:hyperlink w:anchor="_Toc78874596" w:history="1">
            <w:r w:rsidR="003C6A28" w:rsidRPr="00B439F6">
              <w:rPr>
                <w:rStyle w:val="Hyperlink"/>
                <w:rFonts w:eastAsia="Franklin Gothic Book"/>
                <w:noProof/>
              </w:rPr>
              <w:t>3.4.</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Cilvēkkapitāla attīstība</w:t>
            </w:r>
            <w:r w:rsidR="003C6A28">
              <w:rPr>
                <w:noProof/>
                <w:webHidden/>
              </w:rPr>
              <w:tab/>
            </w:r>
            <w:r w:rsidR="003C6A28">
              <w:rPr>
                <w:noProof/>
                <w:webHidden/>
              </w:rPr>
              <w:fldChar w:fldCharType="begin"/>
            </w:r>
            <w:r w:rsidR="003C6A28">
              <w:rPr>
                <w:noProof/>
                <w:webHidden/>
              </w:rPr>
              <w:instrText xml:space="preserve"> PAGEREF _Toc78874596 \h </w:instrText>
            </w:r>
            <w:r w:rsidR="003C6A28">
              <w:rPr>
                <w:noProof/>
                <w:webHidden/>
              </w:rPr>
            </w:r>
            <w:r w:rsidR="003C6A28">
              <w:rPr>
                <w:noProof/>
                <w:webHidden/>
              </w:rPr>
              <w:fldChar w:fldCharType="separate"/>
            </w:r>
            <w:r w:rsidR="003C6A28">
              <w:rPr>
                <w:noProof/>
                <w:webHidden/>
              </w:rPr>
              <w:t>8</w:t>
            </w:r>
            <w:r w:rsidR="003C6A28">
              <w:rPr>
                <w:noProof/>
                <w:webHidden/>
              </w:rPr>
              <w:fldChar w:fldCharType="end"/>
            </w:r>
          </w:hyperlink>
        </w:p>
        <w:p w14:paraId="08C3BB4A" w14:textId="142ACF13" w:rsidR="003C6A28" w:rsidRDefault="00A548C7">
          <w:pPr>
            <w:pStyle w:val="TOC2"/>
            <w:rPr>
              <w:rFonts w:asciiTheme="minorHAnsi" w:eastAsiaTheme="minorEastAsia" w:hAnsiTheme="minorHAnsi"/>
              <w:noProof/>
              <w:sz w:val="22"/>
              <w:lang w:eastAsia="lv-LV"/>
            </w:rPr>
          </w:pPr>
          <w:hyperlink w:anchor="_Toc78874597" w:history="1">
            <w:r w:rsidR="003C6A28" w:rsidRPr="00B439F6">
              <w:rPr>
                <w:rStyle w:val="Hyperlink"/>
                <w:rFonts w:eastAsia="Franklin Gothic Book"/>
                <w:noProof/>
              </w:rPr>
              <w:t>3.5.</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Inovācijas un digitalizācijas veicināšana</w:t>
            </w:r>
            <w:r w:rsidR="003C6A28">
              <w:rPr>
                <w:noProof/>
                <w:webHidden/>
              </w:rPr>
              <w:tab/>
            </w:r>
            <w:r w:rsidR="003C6A28">
              <w:rPr>
                <w:noProof/>
                <w:webHidden/>
              </w:rPr>
              <w:fldChar w:fldCharType="begin"/>
            </w:r>
            <w:r w:rsidR="003C6A28">
              <w:rPr>
                <w:noProof/>
                <w:webHidden/>
              </w:rPr>
              <w:instrText xml:space="preserve"> PAGEREF _Toc78874597 \h </w:instrText>
            </w:r>
            <w:r w:rsidR="003C6A28">
              <w:rPr>
                <w:noProof/>
                <w:webHidden/>
              </w:rPr>
            </w:r>
            <w:r w:rsidR="003C6A28">
              <w:rPr>
                <w:noProof/>
                <w:webHidden/>
              </w:rPr>
              <w:fldChar w:fldCharType="separate"/>
            </w:r>
            <w:r w:rsidR="003C6A28">
              <w:rPr>
                <w:noProof/>
                <w:webHidden/>
              </w:rPr>
              <w:t>9</w:t>
            </w:r>
            <w:r w:rsidR="003C6A28">
              <w:rPr>
                <w:noProof/>
                <w:webHidden/>
              </w:rPr>
              <w:fldChar w:fldCharType="end"/>
            </w:r>
          </w:hyperlink>
        </w:p>
        <w:p w14:paraId="57F4AA86" w14:textId="530147DA" w:rsidR="003C6A28" w:rsidRDefault="00A548C7">
          <w:pPr>
            <w:pStyle w:val="TOC2"/>
            <w:rPr>
              <w:rFonts w:asciiTheme="minorHAnsi" w:eastAsiaTheme="minorEastAsia" w:hAnsiTheme="minorHAnsi"/>
              <w:noProof/>
              <w:sz w:val="22"/>
              <w:lang w:eastAsia="lv-LV"/>
            </w:rPr>
          </w:pPr>
          <w:hyperlink w:anchor="_Toc78874598" w:history="1">
            <w:r w:rsidR="003C6A28" w:rsidRPr="00B439F6">
              <w:rPr>
                <w:rStyle w:val="Hyperlink"/>
                <w:rFonts w:eastAsia="Franklin Gothic Book"/>
                <w:noProof/>
              </w:rPr>
              <w:t>3.6.</w:t>
            </w:r>
            <w:r w:rsidR="003C6A28">
              <w:rPr>
                <w:rFonts w:asciiTheme="minorHAnsi" w:eastAsiaTheme="minorEastAsia" w:hAnsiTheme="minorHAnsi"/>
                <w:noProof/>
                <w:sz w:val="22"/>
                <w:lang w:eastAsia="lv-LV"/>
              </w:rPr>
              <w:tab/>
            </w:r>
            <w:r w:rsidR="003C6A28" w:rsidRPr="00B439F6">
              <w:rPr>
                <w:rStyle w:val="Hyperlink"/>
                <w:rFonts w:eastAsia="Franklin Gothic Book"/>
                <w:noProof/>
              </w:rPr>
              <w:t>Darbības virziens: Uzņēmējdarbības veicināšana (t.sk. uzņēmējdarbības vides uzlabošana) un infrastruktūras attīstība</w:t>
            </w:r>
            <w:r w:rsidR="003C6A28">
              <w:rPr>
                <w:noProof/>
                <w:webHidden/>
              </w:rPr>
              <w:tab/>
            </w:r>
            <w:r w:rsidR="003C6A28">
              <w:rPr>
                <w:noProof/>
                <w:webHidden/>
              </w:rPr>
              <w:fldChar w:fldCharType="begin"/>
            </w:r>
            <w:r w:rsidR="003C6A28">
              <w:rPr>
                <w:noProof/>
                <w:webHidden/>
              </w:rPr>
              <w:instrText xml:space="preserve"> PAGEREF _Toc78874598 \h </w:instrText>
            </w:r>
            <w:r w:rsidR="003C6A28">
              <w:rPr>
                <w:noProof/>
                <w:webHidden/>
              </w:rPr>
            </w:r>
            <w:r w:rsidR="003C6A28">
              <w:rPr>
                <w:noProof/>
                <w:webHidden/>
              </w:rPr>
              <w:fldChar w:fldCharType="separate"/>
            </w:r>
            <w:r w:rsidR="003C6A28">
              <w:rPr>
                <w:noProof/>
                <w:webHidden/>
              </w:rPr>
              <w:t>9</w:t>
            </w:r>
            <w:r w:rsidR="003C6A28">
              <w:rPr>
                <w:noProof/>
                <w:webHidden/>
              </w:rPr>
              <w:fldChar w:fldCharType="end"/>
            </w:r>
          </w:hyperlink>
        </w:p>
        <w:p w14:paraId="603EA9B3" w14:textId="67517EEC" w:rsidR="003C6A28" w:rsidRDefault="00A548C7" w:rsidP="00E9218F">
          <w:pPr>
            <w:pStyle w:val="TOC1"/>
            <w:rPr>
              <w:rFonts w:asciiTheme="minorHAnsi" w:eastAsiaTheme="minorEastAsia" w:hAnsiTheme="minorHAnsi"/>
              <w:noProof/>
              <w:sz w:val="22"/>
              <w:lang w:eastAsia="lv-LV"/>
            </w:rPr>
          </w:pPr>
          <w:hyperlink r:id="rId15" w:anchor="_Toc78874599" w:history="1">
            <w:r w:rsidR="003C6A28" w:rsidRPr="00B439F6">
              <w:rPr>
                <w:rStyle w:val="Hyperlink"/>
                <w:noProof/>
              </w:rPr>
              <w:t>4</w:t>
            </w:r>
            <w:r w:rsidR="003C6A28">
              <w:rPr>
                <w:rFonts w:asciiTheme="minorHAnsi" w:eastAsiaTheme="minorEastAsia" w:hAnsiTheme="minorHAnsi"/>
                <w:noProof/>
                <w:sz w:val="22"/>
                <w:lang w:eastAsia="lv-LV"/>
              </w:rPr>
              <w:tab/>
            </w:r>
            <w:r w:rsidR="003C6A28" w:rsidRPr="00B439F6">
              <w:rPr>
                <w:rStyle w:val="Hyperlink"/>
                <w:noProof/>
              </w:rPr>
              <w:t>Paveiktais EM svarīgāko nozaru attīstībai 2020.gadā</w:t>
            </w:r>
            <w:r w:rsidR="003C6A28">
              <w:rPr>
                <w:noProof/>
                <w:webHidden/>
              </w:rPr>
              <w:tab/>
            </w:r>
            <w:r w:rsidR="003C6A28">
              <w:rPr>
                <w:noProof/>
                <w:webHidden/>
              </w:rPr>
              <w:fldChar w:fldCharType="begin"/>
            </w:r>
            <w:r w:rsidR="003C6A28">
              <w:rPr>
                <w:noProof/>
                <w:webHidden/>
              </w:rPr>
              <w:instrText xml:space="preserve"> PAGEREF _Toc78874599 \h </w:instrText>
            </w:r>
            <w:r w:rsidR="003C6A28">
              <w:rPr>
                <w:noProof/>
                <w:webHidden/>
              </w:rPr>
            </w:r>
            <w:r w:rsidR="003C6A28">
              <w:rPr>
                <w:noProof/>
                <w:webHidden/>
              </w:rPr>
              <w:fldChar w:fldCharType="separate"/>
            </w:r>
            <w:r w:rsidR="003C6A28">
              <w:rPr>
                <w:noProof/>
                <w:webHidden/>
              </w:rPr>
              <w:t>11</w:t>
            </w:r>
            <w:r w:rsidR="003C6A28">
              <w:rPr>
                <w:noProof/>
                <w:webHidden/>
              </w:rPr>
              <w:fldChar w:fldCharType="end"/>
            </w:r>
          </w:hyperlink>
        </w:p>
        <w:p w14:paraId="5F011BC1" w14:textId="6D4D1C77" w:rsidR="003C6A28" w:rsidRDefault="00A548C7">
          <w:pPr>
            <w:pStyle w:val="TOC2"/>
            <w:rPr>
              <w:rFonts w:asciiTheme="minorHAnsi" w:eastAsiaTheme="minorEastAsia" w:hAnsiTheme="minorHAnsi"/>
              <w:noProof/>
              <w:sz w:val="22"/>
              <w:lang w:eastAsia="lv-LV"/>
            </w:rPr>
          </w:pPr>
          <w:hyperlink w:anchor="_Toc78874600" w:history="1">
            <w:r w:rsidR="003C6A28" w:rsidRPr="00B439F6">
              <w:rPr>
                <w:rStyle w:val="Hyperlink"/>
                <w:noProof/>
              </w:rPr>
              <w:t>4.1.</w:t>
            </w:r>
            <w:r w:rsidR="003C6A28">
              <w:rPr>
                <w:rFonts w:asciiTheme="minorHAnsi" w:eastAsiaTheme="minorEastAsia" w:hAnsiTheme="minorHAnsi"/>
                <w:noProof/>
                <w:sz w:val="22"/>
                <w:lang w:eastAsia="lv-LV"/>
              </w:rPr>
              <w:tab/>
            </w:r>
            <w:r w:rsidR="003C6A28" w:rsidRPr="00B439F6">
              <w:rPr>
                <w:rStyle w:val="Hyperlink"/>
                <w:noProof/>
              </w:rPr>
              <w:t>Atbalsta pasākumi eksporta veicināšanai un Covid-19 krīzes skartajiem preču un pakalpojumu eksportētājiem krīzes seku pārvarēšanai</w:t>
            </w:r>
            <w:r w:rsidR="003C6A28">
              <w:rPr>
                <w:noProof/>
                <w:webHidden/>
              </w:rPr>
              <w:tab/>
            </w:r>
            <w:r w:rsidR="003C6A28">
              <w:rPr>
                <w:noProof/>
                <w:webHidden/>
              </w:rPr>
              <w:fldChar w:fldCharType="begin"/>
            </w:r>
            <w:r w:rsidR="003C6A28">
              <w:rPr>
                <w:noProof/>
                <w:webHidden/>
              </w:rPr>
              <w:instrText xml:space="preserve"> PAGEREF _Toc78874600 \h </w:instrText>
            </w:r>
            <w:r w:rsidR="003C6A28">
              <w:rPr>
                <w:noProof/>
                <w:webHidden/>
              </w:rPr>
            </w:r>
            <w:r w:rsidR="003C6A28">
              <w:rPr>
                <w:noProof/>
                <w:webHidden/>
              </w:rPr>
              <w:fldChar w:fldCharType="separate"/>
            </w:r>
            <w:r w:rsidR="003C6A28">
              <w:rPr>
                <w:noProof/>
                <w:webHidden/>
              </w:rPr>
              <w:t>13</w:t>
            </w:r>
            <w:r w:rsidR="003C6A28">
              <w:rPr>
                <w:noProof/>
                <w:webHidden/>
              </w:rPr>
              <w:fldChar w:fldCharType="end"/>
            </w:r>
          </w:hyperlink>
        </w:p>
        <w:p w14:paraId="4892B240" w14:textId="00922583" w:rsidR="003C6A28" w:rsidRDefault="00A548C7">
          <w:pPr>
            <w:pStyle w:val="TOC2"/>
            <w:rPr>
              <w:rFonts w:asciiTheme="minorHAnsi" w:eastAsiaTheme="minorEastAsia" w:hAnsiTheme="minorHAnsi"/>
              <w:noProof/>
              <w:sz w:val="22"/>
              <w:lang w:eastAsia="lv-LV"/>
            </w:rPr>
          </w:pPr>
          <w:hyperlink w:anchor="_Toc78874601" w:history="1">
            <w:r w:rsidR="003C6A28" w:rsidRPr="00B439F6">
              <w:rPr>
                <w:rStyle w:val="Hyperlink"/>
                <w:noProof/>
              </w:rPr>
              <w:t>4.2.</w:t>
            </w:r>
            <w:r w:rsidR="003C6A28">
              <w:rPr>
                <w:rFonts w:asciiTheme="minorHAnsi" w:eastAsiaTheme="minorEastAsia" w:hAnsiTheme="minorHAnsi"/>
                <w:noProof/>
                <w:sz w:val="22"/>
                <w:lang w:eastAsia="lv-LV"/>
              </w:rPr>
              <w:tab/>
            </w:r>
            <w:r w:rsidR="003C6A28" w:rsidRPr="00B439F6">
              <w:rPr>
                <w:rStyle w:val="Hyperlink"/>
                <w:rFonts w:cs="Times New Roman"/>
                <w:noProof/>
              </w:rPr>
              <w:t>Atbalsts Covid-19 krīzes skartajiem tūrisma nozares saimnieciskās darbības veicējiem</w:t>
            </w:r>
            <w:r w:rsidR="003C6A28">
              <w:rPr>
                <w:noProof/>
                <w:webHidden/>
              </w:rPr>
              <w:tab/>
            </w:r>
            <w:r w:rsidR="003C6A28">
              <w:rPr>
                <w:noProof/>
                <w:webHidden/>
              </w:rPr>
              <w:fldChar w:fldCharType="begin"/>
            </w:r>
            <w:r w:rsidR="003C6A28">
              <w:rPr>
                <w:noProof/>
                <w:webHidden/>
              </w:rPr>
              <w:instrText xml:space="preserve"> PAGEREF _Toc78874601 \h </w:instrText>
            </w:r>
            <w:r w:rsidR="003C6A28">
              <w:rPr>
                <w:noProof/>
                <w:webHidden/>
              </w:rPr>
            </w:r>
            <w:r w:rsidR="003C6A28">
              <w:rPr>
                <w:noProof/>
                <w:webHidden/>
              </w:rPr>
              <w:fldChar w:fldCharType="separate"/>
            </w:r>
            <w:r w:rsidR="003C6A28">
              <w:rPr>
                <w:noProof/>
                <w:webHidden/>
              </w:rPr>
              <w:t>14</w:t>
            </w:r>
            <w:r w:rsidR="003C6A28">
              <w:rPr>
                <w:noProof/>
                <w:webHidden/>
              </w:rPr>
              <w:fldChar w:fldCharType="end"/>
            </w:r>
          </w:hyperlink>
        </w:p>
        <w:p w14:paraId="3ECD13BF" w14:textId="3065C198" w:rsidR="003C6A28" w:rsidRDefault="00A548C7">
          <w:pPr>
            <w:pStyle w:val="TOC2"/>
            <w:rPr>
              <w:rFonts w:asciiTheme="minorHAnsi" w:eastAsiaTheme="minorEastAsia" w:hAnsiTheme="minorHAnsi"/>
              <w:noProof/>
              <w:sz w:val="22"/>
              <w:lang w:eastAsia="lv-LV"/>
            </w:rPr>
          </w:pPr>
          <w:hyperlink w:anchor="_Toc78874602" w:history="1">
            <w:r w:rsidR="003C6A28" w:rsidRPr="00B439F6">
              <w:rPr>
                <w:rStyle w:val="Hyperlink"/>
                <w:noProof/>
              </w:rPr>
              <w:t>4.3.</w:t>
            </w:r>
            <w:r w:rsidR="003C6A28">
              <w:rPr>
                <w:rFonts w:asciiTheme="minorHAnsi" w:eastAsiaTheme="minorEastAsia" w:hAnsiTheme="minorHAnsi"/>
                <w:noProof/>
                <w:sz w:val="22"/>
                <w:lang w:eastAsia="lv-LV"/>
              </w:rPr>
              <w:tab/>
            </w:r>
            <w:r w:rsidR="003C6A28" w:rsidRPr="00B439F6">
              <w:rPr>
                <w:rStyle w:val="Hyperlink"/>
                <w:noProof/>
              </w:rPr>
              <w:t>Nozaru attīstība un uzņēmējdarbības vides uzlabošana</w:t>
            </w:r>
            <w:r w:rsidR="003C6A28">
              <w:rPr>
                <w:noProof/>
                <w:webHidden/>
              </w:rPr>
              <w:tab/>
            </w:r>
            <w:r w:rsidR="003C6A28">
              <w:rPr>
                <w:noProof/>
                <w:webHidden/>
              </w:rPr>
              <w:fldChar w:fldCharType="begin"/>
            </w:r>
            <w:r w:rsidR="003C6A28">
              <w:rPr>
                <w:noProof/>
                <w:webHidden/>
              </w:rPr>
              <w:instrText xml:space="preserve"> PAGEREF _Toc78874602 \h </w:instrText>
            </w:r>
            <w:r w:rsidR="003C6A28">
              <w:rPr>
                <w:noProof/>
                <w:webHidden/>
              </w:rPr>
            </w:r>
            <w:r w:rsidR="003C6A28">
              <w:rPr>
                <w:noProof/>
                <w:webHidden/>
              </w:rPr>
              <w:fldChar w:fldCharType="separate"/>
            </w:r>
            <w:r w:rsidR="003C6A28">
              <w:rPr>
                <w:noProof/>
                <w:webHidden/>
              </w:rPr>
              <w:t>16</w:t>
            </w:r>
            <w:r w:rsidR="003C6A28">
              <w:rPr>
                <w:noProof/>
                <w:webHidden/>
              </w:rPr>
              <w:fldChar w:fldCharType="end"/>
            </w:r>
          </w:hyperlink>
        </w:p>
        <w:p w14:paraId="5C7B5FB3" w14:textId="69A789EB" w:rsidR="003C6A28" w:rsidRDefault="00A548C7">
          <w:pPr>
            <w:pStyle w:val="TOC2"/>
            <w:rPr>
              <w:rFonts w:asciiTheme="minorHAnsi" w:eastAsiaTheme="minorEastAsia" w:hAnsiTheme="minorHAnsi"/>
              <w:noProof/>
              <w:sz w:val="22"/>
              <w:lang w:eastAsia="lv-LV"/>
            </w:rPr>
          </w:pPr>
          <w:hyperlink w:anchor="_Toc78874603" w:history="1">
            <w:r w:rsidR="003C6A28" w:rsidRPr="00B439F6">
              <w:rPr>
                <w:rStyle w:val="Hyperlink"/>
                <w:noProof/>
              </w:rPr>
              <w:t>4.4.</w:t>
            </w:r>
            <w:r w:rsidR="003C6A28">
              <w:rPr>
                <w:rFonts w:asciiTheme="minorHAnsi" w:eastAsiaTheme="minorEastAsia" w:hAnsiTheme="minorHAnsi"/>
                <w:noProof/>
                <w:sz w:val="22"/>
                <w:lang w:eastAsia="lv-LV"/>
              </w:rPr>
              <w:tab/>
            </w:r>
            <w:r w:rsidR="003C6A28" w:rsidRPr="00B439F6">
              <w:rPr>
                <w:rStyle w:val="Hyperlink"/>
                <w:noProof/>
              </w:rPr>
              <w:t>Inovācijas un investīciju veicināšana</w:t>
            </w:r>
            <w:r w:rsidR="003C6A28">
              <w:rPr>
                <w:noProof/>
                <w:webHidden/>
              </w:rPr>
              <w:tab/>
            </w:r>
            <w:r w:rsidR="003C6A28">
              <w:rPr>
                <w:noProof/>
                <w:webHidden/>
              </w:rPr>
              <w:fldChar w:fldCharType="begin"/>
            </w:r>
            <w:r w:rsidR="003C6A28">
              <w:rPr>
                <w:noProof/>
                <w:webHidden/>
              </w:rPr>
              <w:instrText xml:space="preserve"> PAGEREF _Toc78874603 \h </w:instrText>
            </w:r>
            <w:r w:rsidR="003C6A28">
              <w:rPr>
                <w:noProof/>
                <w:webHidden/>
              </w:rPr>
            </w:r>
            <w:r w:rsidR="003C6A28">
              <w:rPr>
                <w:noProof/>
                <w:webHidden/>
              </w:rPr>
              <w:fldChar w:fldCharType="separate"/>
            </w:r>
            <w:r w:rsidR="003C6A28">
              <w:rPr>
                <w:noProof/>
                <w:webHidden/>
              </w:rPr>
              <w:t>19</w:t>
            </w:r>
            <w:r w:rsidR="003C6A28">
              <w:rPr>
                <w:noProof/>
                <w:webHidden/>
              </w:rPr>
              <w:fldChar w:fldCharType="end"/>
            </w:r>
          </w:hyperlink>
        </w:p>
        <w:p w14:paraId="041343A7" w14:textId="595E6FAD" w:rsidR="003C6A28" w:rsidRDefault="00A548C7">
          <w:pPr>
            <w:pStyle w:val="TOC2"/>
            <w:rPr>
              <w:rFonts w:asciiTheme="minorHAnsi" w:eastAsiaTheme="minorEastAsia" w:hAnsiTheme="minorHAnsi"/>
              <w:noProof/>
              <w:sz w:val="22"/>
              <w:lang w:eastAsia="lv-LV"/>
            </w:rPr>
          </w:pPr>
          <w:hyperlink w:anchor="_Toc78874604" w:history="1">
            <w:r w:rsidR="003C6A28" w:rsidRPr="00B439F6">
              <w:rPr>
                <w:rStyle w:val="Hyperlink"/>
                <w:noProof/>
              </w:rPr>
              <w:t>4.5.</w:t>
            </w:r>
            <w:r w:rsidR="003C6A28">
              <w:rPr>
                <w:rFonts w:asciiTheme="minorHAnsi" w:eastAsiaTheme="minorEastAsia" w:hAnsiTheme="minorHAnsi"/>
                <w:noProof/>
                <w:sz w:val="22"/>
                <w:lang w:eastAsia="lv-LV"/>
              </w:rPr>
              <w:tab/>
            </w:r>
            <w:r w:rsidR="003C6A28" w:rsidRPr="00B439F6">
              <w:rPr>
                <w:rStyle w:val="Hyperlink"/>
                <w:noProof/>
              </w:rPr>
              <w:t>Enerģētikas politikas un energoefektivitātes veicināšanas jomā</w:t>
            </w:r>
            <w:r w:rsidR="003C6A28">
              <w:rPr>
                <w:noProof/>
                <w:webHidden/>
              </w:rPr>
              <w:tab/>
            </w:r>
            <w:r w:rsidR="003C6A28">
              <w:rPr>
                <w:noProof/>
                <w:webHidden/>
              </w:rPr>
              <w:fldChar w:fldCharType="begin"/>
            </w:r>
            <w:r w:rsidR="003C6A28">
              <w:rPr>
                <w:noProof/>
                <w:webHidden/>
              </w:rPr>
              <w:instrText xml:space="preserve"> PAGEREF _Toc78874604 \h </w:instrText>
            </w:r>
            <w:r w:rsidR="003C6A28">
              <w:rPr>
                <w:noProof/>
                <w:webHidden/>
              </w:rPr>
            </w:r>
            <w:r w:rsidR="003C6A28">
              <w:rPr>
                <w:noProof/>
                <w:webHidden/>
              </w:rPr>
              <w:fldChar w:fldCharType="separate"/>
            </w:r>
            <w:r w:rsidR="003C6A28">
              <w:rPr>
                <w:noProof/>
                <w:webHidden/>
              </w:rPr>
              <w:t>22</w:t>
            </w:r>
            <w:r w:rsidR="003C6A28">
              <w:rPr>
                <w:noProof/>
                <w:webHidden/>
              </w:rPr>
              <w:fldChar w:fldCharType="end"/>
            </w:r>
          </w:hyperlink>
        </w:p>
        <w:p w14:paraId="7217072D" w14:textId="0D9F4885" w:rsidR="003C6A28" w:rsidRDefault="00A548C7">
          <w:pPr>
            <w:pStyle w:val="TOC2"/>
            <w:rPr>
              <w:rFonts w:asciiTheme="minorHAnsi" w:eastAsiaTheme="minorEastAsia" w:hAnsiTheme="minorHAnsi"/>
              <w:noProof/>
              <w:sz w:val="22"/>
              <w:lang w:eastAsia="lv-LV"/>
            </w:rPr>
          </w:pPr>
          <w:hyperlink w:anchor="_Toc78874605" w:history="1">
            <w:r w:rsidR="003C6A28" w:rsidRPr="00B439F6">
              <w:rPr>
                <w:rStyle w:val="Hyperlink"/>
                <w:noProof/>
              </w:rPr>
              <w:t>4.6.</w:t>
            </w:r>
            <w:r w:rsidR="003C6A28">
              <w:rPr>
                <w:rFonts w:asciiTheme="minorHAnsi" w:eastAsiaTheme="minorEastAsia" w:hAnsiTheme="minorHAnsi"/>
                <w:noProof/>
                <w:sz w:val="22"/>
                <w:lang w:eastAsia="lv-LV"/>
              </w:rPr>
              <w:tab/>
            </w:r>
            <w:r w:rsidR="003C6A28" w:rsidRPr="00B439F6">
              <w:rPr>
                <w:rStyle w:val="Hyperlink"/>
                <w:noProof/>
              </w:rPr>
              <w:t>Būvniecības un mājokļu politiku jomā, t.sk. atbalsta sniegšana mājokļu tehniskā stāvokļa sakārtošanai</w:t>
            </w:r>
            <w:r w:rsidR="003C6A28">
              <w:rPr>
                <w:noProof/>
                <w:webHidden/>
              </w:rPr>
              <w:tab/>
            </w:r>
            <w:r w:rsidR="003C6A28">
              <w:rPr>
                <w:noProof/>
                <w:webHidden/>
              </w:rPr>
              <w:fldChar w:fldCharType="begin"/>
            </w:r>
            <w:r w:rsidR="003C6A28">
              <w:rPr>
                <w:noProof/>
                <w:webHidden/>
              </w:rPr>
              <w:instrText xml:space="preserve"> PAGEREF _Toc78874605 \h </w:instrText>
            </w:r>
            <w:r w:rsidR="003C6A28">
              <w:rPr>
                <w:noProof/>
                <w:webHidden/>
              </w:rPr>
            </w:r>
            <w:r w:rsidR="003C6A28">
              <w:rPr>
                <w:noProof/>
                <w:webHidden/>
              </w:rPr>
              <w:fldChar w:fldCharType="separate"/>
            </w:r>
            <w:r w:rsidR="003C6A28">
              <w:rPr>
                <w:noProof/>
                <w:webHidden/>
              </w:rPr>
              <w:t>25</w:t>
            </w:r>
            <w:r w:rsidR="003C6A28">
              <w:rPr>
                <w:noProof/>
                <w:webHidden/>
              </w:rPr>
              <w:fldChar w:fldCharType="end"/>
            </w:r>
          </w:hyperlink>
        </w:p>
        <w:p w14:paraId="787B3B4F" w14:textId="274D358F" w:rsidR="003C6A28" w:rsidRDefault="00A548C7">
          <w:pPr>
            <w:pStyle w:val="TOC2"/>
            <w:rPr>
              <w:rFonts w:asciiTheme="minorHAnsi" w:eastAsiaTheme="minorEastAsia" w:hAnsiTheme="minorHAnsi"/>
              <w:noProof/>
              <w:sz w:val="22"/>
              <w:lang w:eastAsia="lv-LV"/>
            </w:rPr>
          </w:pPr>
          <w:hyperlink w:anchor="_Toc78874606" w:history="1">
            <w:r w:rsidR="003C6A28" w:rsidRPr="00B439F6">
              <w:rPr>
                <w:rStyle w:val="Hyperlink"/>
                <w:noProof/>
              </w:rPr>
              <w:t>4.7.</w:t>
            </w:r>
            <w:r w:rsidR="003C6A28">
              <w:rPr>
                <w:rFonts w:asciiTheme="minorHAnsi" w:eastAsiaTheme="minorEastAsia" w:hAnsiTheme="minorHAnsi"/>
                <w:noProof/>
                <w:sz w:val="22"/>
                <w:lang w:eastAsia="lv-LV"/>
              </w:rPr>
              <w:tab/>
            </w:r>
            <w:r w:rsidR="003C6A28" w:rsidRPr="00B439F6">
              <w:rPr>
                <w:rStyle w:val="Hyperlink"/>
                <w:noProof/>
              </w:rPr>
              <w:t>Iekšējā un ārējā tirgus darbības, kas vērstas uz drošības pasākumu īstenošanu Covid-19 krīzes pārvarēšanas un tirdzniecības procesa organizēšanas jomā</w:t>
            </w:r>
            <w:r w:rsidR="003C6A28">
              <w:rPr>
                <w:noProof/>
                <w:webHidden/>
              </w:rPr>
              <w:tab/>
            </w:r>
            <w:r w:rsidR="003C6A28">
              <w:rPr>
                <w:noProof/>
                <w:webHidden/>
              </w:rPr>
              <w:fldChar w:fldCharType="begin"/>
            </w:r>
            <w:r w:rsidR="003C6A28">
              <w:rPr>
                <w:noProof/>
                <w:webHidden/>
              </w:rPr>
              <w:instrText xml:space="preserve"> PAGEREF _Toc78874606 \h </w:instrText>
            </w:r>
            <w:r w:rsidR="003C6A28">
              <w:rPr>
                <w:noProof/>
                <w:webHidden/>
              </w:rPr>
            </w:r>
            <w:r w:rsidR="003C6A28">
              <w:rPr>
                <w:noProof/>
                <w:webHidden/>
              </w:rPr>
              <w:fldChar w:fldCharType="separate"/>
            </w:r>
            <w:r w:rsidR="003C6A28">
              <w:rPr>
                <w:noProof/>
                <w:webHidden/>
              </w:rPr>
              <w:t>28</w:t>
            </w:r>
            <w:r w:rsidR="003C6A28">
              <w:rPr>
                <w:noProof/>
                <w:webHidden/>
              </w:rPr>
              <w:fldChar w:fldCharType="end"/>
            </w:r>
          </w:hyperlink>
        </w:p>
        <w:p w14:paraId="2A9F508B" w14:textId="0E485071" w:rsidR="003C6A28" w:rsidRDefault="00A548C7" w:rsidP="00E9218F">
          <w:pPr>
            <w:pStyle w:val="TOC1"/>
            <w:rPr>
              <w:rFonts w:asciiTheme="minorHAnsi" w:eastAsiaTheme="minorEastAsia" w:hAnsiTheme="minorHAnsi"/>
              <w:noProof/>
              <w:sz w:val="22"/>
              <w:lang w:eastAsia="lv-LV"/>
            </w:rPr>
          </w:pPr>
          <w:hyperlink r:id="rId16" w:anchor="_Toc78874607" w:history="1">
            <w:r w:rsidR="003C6A28" w:rsidRPr="00B439F6">
              <w:rPr>
                <w:rStyle w:val="Hyperlink"/>
                <w:noProof/>
              </w:rPr>
              <w:t>5.</w:t>
            </w:r>
            <w:r w:rsidR="003C6A28">
              <w:rPr>
                <w:rFonts w:asciiTheme="minorHAnsi" w:eastAsiaTheme="minorEastAsia" w:hAnsiTheme="minorHAnsi"/>
                <w:noProof/>
                <w:sz w:val="22"/>
                <w:lang w:eastAsia="lv-LV"/>
              </w:rPr>
              <w:tab/>
            </w:r>
            <w:r w:rsidR="003C6A28" w:rsidRPr="00B439F6">
              <w:rPr>
                <w:rStyle w:val="Hyperlink"/>
                <w:noProof/>
              </w:rPr>
              <w:t>EM pārskats par finanšu resursu izlietojumu</w:t>
            </w:r>
            <w:r w:rsidR="003C6A28">
              <w:rPr>
                <w:noProof/>
                <w:webHidden/>
              </w:rPr>
              <w:tab/>
            </w:r>
            <w:r w:rsidR="003C6A28">
              <w:rPr>
                <w:noProof/>
                <w:webHidden/>
              </w:rPr>
              <w:fldChar w:fldCharType="begin"/>
            </w:r>
            <w:r w:rsidR="003C6A28">
              <w:rPr>
                <w:noProof/>
                <w:webHidden/>
              </w:rPr>
              <w:instrText xml:space="preserve"> PAGEREF _Toc78874607 \h </w:instrText>
            </w:r>
            <w:r w:rsidR="003C6A28">
              <w:rPr>
                <w:noProof/>
                <w:webHidden/>
              </w:rPr>
            </w:r>
            <w:r w:rsidR="003C6A28">
              <w:rPr>
                <w:noProof/>
                <w:webHidden/>
              </w:rPr>
              <w:fldChar w:fldCharType="separate"/>
            </w:r>
            <w:r w:rsidR="003C6A28">
              <w:rPr>
                <w:noProof/>
                <w:webHidden/>
              </w:rPr>
              <w:t>31</w:t>
            </w:r>
            <w:r w:rsidR="003C6A28">
              <w:rPr>
                <w:noProof/>
                <w:webHidden/>
              </w:rPr>
              <w:fldChar w:fldCharType="end"/>
            </w:r>
          </w:hyperlink>
        </w:p>
        <w:p w14:paraId="3CE1AE4D" w14:textId="16FEAE40" w:rsidR="003C6A28" w:rsidRDefault="00A548C7">
          <w:pPr>
            <w:pStyle w:val="TOC2"/>
            <w:rPr>
              <w:rFonts w:asciiTheme="minorHAnsi" w:eastAsiaTheme="minorEastAsia" w:hAnsiTheme="minorHAnsi"/>
              <w:noProof/>
              <w:sz w:val="22"/>
              <w:lang w:eastAsia="lv-LV"/>
            </w:rPr>
          </w:pPr>
          <w:hyperlink w:anchor="_Toc78874608" w:history="1">
            <w:r w:rsidR="003C6A28" w:rsidRPr="00B439F6">
              <w:rPr>
                <w:rStyle w:val="Hyperlink"/>
                <w:noProof/>
              </w:rPr>
              <w:t>5.1.</w:t>
            </w:r>
            <w:r w:rsidR="003C6A28">
              <w:rPr>
                <w:rFonts w:asciiTheme="minorHAnsi" w:eastAsiaTheme="minorEastAsia" w:hAnsiTheme="minorHAnsi"/>
                <w:noProof/>
                <w:sz w:val="22"/>
                <w:lang w:eastAsia="lv-LV"/>
              </w:rPr>
              <w:tab/>
            </w:r>
            <w:r w:rsidR="003C6A28" w:rsidRPr="00B439F6">
              <w:rPr>
                <w:rStyle w:val="Hyperlink"/>
                <w:noProof/>
              </w:rPr>
              <w:t>Valsts budžeta finansējums un tā izlietojums</w:t>
            </w:r>
            <w:r w:rsidR="003C6A28">
              <w:rPr>
                <w:noProof/>
                <w:webHidden/>
              </w:rPr>
              <w:tab/>
            </w:r>
            <w:r w:rsidR="003C6A28">
              <w:rPr>
                <w:noProof/>
                <w:webHidden/>
              </w:rPr>
              <w:fldChar w:fldCharType="begin"/>
            </w:r>
            <w:r w:rsidR="003C6A28">
              <w:rPr>
                <w:noProof/>
                <w:webHidden/>
              </w:rPr>
              <w:instrText xml:space="preserve"> PAGEREF _Toc78874608 \h </w:instrText>
            </w:r>
            <w:r w:rsidR="003C6A28">
              <w:rPr>
                <w:noProof/>
                <w:webHidden/>
              </w:rPr>
            </w:r>
            <w:r w:rsidR="003C6A28">
              <w:rPr>
                <w:noProof/>
                <w:webHidden/>
              </w:rPr>
              <w:fldChar w:fldCharType="separate"/>
            </w:r>
            <w:r w:rsidR="003C6A28">
              <w:rPr>
                <w:noProof/>
                <w:webHidden/>
              </w:rPr>
              <w:t>31</w:t>
            </w:r>
            <w:r w:rsidR="003C6A28">
              <w:rPr>
                <w:noProof/>
                <w:webHidden/>
              </w:rPr>
              <w:fldChar w:fldCharType="end"/>
            </w:r>
          </w:hyperlink>
        </w:p>
        <w:p w14:paraId="0A6017E4" w14:textId="26CB16CE" w:rsidR="003C6A28" w:rsidRDefault="00A548C7">
          <w:pPr>
            <w:pStyle w:val="TOC2"/>
            <w:rPr>
              <w:rFonts w:asciiTheme="minorHAnsi" w:eastAsiaTheme="minorEastAsia" w:hAnsiTheme="minorHAnsi"/>
              <w:noProof/>
              <w:sz w:val="22"/>
              <w:lang w:eastAsia="lv-LV"/>
            </w:rPr>
          </w:pPr>
          <w:hyperlink w:anchor="_Toc78874611" w:history="1">
            <w:r w:rsidR="003C6A28" w:rsidRPr="00B439F6">
              <w:rPr>
                <w:rStyle w:val="Hyperlink"/>
                <w:noProof/>
              </w:rPr>
              <w:t>5.2.</w:t>
            </w:r>
            <w:r w:rsidR="003C6A28">
              <w:rPr>
                <w:rFonts w:asciiTheme="minorHAnsi" w:eastAsiaTheme="minorEastAsia" w:hAnsiTheme="minorHAnsi"/>
                <w:noProof/>
                <w:sz w:val="22"/>
                <w:lang w:eastAsia="lv-LV"/>
              </w:rPr>
              <w:tab/>
            </w:r>
            <w:r w:rsidR="003C6A28" w:rsidRPr="00B439F6">
              <w:rPr>
                <w:rStyle w:val="Hyperlink"/>
                <w:noProof/>
              </w:rPr>
              <w:t>EM 2020.gadā veiktie/ pasūtītie pētījumi un 2021.gadā plānotie pētījumi</w:t>
            </w:r>
            <w:r w:rsidR="003C6A28">
              <w:rPr>
                <w:noProof/>
                <w:webHidden/>
              </w:rPr>
              <w:tab/>
            </w:r>
            <w:r w:rsidR="003C6A28">
              <w:rPr>
                <w:noProof/>
                <w:webHidden/>
              </w:rPr>
              <w:fldChar w:fldCharType="begin"/>
            </w:r>
            <w:r w:rsidR="003C6A28">
              <w:rPr>
                <w:noProof/>
                <w:webHidden/>
              </w:rPr>
              <w:instrText xml:space="preserve"> PAGEREF _Toc78874611 \h </w:instrText>
            </w:r>
            <w:r w:rsidR="003C6A28">
              <w:rPr>
                <w:noProof/>
                <w:webHidden/>
              </w:rPr>
            </w:r>
            <w:r w:rsidR="003C6A28">
              <w:rPr>
                <w:noProof/>
                <w:webHidden/>
              </w:rPr>
              <w:fldChar w:fldCharType="separate"/>
            </w:r>
            <w:r w:rsidR="003C6A28">
              <w:rPr>
                <w:noProof/>
                <w:webHidden/>
              </w:rPr>
              <w:t>33</w:t>
            </w:r>
            <w:r w:rsidR="003C6A28">
              <w:rPr>
                <w:noProof/>
                <w:webHidden/>
              </w:rPr>
              <w:fldChar w:fldCharType="end"/>
            </w:r>
          </w:hyperlink>
        </w:p>
        <w:p w14:paraId="238143F2" w14:textId="0EFBE750" w:rsidR="003C6A28" w:rsidRDefault="00A548C7" w:rsidP="00E9218F">
          <w:pPr>
            <w:pStyle w:val="TOC1"/>
            <w:rPr>
              <w:rFonts w:asciiTheme="minorHAnsi" w:eastAsiaTheme="minorEastAsia" w:hAnsiTheme="minorHAnsi"/>
              <w:noProof/>
              <w:sz w:val="22"/>
              <w:lang w:eastAsia="lv-LV"/>
            </w:rPr>
          </w:pPr>
          <w:hyperlink r:id="rId17" w:anchor="_Toc78874612" w:history="1">
            <w:r w:rsidR="003C6A28" w:rsidRPr="00B439F6">
              <w:rPr>
                <w:rStyle w:val="Hyperlink"/>
                <w:noProof/>
              </w:rPr>
              <w:t>6.</w:t>
            </w:r>
            <w:r w:rsidR="003C6A28">
              <w:rPr>
                <w:rFonts w:asciiTheme="minorHAnsi" w:eastAsiaTheme="minorEastAsia" w:hAnsiTheme="minorHAnsi"/>
                <w:noProof/>
                <w:sz w:val="22"/>
                <w:lang w:eastAsia="lv-LV"/>
              </w:rPr>
              <w:tab/>
            </w:r>
            <w:r w:rsidR="003C6A28" w:rsidRPr="00B439F6">
              <w:rPr>
                <w:rStyle w:val="Hyperlink"/>
                <w:noProof/>
              </w:rPr>
              <w:t>EM pārskats par Covid-19 laikā izmantojamiem resursiem</w:t>
            </w:r>
            <w:r w:rsidR="003C6A28">
              <w:rPr>
                <w:noProof/>
                <w:webHidden/>
              </w:rPr>
              <w:tab/>
            </w:r>
            <w:r w:rsidR="003C6A28">
              <w:rPr>
                <w:noProof/>
                <w:webHidden/>
              </w:rPr>
              <w:fldChar w:fldCharType="begin"/>
            </w:r>
            <w:r w:rsidR="003C6A28">
              <w:rPr>
                <w:noProof/>
                <w:webHidden/>
              </w:rPr>
              <w:instrText xml:space="preserve"> PAGEREF _Toc78874612 \h </w:instrText>
            </w:r>
            <w:r w:rsidR="003C6A28">
              <w:rPr>
                <w:noProof/>
                <w:webHidden/>
              </w:rPr>
            </w:r>
            <w:r w:rsidR="003C6A28">
              <w:rPr>
                <w:noProof/>
                <w:webHidden/>
              </w:rPr>
              <w:fldChar w:fldCharType="separate"/>
            </w:r>
            <w:r w:rsidR="003C6A28">
              <w:rPr>
                <w:noProof/>
                <w:webHidden/>
              </w:rPr>
              <w:t>36</w:t>
            </w:r>
            <w:r w:rsidR="003C6A28">
              <w:rPr>
                <w:noProof/>
                <w:webHidden/>
              </w:rPr>
              <w:fldChar w:fldCharType="end"/>
            </w:r>
          </w:hyperlink>
        </w:p>
        <w:p w14:paraId="311864A5" w14:textId="05B8E90E" w:rsidR="003C6A28" w:rsidRDefault="00A548C7">
          <w:pPr>
            <w:pStyle w:val="TOC2"/>
            <w:rPr>
              <w:rFonts w:asciiTheme="minorHAnsi" w:eastAsiaTheme="minorEastAsia" w:hAnsiTheme="minorHAnsi"/>
              <w:noProof/>
              <w:sz w:val="22"/>
              <w:lang w:eastAsia="lv-LV"/>
            </w:rPr>
          </w:pPr>
          <w:hyperlink w:anchor="_Toc78874613" w:history="1">
            <w:r w:rsidR="003C6A28" w:rsidRPr="00B439F6">
              <w:rPr>
                <w:rStyle w:val="Hyperlink"/>
                <w:noProof/>
              </w:rPr>
              <w:t>6.1. Personāla raksturojums</w:t>
            </w:r>
            <w:r w:rsidR="003C6A28">
              <w:rPr>
                <w:noProof/>
                <w:webHidden/>
              </w:rPr>
              <w:tab/>
            </w:r>
            <w:r w:rsidR="003C6A28">
              <w:rPr>
                <w:noProof/>
                <w:webHidden/>
              </w:rPr>
              <w:fldChar w:fldCharType="begin"/>
            </w:r>
            <w:r w:rsidR="003C6A28">
              <w:rPr>
                <w:noProof/>
                <w:webHidden/>
              </w:rPr>
              <w:instrText xml:space="preserve"> PAGEREF _Toc78874613 \h </w:instrText>
            </w:r>
            <w:r w:rsidR="003C6A28">
              <w:rPr>
                <w:noProof/>
                <w:webHidden/>
              </w:rPr>
            </w:r>
            <w:r w:rsidR="003C6A28">
              <w:rPr>
                <w:noProof/>
                <w:webHidden/>
              </w:rPr>
              <w:fldChar w:fldCharType="separate"/>
            </w:r>
            <w:r w:rsidR="003C6A28">
              <w:rPr>
                <w:noProof/>
                <w:webHidden/>
              </w:rPr>
              <w:t>36</w:t>
            </w:r>
            <w:r w:rsidR="003C6A28">
              <w:rPr>
                <w:noProof/>
                <w:webHidden/>
              </w:rPr>
              <w:fldChar w:fldCharType="end"/>
            </w:r>
          </w:hyperlink>
        </w:p>
        <w:p w14:paraId="0FD9DD98" w14:textId="6B407721" w:rsidR="003C6A28" w:rsidRDefault="00A548C7">
          <w:pPr>
            <w:pStyle w:val="TOC2"/>
            <w:rPr>
              <w:rFonts w:asciiTheme="minorHAnsi" w:eastAsiaTheme="minorEastAsia" w:hAnsiTheme="minorHAnsi"/>
              <w:noProof/>
              <w:sz w:val="22"/>
              <w:lang w:eastAsia="lv-LV"/>
            </w:rPr>
          </w:pPr>
          <w:hyperlink w:anchor="_Toc78874614" w:history="1">
            <w:r w:rsidR="003C6A28" w:rsidRPr="00B439F6">
              <w:rPr>
                <w:rStyle w:val="Hyperlink"/>
                <w:noProof/>
              </w:rPr>
              <w:t>6.2. IT nodrošinājums, t.sk. attālinātā darba organizēšana un IT sistēmu darbība visā EM resorā un ar to saistītās izmaiņas Covid-19 laikā</w:t>
            </w:r>
            <w:r w:rsidR="003C6A28">
              <w:rPr>
                <w:noProof/>
                <w:webHidden/>
              </w:rPr>
              <w:tab/>
            </w:r>
            <w:r w:rsidR="003C6A28">
              <w:rPr>
                <w:noProof/>
                <w:webHidden/>
              </w:rPr>
              <w:fldChar w:fldCharType="begin"/>
            </w:r>
            <w:r w:rsidR="003C6A28">
              <w:rPr>
                <w:noProof/>
                <w:webHidden/>
              </w:rPr>
              <w:instrText xml:space="preserve"> PAGEREF _Toc78874614 \h </w:instrText>
            </w:r>
            <w:r w:rsidR="003C6A28">
              <w:rPr>
                <w:noProof/>
                <w:webHidden/>
              </w:rPr>
            </w:r>
            <w:r w:rsidR="003C6A28">
              <w:rPr>
                <w:noProof/>
                <w:webHidden/>
              </w:rPr>
              <w:fldChar w:fldCharType="separate"/>
            </w:r>
            <w:r w:rsidR="003C6A28">
              <w:rPr>
                <w:noProof/>
                <w:webHidden/>
              </w:rPr>
              <w:t>36</w:t>
            </w:r>
            <w:r w:rsidR="003C6A28">
              <w:rPr>
                <w:noProof/>
                <w:webHidden/>
              </w:rPr>
              <w:fldChar w:fldCharType="end"/>
            </w:r>
          </w:hyperlink>
        </w:p>
        <w:p w14:paraId="3416C6EB" w14:textId="7C5A8782" w:rsidR="003C6A28" w:rsidRDefault="00A548C7">
          <w:pPr>
            <w:pStyle w:val="TOC2"/>
            <w:rPr>
              <w:rFonts w:asciiTheme="minorHAnsi" w:eastAsiaTheme="minorEastAsia" w:hAnsiTheme="minorHAnsi"/>
              <w:noProof/>
              <w:sz w:val="22"/>
              <w:lang w:eastAsia="lv-LV"/>
            </w:rPr>
          </w:pPr>
          <w:hyperlink w:anchor="_Toc78874615" w:history="1">
            <w:r w:rsidR="003C6A28" w:rsidRPr="00B439F6">
              <w:rPr>
                <w:rStyle w:val="Hyperlink"/>
                <w:noProof/>
              </w:rPr>
              <w:t>6.3. EM vadības un darbības uzlabošana</w:t>
            </w:r>
            <w:r w:rsidR="003C6A28">
              <w:rPr>
                <w:noProof/>
                <w:webHidden/>
              </w:rPr>
              <w:tab/>
            </w:r>
            <w:r w:rsidR="003C6A28">
              <w:rPr>
                <w:noProof/>
                <w:webHidden/>
              </w:rPr>
              <w:fldChar w:fldCharType="begin"/>
            </w:r>
            <w:r w:rsidR="003C6A28">
              <w:rPr>
                <w:noProof/>
                <w:webHidden/>
              </w:rPr>
              <w:instrText xml:space="preserve"> PAGEREF _Toc78874615 \h </w:instrText>
            </w:r>
            <w:r w:rsidR="003C6A28">
              <w:rPr>
                <w:noProof/>
                <w:webHidden/>
              </w:rPr>
            </w:r>
            <w:r w:rsidR="003C6A28">
              <w:rPr>
                <w:noProof/>
                <w:webHidden/>
              </w:rPr>
              <w:fldChar w:fldCharType="separate"/>
            </w:r>
            <w:r w:rsidR="003C6A28">
              <w:rPr>
                <w:noProof/>
                <w:webHidden/>
              </w:rPr>
              <w:t>38</w:t>
            </w:r>
            <w:r w:rsidR="003C6A28">
              <w:rPr>
                <w:noProof/>
                <w:webHidden/>
              </w:rPr>
              <w:fldChar w:fldCharType="end"/>
            </w:r>
          </w:hyperlink>
        </w:p>
        <w:p w14:paraId="68D9EFC6" w14:textId="230B0447" w:rsidR="003C6A28" w:rsidRDefault="00A548C7" w:rsidP="00E9218F">
          <w:pPr>
            <w:pStyle w:val="TOC1"/>
            <w:rPr>
              <w:rFonts w:asciiTheme="minorHAnsi" w:eastAsiaTheme="minorEastAsia" w:hAnsiTheme="minorHAnsi"/>
              <w:noProof/>
              <w:sz w:val="22"/>
              <w:lang w:eastAsia="lv-LV"/>
            </w:rPr>
          </w:pPr>
          <w:hyperlink r:id="rId18" w:anchor="_Toc78874616" w:history="1">
            <w:r w:rsidR="003C6A28" w:rsidRPr="00B439F6">
              <w:rPr>
                <w:rStyle w:val="Hyperlink"/>
                <w:noProof/>
              </w:rPr>
              <w:t>7.</w:t>
            </w:r>
            <w:r w:rsidR="003C6A28">
              <w:rPr>
                <w:rFonts w:asciiTheme="minorHAnsi" w:eastAsiaTheme="minorEastAsia" w:hAnsiTheme="minorHAnsi"/>
                <w:noProof/>
                <w:sz w:val="22"/>
                <w:lang w:eastAsia="lv-LV"/>
              </w:rPr>
              <w:tab/>
            </w:r>
            <w:r w:rsidR="003C6A28" w:rsidRPr="00B439F6">
              <w:rPr>
                <w:rStyle w:val="Hyperlink"/>
                <w:noProof/>
              </w:rPr>
              <w:t>EM komunikācija ar sabiedrību</w:t>
            </w:r>
            <w:r w:rsidR="003C6A28">
              <w:rPr>
                <w:noProof/>
                <w:webHidden/>
              </w:rPr>
              <w:tab/>
            </w:r>
            <w:r w:rsidR="003C6A28">
              <w:rPr>
                <w:noProof/>
                <w:webHidden/>
              </w:rPr>
              <w:fldChar w:fldCharType="begin"/>
            </w:r>
            <w:r w:rsidR="003C6A28">
              <w:rPr>
                <w:noProof/>
                <w:webHidden/>
              </w:rPr>
              <w:instrText xml:space="preserve"> PAGEREF _Toc78874616 \h </w:instrText>
            </w:r>
            <w:r w:rsidR="003C6A28">
              <w:rPr>
                <w:noProof/>
                <w:webHidden/>
              </w:rPr>
            </w:r>
            <w:r w:rsidR="003C6A28">
              <w:rPr>
                <w:noProof/>
                <w:webHidden/>
              </w:rPr>
              <w:fldChar w:fldCharType="separate"/>
            </w:r>
            <w:r w:rsidR="003C6A28">
              <w:rPr>
                <w:noProof/>
                <w:webHidden/>
              </w:rPr>
              <w:t>39</w:t>
            </w:r>
            <w:r w:rsidR="003C6A28">
              <w:rPr>
                <w:noProof/>
                <w:webHidden/>
              </w:rPr>
              <w:fldChar w:fldCharType="end"/>
            </w:r>
          </w:hyperlink>
        </w:p>
        <w:p w14:paraId="0BD066EF" w14:textId="1DDE4FCC" w:rsidR="003C6A28" w:rsidRDefault="00A548C7" w:rsidP="00E9218F">
          <w:pPr>
            <w:pStyle w:val="TOC1"/>
            <w:rPr>
              <w:rFonts w:asciiTheme="minorHAnsi" w:eastAsiaTheme="minorEastAsia" w:hAnsiTheme="minorHAnsi"/>
              <w:noProof/>
              <w:sz w:val="22"/>
              <w:lang w:eastAsia="lv-LV"/>
            </w:rPr>
          </w:pPr>
          <w:hyperlink r:id="rId19" w:anchor="_Toc78874617" w:history="1">
            <w:r w:rsidR="003C6A28" w:rsidRPr="00B439F6">
              <w:rPr>
                <w:rStyle w:val="Hyperlink"/>
                <w:noProof/>
              </w:rPr>
              <w:t>8.</w:t>
            </w:r>
            <w:r w:rsidR="003C6A28">
              <w:rPr>
                <w:rFonts w:asciiTheme="minorHAnsi" w:eastAsiaTheme="minorEastAsia" w:hAnsiTheme="minorHAnsi"/>
                <w:noProof/>
                <w:sz w:val="22"/>
                <w:lang w:eastAsia="lv-LV"/>
              </w:rPr>
              <w:tab/>
            </w:r>
            <w:r w:rsidR="003C6A28" w:rsidRPr="00B439F6">
              <w:rPr>
                <w:rStyle w:val="Hyperlink"/>
                <w:noProof/>
              </w:rPr>
              <w:t>2021. gada prioritāšu galvenie pasākumi</w:t>
            </w:r>
            <w:r w:rsidR="003C6A28">
              <w:rPr>
                <w:noProof/>
                <w:webHidden/>
              </w:rPr>
              <w:tab/>
            </w:r>
            <w:r w:rsidR="003C6A28">
              <w:rPr>
                <w:noProof/>
                <w:webHidden/>
              </w:rPr>
              <w:fldChar w:fldCharType="begin"/>
            </w:r>
            <w:r w:rsidR="003C6A28">
              <w:rPr>
                <w:noProof/>
                <w:webHidden/>
              </w:rPr>
              <w:instrText xml:space="preserve"> PAGEREF _Toc78874617 \h </w:instrText>
            </w:r>
            <w:r w:rsidR="003C6A28">
              <w:rPr>
                <w:noProof/>
                <w:webHidden/>
              </w:rPr>
            </w:r>
            <w:r w:rsidR="003C6A28">
              <w:rPr>
                <w:noProof/>
                <w:webHidden/>
              </w:rPr>
              <w:fldChar w:fldCharType="separate"/>
            </w:r>
            <w:r w:rsidR="003C6A28">
              <w:rPr>
                <w:noProof/>
                <w:webHidden/>
              </w:rPr>
              <w:t>40</w:t>
            </w:r>
            <w:r w:rsidR="003C6A28">
              <w:rPr>
                <w:noProof/>
                <w:webHidden/>
              </w:rPr>
              <w:fldChar w:fldCharType="end"/>
            </w:r>
          </w:hyperlink>
        </w:p>
        <w:p w14:paraId="550996CB" w14:textId="751A83F2" w:rsidR="003C6A28" w:rsidRDefault="00A548C7" w:rsidP="00E9218F">
          <w:pPr>
            <w:pStyle w:val="TOC1"/>
            <w:rPr>
              <w:rFonts w:asciiTheme="minorHAnsi" w:eastAsiaTheme="minorEastAsia" w:hAnsiTheme="minorHAnsi"/>
              <w:noProof/>
              <w:sz w:val="22"/>
              <w:lang w:eastAsia="lv-LV"/>
            </w:rPr>
          </w:pPr>
          <w:hyperlink w:anchor="_Toc78874618" w:history="1">
            <w:r w:rsidR="003C6A28" w:rsidRPr="00B439F6">
              <w:rPr>
                <w:rStyle w:val="Hyperlink"/>
                <w:noProof/>
              </w:rPr>
              <w:t>1.</w:t>
            </w:r>
            <w:r w:rsidR="003C6A28">
              <w:rPr>
                <w:rFonts w:asciiTheme="minorHAnsi" w:eastAsiaTheme="minorEastAsia" w:hAnsiTheme="minorHAnsi"/>
                <w:noProof/>
                <w:sz w:val="22"/>
                <w:lang w:eastAsia="lv-LV"/>
              </w:rPr>
              <w:tab/>
            </w:r>
            <w:r w:rsidR="003C6A28" w:rsidRPr="00B439F6">
              <w:rPr>
                <w:rStyle w:val="Hyperlink"/>
                <w:noProof/>
              </w:rPr>
              <w:t>Pielikums. EM aktuālo plānošanas dokumentu saraksts</w:t>
            </w:r>
            <w:r w:rsidR="003C6A28">
              <w:rPr>
                <w:noProof/>
                <w:webHidden/>
              </w:rPr>
              <w:tab/>
            </w:r>
            <w:r w:rsidR="003C6A28">
              <w:rPr>
                <w:noProof/>
                <w:webHidden/>
              </w:rPr>
              <w:fldChar w:fldCharType="begin"/>
            </w:r>
            <w:r w:rsidR="003C6A28">
              <w:rPr>
                <w:noProof/>
                <w:webHidden/>
              </w:rPr>
              <w:instrText xml:space="preserve"> PAGEREF _Toc78874618 \h </w:instrText>
            </w:r>
            <w:r w:rsidR="003C6A28">
              <w:rPr>
                <w:noProof/>
                <w:webHidden/>
              </w:rPr>
            </w:r>
            <w:r w:rsidR="003C6A28">
              <w:rPr>
                <w:noProof/>
                <w:webHidden/>
              </w:rPr>
              <w:fldChar w:fldCharType="separate"/>
            </w:r>
            <w:r w:rsidR="003C6A28">
              <w:rPr>
                <w:noProof/>
                <w:webHidden/>
              </w:rPr>
              <w:t>1</w:t>
            </w:r>
            <w:r w:rsidR="003C6A28">
              <w:rPr>
                <w:noProof/>
                <w:webHidden/>
              </w:rPr>
              <w:fldChar w:fldCharType="end"/>
            </w:r>
          </w:hyperlink>
        </w:p>
        <w:p w14:paraId="6BEADDE2" w14:textId="6E2E223B" w:rsidR="003C6A28" w:rsidRDefault="00A548C7" w:rsidP="00E9218F">
          <w:pPr>
            <w:pStyle w:val="TOC1"/>
            <w:rPr>
              <w:rFonts w:asciiTheme="minorHAnsi" w:eastAsiaTheme="minorEastAsia" w:hAnsiTheme="minorHAnsi"/>
              <w:noProof/>
              <w:sz w:val="22"/>
              <w:lang w:eastAsia="lv-LV"/>
            </w:rPr>
          </w:pPr>
          <w:hyperlink w:anchor="_Toc78874619" w:history="1">
            <w:r w:rsidR="003C6A28" w:rsidRPr="00B439F6">
              <w:rPr>
                <w:rStyle w:val="Hyperlink"/>
                <w:noProof/>
              </w:rPr>
              <w:t>2.</w:t>
            </w:r>
            <w:r w:rsidR="003C6A28">
              <w:rPr>
                <w:rFonts w:asciiTheme="minorHAnsi" w:eastAsiaTheme="minorEastAsia" w:hAnsiTheme="minorHAnsi"/>
                <w:noProof/>
                <w:sz w:val="22"/>
                <w:lang w:eastAsia="lv-LV"/>
              </w:rPr>
              <w:tab/>
            </w:r>
            <w:r w:rsidR="003C6A28" w:rsidRPr="00B439F6">
              <w:rPr>
                <w:rStyle w:val="Hyperlink"/>
                <w:noProof/>
              </w:rPr>
              <w:t>Pielikums. EM darbības virziena “Produktivitātes paaugstināšana” rezultatīvo rādītāju dinamika</w:t>
            </w:r>
            <w:r w:rsidR="003C6A28">
              <w:rPr>
                <w:noProof/>
                <w:webHidden/>
              </w:rPr>
              <w:tab/>
            </w:r>
            <w:r w:rsidR="003C6A28">
              <w:rPr>
                <w:noProof/>
                <w:webHidden/>
              </w:rPr>
              <w:fldChar w:fldCharType="begin"/>
            </w:r>
            <w:r w:rsidR="003C6A28">
              <w:rPr>
                <w:noProof/>
                <w:webHidden/>
              </w:rPr>
              <w:instrText xml:space="preserve"> PAGEREF _Toc78874619 \h </w:instrText>
            </w:r>
            <w:r w:rsidR="003C6A28">
              <w:rPr>
                <w:noProof/>
                <w:webHidden/>
              </w:rPr>
            </w:r>
            <w:r w:rsidR="003C6A28">
              <w:rPr>
                <w:noProof/>
                <w:webHidden/>
              </w:rPr>
              <w:fldChar w:fldCharType="separate"/>
            </w:r>
            <w:r w:rsidR="003C6A28">
              <w:rPr>
                <w:noProof/>
                <w:webHidden/>
              </w:rPr>
              <w:t>3</w:t>
            </w:r>
            <w:r w:rsidR="003C6A28">
              <w:rPr>
                <w:noProof/>
                <w:webHidden/>
              </w:rPr>
              <w:fldChar w:fldCharType="end"/>
            </w:r>
          </w:hyperlink>
        </w:p>
        <w:p w14:paraId="2C4F15C6" w14:textId="316C7BA0" w:rsidR="003C6A28" w:rsidRDefault="00A548C7" w:rsidP="00E9218F">
          <w:pPr>
            <w:pStyle w:val="TOC1"/>
            <w:rPr>
              <w:rFonts w:asciiTheme="minorHAnsi" w:eastAsiaTheme="minorEastAsia" w:hAnsiTheme="minorHAnsi"/>
              <w:noProof/>
              <w:sz w:val="22"/>
              <w:lang w:eastAsia="lv-LV"/>
            </w:rPr>
          </w:pPr>
          <w:hyperlink w:anchor="_Toc78874620" w:history="1">
            <w:r w:rsidR="003C6A28" w:rsidRPr="00B439F6">
              <w:rPr>
                <w:rStyle w:val="Hyperlink"/>
                <w:noProof/>
              </w:rPr>
              <w:t>3.</w:t>
            </w:r>
            <w:r w:rsidR="003C6A28">
              <w:rPr>
                <w:rFonts w:asciiTheme="minorHAnsi" w:eastAsiaTheme="minorEastAsia" w:hAnsiTheme="minorHAnsi"/>
                <w:noProof/>
                <w:sz w:val="22"/>
                <w:lang w:eastAsia="lv-LV"/>
              </w:rPr>
              <w:tab/>
            </w:r>
            <w:r w:rsidR="003C6A28" w:rsidRPr="00B439F6">
              <w:rPr>
                <w:rStyle w:val="Hyperlink"/>
                <w:noProof/>
              </w:rPr>
              <w:t>Pielikums. EM darbības virziena “</w:t>
            </w:r>
            <w:r w:rsidR="003C6A28" w:rsidRPr="00B439F6">
              <w:rPr>
                <w:rStyle w:val="Hyperlink"/>
                <w:rFonts w:eastAsia="Franklin Gothic Book"/>
                <w:noProof/>
              </w:rPr>
              <w:t>Eksporta veicināšana</w:t>
            </w:r>
            <w:r w:rsidR="003C6A28" w:rsidRPr="00B439F6">
              <w:rPr>
                <w:rStyle w:val="Hyperlink"/>
                <w:noProof/>
              </w:rPr>
              <w:t>” rezultatīvo rādītāju dinamika</w:t>
            </w:r>
            <w:r w:rsidR="003C6A28">
              <w:rPr>
                <w:noProof/>
                <w:webHidden/>
              </w:rPr>
              <w:tab/>
            </w:r>
            <w:r w:rsidR="003C6A28">
              <w:rPr>
                <w:noProof/>
                <w:webHidden/>
              </w:rPr>
              <w:fldChar w:fldCharType="begin"/>
            </w:r>
            <w:r w:rsidR="003C6A28">
              <w:rPr>
                <w:noProof/>
                <w:webHidden/>
              </w:rPr>
              <w:instrText xml:space="preserve"> PAGEREF _Toc78874620 \h </w:instrText>
            </w:r>
            <w:r w:rsidR="003C6A28">
              <w:rPr>
                <w:noProof/>
                <w:webHidden/>
              </w:rPr>
            </w:r>
            <w:r w:rsidR="003C6A28">
              <w:rPr>
                <w:noProof/>
                <w:webHidden/>
              </w:rPr>
              <w:fldChar w:fldCharType="separate"/>
            </w:r>
            <w:r w:rsidR="003C6A28">
              <w:rPr>
                <w:noProof/>
                <w:webHidden/>
              </w:rPr>
              <w:t>4</w:t>
            </w:r>
            <w:r w:rsidR="003C6A28">
              <w:rPr>
                <w:noProof/>
                <w:webHidden/>
              </w:rPr>
              <w:fldChar w:fldCharType="end"/>
            </w:r>
          </w:hyperlink>
        </w:p>
        <w:p w14:paraId="71030B58" w14:textId="2ACD0D57" w:rsidR="003C6A28" w:rsidRDefault="00A548C7" w:rsidP="00E9218F">
          <w:pPr>
            <w:pStyle w:val="TOC1"/>
            <w:rPr>
              <w:rFonts w:asciiTheme="minorHAnsi" w:eastAsiaTheme="minorEastAsia" w:hAnsiTheme="minorHAnsi"/>
              <w:noProof/>
              <w:sz w:val="22"/>
              <w:lang w:eastAsia="lv-LV"/>
            </w:rPr>
          </w:pPr>
          <w:hyperlink w:anchor="_Toc78874621" w:history="1">
            <w:r w:rsidR="003C6A28" w:rsidRPr="00B439F6">
              <w:rPr>
                <w:rStyle w:val="Hyperlink"/>
                <w:noProof/>
              </w:rPr>
              <w:t>4.</w:t>
            </w:r>
            <w:r w:rsidR="003C6A28">
              <w:rPr>
                <w:rFonts w:asciiTheme="minorHAnsi" w:eastAsiaTheme="minorEastAsia" w:hAnsiTheme="minorHAnsi"/>
                <w:noProof/>
                <w:sz w:val="22"/>
                <w:lang w:eastAsia="lv-LV"/>
              </w:rPr>
              <w:tab/>
            </w:r>
            <w:r w:rsidR="003C6A28" w:rsidRPr="00B439F6">
              <w:rPr>
                <w:rStyle w:val="Hyperlink"/>
                <w:noProof/>
              </w:rPr>
              <w:t>Pielikums. EM darbības virziena “Investīciju veicināšana un piesaiste” rezultatīvo rādītāju dinamika</w:t>
            </w:r>
            <w:r w:rsidR="003C6A28">
              <w:rPr>
                <w:noProof/>
                <w:webHidden/>
              </w:rPr>
              <w:tab/>
            </w:r>
            <w:r w:rsidR="003C6A28">
              <w:rPr>
                <w:noProof/>
                <w:webHidden/>
              </w:rPr>
              <w:fldChar w:fldCharType="begin"/>
            </w:r>
            <w:r w:rsidR="003C6A28">
              <w:rPr>
                <w:noProof/>
                <w:webHidden/>
              </w:rPr>
              <w:instrText xml:space="preserve"> PAGEREF _Toc78874621 \h </w:instrText>
            </w:r>
            <w:r w:rsidR="003C6A28">
              <w:rPr>
                <w:noProof/>
                <w:webHidden/>
              </w:rPr>
            </w:r>
            <w:r w:rsidR="003C6A28">
              <w:rPr>
                <w:noProof/>
                <w:webHidden/>
              </w:rPr>
              <w:fldChar w:fldCharType="separate"/>
            </w:r>
            <w:r w:rsidR="003C6A28">
              <w:rPr>
                <w:noProof/>
                <w:webHidden/>
              </w:rPr>
              <w:t>5</w:t>
            </w:r>
            <w:r w:rsidR="003C6A28">
              <w:rPr>
                <w:noProof/>
                <w:webHidden/>
              </w:rPr>
              <w:fldChar w:fldCharType="end"/>
            </w:r>
          </w:hyperlink>
        </w:p>
        <w:p w14:paraId="1CD71493" w14:textId="568426D3" w:rsidR="003C6A28" w:rsidRDefault="00A548C7" w:rsidP="00E9218F">
          <w:pPr>
            <w:pStyle w:val="TOC1"/>
            <w:rPr>
              <w:rFonts w:asciiTheme="minorHAnsi" w:eastAsiaTheme="minorEastAsia" w:hAnsiTheme="minorHAnsi"/>
              <w:noProof/>
              <w:sz w:val="22"/>
              <w:lang w:eastAsia="lv-LV"/>
            </w:rPr>
          </w:pPr>
          <w:hyperlink w:anchor="_Toc78874622" w:history="1">
            <w:r w:rsidR="003C6A28" w:rsidRPr="00B439F6">
              <w:rPr>
                <w:rStyle w:val="Hyperlink"/>
                <w:noProof/>
              </w:rPr>
              <w:t>5.</w:t>
            </w:r>
            <w:r w:rsidR="003C6A28">
              <w:rPr>
                <w:rFonts w:asciiTheme="minorHAnsi" w:eastAsiaTheme="minorEastAsia" w:hAnsiTheme="minorHAnsi"/>
                <w:noProof/>
                <w:sz w:val="22"/>
                <w:lang w:eastAsia="lv-LV"/>
              </w:rPr>
              <w:tab/>
            </w:r>
            <w:r w:rsidR="003C6A28" w:rsidRPr="00B439F6">
              <w:rPr>
                <w:rStyle w:val="Hyperlink"/>
                <w:noProof/>
              </w:rPr>
              <w:t>Pielikums. EM darbības virziena “</w:t>
            </w:r>
            <w:r w:rsidR="003C6A28" w:rsidRPr="00B439F6">
              <w:rPr>
                <w:rStyle w:val="Hyperlink"/>
                <w:rFonts w:eastAsia="Franklin Gothic Book"/>
                <w:noProof/>
              </w:rPr>
              <w:t>Cilvēkkapitāla attīstība</w:t>
            </w:r>
            <w:r w:rsidR="003C6A28" w:rsidRPr="00B439F6">
              <w:rPr>
                <w:rStyle w:val="Hyperlink"/>
                <w:noProof/>
              </w:rPr>
              <w:t>” rezultatīvo rādītāju dinamika</w:t>
            </w:r>
            <w:r w:rsidR="003C6A28">
              <w:rPr>
                <w:noProof/>
                <w:webHidden/>
              </w:rPr>
              <w:tab/>
            </w:r>
            <w:r w:rsidR="003C6A28">
              <w:rPr>
                <w:noProof/>
                <w:webHidden/>
              </w:rPr>
              <w:fldChar w:fldCharType="begin"/>
            </w:r>
            <w:r w:rsidR="003C6A28">
              <w:rPr>
                <w:noProof/>
                <w:webHidden/>
              </w:rPr>
              <w:instrText xml:space="preserve"> PAGEREF _Toc78874622 \h </w:instrText>
            </w:r>
            <w:r w:rsidR="003C6A28">
              <w:rPr>
                <w:noProof/>
                <w:webHidden/>
              </w:rPr>
            </w:r>
            <w:r w:rsidR="003C6A28">
              <w:rPr>
                <w:noProof/>
                <w:webHidden/>
              </w:rPr>
              <w:fldChar w:fldCharType="separate"/>
            </w:r>
            <w:r w:rsidR="003C6A28">
              <w:rPr>
                <w:noProof/>
                <w:webHidden/>
              </w:rPr>
              <w:t>6</w:t>
            </w:r>
            <w:r w:rsidR="003C6A28">
              <w:rPr>
                <w:noProof/>
                <w:webHidden/>
              </w:rPr>
              <w:fldChar w:fldCharType="end"/>
            </w:r>
          </w:hyperlink>
        </w:p>
        <w:p w14:paraId="023D0A92" w14:textId="7A1A1170" w:rsidR="003C6A28" w:rsidRDefault="00A548C7" w:rsidP="00E9218F">
          <w:pPr>
            <w:pStyle w:val="TOC1"/>
            <w:rPr>
              <w:rFonts w:asciiTheme="minorHAnsi" w:eastAsiaTheme="minorEastAsia" w:hAnsiTheme="minorHAnsi"/>
              <w:noProof/>
              <w:sz w:val="22"/>
              <w:lang w:eastAsia="lv-LV"/>
            </w:rPr>
          </w:pPr>
          <w:hyperlink w:anchor="_Toc78874623" w:history="1">
            <w:r w:rsidR="003C6A28" w:rsidRPr="00B439F6">
              <w:rPr>
                <w:rStyle w:val="Hyperlink"/>
                <w:noProof/>
              </w:rPr>
              <w:t>6.</w:t>
            </w:r>
            <w:r w:rsidR="003C6A28">
              <w:rPr>
                <w:rFonts w:asciiTheme="minorHAnsi" w:eastAsiaTheme="minorEastAsia" w:hAnsiTheme="minorHAnsi"/>
                <w:noProof/>
                <w:sz w:val="22"/>
                <w:lang w:eastAsia="lv-LV"/>
              </w:rPr>
              <w:tab/>
            </w:r>
            <w:r w:rsidR="003C6A28" w:rsidRPr="00B439F6">
              <w:rPr>
                <w:rStyle w:val="Hyperlink"/>
                <w:noProof/>
              </w:rPr>
              <w:t xml:space="preserve">Pielikums. EM darbības virziena “Inovācijas un </w:t>
            </w:r>
            <w:r w:rsidR="003C6A28" w:rsidRPr="00B439F6">
              <w:rPr>
                <w:rStyle w:val="Hyperlink"/>
                <w:rFonts w:eastAsia="Calibri"/>
                <w:noProof/>
              </w:rPr>
              <w:t>digitalizācijas</w:t>
            </w:r>
            <w:r w:rsidR="003C6A28" w:rsidRPr="00B439F6">
              <w:rPr>
                <w:rStyle w:val="Hyperlink"/>
                <w:noProof/>
              </w:rPr>
              <w:t>veicināšana” rezultatīvo rādītāju dinamika</w:t>
            </w:r>
            <w:r w:rsidR="003C6A28">
              <w:rPr>
                <w:noProof/>
                <w:webHidden/>
              </w:rPr>
              <w:tab/>
            </w:r>
            <w:r w:rsidR="003C6A28">
              <w:rPr>
                <w:noProof/>
                <w:webHidden/>
              </w:rPr>
              <w:fldChar w:fldCharType="begin"/>
            </w:r>
            <w:r w:rsidR="003C6A28">
              <w:rPr>
                <w:noProof/>
                <w:webHidden/>
              </w:rPr>
              <w:instrText xml:space="preserve"> PAGEREF _Toc78874623 \h </w:instrText>
            </w:r>
            <w:r w:rsidR="003C6A28">
              <w:rPr>
                <w:noProof/>
                <w:webHidden/>
              </w:rPr>
            </w:r>
            <w:r w:rsidR="003C6A28">
              <w:rPr>
                <w:noProof/>
                <w:webHidden/>
              </w:rPr>
              <w:fldChar w:fldCharType="separate"/>
            </w:r>
            <w:r w:rsidR="003C6A28">
              <w:rPr>
                <w:noProof/>
                <w:webHidden/>
              </w:rPr>
              <w:t>7</w:t>
            </w:r>
            <w:r w:rsidR="003C6A28">
              <w:rPr>
                <w:noProof/>
                <w:webHidden/>
              </w:rPr>
              <w:fldChar w:fldCharType="end"/>
            </w:r>
          </w:hyperlink>
        </w:p>
        <w:p w14:paraId="7ACB3B3B" w14:textId="520D5A5C" w:rsidR="003C6A28" w:rsidRDefault="00A548C7" w:rsidP="00E9218F">
          <w:pPr>
            <w:pStyle w:val="TOC1"/>
            <w:rPr>
              <w:rFonts w:asciiTheme="minorHAnsi" w:eastAsiaTheme="minorEastAsia" w:hAnsiTheme="minorHAnsi"/>
              <w:noProof/>
              <w:sz w:val="22"/>
              <w:lang w:eastAsia="lv-LV"/>
            </w:rPr>
          </w:pPr>
          <w:hyperlink w:anchor="_Toc78874624" w:history="1">
            <w:r w:rsidR="003C6A28" w:rsidRPr="00B439F6">
              <w:rPr>
                <w:rStyle w:val="Hyperlink"/>
                <w:noProof/>
              </w:rPr>
              <w:t>7.</w:t>
            </w:r>
            <w:r w:rsidR="003C6A28">
              <w:rPr>
                <w:rFonts w:asciiTheme="minorHAnsi" w:eastAsiaTheme="minorEastAsia" w:hAnsiTheme="minorHAnsi"/>
                <w:noProof/>
                <w:sz w:val="22"/>
                <w:lang w:eastAsia="lv-LV"/>
              </w:rPr>
              <w:tab/>
            </w:r>
            <w:r w:rsidR="003C6A28" w:rsidRPr="00B439F6">
              <w:rPr>
                <w:rStyle w:val="Hyperlink"/>
                <w:noProof/>
              </w:rPr>
              <w:t>Pielikums. EM darbības virziena “</w:t>
            </w:r>
            <w:r w:rsidR="003C6A28" w:rsidRPr="00B439F6">
              <w:rPr>
                <w:rStyle w:val="Hyperlink"/>
                <w:rFonts w:eastAsia="Franklin Gothic Book"/>
                <w:noProof/>
              </w:rPr>
              <w:t>Uzņēmējdarbības veicināšana (t.sk. uzņēmējdarbības vides uzlabošana) un infrastruktūras attīstība</w:t>
            </w:r>
            <w:r w:rsidR="003C6A28" w:rsidRPr="00B439F6">
              <w:rPr>
                <w:rStyle w:val="Hyperlink"/>
                <w:noProof/>
              </w:rPr>
              <w:t>” rezultatīvo rādītāju dinamika</w:t>
            </w:r>
            <w:r w:rsidR="003C6A28">
              <w:rPr>
                <w:noProof/>
                <w:webHidden/>
              </w:rPr>
              <w:tab/>
            </w:r>
            <w:r w:rsidR="003C6A28">
              <w:rPr>
                <w:noProof/>
                <w:webHidden/>
              </w:rPr>
              <w:fldChar w:fldCharType="begin"/>
            </w:r>
            <w:r w:rsidR="003C6A28">
              <w:rPr>
                <w:noProof/>
                <w:webHidden/>
              </w:rPr>
              <w:instrText xml:space="preserve"> PAGEREF _Toc78874624 \h </w:instrText>
            </w:r>
            <w:r w:rsidR="003C6A28">
              <w:rPr>
                <w:noProof/>
                <w:webHidden/>
              </w:rPr>
            </w:r>
            <w:r w:rsidR="003C6A28">
              <w:rPr>
                <w:noProof/>
                <w:webHidden/>
              </w:rPr>
              <w:fldChar w:fldCharType="separate"/>
            </w:r>
            <w:r w:rsidR="003C6A28">
              <w:rPr>
                <w:noProof/>
                <w:webHidden/>
              </w:rPr>
              <w:t>8</w:t>
            </w:r>
            <w:r w:rsidR="003C6A28">
              <w:rPr>
                <w:noProof/>
                <w:webHidden/>
              </w:rPr>
              <w:fldChar w:fldCharType="end"/>
            </w:r>
          </w:hyperlink>
        </w:p>
        <w:p w14:paraId="61AC4F7A" w14:textId="40197E2E" w:rsidR="003C6A28" w:rsidRDefault="00A548C7" w:rsidP="00E9218F">
          <w:pPr>
            <w:pStyle w:val="TOC1"/>
            <w:rPr>
              <w:rFonts w:asciiTheme="minorHAnsi" w:eastAsiaTheme="minorEastAsia" w:hAnsiTheme="minorHAnsi"/>
              <w:noProof/>
              <w:sz w:val="22"/>
              <w:lang w:eastAsia="lv-LV"/>
            </w:rPr>
          </w:pPr>
          <w:hyperlink w:anchor="_Toc78874625" w:history="1">
            <w:r w:rsidR="003C6A28" w:rsidRPr="00B439F6">
              <w:rPr>
                <w:rStyle w:val="Hyperlink"/>
                <w:noProof/>
              </w:rPr>
              <w:t>8.</w:t>
            </w:r>
            <w:r w:rsidR="003C6A28">
              <w:rPr>
                <w:rFonts w:asciiTheme="minorHAnsi" w:eastAsiaTheme="minorEastAsia" w:hAnsiTheme="minorHAnsi"/>
                <w:noProof/>
                <w:sz w:val="22"/>
                <w:lang w:eastAsia="lv-LV"/>
              </w:rPr>
              <w:tab/>
            </w:r>
            <w:r w:rsidR="003C6A28" w:rsidRPr="00B439F6">
              <w:rPr>
                <w:rStyle w:val="Hyperlink"/>
                <w:noProof/>
              </w:rPr>
              <w:t>Pielikums. EM īstenojamo ES fondu pasākumu saraksts plānošanas periodā no 2014. līdz 2020.gadam</w:t>
            </w:r>
            <w:r w:rsidR="003C6A28">
              <w:rPr>
                <w:noProof/>
                <w:webHidden/>
              </w:rPr>
              <w:tab/>
            </w:r>
            <w:r w:rsidR="003C6A28">
              <w:rPr>
                <w:noProof/>
                <w:webHidden/>
              </w:rPr>
              <w:fldChar w:fldCharType="begin"/>
            </w:r>
            <w:r w:rsidR="003C6A28">
              <w:rPr>
                <w:noProof/>
                <w:webHidden/>
              </w:rPr>
              <w:instrText xml:space="preserve"> PAGEREF _Toc78874625 \h </w:instrText>
            </w:r>
            <w:r w:rsidR="003C6A28">
              <w:rPr>
                <w:noProof/>
                <w:webHidden/>
              </w:rPr>
            </w:r>
            <w:r w:rsidR="003C6A28">
              <w:rPr>
                <w:noProof/>
                <w:webHidden/>
              </w:rPr>
              <w:fldChar w:fldCharType="separate"/>
            </w:r>
            <w:r w:rsidR="003C6A28">
              <w:rPr>
                <w:noProof/>
                <w:webHidden/>
              </w:rPr>
              <w:t>9</w:t>
            </w:r>
            <w:r w:rsidR="003C6A28">
              <w:rPr>
                <w:noProof/>
                <w:webHidden/>
              </w:rPr>
              <w:fldChar w:fldCharType="end"/>
            </w:r>
          </w:hyperlink>
        </w:p>
        <w:p w14:paraId="2A71F4A1" w14:textId="53B1E2D7" w:rsidR="003C6A28" w:rsidRDefault="00A548C7" w:rsidP="00E9218F">
          <w:pPr>
            <w:pStyle w:val="TOC1"/>
            <w:rPr>
              <w:rFonts w:asciiTheme="minorHAnsi" w:eastAsiaTheme="minorEastAsia" w:hAnsiTheme="minorHAnsi"/>
              <w:noProof/>
              <w:sz w:val="22"/>
              <w:lang w:eastAsia="lv-LV"/>
            </w:rPr>
          </w:pPr>
          <w:hyperlink w:anchor="_Toc78874626" w:history="1">
            <w:r w:rsidR="003C6A28" w:rsidRPr="00B439F6">
              <w:rPr>
                <w:rStyle w:val="Hyperlink"/>
                <w:noProof/>
              </w:rPr>
              <w:t>9.</w:t>
            </w:r>
            <w:r w:rsidR="003C6A28">
              <w:rPr>
                <w:rFonts w:asciiTheme="minorHAnsi" w:eastAsiaTheme="minorEastAsia" w:hAnsiTheme="minorHAnsi"/>
                <w:noProof/>
                <w:sz w:val="22"/>
                <w:lang w:eastAsia="lv-LV"/>
              </w:rPr>
              <w:tab/>
            </w:r>
            <w:r w:rsidR="003C6A28" w:rsidRPr="00B439F6">
              <w:rPr>
                <w:rStyle w:val="Hyperlink"/>
                <w:noProof/>
              </w:rPr>
              <w:t>Pielikums. EM 2020. gadā īstenotie un 2021. gadā plānotie svarīgākie pētījumi</w:t>
            </w:r>
            <w:r w:rsidR="003C6A28">
              <w:rPr>
                <w:noProof/>
                <w:webHidden/>
              </w:rPr>
              <w:tab/>
            </w:r>
            <w:r w:rsidR="003C6A28">
              <w:rPr>
                <w:noProof/>
                <w:webHidden/>
              </w:rPr>
              <w:fldChar w:fldCharType="begin"/>
            </w:r>
            <w:r w:rsidR="003C6A28">
              <w:rPr>
                <w:noProof/>
                <w:webHidden/>
              </w:rPr>
              <w:instrText xml:space="preserve"> PAGEREF _Toc78874626 \h </w:instrText>
            </w:r>
            <w:r w:rsidR="003C6A28">
              <w:rPr>
                <w:noProof/>
                <w:webHidden/>
              </w:rPr>
            </w:r>
            <w:r w:rsidR="003C6A28">
              <w:rPr>
                <w:noProof/>
                <w:webHidden/>
              </w:rPr>
              <w:fldChar w:fldCharType="separate"/>
            </w:r>
            <w:r w:rsidR="003C6A28">
              <w:rPr>
                <w:noProof/>
                <w:webHidden/>
              </w:rPr>
              <w:t>10</w:t>
            </w:r>
            <w:r w:rsidR="003C6A28">
              <w:rPr>
                <w:noProof/>
                <w:webHidden/>
              </w:rPr>
              <w:fldChar w:fldCharType="end"/>
            </w:r>
          </w:hyperlink>
        </w:p>
        <w:p w14:paraId="270E017B" w14:textId="549D5C60" w:rsidR="00B40B8F" w:rsidRPr="00F5511B" w:rsidRDefault="00EA274E" w:rsidP="00E9218F">
          <w:pPr>
            <w:pStyle w:val="TOC1"/>
            <w:rPr>
              <w:highlight w:val="yellow"/>
            </w:rPr>
          </w:pPr>
          <w:r w:rsidRPr="00165A35">
            <w:rPr>
              <w:noProof/>
            </w:rPr>
            <w:fldChar w:fldCharType="end"/>
          </w:r>
        </w:p>
      </w:sdtContent>
    </w:sdt>
    <w:p w14:paraId="5F5B897F" w14:textId="77777777" w:rsidR="0001636F" w:rsidRPr="009C1141" w:rsidRDefault="00EA274E" w:rsidP="009C1141">
      <w:pPr>
        <w:tabs>
          <w:tab w:val="right" w:leader="dot" w:pos="14459"/>
        </w:tabs>
        <w:spacing w:before="120"/>
        <w:rPr>
          <w:highlight w:val="yellow"/>
        </w:rPr>
      </w:pPr>
      <w:r w:rsidRPr="00F5511B">
        <w:rPr>
          <w:highlight w:val="yellow"/>
        </w:rPr>
        <w:fldChar w:fldCharType="begin"/>
      </w:r>
      <w:r w:rsidR="00A04AE3" w:rsidRPr="00F5511B">
        <w:rPr>
          <w:highlight w:val="yellow"/>
        </w:rPr>
        <w:instrText xml:space="preserve"> TOC \o "1-2" \h \z \u </w:instrText>
      </w:r>
      <w:r w:rsidRPr="00F5511B">
        <w:rPr>
          <w:highlight w:val="yellow"/>
        </w:rPr>
        <w:fldChar w:fldCharType="separate"/>
      </w:r>
    </w:p>
    <w:p w14:paraId="13CC301C" w14:textId="1B5E5F51" w:rsidR="00E9218F" w:rsidRDefault="00EA274E" w:rsidP="00720056">
      <w:pPr>
        <w:tabs>
          <w:tab w:val="right" w:leader="dot" w:pos="14459"/>
        </w:tabs>
        <w:spacing w:before="120"/>
        <w:rPr>
          <w:highlight w:val="yellow"/>
        </w:rPr>
      </w:pPr>
      <w:r w:rsidRPr="00F5511B">
        <w:rPr>
          <w:highlight w:val="yellow"/>
        </w:rPr>
        <w:fldChar w:fldCharType="end"/>
      </w:r>
    </w:p>
    <w:p w14:paraId="6018BDFA" w14:textId="77777777" w:rsidR="00F5511B" w:rsidRDefault="00F5511B">
      <w:pPr>
        <w:spacing w:after="0" w:line="240" w:lineRule="auto"/>
        <w:rPr>
          <w:highlight w:val="yellow"/>
        </w:rPr>
      </w:pPr>
      <w:r>
        <w:rPr>
          <w:highlight w:val="yellow"/>
        </w:rPr>
        <w:br w:type="page"/>
      </w:r>
    </w:p>
    <w:p w14:paraId="303CFB62" w14:textId="6B1B2AAF" w:rsidR="00ED003B" w:rsidRPr="00F5511B" w:rsidRDefault="00BC60D9" w:rsidP="00723309">
      <w:pPr>
        <w:rPr>
          <w:highlight w:val="yellow"/>
        </w:rPr>
      </w:pPr>
      <w:r>
        <w:rPr>
          <w:smallCaps/>
          <w:noProof/>
          <w:sz w:val="32"/>
          <w:szCs w:val="32"/>
          <w:highlight w:val="yellow"/>
          <w:lang w:eastAsia="lv-LV"/>
        </w:rPr>
        <w:lastRenderedPageBreak/>
        <mc:AlternateContent>
          <mc:Choice Requires="wps">
            <w:drawing>
              <wp:anchor distT="0" distB="0" distL="114300" distR="114300" simplePos="0" relativeHeight="251658249" behindDoc="0" locked="0" layoutInCell="1" allowOverlap="1" wp14:anchorId="3AEC94C9" wp14:editId="1E27775F">
                <wp:simplePos x="0" y="0"/>
                <wp:positionH relativeFrom="margin">
                  <wp:align>left</wp:align>
                </wp:positionH>
                <wp:positionV relativeFrom="paragraph">
                  <wp:posOffset>-9525</wp:posOffset>
                </wp:positionV>
                <wp:extent cx="2164715" cy="539750"/>
                <wp:effectExtent l="0" t="0" r="6985" b="0"/>
                <wp:wrapNone/>
                <wp:docPr id="23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715" cy="53975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FF74754" w14:textId="77777777" w:rsidR="00003D52" w:rsidRPr="00FF7E4C" w:rsidRDefault="00003D52" w:rsidP="00BE6C4B">
                            <w:pPr>
                              <w:pStyle w:val="Heading1"/>
                              <w:numPr>
                                <w:ilvl w:val="0"/>
                                <w:numId w:val="11"/>
                              </w:numPr>
                            </w:pPr>
                            <w:bookmarkStart w:id="1" w:name="_Toc520374343"/>
                            <w:bookmarkStart w:id="2" w:name="_Toc78790559"/>
                            <w:bookmarkStart w:id="3" w:name="_Toc78874258"/>
                            <w:bookmarkStart w:id="4" w:name="_Toc78874590"/>
                            <w:r w:rsidRPr="00973743">
                              <w:t>Saīsinājumi</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C94C9" id="Round Diagonal Corner Rectangle 16" o:spid="_x0000_s1027" style="position:absolute;margin-left:0;margin-top:-.75pt;width:170.45pt;height:4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539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" adj="-11796480,,5400" path="m89960,l2164715,r,l2164715,449790v,49684,-40276,89960,-89960,89960l,539750r,l,89960c,40276,40276,,89960,xe" fillcolor="#00859b" strokecolor="#62b1c6" strokeweight="1.5pt">
                <v:stroke joinstyle="miter"/>
                <v:formulas/>
                <v:path arrowok="t" o:connecttype="custom" o:connectlocs="89960,0;2164715,0;2164715,0;2164715,449790;2074755,539750;0,539750;0,539750;0,89960;89960,0" o:connectangles="0,0,0,0,0,0,0,0,0" textboxrect="0,0,2164715,539750"/>
                <v:textbox>
                  <w:txbxContent>
                    <w:p w14:paraId="4FF74754" w14:textId="77777777" w:rsidR="00003D52" w:rsidRPr="00FF7E4C" w:rsidRDefault="00003D52" w:rsidP="00BE6C4B">
                      <w:pPr>
                        <w:pStyle w:val="Heading1"/>
                        <w:numPr>
                          <w:ilvl w:val="0"/>
                          <w:numId w:val="11"/>
                        </w:numPr>
                      </w:pPr>
                      <w:bookmarkStart w:id="5" w:name="_Toc520374343"/>
                      <w:bookmarkStart w:id="6" w:name="_Toc78790559"/>
                      <w:bookmarkStart w:id="7" w:name="_Toc78874258"/>
                      <w:bookmarkStart w:id="8" w:name="_Toc78874590"/>
                      <w:r w:rsidRPr="00973743">
                        <w:t>Saīsinājumi</w:t>
                      </w:r>
                      <w:bookmarkEnd w:id="5"/>
                      <w:bookmarkEnd w:id="6"/>
                      <w:bookmarkEnd w:id="7"/>
                      <w:bookmarkEnd w:id="8"/>
                    </w:p>
                  </w:txbxContent>
                </v:textbox>
                <w10:wrap anchorx="margin"/>
              </v:shape>
            </w:pict>
          </mc:Fallback>
        </mc:AlternateContent>
      </w:r>
    </w:p>
    <w:p w14:paraId="2E84B718" w14:textId="77777777" w:rsidR="00973743" w:rsidRPr="00F5511B" w:rsidRDefault="00973743" w:rsidP="00973743">
      <w:pPr>
        <w:tabs>
          <w:tab w:val="right" w:leader="dot" w:pos="14459"/>
        </w:tabs>
        <w:spacing w:before="120" w:after="120"/>
        <w:rPr>
          <w:sz w:val="18"/>
          <w:szCs w:val="18"/>
          <w:highlight w:val="yellow"/>
        </w:rPr>
      </w:pPr>
    </w:p>
    <w:p w14:paraId="3470DB0D" w14:textId="77777777" w:rsidR="00973743" w:rsidRPr="00F5511B" w:rsidRDefault="00973743" w:rsidP="005D387D">
      <w:pPr>
        <w:tabs>
          <w:tab w:val="right" w:leader="dot" w:pos="14459"/>
        </w:tabs>
        <w:spacing w:before="80" w:after="80" w:line="240" w:lineRule="auto"/>
        <w:rPr>
          <w:rFonts w:cs="Times New Roman"/>
          <w:sz w:val="16"/>
          <w:szCs w:val="16"/>
          <w:highlight w:val="yellow"/>
        </w:rPr>
      </w:pPr>
    </w:p>
    <w:p w14:paraId="68905890" w14:textId="77777777" w:rsidR="00566A81" w:rsidRPr="00F5511B" w:rsidRDefault="00566A81" w:rsidP="00252289">
      <w:pPr>
        <w:tabs>
          <w:tab w:val="right" w:leader="dot" w:pos="14459"/>
        </w:tabs>
        <w:spacing w:before="80" w:after="80" w:line="240" w:lineRule="auto"/>
        <w:rPr>
          <w:rFonts w:cs="Times New Roman"/>
          <w:sz w:val="20"/>
          <w:szCs w:val="20"/>
          <w:highlight w:val="yellow"/>
        </w:rPr>
        <w:sectPr w:rsidR="00566A81" w:rsidRPr="00F5511B" w:rsidSect="005D7294">
          <w:footerReference w:type="default" r:id="rId20"/>
          <w:headerReference w:type="first" r:id="rId21"/>
          <w:footerReference w:type="first" r:id="rId22"/>
          <w:pgSz w:w="11906" w:h="16838" w:code="9"/>
          <w:pgMar w:top="1134" w:right="1134" w:bottom="1134" w:left="1134" w:header="709" w:footer="408" w:gutter="0"/>
          <w:pgNumType w:start="1"/>
          <w:cols w:space="708"/>
          <w:titlePg/>
          <w:docGrid w:linePitch="381"/>
        </w:sectPr>
      </w:pPr>
    </w:p>
    <w:p w14:paraId="04A27A29" w14:textId="77777777" w:rsidR="00A66181" w:rsidRPr="001922E1" w:rsidRDefault="00A66181" w:rsidP="00252289">
      <w:pPr>
        <w:tabs>
          <w:tab w:val="right" w:leader="dot" w:pos="14459"/>
        </w:tabs>
        <w:spacing w:before="80" w:after="80" w:line="240" w:lineRule="auto"/>
        <w:rPr>
          <w:sz w:val="20"/>
          <w:szCs w:val="20"/>
        </w:rPr>
      </w:pPr>
      <w:r w:rsidRPr="001922E1">
        <w:rPr>
          <w:rFonts w:cs="Times New Roman"/>
          <w:sz w:val="20"/>
          <w:szCs w:val="20"/>
        </w:rPr>
        <w:t>AER – atjaunojamie energoresursi</w:t>
      </w:r>
    </w:p>
    <w:p w14:paraId="6835354F" w14:textId="2C35EAB6" w:rsidR="001D600A" w:rsidRDefault="001D600A" w:rsidP="00252289">
      <w:pPr>
        <w:tabs>
          <w:tab w:val="right" w:leader="dot" w:pos="14459"/>
        </w:tabs>
        <w:spacing w:before="80" w:after="80" w:line="240" w:lineRule="auto"/>
        <w:rPr>
          <w:sz w:val="20"/>
          <w:szCs w:val="20"/>
        </w:rPr>
      </w:pPr>
      <w:r w:rsidRPr="005F2E2A">
        <w:rPr>
          <w:sz w:val="20"/>
          <w:szCs w:val="20"/>
        </w:rPr>
        <w:t xml:space="preserve">ALTUM </w:t>
      </w:r>
      <w:r w:rsidRPr="005F2E2A">
        <w:rPr>
          <w:rFonts w:cs="Times New Roman"/>
          <w:sz w:val="20"/>
          <w:szCs w:val="20"/>
        </w:rPr>
        <w:t xml:space="preserve">– </w:t>
      </w:r>
      <w:r w:rsidRPr="005F2E2A">
        <w:rPr>
          <w:sz w:val="20"/>
          <w:szCs w:val="20"/>
        </w:rPr>
        <w:t>Attīstības finanšu institūcija Altum</w:t>
      </w:r>
    </w:p>
    <w:p w14:paraId="2B7A0DE1" w14:textId="51FE8849" w:rsidR="008049DC" w:rsidRPr="008049DC" w:rsidRDefault="008049DC" w:rsidP="00252289">
      <w:pPr>
        <w:tabs>
          <w:tab w:val="right" w:leader="dot" w:pos="14459"/>
        </w:tabs>
        <w:spacing w:before="80" w:after="80" w:line="240" w:lineRule="auto"/>
        <w:rPr>
          <w:sz w:val="20"/>
          <w:szCs w:val="20"/>
        </w:rPr>
      </w:pPr>
      <w:r w:rsidRPr="008049DC">
        <w:rPr>
          <w:sz w:val="20"/>
          <w:szCs w:val="20"/>
        </w:rPr>
        <w:t xml:space="preserve">ANM </w:t>
      </w:r>
      <w:r w:rsidR="001565A0">
        <w:rPr>
          <w:sz w:val="20"/>
          <w:szCs w:val="20"/>
        </w:rPr>
        <w:t>–</w:t>
      </w:r>
      <w:r w:rsidRPr="008049DC">
        <w:rPr>
          <w:sz w:val="20"/>
          <w:szCs w:val="20"/>
        </w:rPr>
        <w:t xml:space="preserve"> Atveseļošanas un noturības mehānisms</w:t>
      </w:r>
    </w:p>
    <w:p w14:paraId="5C4AFD4D" w14:textId="77777777" w:rsidR="0000071A" w:rsidRPr="005D0533" w:rsidRDefault="0000071A" w:rsidP="00252289">
      <w:pPr>
        <w:tabs>
          <w:tab w:val="right" w:leader="dot" w:pos="14459"/>
        </w:tabs>
        <w:spacing w:before="80" w:after="80" w:line="240" w:lineRule="auto"/>
        <w:rPr>
          <w:sz w:val="20"/>
          <w:szCs w:val="20"/>
        </w:rPr>
      </w:pPr>
      <w:r w:rsidRPr="005D0533">
        <w:rPr>
          <w:sz w:val="20"/>
          <w:szCs w:val="20"/>
        </w:rPr>
        <w:t xml:space="preserve">ĀTI </w:t>
      </w:r>
      <w:r w:rsidR="00D87E34" w:rsidRPr="005D0533">
        <w:rPr>
          <w:sz w:val="20"/>
          <w:szCs w:val="20"/>
        </w:rPr>
        <w:t>–</w:t>
      </w:r>
      <w:r w:rsidRPr="005D0533">
        <w:rPr>
          <w:sz w:val="20"/>
          <w:szCs w:val="20"/>
        </w:rPr>
        <w:t xml:space="preserve"> Ārvalstu tiešās investīcijas </w:t>
      </w:r>
    </w:p>
    <w:p w14:paraId="43E45880" w14:textId="77777777" w:rsidR="002B1696" w:rsidRPr="00AA644A" w:rsidRDefault="002B1696" w:rsidP="00252289">
      <w:pPr>
        <w:tabs>
          <w:tab w:val="right" w:leader="dot" w:pos="14459"/>
        </w:tabs>
        <w:spacing w:before="80" w:after="80" w:line="240" w:lineRule="auto"/>
        <w:rPr>
          <w:sz w:val="20"/>
          <w:szCs w:val="20"/>
        </w:rPr>
      </w:pPr>
      <w:r w:rsidRPr="00AA644A">
        <w:rPr>
          <w:sz w:val="20"/>
          <w:szCs w:val="20"/>
        </w:rPr>
        <w:t>AS – akciju sabiedrība</w:t>
      </w:r>
    </w:p>
    <w:p w14:paraId="2A240510" w14:textId="77777777" w:rsidR="003F57DC" w:rsidRPr="00720056" w:rsidRDefault="003F57DC" w:rsidP="00252289">
      <w:pPr>
        <w:tabs>
          <w:tab w:val="right" w:leader="dot" w:pos="14459"/>
        </w:tabs>
        <w:spacing w:before="80" w:after="80" w:line="240" w:lineRule="auto"/>
        <w:rPr>
          <w:color w:val="000000"/>
          <w:sz w:val="20"/>
          <w:szCs w:val="20"/>
        </w:rPr>
      </w:pPr>
      <w:r w:rsidRPr="00720056">
        <w:rPr>
          <w:color w:val="000000"/>
          <w:sz w:val="20"/>
          <w:szCs w:val="20"/>
        </w:rPr>
        <w:t>ASV – Amerikas Savienotās Valstis</w:t>
      </w:r>
    </w:p>
    <w:p w14:paraId="42E2F321" w14:textId="77777777" w:rsidR="00566A81" w:rsidRPr="001C34B2" w:rsidRDefault="00566A81" w:rsidP="00651F75">
      <w:pPr>
        <w:tabs>
          <w:tab w:val="right" w:leader="dot" w:pos="14459"/>
        </w:tabs>
        <w:spacing w:before="80" w:after="80" w:line="240" w:lineRule="auto"/>
        <w:rPr>
          <w:rFonts w:cstheme="minorHAnsi"/>
          <w:sz w:val="20"/>
          <w:szCs w:val="20"/>
        </w:rPr>
      </w:pPr>
      <w:r w:rsidRPr="001C34B2">
        <w:rPr>
          <w:color w:val="000000"/>
          <w:sz w:val="20"/>
          <w:szCs w:val="20"/>
        </w:rPr>
        <w:t>BIM – Būvniecības informācijas modelēšana</w:t>
      </w:r>
    </w:p>
    <w:p w14:paraId="17961B4C" w14:textId="77777777" w:rsidR="00651F75" w:rsidRPr="001C34B2" w:rsidRDefault="00651F75" w:rsidP="00651F75">
      <w:pPr>
        <w:tabs>
          <w:tab w:val="right" w:leader="dot" w:pos="14459"/>
        </w:tabs>
        <w:spacing w:before="80" w:after="80" w:line="240" w:lineRule="auto"/>
        <w:rPr>
          <w:rFonts w:cstheme="minorHAnsi"/>
          <w:sz w:val="20"/>
          <w:szCs w:val="20"/>
        </w:rPr>
      </w:pPr>
      <w:r w:rsidRPr="001C34B2">
        <w:rPr>
          <w:rFonts w:cstheme="minorHAnsi"/>
          <w:sz w:val="20"/>
          <w:szCs w:val="20"/>
        </w:rPr>
        <w:t xml:space="preserve">BIS </w:t>
      </w:r>
      <w:r w:rsidRPr="001C34B2">
        <w:rPr>
          <w:rFonts w:cs="Times New Roman"/>
          <w:sz w:val="20"/>
          <w:szCs w:val="20"/>
        </w:rPr>
        <w:t xml:space="preserve">– </w:t>
      </w:r>
      <w:r w:rsidRPr="001C34B2">
        <w:rPr>
          <w:rFonts w:cstheme="minorHAnsi"/>
          <w:sz w:val="20"/>
          <w:szCs w:val="20"/>
        </w:rPr>
        <w:t>Būvniecības informācijas sistēma</w:t>
      </w:r>
    </w:p>
    <w:p w14:paraId="74A1F212" w14:textId="77777777" w:rsidR="001625A7" w:rsidRPr="00416CF7" w:rsidRDefault="001625A7" w:rsidP="00651F75">
      <w:pPr>
        <w:tabs>
          <w:tab w:val="right" w:leader="dot" w:pos="14459"/>
        </w:tabs>
        <w:spacing w:before="80" w:after="80" w:line="240" w:lineRule="auto"/>
        <w:rPr>
          <w:rFonts w:cstheme="minorHAnsi"/>
          <w:sz w:val="20"/>
          <w:szCs w:val="20"/>
        </w:rPr>
      </w:pPr>
      <w:r w:rsidRPr="00416CF7">
        <w:rPr>
          <w:rFonts w:cstheme="minorHAnsi"/>
          <w:sz w:val="20"/>
          <w:szCs w:val="20"/>
        </w:rPr>
        <w:t xml:space="preserve">BJR – Baltijas jūras reģiona </w:t>
      </w:r>
    </w:p>
    <w:p w14:paraId="03D096FA" w14:textId="77777777" w:rsidR="00651F75" w:rsidRPr="00C02F47" w:rsidRDefault="00651F75" w:rsidP="00651F75">
      <w:pPr>
        <w:tabs>
          <w:tab w:val="right" w:leader="dot" w:pos="14459"/>
        </w:tabs>
        <w:spacing w:before="80" w:after="80" w:line="240" w:lineRule="auto"/>
        <w:rPr>
          <w:rFonts w:cstheme="minorHAnsi"/>
          <w:sz w:val="20"/>
          <w:szCs w:val="20"/>
        </w:rPr>
      </w:pPr>
      <w:r w:rsidRPr="00C02F47">
        <w:rPr>
          <w:rFonts w:eastAsia="Franklin Gothic Book" w:cs="Times New Roman"/>
          <w:sz w:val="20"/>
          <w:szCs w:val="20"/>
        </w:rPr>
        <w:t xml:space="preserve">BVKB </w:t>
      </w:r>
      <w:r w:rsidRPr="00C02F47">
        <w:rPr>
          <w:rFonts w:cs="Times New Roman"/>
          <w:sz w:val="20"/>
          <w:szCs w:val="20"/>
        </w:rPr>
        <w:t xml:space="preserve">– </w:t>
      </w:r>
      <w:r w:rsidRPr="00C02F47">
        <w:rPr>
          <w:rFonts w:cstheme="minorHAnsi"/>
          <w:sz w:val="20"/>
          <w:szCs w:val="20"/>
        </w:rPr>
        <w:t>Būvniecības valsts kontroles birojs</w:t>
      </w:r>
    </w:p>
    <w:p w14:paraId="743CA0CD" w14:textId="3430C32D" w:rsidR="008E7ECB" w:rsidRPr="008E7ECB" w:rsidRDefault="008E7ECB" w:rsidP="00252289">
      <w:pPr>
        <w:tabs>
          <w:tab w:val="right" w:leader="dot" w:pos="14459"/>
        </w:tabs>
        <w:spacing w:before="80" w:after="80" w:line="240" w:lineRule="auto"/>
        <w:rPr>
          <w:rFonts w:eastAsia="Times New Roman" w:cs="Times New Roman"/>
          <w:sz w:val="20"/>
          <w:szCs w:val="20"/>
          <w:highlight w:val="yellow"/>
        </w:rPr>
      </w:pPr>
      <w:r w:rsidRPr="008E7ECB">
        <w:rPr>
          <w:rFonts w:eastAsia="Times New Roman"/>
          <w:sz w:val="20"/>
          <w:szCs w:val="20"/>
        </w:rPr>
        <w:t xml:space="preserve">CEF </w:t>
      </w:r>
      <w:r w:rsidR="001565A0">
        <w:rPr>
          <w:rFonts w:eastAsia="Times New Roman"/>
          <w:sz w:val="20"/>
          <w:szCs w:val="20"/>
        </w:rPr>
        <w:t>–</w:t>
      </w:r>
      <w:r w:rsidRPr="008E7ECB">
        <w:rPr>
          <w:rFonts w:eastAsia="Times New Roman"/>
          <w:sz w:val="20"/>
          <w:szCs w:val="20"/>
        </w:rPr>
        <w:t xml:space="preserve"> Eiropas infrastruktūras savienošanas instruments</w:t>
      </w:r>
    </w:p>
    <w:p w14:paraId="54F1CA36" w14:textId="77777777" w:rsidR="00651F75" w:rsidRPr="005F2E2A" w:rsidRDefault="00651F75" w:rsidP="00252289">
      <w:pPr>
        <w:tabs>
          <w:tab w:val="right" w:leader="dot" w:pos="14459"/>
        </w:tabs>
        <w:spacing w:before="80" w:after="80" w:line="240" w:lineRule="auto"/>
        <w:rPr>
          <w:rFonts w:cs="Times New Roman"/>
          <w:sz w:val="20"/>
          <w:szCs w:val="20"/>
        </w:rPr>
      </w:pPr>
      <w:r w:rsidRPr="005F2E2A">
        <w:rPr>
          <w:rFonts w:cs="Times New Roman"/>
          <w:sz w:val="20"/>
          <w:szCs w:val="20"/>
        </w:rPr>
        <w:t>CFLA – Centrālā finanšu un līgumu aģentūra</w:t>
      </w:r>
    </w:p>
    <w:p w14:paraId="5AE76FA1" w14:textId="2CBF331C" w:rsidR="000D07B3" w:rsidRPr="007F744A" w:rsidRDefault="000D07B3" w:rsidP="00252289">
      <w:pPr>
        <w:tabs>
          <w:tab w:val="right" w:leader="dot" w:pos="14459"/>
        </w:tabs>
        <w:spacing w:before="80" w:after="80" w:line="240" w:lineRule="auto"/>
        <w:rPr>
          <w:rFonts w:cs="Times New Roman"/>
          <w:sz w:val="20"/>
          <w:szCs w:val="20"/>
        </w:rPr>
      </w:pPr>
      <w:r w:rsidRPr="007F744A">
        <w:rPr>
          <w:sz w:val="20"/>
          <w:szCs w:val="20"/>
        </w:rPr>
        <w:t>CSP</w:t>
      </w:r>
      <w:r w:rsidR="001565A0">
        <w:rPr>
          <w:sz w:val="20"/>
          <w:szCs w:val="20"/>
        </w:rPr>
        <w:t xml:space="preserve"> </w:t>
      </w:r>
      <w:r w:rsidR="00903A4F" w:rsidRPr="007F744A">
        <w:rPr>
          <w:rFonts w:cs="Times New Roman"/>
          <w:sz w:val="20"/>
          <w:szCs w:val="20"/>
        </w:rPr>
        <w:t>–</w:t>
      </w:r>
      <w:r w:rsidR="002614A9" w:rsidRPr="007F744A">
        <w:rPr>
          <w:rFonts w:cs="Times New Roman"/>
          <w:sz w:val="20"/>
          <w:szCs w:val="20"/>
        </w:rPr>
        <w:t xml:space="preserve"> Centrālā statistikas pārvalde</w:t>
      </w:r>
    </w:p>
    <w:p w14:paraId="7BB2508C" w14:textId="784FE440" w:rsidR="00C555A0" w:rsidRDefault="00C555A0" w:rsidP="00252289">
      <w:pPr>
        <w:tabs>
          <w:tab w:val="right" w:leader="dot" w:pos="14459"/>
        </w:tabs>
        <w:spacing w:before="80" w:after="80" w:line="240" w:lineRule="auto"/>
        <w:rPr>
          <w:rFonts w:eastAsia="Times New Roman" w:cs="Times New Roman"/>
          <w:sz w:val="20"/>
          <w:szCs w:val="20"/>
        </w:rPr>
      </w:pPr>
      <w:r w:rsidRPr="00FB6EE4">
        <w:rPr>
          <w:rFonts w:eastAsia="Times New Roman" w:cs="Times New Roman"/>
          <w:sz w:val="20"/>
          <w:szCs w:val="20"/>
        </w:rPr>
        <w:t>DIC – digitālās inovācijas centri</w:t>
      </w:r>
    </w:p>
    <w:p w14:paraId="2BF4617D" w14:textId="290E9D4E" w:rsidR="008049DC" w:rsidRPr="008049DC" w:rsidRDefault="008049DC" w:rsidP="00252289">
      <w:pPr>
        <w:tabs>
          <w:tab w:val="right" w:leader="dot" w:pos="14459"/>
        </w:tabs>
        <w:spacing w:before="80" w:after="80" w:line="240" w:lineRule="auto"/>
        <w:rPr>
          <w:rFonts w:cstheme="minorHAnsi"/>
          <w:sz w:val="20"/>
          <w:szCs w:val="20"/>
        </w:rPr>
      </w:pPr>
      <w:r w:rsidRPr="008049DC">
        <w:rPr>
          <w:sz w:val="20"/>
          <w:szCs w:val="20"/>
        </w:rPr>
        <w:t xml:space="preserve">DP2027 </w:t>
      </w:r>
      <w:r>
        <w:rPr>
          <w:sz w:val="20"/>
          <w:szCs w:val="20"/>
        </w:rPr>
        <w:t>–</w:t>
      </w:r>
      <w:r w:rsidRPr="008049DC">
        <w:rPr>
          <w:sz w:val="20"/>
          <w:szCs w:val="20"/>
        </w:rPr>
        <w:t xml:space="preserve"> ES fondu 2021.-2027.gada programmas </w:t>
      </w:r>
    </w:p>
    <w:p w14:paraId="02C8FBA1" w14:textId="77777777" w:rsidR="00F96829" w:rsidRPr="00116448" w:rsidRDefault="00F96829" w:rsidP="00252289">
      <w:pPr>
        <w:tabs>
          <w:tab w:val="right" w:leader="dot" w:pos="14459"/>
        </w:tabs>
        <w:spacing w:before="80" w:after="80" w:line="240" w:lineRule="auto"/>
        <w:rPr>
          <w:rFonts w:cs="Times New Roman"/>
          <w:sz w:val="20"/>
          <w:szCs w:val="20"/>
        </w:rPr>
      </w:pPr>
      <w:r w:rsidRPr="00116448">
        <w:rPr>
          <w:rFonts w:eastAsia="Times New Roman" w:cs="Times New Roman"/>
          <w:sz w:val="20"/>
          <w:szCs w:val="20"/>
          <w:lang w:eastAsia="lv-LV"/>
        </w:rPr>
        <w:t>EEZ – Eiropas Ekonomisk</w:t>
      </w:r>
      <w:r w:rsidR="0023454D" w:rsidRPr="00116448">
        <w:rPr>
          <w:rFonts w:eastAsia="Times New Roman" w:cs="Times New Roman"/>
          <w:sz w:val="20"/>
          <w:szCs w:val="20"/>
          <w:lang w:eastAsia="lv-LV"/>
        </w:rPr>
        <w:t>as</w:t>
      </w:r>
      <w:r w:rsidRPr="00116448">
        <w:rPr>
          <w:rFonts w:eastAsia="Times New Roman" w:cs="Times New Roman"/>
          <w:sz w:val="20"/>
          <w:szCs w:val="20"/>
          <w:lang w:eastAsia="lv-LV"/>
        </w:rPr>
        <w:t xml:space="preserve"> zona</w:t>
      </w:r>
    </w:p>
    <w:p w14:paraId="736A1133" w14:textId="77777777" w:rsidR="00EE3A52" w:rsidRDefault="00EE3A52" w:rsidP="00252289">
      <w:pPr>
        <w:tabs>
          <w:tab w:val="right" w:leader="dot" w:pos="14459"/>
        </w:tabs>
        <w:spacing w:before="80" w:after="80" w:line="240" w:lineRule="auto"/>
        <w:rPr>
          <w:rFonts w:cs="Times New Roman"/>
          <w:sz w:val="20"/>
          <w:szCs w:val="20"/>
        </w:rPr>
      </w:pPr>
      <w:r w:rsidRPr="009F1BEE">
        <w:rPr>
          <w:rFonts w:cs="Times New Roman"/>
          <w:sz w:val="20"/>
          <w:szCs w:val="20"/>
        </w:rPr>
        <w:t>EK – Eiropas Komisija</w:t>
      </w:r>
    </w:p>
    <w:p w14:paraId="4722B6D5" w14:textId="77777777" w:rsidR="005D0533" w:rsidRPr="005D0533" w:rsidRDefault="005D0533" w:rsidP="00252289">
      <w:pPr>
        <w:tabs>
          <w:tab w:val="right" w:leader="dot" w:pos="14459"/>
        </w:tabs>
        <w:spacing w:before="80" w:after="80" w:line="240" w:lineRule="auto"/>
        <w:rPr>
          <w:rFonts w:cs="Times New Roman"/>
          <w:sz w:val="20"/>
          <w:szCs w:val="20"/>
        </w:rPr>
      </w:pPr>
      <w:r w:rsidRPr="005D0533">
        <w:rPr>
          <w:rFonts w:cs="Times New Roman"/>
          <w:bCs/>
          <w:color w:val="212529"/>
          <w:sz w:val="20"/>
          <w:szCs w:val="20"/>
          <w:shd w:val="clear" w:color="auto" w:fill="FFFFFF"/>
        </w:rPr>
        <w:t>EKA – Eiropas Kosmosa aģentūra</w:t>
      </w:r>
    </w:p>
    <w:p w14:paraId="19CCEA1D" w14:textId="77777777" w:rsidR="000E7873" w:rsidRPr="00C22DCD" w:rsidRDefault="000E7873" w:rsidP="00252289">
      <w:pPr>
        <w:tabs>
          <w:tab w:val="right" w:leader="dot" w:pos="14459"/>
        </w:tabs>
        <w:spacing w:before="80" w:after="80" w:line="240" w:lineRule="auto"/>
        <w:rPr>
          <w:rFonts w:cs="Times New Roman"/>
          <w:sz w:val="20"/>
          <w:szCs w:val="20"/>
        </w:rPr>
      </w:pPr>
      <w:r w:rsidRPr="00C22DCD">
        <w:rPr>
          <w:rFonts w:cs="Times New Roman"/>
          <w:sz w:val="20"/>
          <w:szCs w:val="20"/>
        </w:rPr>
        <w:t>EM – Ekonomikas ministrija</w:t>
      </w:r>
    </w:p>
    <w:p w14:paraId="653E211E" w14:textId="3E1883CD" w:rsidR="00ED003B" w:rsidRPr="00144008" w:rsidRDefault="00ED003B" w:rsidP="00252289">
      <w:pPr>
        <w:tabs>
          <w:tab w:val="right" w:leader="dot" w:pos="14459"/>
        </w:tabs>
        <w:spacing w:before="80" w:after="80" w:line="240" w:lineRule="auto"/>
        <w:rPr>
          <w:iCs/>
          <w:sz w:val="20"/>
          <w:szCs w:val="20"/>
        </w:rPr>
      </w:pPr>
      <w:r w:rsidRPr="00144008">
        <w:rPr>
          <w:rFonts w:cs="Times New Roman"/>
          <w:sz w:val="20"/>
          <w:szCs w:val="20"/>
        </w:rPr>
        <w:t>ERAF</w:t>
      </w:r>
      <w:r w:rsidR="00903A4F" w:rsidRPr="00144008">
        <w:rPr>
          <w:rFonts w:cs="Times New Roman"/>
          <w:sz w:val="20"/>
          <w:szCs w:val="20"/>
        </w:rPr>
        <w:t xml:space="preserve"> –</w:t>
      </w:r>
      <w:r w:rsidR="001565A0">
        <w:rPr>
          <w:rFonts w:cs="Times New Roman"/>
          <w:sz w:val="20"/>
          <w:szCs w:val="20"/>
        </w:rPr>
        <w:t xml:space="preserve"> </w:t>
      </w:r>
      <w:r w:rsidR="002614A9" w:rsidRPr="00144008">
        <w:rPr>
          <w:iCs/>
          <w:sz w:val="20"/>
          <w:szCs w:val="20"/>
        </w:rPr>
        <w:t>Eiropas Reģionālās attīstības fonds</w:t>
      </w:r>
    </w:p>
    <w:p w14:paraId="1B8959C9" w14:textId="77777777" w:rsidR="00852CE9" w:rsidRPr="00116448" w:rsidRDefault="00852CE9" w:rsidP="00252289">
      <w:pPr>
        <w:tabs>
          <w:tab w:val="right" w:leader="dot" w:pos="14459"/>
        </w:tabs>
        <w:spacing w:before="80" w:after="80" w:line="240" w:lineRule="auto"/>
        <w:rPr>
          <w:sz w:val="20"/>
          <w:szCs w:val="20"/>
        </w:rPr>
      </w:pPr>
      <w:r w:rsidRPr="00116448">
        <w:rPr>
          <w:rFonts w:eastAsia="Times New Roman" w:cs="Times New Roman"/>
          <w:sz w:val="20"/>
          <w:szCs w:val="20"/>
          <w:lang w:eastAsia="lv-LV"/>
        </w:rPr>
        <w:t xml:space="preserve">EPS – Energoefektivitātes pienākuma shēma </w:t>
      </w:r>
    </w:p>
    <w:p w14:paraId="7F463E58" w14:textId="77777777" w:rsidR="002614A9" w:rsidRPr="009F1BEE" w:rsidRDefault="002614A9" w:rsidP="00252289">
      <w:pPr>
        <w:tabs>
          <w:tab w:val="right" w:leader="dot" w:pos="14459"/>
        </w:tabs>
        <w:spacing w:before="80" w:after="80" w:line="240" w:lineRule="auto"/>
        <w:rPr>
          <w:sz w:val="20"/>
          <w:szCs w:val="20"/>
        </w:rPr>
      </w:pPr>
      <w:r w:rsidRPr="009F1BEE">
        <w:rPr>
          <w:sz w:val="20"/>
          <w:szCs w:val="20"/>
        </w:rPr>
        <w:t xml:space="preserve">ES </w:t>
      </w:r>
      <w:r w:rsidRPr="009F1BEE">
        <w:rPr>
          <w:rFonts w:cs="Times New Roman"/>
          <w:sz w:val="20"/>
          <w:szCs w:val="20"/>
        </w:rPr>
        <w:t>–</w:t>
      </w:r>
      <w:r w:rsidRPr="009F1BEE">
        <w:rPr>
          <w:sz w:val="20"/>
          <w:szCs w:val="20"/>
        </w:rPr>
        <w:t xml:space="preserve"> Eiropas Savienība </w:t>
      </w:r>
    </w:p>
    <w:p w14:paraId="44D2BD5D" w14:textId="77777777" w:rsidR="00F96829" w:rsidRPr="00116448" w:rsidRDefault="00F96829" w:rsidP="00252289">
      <w:pPr>
        <w:tabs>
          <w:tab w:val="right" w:leader="dot" w:pos="14459"/>
        </w:tabs>
        <w:spacing w:before="80" w:after="80" w:line="240" w:lineRule="auto"/>
        <w:rPr>
          <w:rFonts w:eastAsia="Franklin Gothic Book" w:cs="Times New Roman"/>
          <w:sz w:val="20"/>
          <w:szCs w:val="20"/>
        </w:rPr>
      </w:pPr>
      <w:r w:rsidRPr="00116448">
        <w:rPr>
          <w:rFonts w:eastAsia="Times New Roman" w:cs="Times New Roman"/>
          <w:sz w:val="20"/>
          <w:szCs w:val="20"/>
          <w:lang w:eastAsia="lv-LV"/>
        </w:rPr>
        <w:t>ESF – Eiropas Sociālais fonds</w:t>
      </w:r>
    </w:p>
    <w:p w14:paraId="63B77B50" w14:textId="77777777" w:rsidR="00791E0D" w:rsidRPr="00116448" w:rsidRDefault="00791E0D" w:rsidP="00252289">
      <w:pPr>
        <w:tabs>
          <w:tab w:val="right" w:leader="dot" w:pos="14459"/>
        </w:tabs>
        <w:spacing w:before="80" w:after="80" w:line="240" w:lineRule="auto"/>
        <w:rPr>
          <w:rFonts w:cs="Times New Roman"/>
          <w:sz w:val="20"/>
          <w:szCs w:val="20"/>
        </w:rPr>
      </w:pPr>
      <w:r w:rsidRPr="00116448">
        <w:rPr>
          <w:sz w:val="20"/>
          <w:szCs w:val="20"/>
        </w:rPr>
        <w:t xml:space="preserve">IKP </w:t>
      </w:r>
      <w:r w:rsidRPr="00116448">
        <w:rPr>
          <w:rFonts w:cs="Times New Roman"/>
          <w:sz w:val="20"/>
          <w:szCs w:val="20"/>
        </w:rPr>
        <w:t>– Iekšzemes kopprodukts</w:t>
      </w:r>
    </w:p>
    <w:p w14:paraId="1102A6CC" w14:textId="77777777" w:rsidR="004341D0" w:rsidRPr="007F744A" w:rsidRDefault="004341D0" w:rsidP="00252289">
      <w:pPr>
        <w:tabs>
          <w:tab w:val="right" w:leader="dot" w:pos="14459"/>
        </w:tabs>
        <w:spacing w:before="80" w:after="80" w:line="240" w:lineRule="auto"/>
        <w:rPr>
          <w:color w:val="000000" w:themeColor="text1"/>
          <w:sz w:val="20"/>
          <w:szCs w:val="20"/>
        </w:rPr>
      </w:pPr>
      <w:r w:rsidRPr="007F744A">
        <w:rPr>
          <w:color w:val="000000" w:themeColor="text1"/>
          <w:sz w:val="20"/>
          <w:szCs w:val="20"/>
        </w:rPr>
        <w:t>IKT – Informācijas un komunikācijas tehnoloģij</w:t>
      </w:r>
      <w:r w:rsidR="00AA6B8E" w:rsidRPr="007F744A">
        <w:rPr>
          <w:color w:val="000000" w:themeColor="text1"/>
          <w:sz w:val="20"/>
          <w:szCs w:val="20"/>
        </w:rPr>
        <w:t>as</w:t>
      </w:r>
    </w:p>
    <w:p w14:paraId="2DC5A7D1" w14:textId="77777777" w:rsidR="00D27D9D" w:rsidRPr="005D0533" w:rsidRDefault="00D27D9D" w:rsidP="00252289">
      <w:pPr>
        <w:tabs>
          <w:tab w:val="right" w:leader="dot" w:pos="14459"/>
        </w:tabs>
        <w:spacing w:before="80" w:after="80" w:line="240" w:lineRule="auto"/>
        <w:rPr>
          <w:rFonts w:cs="Times New Roman"/>
          <w:sz w:val="20"/>
          <w:szCs w:val="20"/>
        </w:rPr>
      </w:pPr>
      <w:r w:rsidRPr="005D0533">
        <w:rPr>
          <w:color w:val="000000" w:themeColor="text1"/>
          <w:sz w:val="20"/>
          <w:szCs w:val="20"/>
        </w:rPr>
        <w:t>IZM – Izglītības un zinātnes ministrija</w:t>
      </w:r>
    </w:p>
    <w:p w14:paraId="12C3D040" w14:textId="77777777" w:rsidR="005F2E2A" w:rsidRPr="005F2E2A" w:rsidRDefault="005F2E2A" w:rsidP="00252289">
      <w:pPr>
        <w:tabs>
          <w:tab w:val="right" w:leader="dot" w:pos="14459"/>
        </w:tabs>
        <w:spacing w:before="80" w:after="80" w:line="240" w:lineRule="auto"/>
        <w:rPr>
          <w:rFonts w:eastAsia="Franklin Gothic Book" w:cs="Times New Roman"/>
          <w:sz w:val="20"/>
          <w:szCs w:val="20"/>
        </w:rPr>
      </w:pPr>
      <w:r w:rsidRPr="005F2E2A">
        <w:rPr>
          <w:sz w:val="20"/>
          <w:szCs w:val="20"/>
        </w:rPr>
        <w:t>KF – Kohēzijas fonds</w:t>
      </w:r>
    </w:p>
    <w:p w14:paraId="7D18DA1F" w14:textId="4D852604" w:rsidR="000D07B3" w:rsidRPr="009F1BEE" w:rsidRDefault="000D07B3" w:rsidP="00252289">
      <w:pPr>
        <w:tabs>
          <w:tab w:val="right" w:leader="dot" w:pos="14459"/>
        </w:tabs>
        <w:spacing w:before="80" w:after="80" w:line="240" w:lineRule="auto"/>
        <w:rPr>
          <w:rFonts w:cs="Times New Roman"/>
          <w:sz w:val="20"/>
          <w:szCs w:val="20"/>
        </w:rPr>
      </w:pPr>
      <w:r w:rsidRPr="009F1BEE">
        <w:rPr>
          <w:rFonts w:eastAsia="Franklin Gothic Book" w:cs="Times New Roman"/>
          <w:sz w:val="20"/>
          <w:szCs w:val="20"/>
        </w:rPr>
        <w:t>KP</w:t>
      </w:r>
      <w:r w:rsidR="001565A0">
        <w:rPr>
          <w:rFonts w:eastAsia="Franklin Gothic Book" w:cs="Times New Roman"/>
          <w:sz w:val="20"/>
          <w:szCs w:val="20"/>
        </w:rPr>
        <w:t xml:space="preserve"> </w:t>
      </w:r>
      <w:r w:rsidR="00903A4F" w:rsidRPr="009F1BEE">
        <w:rPr>
          <w:rFonts w:cs="Times New Roman"/>
          <w:sz w:val="20"/>
          <w:szCs w:val="20"/>
        </w:rPr>
        <w:t>–</w:t>
      </w:r>
      <w:r w:rsidR="00DD5C94" w:rsidRPr="009F1BEE">
        <w:rPr>
          <w:rFonts w:cs="Times New Roman"/>
          <w:sz w:val="20"/>
          <w:szCs w:val="20"/>
        </w:rPr>
        <w:t xml:space="preserve"> Konkurences padome</w:t>
      </w:r>
    </w:p>
    <w:p w14:paraId="3D74E447" w14:textId="77777777" w:rsidR="00B3058E" w:rsidRPr="007F744A" w:rsidRDefault="00B3058E" w:rsidP="00252289">
      <w:pPr>
        <w:tabs>
          <w:tab w:val="right" w:leader="dot" w:pos="14459"/>
        </w:tabs>
        <w:spacing w:before="80" w:after="80" w:line="240" w:lineRule="auto"/>
        <w:rPr>
          <w:sz w:val="20"/>
          <w:szCs w:val="20"/>
        </w:rPr>
      </w:pPr>
      <w:r w:rsidRPr="007F744A">
        <w:rPr>
          <w:sz w:val="20"/>
          <w:szCs w:val="20"/>
        </w:rPr>
        <w:t xml:space="preserve">LATAK </w:t>
      </w:r>
      <w:r w:rsidRPr="007F744A">
        <w:rPr>
          <w:rFonts w:cs="Times New Roman"/>
          <w:sz w:val="20"/>
          <w:szCs w:val="20"/>
        </w:rPr>
        <w:t xml:space="preserve">– </w:t>
      </w:r>
      <w:r w:rsidRPr="007F744A">
        <w:rPr>
          <w:sz w:val="20"/>
          <w:szCs w:val="20"/>
        </w:rPr>
        <w:t>Latvijas Nacionālais akreditācijas birojs</w:t>
      </w:r>
    </w:p>
    <w:p w14:paraId="48664BF0" w14:textId="77777777" w:rsidR="00526D98" w:rsidRPr="00A204CD" w:rsidRDefault="00526D98" w:rsidP="00252289">
      <w:pPr>
        <w:tabs>
          <w:tab w:val="right" w:leader="dot" w:pos="14459"/>
        </w:tabs>
        <w:spacing w:before="80" w:after="80" w:line="240" w:lineRule="auto"/>
        <w:rPr>
          <w:rFonts w:cs="Times New Roman"/>
          <w:sz w:val="20"/>
          <w:szCs w:val="20"/>
        </w:rPr>
      </w:pPr>
      <w:r w:rsidRPr="00A204CD">
        <w:rPr>
          <w:rFonts w:cs="Times New Roman"/>
          <w:sz w:val="20"/>
          <w:szCs w:val="20"/>
        </w:rPr>
        <w:t xml:space="preserve">LDDK </w:t>
      </w:r>
      <w:r w:rsidR="00D87E34" w:rsidRPr="00A204CD">
        <w:rPr>
          <w:rFonts w:cs="Times New Roman"/>
          <w:sz w:val="20"/>
          <w:szCs w:val="20"/>
        </w:rPr>
        <w:t>–</w:t>
      </w:r>
      <w:r w:rsidRPr="00A204CD">
        <w:rPr>
          <w:rFonts w:cs="Times New Roman"/>
          <w:sz w:val="20"/>
          <w:szCs w:val="20"/>
        </w:rPr>
        <w:t xml:space="preserve"> Latvijas Darba devēju konfederācija</w:t>
      </w:r>
    </w:p>
    <w:p w14:paraId="177C0F5B" w14:textId="77777777" w:rsidR="000E7873" w:rsidRPr="007F744A" w:rsidRDefault="000E7873" w:rsidP="00252289">
      <w:pPr>
        <w:tabs>
          <w:tab w:val="right" w:leader="dot" w:pos="14459"/>
        </w:tabs>
        <w:spacing w:before="80" w:after="80" w:line="240" w:lineRule="auto"/>
        <w:rPr>
          <w:rFonts w:cs="Times New Roman"/>
          <w:sz w:val="20"/>
          <w:szCs w:val="20"/>
        </w:rPr>
      </w:pPr>
      <w:r w:rsidRPr="007F744A">
        <w:rPr>
          <w:sz w:val="20"/>
          <w:szCs w:val="20"/>
        </w:rPr>
        <w:t>LIAA –</w:t>
      </w:r>
      <w:r w:rsidRPr="007F744A">
        <w:rPr>
          <w:rFonts w:cs="Times New Roman"/>
          <w:sz w:val="20"/>
          <w:szCs w:val="20"/>
        </w:rPr>
        <w:t xml:space="preserve"> Latvijas Investīciju un attīstības aģentūra</w:t>
      </w:r>
    </w:p>
    <w:p w14:paraId="4F2C5DBC" w14:textId="2517C3C3" w:rsidR="00117722" w:rsidRPr="00117722" w:rsidRDefault="00117722" w:rsidP="00252289">
      <w:pPr>
        <w:tabs>
          <w:tab w:val="right" w:leader="dot" w:pos="14459"/>
        </w:tabs>
        <w:spacing w:before="80" w:after="80" w:line="240" w:lineRule="auto"/>
        <w:rPr>
          <w:rFonts w:cs="Times New Roman"/>
          <w:sz w:val="20"/>
          <w:szCs w:val="20"/>
        </w:rPr>
      </w:pPr>
      <w:r w:rsidRPr="00117722">
        <w:rPr>
          <w:rFonts w:eastAsia="Arial"/>
          <w:sz w:val="20"/>
          <w:szCs w:val="20"/>
        </w:rPr>
        <w:t>LNB – Latvijas Nacionālā bibliotēka</w:t>
      </w:r>
    </w:p>
    <w:p w14:paraId="0D65CF62" w14:textId="66726F80" w:rsidR="003315D5" w:rsidRPr="00AA644A" w:rsidRDefault="003315D5" w:rsidP="00252289">
      <w:pPr>
        <w:tabs>
          <w:tab w:val="right" w:leader="dot" w:pos="14459"/>
        </w:tabs>
        <w:spacing w:before="80" w:after="80" w:line="240" w:lineRule="auto"/>
        <w:rPr>
          <w:sz w:val="20"/>
          <w:szCs w:val="20"/>
        </w:rPr>
      </w:pPr>
      <w:r w:rsidRPr="00AA644A">
        <w:rPr>
          <w:rFonts w:cs="Times New Roman"/>
          <w:sz w:val="20"/>
          <w:szCs w:val="20"/>
        </w:rPr>
        <w:t xml:space="preserve">LNMC </w:t>
      </w:r>
      <w:r w:rsidRPr="00AA644A">
        <w:rPr>
          <w:sz w:val="20"/>
          <w:szCs w:val="20"/>
        </w:rPr>
        <w:t>–</w:t>
      </w:r>
      <w:r w:rsidR="00117722">
        <w:rPr>
          <w:sz w:val="20"/>
          <w:szCs w:val="20"/>
        </w:rPr>
        <w:t xml:space="preserve"> </w:t>
      </w:r>
      <w:r w:rsidRPr="00AA644A">
        <w:rPr>
          <w:sz w:val="20"/>
          <w:szCs w:val="20"/>
        </w:rPr>
        <w:t>Latvijas Nacionālais metroloģijas centrs</w:t>
      </w:r>
    </w:p>
    <w:p w14:paraId="15D1945B" w14:textId="77777777" w:rsidR="00526D98" w:rsidRDefault="00526D98" w:rsidP="00252289">
      <w:pPr>
        <w:tabs>
          <w:tab w:val="right" w:leader="dot" w:pos="14459"/>
        </w:tabs>
        <w:spacing w:before="80" w:after="80" w:line="240" w:lineRule="auto"/>
        <w:rPr>
          <w:rFonts w:cs="Times New Roman"/>
          <w:sz w:val="20"/>
          <w:szCs w:val="20"/>
        </w:rPr>
      </w:pPr>
      <w:r w:rsidRPr="00A204CD">
        <w:rPr>
          <w:rFonts w:cs="Times New Roman"/>
          <w:sz w:val="20"/>
          <w:szCs w:val="20"/>
        </w:rPr>
        <w:t xml:space="preserve">LTRK </w:t>
      </w:r>
      <w:r w:rsidR="00D87E34" w:rsidRPr="00A204CD">
        <w:rPr>
          <w:rFonts w:cs="Times New Roman"/>
          <w:sz w:val="20"/>
          <w:szCs w:val="20"/>
        </w:rPr>
        <w:t>–</w:t>
      </w:r>
      <w:r w:rsidRPr="00A204CD">
        <w:rPr>
          <w:rFonts w:cs="Times New Roman"/>
          <w:sz w:val="20"/>
          <w:szCs w:val="20"/>
        </w:rPr>
        <w:t xml:space="preserve"> Latvijas Tirdzniecības un rūpniecības kamera</w:t>
      </w:r>
    </w:p>
    <w:p w14:paraId="243531EA" w14:textId="77777777" w:rsidR="00434F9E" w:rsidRPr="00434F9E" w:rsidRDefault="00434F9E" w:rsidP="00252289">
      <w:pPr>
        <w:tabs>
          <w:tab w:val="right" w:leader="dot" w:pos="14459"/>
        </w:tabs>
        <w:spacing w:before="80" w:after="80" w:line="240" w:lineRule="auto"/>
        <w:rPr>
          <w:rFonts w:cs="Times New Roman"/>
          <w:sz w:val="20"/>
          <w:szCs w:val="20"/>
        </w:rPr>
      </w:pPr>
      <w:r w:rsidRPr="00434F9E">
        <w:rPr>
          <w:sz w:val="20"/>
          <w:szCs w:val="20"/>
        </w:rPr>
        <w:t>LPS – Latvijas Pašvaldību savienība</w:t>
      </w:r>
    </w:p>
    <w:p w14:paraId="27C8A318" w14:textId="77777777" w:rsidR="00CB57A2" w:rsidRPr="00CB57A2" w:rsidRDefault="00CB57A2" w:rsidP="00252289">
      <w:pPr>
        <w:tabs>
          <w:tab w:val="right" w:leader="dot" w:pos="14459"/>
        </w:tabs>
        <w:spacing w:before="80" w:after="80" w:line="240" w:lineRule="auto"/>
        <w:rPr>
          <w:sz w:val="20"/>
          <w:szCs w:val="20"/>
        </w:rPr>
      </w:pPr>
      <w:r w:rsidRPr="00CB57A2">
        <w:rPr>
          <w:sz w:val="20"/>
          <w:szCs w:val="20"/>
        </w:rPr>
        <w:t>LVĢMC – Latvijas vides, ģeoloģijas un meteoroloģijas centrs</w:t>
      </w:r>
    </w:p>
    <w:p w14:paraId="57259553" w14:textId="77777777" w:rsidR="00822596" w:rsidRPr="00AA644A" w:rsidRDefault="00822596" w:rsidP="00252289">
      <w:pPr>
        <w:tabs>
          <w:tab w:val="right" w:leader="dot" w:pos="14459"/>
        </w:tabs>
        <w:spacing w:before="80" w:after="80" w:line="240" w:lineRule="auto"/>
        <w:rPr>
          <w:rFonts w:cs="Times New Roman"/>
          <w:sz w:val="20"/>
          <w:szCs w:val="20"/>
        </w:rPr>
      </w:pPr>
      <w:r w:rsidRPr="00AA644A">
        <w:rPr>
          <w:sz w:val="20"/>
          <w:szCs w:val="20"/>
        </w:rPr>
        <w:t xml:space="preserve">LVS – SIA “Latvijas standarts” </w:t>
      </w:r>
    </w:p>
    <w:p w14:paraId="57DE878A" w14:textId="77777777" w:rsidR="00BD18D4" w:rsidRPr="00116448" w:rsidRDefault="00BD18D4" w:rsidP="00252289">
      <w:pPr>
        <w:tabs>
          <w:tab w:val="right" w:leader="dot" w:pos="14459"/>
        </w:tabs>
        <w:spacing w:before="80" w:after="80" w:line="240" w:lineRule="auto"/>
        <w:rPr>
          <w:sz w:val="20"/>
          <w:szCs w:val="20"/>
        </w:rPr>
      </w:pPr>
      <w:r w:rsidRPr="00116448">
        <w:rPr>
          <w:sz w:val="20"/>
          <w:szCs w:val="20"/>
        </w:rPr>
        <w:t>NEKP – Nacionālais enerģētikas un klimata plāns</w:t>
      </w:r>
    </w:p>
    <w:p w14:paraId="0F0292AD" w14:textId="77777777" w:rsidR="00F76CE5" w:rsidRPr="00781204" w:rsidRDefault="00F76CE5" w:rsidP="00252289">
      <w:pPr>
        <w:tabs>
          <w:tab w:val="right" w:leader="dot" w:pos="14459"/>
        </w:tabs>
        <w:spacing w:before="80" w:after="80" w:line="240" w:lineRule="auto"/>
        <w:rPr>
          <w:sz w:val="20"/>
          <w:szCs w:val="20"/>
        </w:rPr>
      </w:pPr>
      <w:r w:rsidRPr="00781204">
        <w:rPr>
          <w:sz w:val="20"/>
          <w:szCs w:val="20"/>
        </w:rPr>
        <w:t xml:space="preserve">NVO </w:t>
      </w:r>
      <w:r w:rsidRPr="00781204">
        <w:rPr>
          <w:rFonts w:cs="Times New Roman"/>
          <w:sz w:val="20"/>
          <w:szCs w:val="20"/>
        </w:rPr>
        <w:t xml:space="preserve">– </w:t>
      </w:r>
      <w:r w:rsidRPr="00781204">
        <w:rPr>
          <w:sz w:val="20"/>
          <w:szCs w:val="20"/>
        </w:rPr>
        <w:t>Nevalstiskās organizācijas</w:t>
      </w:r>
    </w:p>
    <w:p w14:paraId="70C1ACA5" w14:textId="77777777" w:rsidR="00DB4342" w:rsidRPr="00256E6D" w:rsidRDefault="00DB4342" w:rsidP="00252289">
      <w:pPr>
        <w:tabs>
          <w:tab w:val="right" w:leader="dot" w:pos="14459"/>
        </w:tabs>
        <w:spacing w:before="80" w:after="80" w:line="240" w:lineRule="auto"/>
        <w:rPr>
          <w:sz w:val="20"/>
          <w:szCs w:val="20"/>
        </w:rPr>
      </w:pPr>
      <w:r w:rsidRPr="00256E6D">
        <w:rPr>
          <w:sz w:val="20"/>
          <w:szCs w:val="20"/>
        </w:rPr>
        <w:t xml:space="preserve">MK – </w:t>
      </w:r>
      <w:r w:rsidR="007C20BC" w:rsidRPr="00256E6D">
        <w:rPr>
          <w:sz w:val="20"/>
          <w:szCs w:val="20"/>
        </w:rPr>
        <w:t>M</w:t>
      </w:r>
      <w:r w:rsidRPr="00256E6D">
        <w:rPr>
          <w:sz w:val="20"/>
          <w:szCs w:val="20"/>
        </w:rPr>
        <w:t>inistru kabinets</w:t>
      </w:r>
    </w:p>
    <w:p w14:paraId="51091FD0" w14:textId="77777777" w:rsidR="00357183" w:rsidRPr="00116448" w:rsidRDefault="00357183" w:rsidP="00252289">
      <w:pPr>
        <w:tabs>
          <w:tab w:val="right" w:leader="dot" w:pos="14459"/>
        </w:tabs>
        <w:spacing w:before="80" w:after="80" w:line="240" w:lineRule="auto"/>
        <w:rPr>
          <w:sz w:val="20"/>
          <w:szCs w:val="20"/>
        </w:rPr>
      </w:pPr>
      <w:r w:rsidRPr="00116448">
        <w:rPr>
          <w:sz w:val="20"/>
          <w:szCs w:val="20"/>
        </w:rPr>
        <w:t xml:space="preserve">MWh – </w:t>
      </w:r>
      <w:r w:rsidR="00566A81" w:rsidRPr="00116448">
        <w:rPr>
          <w:sz w:val="20"/>
          <w:szCs w:val="20"/>
        </w:rPr>
        <w:t>m</w:t>
      </w:r>
      <w:r w:rsidRPr="00116448">
        <w:rPr>
          <w:sz w:val="20"/>
          <w:szCs w:val="20"/>
        </w:rPr>
        <w:t>egavatu stundas</w:t>
      </w:r>
    </w:p>
    <w:p w14:paraId="661661BA" w14:textId="77777777" w:rsidR="00786476" w:rsidRPr="0053329E" w:rsidRDefault="00935CB0" w:rsidP="00252289">
      <w:pPr>
        <w:tabs>
          <w:tab w:val="right" w:leader="dot" w:pos="14459"/>
        </w:tabs>
        <w:spacing w:before="80" w:after="80" w:line="240" w:lineRule="auto"/>
        <w:rPr>
          <w:sz w:val="20"/>
          <w:szCs w:val="20"/>
        </w:rPr>
      </w:pPr>
      <w:r w:rsidRPr="0053329E">
        <w:rPr>
          <w:sz w:val="20"/>
          <w:szCs w:val="20"/>
        </w:rPr>
        <w:t xml:space="preserve">MVU – </w:t>
      </w:r>
      <w:r w:rsidR="000E7873" w:rsidRPr="0053329E">
        <w:rPr>
          <w:sz w:val="20"/>
          <w:szCs w:val="20"/>
        </w:rPr>
        <w:t>mazie un vidējie uzņēmumi</w:t>
      </w:r>
    </w:p>
    <w:p w14:paraId="03AFFD62" w14:textId="0810396E" w:rsidR="003D3F52" w:rsidRPr="00C22DCD" w:rsidRDefault="003D3F52" w:rsidP="00252289">
      <w:pPr>
        <w:tabs>
          <w:tab w:val="right" w:leader="dot" w:pos="14459"/>
        </w:tabs>
        <w:spacing w:before="80" w:after="80" w:line="240" w:lineRule="auto"/>
        <w:rPr>
          <w:rFonts w:eastAsia="Franklin Gothic Book" w:cs="Times New Roman"/>
          <w:sz w:val="20"/>
          <w:szCs w:val="20"/>
        </w:rPr>
      </w:pPr>
      <w:r w:rsidRPr="00C22DCD">
        <w:rPr>
          <w:rFonts w:eastAsia="Franklin Gothic Book" w:cs="Times New Roman"/>
          <w:sz w:val="20"/>
          <w:szCs w:val="20"/>
        </w:rPr>
        <w:t xml:space="preserve">OECD </w:t>
      </w:r>
      <w:r w:rsidR="00D87E34" w:rsidRPr="00C22DCD">
        <w:rPr>
          <w:rFonts w:eastAsia="Franklin Gothic Book" w:cs="Times New Roman"/>
          <w:sz w:val="20"/>
          <w:szCs w:val="20"/>
        </w:rPr>
        <w:t>–</w:t>
      </w:r>
      <w:r w:rsidR="001565A0">
        <w:rPr>
          <w:rFonts w:eastAsia="Franklin Gothic Book" w:cs="Times New Roman"/>
          <w:sz w:val="20"/>
          <w:szCs w:val="20"/>
        </w:rPr>
        <w:t xml:space="preserve"> </w:t>
      </w:r>
      <w:r w:rsidR="00A43632" w:rsidRPr="00C22DCD">
        <w:rPr>
          <w:rStyle w:val="st"/>
          <w:sz w:val="20"/>
          <w:szCs w:val="20"/>
        </w:rPr>
        <w:t>Ekonomiskās sadarbības un attīstības organizācija</w:t>
      </w:r>
    </w:p>
    <w:p w14:paraId="11983FCB" w14:textId="5A9C6E79" w:rsidR="00C02F47" w:rsidRPr="00C02F47" w:rsidRDefault="00C02F47" w:rsidP="00C02F47">
      <w:pPr>
        <w:tabs>
          <w:tab w:val="right" w:leader="dot" w:pos="14459"/>
        </w:tabs>
        <w:spacing w:before="80" w:after="80" w:line="240" w:lineRule="auto"/>
        <w:rPr>
          <w:rFonts w:eastAsia="Franklin Gothic Book" w:cs="Times New Roman"/>
          <w:sz w:val="20"/>
          <w:szCs w:val="20"/>
        </w:rPr>
      </w:pPr>
      <w:r w:rsidRPr="00C02F47">
        <w:rPr>
          <w:rFonts w:eastAsia="Franklin Gothic Book" w:cs="Times New Roman"/>
          <w:sz w:val="20"/>
          <w:szCs w:val="20"/>
        </w:rPr>
        <w:t xml:space="preserve">OI – </w:t>
      </w:r>
      <w:r w:rsidR="00D017DD" w:rsidRPr="00C02F47">
        <w:rPr>
          <w:rFonts w:eastAsia="Franklin Gothic Book" w:cs="Times New Roman"/>
          <w:sz w:val="20"/>
          <w:szCs w:val="20"/>
        </w:rPr>
        <w:t>obligāt</w:t>
      </w:r>
      <w:r w:rsidR="00D017DD">
        <w:rPr>
          <w:rFonts w:eastAsia="Franklin Gothic Book" w:cs="Times New Roman"/>
          <w:sz w:val="20"/>
          <w:szCs w:val="20"/>
        </w:rPr>
        <w:t>ais</w:t>
      </w:r>
      <w:r w:rsidR="00D017DD" w:rsidRPr="00C02F47">
        <w:rPr>
          <w:rFonts w:eastAsia="Franklin Gothic Book" w:cs="Times New Roman"/>
          <w:sz w:val="20"/>
          <w:szCs w:val="20"/>
        </w:rPr>
        <w:t xml:space="preserve"> iepirkum</w:t>
      </w:r>
      <w:r w:rsidR="00D017DD">
        <w:rPr>
          <w:rFonts w:eastAsia="Franklin Gothic Book" w:cs="Times New Roman"/>
          <w:sz w:val="20"/>
          <w:szCs w:val="20"/>
        </w:rPr>
        <w:t>s</w:t>
      </w:r>
      <w:r w:rsidR="00D017DD" w:rsidRPr="00C02F47">
        <w:rPr>
          <w:rFonts w:eastAsia="Franklin Gothic Book" w:cs="Times New Roman"/>
          <w:sz w:val="20"/>
          <w:szCs w:val="20"/>
        </w:rPr>
        <w:t xml:space="preserve"> </w:t>
      </w:r>
    </w:p>
    <w:p w14:paraId="18D40226" w14:textId="77777777" w:rsidR="00AF6F6C" w:rsidRPr="00C02F47" w:rsidRDefault="00AF6F6C" w:rsidP="00252289">
      <w:pPr>
        <w:tabs>
          <w:tab w:val="right" w:leader="dot" w:pos="14459"/>
        </w:tabs>
        <w:spacing w:before="80" w:after="80" w:line="240" w:lineRule="auto"/>
        <w:rPr>
          <w:rFonts w:eastAsia="Franklin Gothic Book" w:cs="Times New Roman"/>
          <w:sz w:val="20"/>
          <w:szCs w:val="20"/>
        </w:rPr>
      </w:pPr>
      <w:r w:rsidRPr="00C02F47">
        <w:rPr>
          <w:rFonts w:eastAsia="Franklin Gothic Book" w:cs="Times New Roman"/>
          <w:sz w:val="20"/>
          <w:szCs w:val="20"/>
        </w:rPr>
        <w:t xml:space="preserve">OIK </w:t>
      </w:r>
      <w:r w:rsidR="00D87E34" w:rsidRPr="00C02F47">
        <w:rPr>
          <w:rFonts w:eastAsia="Franklin Gothic Book" w:cs="Times New Roman"/>
          <w:sz w:val="20"/>
          <w:szCs w:val="20"/>
        </w:rPr>
        <w:t>–</w:t>
      </w:r>
      <w:r w:rsidRPr="00C02F47">
        <w:rPr>
          <w:rFonts w:eastAsia="Franklin Gothic Book" w:cs="Times New Roman"/>
          <w:sz w:val="20"/>
          <w:szCs w:val="20"/>
        </w:rPr>
        <w:t xml:space="preserve"> obligātā iepirkuma komponente</w:t>
      </w:r>
    </w:p>
    <w:p w14:paraId="18633683" w14:textId="55F90C87" w:rsidR="003328BB" w:rsidRDefault="003328BB" w:rsidP="00252289">
      <w:pPr>
        <w:tabs>
          <w:tab w:val="right" w:leader="dot" w:pos="14459"/>
        </w:tabs>
        <w:spacing w:before="80" w:after="80" w:line="240" w:lineRule="auto"/>
        <w:rPr>
          <w:sz w:val="20"/>
          <w:szCs w:val="20"/>
        </w:rPr>
      </w:pPr>
      <w:r w:rsidRPr="00973685">
        <w:rPr>
          <w:sz w:val="20"/>
          <w:szCs w:val="20"/>
        </w:rPr>
        <w:t>P&amp;A – Pētniecība un attīstība</w:t>
      </w:r>
    </w:p>
    <w:p w14:paraId="4E627C45" w14:textId="6EF1C12E" w:rsidR="004F49AB" w:rsidRPr="00973685" w:rsidRDefault="004F49AB" w:rsidP="00252289">
      <w:pPr>
        <w:tabs>
          <w:tab w:val="right" w:leader="dot" w:pos="14459"/>
        </w:tabs>
        <w:spacing w:before="80" w:after="80" w:line="240" w:lineRule="auto"/>
        <w:rPr>
          <w:sz w:val="20"/>
          <w:szCs w:val="20"/>
        </w:rPr>
      </w:pPr>
      <w:r w:rsidRPr="004F49AB">
        <w:rPr>
          <w:sz w:val="20"/>
          <w:szCs w:val="20"/>
        </w:rPr>
        <w:t xml:space="preserve">PPS </w:t>
      </w:r>
      <w:r>
        <w:rPr>
          <w:sz w:val="20"/>
          <w:szCs w:val="20"/>
        </w:rPr>
        <w:t>–</w:t>
      </w:r>
      <w:r w:rsidRPr="004F49AB">
        <w:rPr>
          <w:sz w:val="20"/>
          <w:szCs w:val="20"/>
        </w:rPr>
        <w:t xml:space="preserve"> pirktspējas</w:t>
      </w:r>
      <w:r>
        <w:rPr>
          <w:sz w:val="20"/>
          <w:szCs w:val="20"/>
        </w:rPr>
        <w:t xml:space="preserve"> </w:t>
      </w:r>
      <w:r w:rsidRPr="004F49AB">
        <w:rPr>
          <w:sz w:val="20"/>
          <w:szCs w:val="20"/>
        </w:rPr>
        <w:t xml:space="preserve"> paritātes standarts</w:t>
      </w:r>
    </w:p>
    <w:p w14:paraId="312EF6BD" w14:textId="77777777" w:rsidR="004F088D" w:rsidRPr="00FA522F" w:rsidRDefault="004F088D" w:rsidP="00252289">
      <w:pPr>
        <w:tabs>
          <w:tab w:val="right" w:leader="dot" w:pos="14459"/>
        </w:tabs>
        <w:spacing w:before="80" w:after="80" w:line="240" w:lineRule="auto"/>
        <w:rPr>
          <w:rFonts w:eastAsia="Franklin Gothic Book" w:cs="Times New Roman"/>
          <w:sz w:val="20"/>
          <w:szCs w:val="20"/>
        </w:rPr>
      </w:pPr>
      <w:r w:rsidRPr="00FA522F">
        <w:rPr>
          <w:rFonts w:eastAsia="Franklin Gothic Book" w:cs="Times New Roman"/>
          <w:sz w:val="20"/>
          <w:szCs w:val="20"/>
        </w:rPr>
        <w:t>PSO – Pārvades sistēmas operators</w:t>
      </w:r>
    </w:p>
    <w:p w14:paraId="71BC7E82" w14:textId="77777777" w:rsidR="00E2613B" w:rsidRPr="00FE2493" w:rsidRDefault="00E2613B" w:rsidP="00252289">
      <w:pPr>
        <w:tabs>
          <w:tab w:val="right" w:leader="dot" w:pos="14459"/>
        </w:tabs>
        <w:spacing w:before="80" w:after="80" w:line="240" w:lineRule="auto"/>
        <w:rPr>
          <w:rFonts w:eastAsia="Franklin Gothic Book" w:cs="Times New Roman"/>
          <w:sz w:val="20"/>
          <w:szCs w:val="20"/>
        </w:rPr>
      </w:pPr>
      <w:r w:rsidRPr="00FE2493">
        <w:rPr>
          <w:rFonts w:eastAsia="Franklin Gothic Book" w:cs="Times New Roman"/>
          <w:sz w:val="20"/>
          <w:szCs w:val="20"/>
        </w:rPr>
        <w:t xml:space="preserve">PTAC </w:t>
      </w:r>
      <w:r w:rsidRPr="00FE2493">
        <w:rPr>
          <w:sz w:val="20"/>
          <w:szCs w:val="20"/>
        </w:rPr>
        <w:t>–</w:t>
      </w:r>
      <w:r w:rsidRPr="00FE2493">
        <w:rPr>
          <w:rFonts w:eastAsia="Franklin Gothic Book" w:cs="Times New Roman"/>
          <w:sz w:val="20"/>
          <w:szCs w:val="20"/>
        </w:rPr>
        <w:t xml:space="preserve"> Patērētāju tiesību aizsardzības centrs </w:t>
      </w:r>
    </w:p>
    <w:p w14:paraId="674E36DD" w14:textId="77777777" w:rsidR="00F11294" w:rsidRPr="00973685" w:rsidRDefault="00F11294" w:rsidP="00252289">
      <w:pPr>
        <w:tabs>
          <w:tab w:val="right" w:leader="dot" w:pos="14459"/>
        </w:tabs>
        <w:spacing w:before="80" w:after="80" w:line="240" w:lineRule="auto"/>
        <w:rPr>
          <w:rFonts w:eastAsia="Franklin Gothic Book" w:cs="Times New Roman"/>
          <w:sz w:val="20"/>
          <w:szCs w:val="20"/>
        </w:rPr>
      </w:pPr>
      <w:r w:rsidRPr="00973685">
        <w:rPr>
          <w:rFonts w:cs="Times New Roman"/>
          <w:bCs/>
          <w:sz w:val="20"/>
          <w:szCs w:val="20"/>
        </w:rPr>
        <w:t>RTU – Rīgas Tehniskā universitāte</w:t>
      </w:r>
    </w:p>
    <w:p w14:paraId="3E9B9D05" w14:textId="77777777" w:rsidR="00F12B18" w:rsidRPr="00F12B18" w:rsidRDefault="00F12B18" w:rsidP="00252289">
      <w:pPr>
        <w:tabs>
          <w:tab w:val="right" w:leader="dot" w:pos="14459"/>
        </w:tabs>
        <w:spacing w:before="80" w:after="80" w:line="240" w:lineRule="auto"/>
        <w:rPr>
          <w:sz w:val="20"/>
          <w:szCs w:val="20"/>
          <w:highlight w:val="yellow"/>
        </w:rPr>
      </w:pPr>
      <w:r w:rsidRPr="00F12B18">
        <w:rPr>
          <w:sz w:val="20"/>
          <w:szCs w:val="20"/>
        </w:rPr>
        <w:t>SDG – sašķidrinātā dabasgāze</w:t>
      </w:r>
    </w:p>
    <w:p w14:paraId="72E38F65" w14:textId="77777777" w:rsidR="002B1696" w:rsidRPr="00720056" w:rsidRDefault="002B1696" w:rsidP="00252289">
      <w:pPr>
        <w:tabs>
          <w:tab w:val="right" w:leader="dot" w:pos="14459"/>
        </w:tabs>
        <w:spacing w:before="80" w:after="80" w:line="240" w:lineRule="auto"/>
        <w:rPr>
          <w:sz w:val="20"/>
          <w:szCs w:val="20"/>
        </w:rPr>
      </w:pPr>
      <w:r w:rsidRPr="00720056">
        <w:rPr>
          <w:sz w:val="20"/>
          <w:szCs w:val="20"/>
        </w:rPr>
        <w:t>SIA – sabiedrība ar ierobežotu atbildību</w:t>
      </w:r>
    </w:p>
    <w:p w14:paraId="1F0119F1" w14:textId="77777777" w:rsidR="00EE3A52" w:rsidRPr="00F12B18" w:rsidRDefault="00EE3A52" w:rsidP="00252289">
      <w:pPr>
        <w:tabs>
          <w:tab w:val="right" w:leader="dot" w:pos="14459"/>
        </w:tabs>
        <w:spacing w:before="80" w:after="80" w:line="240" w:lineRule="auto"/>
        <w:rPr>
          <w:sz w:val="20"/>
          <w:szCs w:val="20"/>
        </w:rPr>
      </w:pPr>
      <w:r w:rsidRPr="00F12B18">
        <w:rPr>
          <w:sz w:val="20"/>
          <w:szCs w:val="20"/>
        </w:rPr>
        <w:t>SPRK – Sabiedrisko pakalpojumu regulēšanas komisija</w:t>
      </w:r>
    </w:p>
    <w:p w14:paraId="084CFCF5" w14:textId="77777777" w:rsidR="000B0251" w:rsidRPr="00941144" w:rsidRDefault="000B0251" w:rsidP="00252289">
      <w:pPr>
        <w:tabs>
          <w:tab w:val="right" w:leader="dot" w:pos="14459"/>
        </w:tabs>
        <w:spacing w:before="80" w:after="80" w:line="240" w:lineRule="auto"/>
        <w:rPr>
          <w:sz w:val="20"/>
          <w:szCs w:val="20"/>
        </w:rPr>
      </w:pPr>
      <w:r w:rsidRPr="00941144">
        <w:rPr>
          <w:sz w:val="20"/>
          <w:szCs w:val="20"/>
        </w:rPr>
        <w:t xml:space="preserve">STEM – </w:t>
      </w:r>
      <w:r w:rsidR="00B3058E" w:rsidRPr="00941144">
        <w:rPr>
          <w:sz w:val="20"/>
          <w:szCs w:val="20"/>
        </w:rPr>
        <w:t>zinātne, tehnoloģijas, inženierzinātnes un matemātika (</w:t>
      </w:r>
      <w:r w:rsidR="00035350" w:rsidRPr="00941144">
        <w:rPr>
          <w:i/>
          <w:sz w:val="20"/>
          <w:szCs w:val="20"/>
        </w:rPr>
        <w:t>angl.</w:t>
      </w:r>
      <w:r w:rsidR="00035350" w:rsidRPr="00941144">
        <w:rPr>
          <w:sz w:val="20"/>
          <w:szCs w:val="20"/>
        </w:rPr>
        <w:t>:</w:t>
      </w:r>
      <w:r w:rsidR="00B3058E" w:rsidRPr="00941144">
        <w:rPr>
          <w:i/>
          <w:iCs/>
          <w:sz w:val="20"/>
          <w:szCs w:val="20"/>
        </w:rPr>
        <w:t>science, technology, engineering, andmathematics</w:t>
      </w:r>
      <w:r w:rsidR="00B3058E" w:rsidRPr="00941144">
        <w:rPr>
          <w:sz w:val="20"/>
          <w:szCs w:val="20"/>
        </w:rPr>
        <w:t>)</w:t>
      </w:r>
    </w:p>
    <w:p w14:paraId="0C9104A5" w14:textId="77777777" w:rsidR="003C60BE" w:rsidRPr="00941144" w:rsidRDefault="003C60BE" w:rsidP="00252289">
      <w:pPr>
        <w:tabs>
          <w:tab w:val="right" w:leader="dot" w:pos="14459"/>
        </w:tabs>
        <w:spacing w:before="80" w:after="80" w:line="240" w:lineRule="auto"/>
        <w:rPr>
          <w:sz w:val="20"/>
          <w:szCs w:val="20"/>
        </w:rPr>
      </w:pPr>
      <w:r w:rsidRPr="00941144">
        <w:rPr>
          <w:rFonts w:cs="Times New Roman"/>
          <w:sz w:val="20"/>
          <w:szCs w:val="20"/>
        </w:rPr>
        <w:t>U</w:t>
      </w:r>
      <w:r w:rsidR="008425E8" w:rsidRPr="00941144">
        <w:rPr>
          <w:rFonts w:cs="Times New Roman"/>
          <w:sz w:val="20"/>
          <w:szCs w:val="20"/>
        </w:rPr>
        <w:t>I</w:t>
      </w:r>
      <w:r w:rsidRPr="00941144">
        <w:rPr>
          <w:rFonts w:cs="Times New Roman"/>
          <w:sz w:val="20"/>
          <w:szCs w:val="20"/>
        </w:rPr>
        <w:t>N – Uzņēmumu ienākuma nodoklis</w:t>
      </w:r>
    </w:p>
    <w:p w14:paraId="326BE5EA" w14:textId="77777777" w:rsidR="005C4325" w:rsidRPr="005C4325" w:rsidRDefault="005C4325" w:rsidP="00252289">
      <w:pPr>
        <w:tabs>
          <w:tab w:val="right" w:leader="dot" w:pos="14459"/>
        </w:tabs>
        <w:spacing w:before="80" w:after="80" w:line="240" w:lineRule="auto"/>
        <w:rPr>
          <w:rFonts w:cs="Times New Roman"/>
          <w:sz w:val="20"/>
          <w:szCs w:val="20"/>
        </w:rPr>
      </w:pPr>
      <w:r>
        <w:rPr>
          <w:rFonts w:cs="Times New Roman"/>
          <w:sz w:val="20"/>
          <w:szCs w:val="20"/>
        </w:rPr>
        <w:t xml:space="preserve">VDV – </w:t>
      </w:r>
      <w:r w:rsidRPr="005C4325">
        <w:rPr>
          <w:rFonts w:cs="Times New Roman"/>
          <w:sz w:val="20"/>
          <w:szCs w:val="20"/>
        </w:rPr>
        <w:t>Vienotas darba vides</w:t>
      </w:r>
    </w:p>
    <w:p w14:paraId="70600FC8" w14:textId="77777777" w:rsidR="00DC49BC" w:rsidRDefault="005B48AA" w:rsidP="00252289">
      <w:pPr>
        <w:tabs>
          <w:tab w:val="right" w:leader="dot" w:pos="14459"/>
        </w:tabs>
        <w:spacing w:before="80" w:after="80" w:line="240" w:lineRule="auto"/>
        <w:rPr>
          <w:sz w:val="20"/>
          <w:szCs w:val="20"/>
        </w:rPr>
      </w:pPr>
      <w:r w:rsidRPr="0069732D">
        <w:rPr>
          <w:sz w:val="20"/>
          <w:szCs w:val="20"/>
        </w:rPr>
        <w:t xml:space="preserve">VID </w:t>
      </w:r>
      <w:r w:rsidR="000D07B3" w:rsidRPr="0069732D">
        <w:rPr>
          <w:sz w:val="20"/>
          <w:szCs w:val="20"/>
        </w:rPr>
        <w:t>–</w:t>
      </w:r>
      <w:r w:rsidRPr="0069732D">
        <w:rPr>
          <w:sz w:val="20"/>
          <w:szCs w:val="20"/>
        </w:rPr>
        <w:t xml:space="preserve"> Valsts ieņēmumu dienests</w:t>
      </w:r>
    </w:p>
    <w:p w14:paraId="304A5A54" w14:textId="77777777" w:rsidR="001C34B2" w:rsidRPr="001C34B2" w:rsidRDefault="001C34B2" w:rsidP="00252289">
      <w:pPr>
        <w:tabs>
          <w:tab w:val="right" w:leader="dot" w:pos="14459"/>
        </w:tabs>
        <w:spacing w:before="80" w:after="80" w:line="240" w:lineRule="auto"/>
        <w:rPr>
          <w:sz w:val="20"/>
          <w:szCs w:val="20"/>
        </w:rPr>
      </w:pPr>
      <w:r w:rsidRPr="001C34B2">
        <w:rPr>
          <w:rFonts w:cs="Times New Roman"/>
          <w:sz w:val="20"/>
          <w:szCs w:val="20"/>
        </w:rPr>
        <w:t>VNĪ</w:t>
      </w:r>
      <w:r w:rsidRPr="001C34B2">
        <w:rPr>
          <w:rStyle w:val="txtspecial"/>
          <w:sz w:val="20"/>
          <w:szCs w:val="20"/>
        </w:rPr>
        <w:t xml:space="preserve"> – Valsts </w:t>
      </w:r>
      <w:r>
        <w:rPr>
          <w:rStyle w:val="txtspecial"/>
          <w:sz w:val="20"/>
          <w:szCs w:val="20"/>
        </w:rPr>
        <w:t xml:space="preserve">AS </w:t>
      </w:r>
      <w:r w:rsidRPr="001C34B2">
        <w:rPr>
          <w:rStyle w:val="txtspecial"/>
          <w:sz w:val="20"/>
          <w:szCs w:val="20"/>
        </w:rPr>
        <w:t>"Valsts nekustamie īpašumi"</w:t>
      </w:r>
    </w:p>
    <w:p w14:paraId="3CE94E70" w14:textId="77777777" w:rsidR="00E45E65" w:rsidRPr="00F5511B" w:rsidRDefault="00E45E65" w:rsidP="00252289">
      <w:pPr>
        <w:tabs>
          <w:tab w:val="right" w:leader="dot" w:pos="14459"/>
        </w:tabs>
        <w:spacing w:before="80" w:after="80" w:line="240" w:lineRule="auto"/>
        <w:rPr>
          <w:sz w:val="20"/>
          <w:szCs w:val="20"/>
          <w:highlight w:val="yellow"/>
        </w:rPr>
      </w:pPr>
    </w:p>
    <w:p w14:paraId="2AAEBE11" w14:textId="77777777" w:rsidR="00566A81" w:rsidRPr="00F5511B" w:rsidRDefault="00566A81" w:rsidP="00252289">
      <w:pPr>
        <w:tabs>
          <w:tab w:val="right" w:leader="dot" w:pos="14459"/>
        </w:tabs>
        <w:spacing w:before="80" w:after="80" w:line="240" w:lineRule="auto"/>
        <w:rPr>
          <w:sz w:val="20"/>
          <w:szCs w:val="20"/>
          <w:highlight w:val="yellow"/>
        </w:rPr>
      </w:pPr>
    </w:p>
    <w:p w14:paraId="0CBE5158" w14:textId="77777777" w:rsidR="00566A81" w:rsidRPr="00F5511B" w:rsidRDefault="00566A81" w:rsidP="00252289">
      <w:pPr>
        <w:tabs>
          <w:tab w:val="right" w:leader="dot" w:pos="14459"/>
        </w:tabs>
        <w:spacing w:before="80" w:after="80" w:line="240" w:lineRule="auto"/>
        <w:rPr>
          <w:sz w:val="20"/>
          <w:szCs w:val="20"/>
          <w:highlight w:val="yellow"/>
        </w:rPr>
        <w:sectPr w:rsidR="00566A81" w:rsidRPr="00F5511B" w:rsidSect="00566A81">
          <w:type w:val="continuous"/>
          <w:pgSz w:w="11906" w:h="16838" w:code="9"/>
          <w:pgMar w:top="1134" w:right="1134" w:bottom="1134" w:left="1134" w:header="709" w:footer="408" w:gutter="0"/>
          <w:pgNumType w:start="1"/>
          <w:cols w:num="2" w:space="708"/>
          <w:titlePg/>
          <w:docGrid w:linePitch="381"/>
        </w:sectPr>
      </w:pPr>
    </w:p>
    <w:p w14:paraId="7C435529" w14:textId="77777777" w:rsidR="00566A81" w:rsidRPr="00F5511B" w:rsidRDefault="00566A81">
      <w:pPr>
        <w:spacing w:after="0" w:line="240" w:lineRule="auto"/>
        <w:rPr>
          <w:sz w:val="20"/>
          <w:szCs w:val="20"/>
          <w:highlight w:val="yellow"/>
        </w:rPr>
      </w:pPr>
      <w:r w:rsidRPr="00F5511B">
        <w:rPr>
          <w:sz w:val="20"/>
          <w:szCs w:val="20"/>
          <w:highlight w:val="yellow"/>
        </w:rPr>
        <w:br w:type="page"/>
      </w:r>
    </w:p>
    <w:p w14:paraId="3E270EF0" w14:textId="1377D44A" w:rsidR="00B21FBD" w:rsidRPr="00B21FBD" w:rsidRDefault="00AF1D94" w:rsidP="00AF1D94">
      <w:pPr>
        <w:tabs>
          <w:tab w:val="right" w:leader="dot" w:pos="9072"/>
        </w:tabs>
        <w:spacing w:after="20" w:line="240" w:lineRule="auto"/>
        <w:ind w:left="3969"/>
        <w:jc w:val="both"/>
        <w:rPr>
          <w:rFonts w:eastAsia="Franklin Gothic Book" w:cs="Times New Roman"/>
          <w:szCs w:val="24"/>
        </w:rPr>
      </w:pPr>
      <w:r>
        <w:rPr>
          <w:noProof/>
          <w:lang w:val="en-US"/>
        </w:rPr>
        <w:lastRenderedPageBreak/>
        <w:drawing>
          <wp:anchor distT="0" distB="0" distL="114300" distR="114300" simplePos="0" relativeHeight="251659280" behindDoc="0" locked="0" layoutInCell="1" allowOverlap="1" wp14:anchorId="2114A928" wp14:editId="30AA179C">
            <wp:simplePos x="0" y="0"/>
            <wp:positionH relativeFrom="margin">
              <wp:posOffset>577850</wp:posOffset>
            </wp:positionH>
            <wp:positionV relativeFrom="margin">
              <wp:posOffset>1226820</wp:posOffset>
            </wp:positionV>
            <wp:extent cx="1280160" cy="971550"/>
            <wp:effectExtent l="57150" t="57150" r="91440" b="952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0160" cy="971550"/>
                    </a:xfrm>
                    <a:prstGeom prst="rect">
                      <a:avLst/>
                    </a:prstGeom>
                    <a:noFill/>
                    <a:ln>
                      <a:solidFill>
                        <a:srgbClr val="00859B"/>
                      </a:solidFill>
                    </a:ln>
                    <a:effectLst>
                      <a:outerShdw blurRad="50800" dist="38100" dir="2700000" algn="tl" rotWithShape="0">
                        <a:prstClr val="black">
                          <a:alpha val="40000"/>
                        </a:prstClr>
                      </a:outerShdw>
                    </a:effectLst>
                  </pic:spPr>
                </pic:pic>
              </a:graphicData>
            </a:graphic>
          </wp:anchor>
        </w:drawing>
      </w:r>
      <w:r w:rsidR="00BC60D9">
        <w:rPr>
          <w:smallCaps/>
          <w:noProof/>
          <w:sz w:val="32"/>
          <w:szCs w:val="32"/>
          <w:lang w:eastAsia="lv-LV"/>
        </w:rPr>
        <mc:AlternateContent>
          <mc:Choice Requires="wps">
            <w:drawing>
              <wp:anchor distT="0" distB="0" distL="114300" distR="114300" simplePos="0" relativeHeight="251658247" behindDoc="0" locked="0" layoutInCell="1" allowOverlap="1" wp14:anchorId="0858785E" wp14:editId="057E2D86">
                <wp:simplePos x="0" y="0"/>
                <wp:positionH relativeFrom="margin">
                  <wp:posOffset>54610</wp:posOffset>
                </wp:positionH>
                <wp:positionV relativeFrom="paragraph">
                  <wp:posOffset>80010</wp:posOffset>
                </wp:positionV>
                <wp:extent cx="2268220" cy="972185"/>
                <wp:effectExtent l="0" t="0" r="0" b="0"/>
                <wp:wrapNone/>
                <wp:docPr id="228"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97218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337C1B" w14:textId="77777777" w:rsidR="00003D52" w:rsidRPr="00FF7E4C" w:rsidRDefault="00003D52" w:rsidP="00BE6C4B">
                            <w:pPr>
                              <w:pStyle w:val="Heading1"/>
                              <w:numPr>
                                <w:ilvl w:val="0"/>
                                <w:numId w:val="12"/>
                              </w:numPr>
                              <w:ind w:left="426" w:hanging="426"/>
                            </w:pPr>
                            <w:bookmarkStart w:id="9" w:name="_Toc520374344"/>
                            <w:bookmarkStart w:id="10" w:name="_Toc78790560"/>
                            <w:bookmarkStart w:id="11" w:name="_Toc78874259"/>
                            <w:bookmarkStart w:id="12" w:name="_Toc78874591"/>
                            <w:r w:rsidRPr="00973743">
                              <w:t>Pamatinformācija</w:t>
                            </w:r>
                            <w:bookmarkEnd w:id="9"/>
                            <w:r>
                              <w:t xml:space="preserve"> par Ekonomikas ministriju</w:t>
                            </w:r>
                            <w:bookmarkEnd w:id="10"/>
                            <w:bookmarkEnd w:id="11"/>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785E" id="_x0000_s1028" style="position:absolute;left:0;text-align:left;margin-left:4.3pt;margin-top:6.3pt;width:178.6pt;height:76.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68220,972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" adj="-11796480,,5400" path="m162034,l2268220,r,l2268220,810151v,89489,-72545,162034,-162034,162034l,972185r,l,162034c,72545,72545,,162034,xe" fillcolor="#00859b" strokecolor="#62b1c6" strokeweight="1.5pt">
                <v:stroke joinstyle="miter"/>
                <v:formulas/>
                <v:path arrowok="t" o:connecttype="custom" o:connectlocs="162034,0;2268220,0;2268220,0;2268220,810151;2106186,972185;0,972185;0,972185;0,162034;162034,0" o:connectangles="0,0,0,0,0,0,0,0,0" textboxrect="0,0,2268220,972185"/>
                <v:textbox>
                  <w:txbxContent>
                    <w:p w14:paraId="0C337C1B" w14:textId="77777777" w:rsidR="00003D52" w:rsidRPr="00FF7E4C" w:rsidRDefault="00003D52" w:rsidP="00BE6C4B">
                      <w:pPr>
                        <w:pStyle w:val="Heading1"/>
                        <w:numPr>
                          <w:ilvl w:val="0"/>
                          <w:numId w:val="12"/>
                        </w:numPr>
                        <w:ind w:left="426" w:hanging="426"/>
                      </w:pPr>
                      <w:bookmarkStart w:id="13" w:name="_Toc520374344"/>
                      <w:bookmarkStart w:id="14" w:name="_Toc78790560"/>
                      <w:bookmarkStart w:id="15" w:name="_Toc78874259"/>
                      <w:bookmarkStart w:id="16" w:name="_Toc78874591"/>
                      <w:r w:rsidRPr="00973743">
                        <w:t>Pamatinformācija</w:t>
                      </w:r>
                      <w:bookmarkEnd w:id="13"/>
                      <w:r>
                        <w:t xml:space="preserve"> par Ekonomikas ministriju</w:t>
                      </w:r>
                      <w:bookmarkEnd w:id="14"/>
                      <w:bookmarkEnd w:id="15"/>
                      <w:bookmarkEnd w:id="16"/>
                    </w:p>
                  </w:txbxContent>
                </v:textbox>
                <w10:wrap anchorx="margin"/>
              </v:shape>
            </w:pict>
          </mc:Fallback>
        </mc:AlternateContent>
      </w:r>
      <w:r w:rsidR="007606ED" w:rsidRPr="00256E6D">
        <w:rPr>
          <w:rFonts w:eastAsia="Franklin Gothic Book" w:cs="Times New Roman"/>
          <w:b/>
          <w:color w:val="00859B"/>
          <w:szCs w:val="24"/>
        </w:rPr>
        <w:t xml:space="preserve">Ekonomikas ministrija </w:t>
      </w:r>
      <w:r w:rsidR="009A6A2F" w:rsidRPr="00256E6D">
        <w:rPr>
          <w:rFonts w:eastAsia="Franklin Gothic Book" w:cs="Times New Roman"/>
          <w:b/>
          <w:color w:val="00859B"/>
          <w:szCs w:val="24"/>
        </w:rPr>
        <w:t>(EM)</w:t>
      </w:r>
      <w:r w:rsidR="00F055E4">
        <w:rPr>
          <w:rFonts w:eastAsia="Franklin Gothic Book" w:cs="Times New Roman"/>
          <w:b/>
          <w:color w:val="00859B"/>
          <w:szCs w:val="24"/>
        </w:rPr>
        <w:t xml:space="preserve"> </w:t>
      </w:r>
      <w:r w:rsidR="007606ED" w:rsidRPr="00256E6D">
        <w:rPr>
          <w:rFonts w:eastAsia="Franklin Gothic Book" w:cs="Times New Roman"/>
          <w:bCs/>
          <w:szCs w:val="24"/>
        </w:rPr>
        <w:t>ir vadoš</w:t>
      </w:r>
      <w:r w:rsidR="006728CE" w:rsidRPr="00256E6D">
        <w:rPr>
          <w:rFonts w:eastAsia="Franklin Gothic Book" w:cs="Times New Roman"/>
          <w:bCs/>
          <w:szCs w:val="24"/>
        </w:rPr>
        <w:t>ā valsts pārvaldes iestāde ekonomi</w:t>
      </w:r>
      <w:r w:rsidR="00753087" w:rsidRPr="00256E6D">
        <w:rPr>
          <w:rFonts w:eastAsia="Franklin Gothic Book" w:cs="Times New Roman"/>
          <w:bCs/>
          <w:szCs w:val="24"/>
        </w:rPr>
        <w:t>skā</w:t>
      </w:r>
      <w:r w:rsidR="006728CE" w:rsidRPr="00256E6D">
        <w:rPr>
          <w:rFonts w:eastAsia="Franklin Gothic Book" w:cs="Times New Roman"/>
          <w:bCs/>
          <w:szCs w:val="24"/>
        </w:rPr>
        <w:t>s politikas jomā, kas izveidota 1990.</w:t>
      </w:r>
      <w:r w:rsidR="007B4FCB" w:rsidRPr="00256E6D">
        <w:rPr>
          <w:rFonts w:eastAsia="Franklin Gothic Book" w:cs="Times New Roman"/>
          <w:bCs/>
          <w:szCs w:val="24"/>
        </w:rPr>
        <w:t> </w:t>
      </w:r>
      <w:r w:rsidR="006728CE" w:rsidRPr="00256E6D">
        <w:rPr>
          <w:rFonts w:eastAsia="Franklin Gothic Book" w:cs="Times New Roman"/>
          <w:bCs/>
          <w:szCs w:val="24"/>
        </w:rPr>
        <w:t>gada 1.</w:t>
      </w:r>
      <w:r w:rsidR="007B4FCB" w:rsidRPr="00256E6D">
        <w:rPr>
          <w:rFonts w:eastAsia="Franklin Gothic Book" w:cs="Times New Roman"/>
          <w:bCs/>
          <w:szCs w:val="24"/>
        </w:rPr>
        <w:t> </w:t>
      </w:r>
      <w:r w:rsidR="006728CE" w:rsidRPr="00256E6D">
        <w:rPr>
          <w:rFonts w:eastAsia="Franklin Gothic Book" w:cs="Times New Roman"/>
          <w:bCs/>
          <w:szCs w:val="24"/>
        </w:rPr>
        <w:t xml:space="preserve">martā. Tā </w:t>
      </w:r>
      <w:r w:rsidR="006728CE" w:rsidRPr="00256E6D">
        <w:rPr>
          <w:rFonts w:eastAsia="Franklin Gothic Book" w:cs="Times New Roman"/>
          <w:szCs w:val="24"/>
        </w:rPr>
        <w:t xml:space="preserve">darbojas saskaņā ar </w:t>
      </w:r>
      <w:r w:rsidR="006728CE" w:rsidRPr="00256E6D">
        <w:rPr>
          <w:rFonts w:eastAsia="Franklin Gothic Book" w:cs="Times New Roman"/>
          <w:bCs/>
          <w:szCs w:val="24"/>
        </w:rPr>
        <w:t>Valsts pārvaldes iekārtas likumu</w:t>
      </w:r>
      <w:r w:rsidR="006728CE" w:rsidRPr="00256E6D">
        <w:rPr>
          <w:rFonts w:eastAsia="Franklin Gothic Book" w:cs="Times New Roman"/>
          <w:szCs w:val="24"/>
        </w:rPr>
        <w:t xml:space="preserve"> un pamatojoties uz </w:t>
      </w:r>
      <w:r w:rsidR="00FE2493">
        <w:rPr>
          <w:rFonts w:eastAsia="Franklin Gothic Book" w:cs="Times New Roman"/>
          <w:bCs/>
          <w:szCs w:val="24"/>
        </w:rPr>
        <w:t>MK</w:t>
      </w:r>
      <w:r w:rsidR="006728CE" w:rsidRPr="00256E6D">
        <w:rPr>
          <w:rFonts w:eastAsia="Franklin Gothic Book" w:cs="Times New Roman"/>
          <w:bCs/>
          <w:szCs w:val="24"/>
        </w:rPr>
        <w:t xml:space="preserve"> 20</w:t>
      </w:r>
      <w:r w:rsidR="00316343">
        <w:rPr>
          <w:rFonts w:eastAsia="Franklin Gothic Book" w:cs="Times New Roman"/>
          <w:bCs/>
          <w:szCs w:val="24"/>
        </w:rPr>
        <w:t>2</w:t>
      </w:r>
      <w:r w:rsidR="006728CE" w:rsidRPr="00256E6D">
        <w:rPr>
          <w:rFonts w:eastAsia="Franklin Gothic Book" w:cs="Times New Roman"/>
          <w:bCs/>
          <w:szCs w:val="24"/>
        </w:rPr>
        <w:t>0.</w:t>
      </w:r>
      <w:r w:rsidR="007B4FCB" w:rsidRPr="00256E6D">
        <w:rPr>
          <w:rFonts w:eastAsia="Franklin Gothic Book" w:cs="Times New Roman"/>
          <w:bCs/>
          <w:szCs w:val="24"/>
        </w:rPr>
        <w:t> </w:t>
      </w:r>
      <w:r w:rsidR="006728CE" w:rsidRPr="00256E6D">
        <w:rPr>
          <w:rFonts w:eastAsia="Franklin Gothic Book" w:cs="Times New Roman"/>
          <w:bCs/>
          <w:szCs w:val="24"/>
        </w:rPr>
        <w:t>ga</w:t>
      </w:r>
      <w:r w:rsidR="00F40B79" w:rsidRPr="00256E6D">
        <w:rPr>
          <w:rFonts w:eastAsia="Franklin Gothic Book" w:cs="Times New Roman"/>
          <w:bCs/>
          <w:szCs w:val="24"/>
        </w:rPr>
        <w:t>da 2</w:t>
      </w:r>
      <w:r w:rsidR="00316343">
        <w:rPr>
          <w:rFonts w:eastAsia="Franklin Gothic Book" w:cs="Times New Roman"/>
          <w:bCs/>
          <w:szCs w:val="24"/>
        </w:rPr>
        <w:t>2</w:t>
      </w:r>
      <w:r w:rsidR="00F40B79" w:rsidRPr="00256E6D">
        <w:rPr>
          <w:rFonts w:eastAsia="Franklin Gothic Book" w:cs="Times New Roman"/>
          <w:bCs/>
          <w:szCs w:val="24"/>
        </w:rPr>
        <w:t>.</w:t>
      </w:r>
      <w:r w:rsidR="007B4FCB" w:rsidRPr="00256E6D">
        <w:rPr>
          <w:rFonts w:eastAsia="Franklin Gothic Book" w:cs="Times New Roman"/>
          <w:bCs/>
          <w:szCs w:val="24"/>
        </w:rPr>
        <w:t> </w:t>
      </w:r>
      <w:r w:rsidR="00316343">
        <w:rPr>
          <w:rFonts w:eastAsia="Franklin Gothic Book" w:cs="Times New Roman"/>
          <w:bCs/>
          <w:szCs w:val="24"/>
        </w:rPr>
        <w:t>septembra</w:t>
      </w:r>
      <w:r w:rsidR="00F40B79" w:rsidRPr="00256E6D">
        <w:rPr>
          <w:rFonts w:eastAsia="Franklin Gothic Book" w:cs="Times New Roman"/>
          <w:bCs/>
          <w:szCs w:val="24"/>
        </w:rPr>
        <w:t xml:space="preserve"> noteikumiem Nr.</w:t>
      </w:r>
      <w:r w:rsidR="00316343">
        <w:rPr>
          <w:rFonts w:eastAsia="Franklin Gothic Book" w:cs="Times New Roman"/>
          <w:bCs/>
          <w:szCs w:val="24"/>
        </w:rPr>
        <w:t>588</w:t>
      </w:r>
      <w:r w:rsidR="00F055E4">
        <w:rPr>
          <w:rFonts w:eastAsia="Franklin Gothic Book" w:cs="Times New Roman"/>
          <w:bCs/>
          <w:szCs w:val="24"/>
        </w:rPr>
        <w:t xml:space="preserve"> </w:t>
      </w:r>
      <w:hyperlink r:id="rId24" w:history="1">
        <w:r w:rsidR="00316343" w:rsidRPr="00316343">
          <w:rPr>
            <w:rStyle w:val="Hyperlink"/>
            <w:rFonts w:eastAsia="Franklin Gothic Book" w:cs="Times New Roman"/>
            <w:i/>
            <w:iCs/>
            <w:color w:val="00859B"/>
            <w:szCs w:val="24"/>
          </w:rPr>
          <w:t>Ekonomikas ministrijas nolikums</w:t>
        </w:r>
      </w:hyperlink>
      <w:r w:rsidR="00316343">
        <w:rPr>
          <w:rFonts w:eastAsia="Franklin Gothic Book" w:cs="Times New Roman"/>
          <w:szCs w:val="24"/>
        </w:rPr>
        <w:t xml:space="preserve">. </w:t>
      </w:r>
      <w:r w:rsidR="006728CE" w:rsidRPr="00256E6D">
        <w:rPr>
          <w:rFonts w:eastAsia="Franklin Gothic Book" w:cs="Times New Roman"/>
          <w:szCs w:val="24"/>
        </w:rPr>
        <w:t xml:space="preserve">Atbilstoši nolikumam, </w:t>
      </w:r>
      <w:r w:rsidR="009A6A2F" w:rsidRPr="00256E6D">
        <w:rPr>
          <w:rFonts w:eastAsia="Franklin Gothic Book" w:cs="Times New Roman"/>
          <w:szCs w:val="24"/>
        </w:rPr>
        <w:t xml:space="preserve">EM </w:t>
      </w:r>
      <w:r w:rsidR="006728CE" w:rsidRPr="00256E6D">
        <w:rPr>
          <w:rFonts w:eastAsia="Franklin Gothic Book" w:cs="Times New Roman"/>
          <w:szCs w:val="24"/>
        </w:rPr>
        <w:t>funkcijas ir izstrādāt</w:t>
      </w:r>
      <w:r w:rsidR="003D1671">
        <w:rPr>
          <w:rFonts w:eastAsia="Franklin Gothic Book" w:cs="Times New Roman"/>
          <w:szCs w:val="24"/>
        </w:rPr>
        <w:t>,</w:t>
      </w:r>
      <w:r w:rsidR="00F055E4">
        <w:rPr>
          <w:rFonts w:eastAsia="Franklin Gothic Book" w:cs="Times New Roman"/>
          <w:szCs w:val="24"/>
        </w:rPr>
        <w:t xml:space="preserve"> </w:t>
      </w:r>
      <w:r w:rsidR="003D1671">
        <w:rPr>
          <w:rFonts w:eastAsia="Franklin Gothic Book" w:cs="Times New Roman"/>
          <w:szCs w:val="24"/>
        </w:rPr>
        <w:t>organizēt</w:t>
      </w:r>
      <w:r w:rsidR="006728CE" w:rsidRPr="00256E6D">
        <w:rPr>
          <w:rFonts w:eastAsia="Franklin Gothic Book" w:cs="Times New Roman"/>
          <w:szCs w:val="24"/>
        </w:rPr>
        <w:t xml:space="preserve"> un koordinēt politik</w:t>
      </w:r>
      <w:r w:rsidR="003D1671">
        <w:rPr>
          <w:rFonts w:eastAsia="Franklin Gothic Book" w:cs="Times New Roman"/>
          <w:szCs w:val="24"/>
        </w:rPr>
        <w:t>u</w:t>
      </w:r>
      <w:r w:rsidR="00F055E4">
        <w:rPr>
          <w:rFonts w:eastAsia="Franklin Gothic Book" w:cs="Times New Roman"/>
          <w:szCs w:val="24"/>
        </w:rPr>
        <w:t xml:space="preserve"> </w:t>
      </w:r>
      <w:r w:rsidR="00F2027A">
        <w:rPr>
          <w:rFonts w:eastAsia="Franklin Gothic Book" w:cs="Times New Roman"/>
          <w:szCs w:val="24"/>
        </w:rPr>
        <w:t xml:space="preserve">vairākās </w:t>
      </w:r>
      <w:r w:rsidR="003D1671">
        <w:rPr>
          <w:rFonts w:eastAsia="Franklin Gothic Book" w:cs="Times New Roman"/>
          <w:szCs w:val="24"/>
        </w:rPr>
        <w:t>nozarēs</w:t>
      </w:r>
      <w:r w:rsidR="00F2027A">
        <w:rPr>
          <w:rFonts w:eastAsia="Franklin Gothic Book" w:cs="Times New Roman"/>
          <w:szCs w:val="24"/>
        </w:rPr>
        <w:t xml:space="preserve">. EM atbildībā ir </w:t>
      </w:r>
      <w:r w:rsidR="00B21FBD" w:rsidRPr="00B21FBD">
        <w:rPr>
          <w:rFonts w:eastAsia="Franklin Gothic Book" w:cs="Times New Roman"/>
          <w:szCs w:val="24"/>
        </w:rPr>
        <w:t xml:space="preserve">ārējā ekonomiskā politika; </w:t>
      </w:r>
      <w:r w:rsidR="003D1671" w:rsidRPr="003D1671">
        <w:rPr>
          <w:rFonts w:eastAsia="Franklin Gothic Book" w:cs="Times New Roman"/>
          <w:szCs w:val="24"/>
        </w:rPr>
        <w:t>būvniecības politika</w:t>
      </w:r>
      <w:r w:rsidR="003D1671">
        <w:rPr>
          <w:rFonts w:eastAsia="Franklin Gothic Book" w:cs="Times New Roman"/>
          <w:szCs w:val="24"/>
        </w:rPr>
        <w:t xml:space="preserve">, </w:t>
      </w:r>
      <w:r w:rsidR="003D1671" w:rsidRPr="003D1671">
        <w:rPr>
          <w:rFonts w:eastAsia="Franklin Gothic Book" w:cs="Times New Roman"/>
          <w:szCs w:val="24"/>
        </w:rPr>
        <w:t>enerģētikas politika</w:t>
      </w:r>
      <w:r w:rsidR="003D1671">
        <w:rPr>
          <w:rFonts w:eastAsia="Franklin Gothic Book" w:cs="Times New Roman"/>
          <w:szCs w:val="24"/>
        </w:rPr>
        <w:t xml:space="preserve">, </w:t>
      </w:r>
      <w:r w:rsidR="00B21FBD" w:rsidRPr="00B21FBD">
        <w:rPr>
          <w:rFonts w:eastAsia="Franklin Gothic Book" w:cs="Times New Roman"/>
          <w:szCs w:val="24"/>
        </w:rPr>
        <w:t xml:space="preserve">iekšējā tirgus politika; inovāciju attīstības politika; komercdarbības attīstības politika; konkurētspējas attīstības politika; mājokļu politika; </w:t>
      </w:r>
      <w:r w:rsidR="006A03F1" w:rsidRPr="00B21FBD">
        <w:rPr>
          <w:rFonts w:eastAsia="Franklin Gothic Book" w:cs="Times New Roman"/>
          <w:szCs w:val="24"/>
        </w:rPr>
        <w:t>patērētāju tiesību aizsardzības politika</w:t>
      </w:r>
      <w:r w:rsidR="00B21FBD" w:rsidRPr="00B21FBD">
        <w:rPr>
          <w:rFonts w:eastAsia="Franklin Gothic Book" w:cs="Times New Roman"/>
          <w:szCs w:val="24"/>
        </w:rPr>
        <w:t>; privatizācijas politika; rūpniecības politika; standartizācijas politika; tautsaimniecības struktūrpolitika; tūrisma politika</w:t>
      </w:r>
      <w:r w:rsidR="00B21FBD">
        <w:rPr>
          <w:rFonts w:eastAsia="Franklin Gothic Book" w:cs="Times New Roman"/>
          <w:szCs w:val="24"/>
        </w:rPr>
        <w:t>.</w:t>
      </w:r>
    </w:p>
    <w:p w14:paraId="25DA680F" w14:textId="772C3A49" w:rsidR="008438F2" w:rsidRDefault="003C5020" w:rsidP="001941A0">
      <w:pPr>
        <w:spacing w:before="60" w:after="60" w:line="240" w:lineRule="auto"/>
        <w:jc w:val="both"/>
        <w:rPr>
          <w:rFonts w:eastAsia="Franklin Gothic Book" w:cs="Times New Roman"/>
          <w:szCs w:val="24"/>
        </w:rPr>
      </w:pPr>
      <w:r w:rsidRPr="00256E6D">
        <w:rPr>
          <w:rFonts w:eastAsia="Franklin Gothic Book" w:cs="Times New Roman"/>
          <w:szCs w:val="24"/>
        </w:rPr>
        <w:t xml:space="preserve">Lai nodrošinātu minēto funkciju izpildi, </w:t>
      </w:r>
      <w:r w:rsidR="009A6A2F" w:rsidRPr="00256E6D">
        <w:rPr>
          <w:rFonts w:eastAsia="Franklin Gothic Book" w:cs="Times New Roman"/>
          <w:szCs w:val="24"/>
        </w:rPr>
        <w:t>EM</w:t>
      </w:r>
      <w:r w:rsidR="00F055E4">
        <w:rPr>
          <w:rFonts w:eastAsia="Franklin Gothic Book" w:cs="Times New Roman"/>
          <w:szCs w:val="24"/>
        </w:rPr>
        <w:t xml:space="preserve"> </w:t>
      </w:r>
      <w:r w:rsidR="00B21FBD" w:rsidRPr="00B21FBD">
        <w:rPr>
          <w:rFonts w:eastAsia="Franklin Gothic Book" w:cs="Times New Roman"/>
          <w:szCs w:val="24"/>
        </w:rPr>
        <w:t>izstrādā reglamentējošo tiesību aktu un attīstības plānošanas dokumentu projektus</w:t>
      </w:r>
      <w:r w:rsidR="00165A35">
        <w:rPr>
          <w:rFonts w:eastAsia="Franklin Gothic Book" w:cs="Times New Roman"/>
          <w:szCs w:val="24"/>
        </w:rPr>
        <w:t xml:space="preserve">. </w:t>
      </w:r>
      <w:r w:rsidR="00F055E4" w:rsidRPr="00165A35">
        <w:rPr>
          <w:rFonts w:eastAsia="Franklin Gothic Book" w:cs="Times New Roman"/>
          <w:szCs w:val="24"/>
        </w:rPr>
        <w:t>Aktuāl</w:t>
      </w:r>
      <w:r w:rsidR="00F055E4">
        <w:rPr>
          <w:rFonts w:eastAsia="Franklin Gothic Book" w:cs="Times New Roman"/>
          <w:szCs w:val="24"/>
        </w:rPr>
        <w:t>ie</w:t>
      </w:r>
      <w:r w:rsidR="00F055E4" w:rsidRPr="00165A35">
        <w:rPr>
          <w:rFonts w:eastAsia="Franklin Gothic Book" w:cs="Times New Roman"/>
          <w:szCs w:val="24"/>
        </w:rPr>
        <w:t xml:space="preserve"> </w:t>
      </w:r>
      <w:r w:rsidR="00165A35" w:rsidRPr="00165A35">
        <w:rPr>
          <w:rFonts w:eastAsia="Franklin Gothic Book" w:cs="Times New Roman"/>
          <w:szCs w:val="24"/>
        </w:rPr>
        <w:t xml:space="preserve">plānošanas </w:t>
      </w:r>
      <w:r w:rsidR="00F055E4" w:rsidRPr="00165A35">
        <w:rPr>
          <w:rFonts w:eastAsia="Franklin Gothic Book" w:cs="Times New Roman"/>
          <w:szCs w:val="24"/>
        </w:rPr>
        <w:t>dokument</w:t>
      </w:r>
      <w:r w:rsidR="00F055E4">
        <w:rPr>
          <w:rFonts w:eastAsia="Franklin Gothic Book" w:cs="Times New Roman"/>
          <w:szCs w:val="24"/>
        </w:rPr>
        <w:t>i</w:t>
      </w:r>
      <w:r w:rsidR="00165A35" w:rsidRPr="00165A35">
        <w:rPr>
          <w:rFonts w:eastAsia="Franklin Gothic Book" w:cs="Times New Roman"/>
          <w:szCs w:val="24"/>
        </w:rPr>
        <w:t>, kas nosaka ekonomikas politikas īstenošanu ir apkopot</w:t>
      </w:r>
      <w:r w:rsidR="00F055E4">
        <w:rPr>
          <w:rFonts w:eastAsia="Franklin Gothic Book" w:cs="Times New Roman"/>
          <w:szCs w:val="24"/>
        </w:rPr>
        <w:t>i</w:t>
      </w:r>
      <w:r w:rsidR="00165A35" w:rsidRPr="00165A35">
        <w:rPr>
          <w:rFonts w:eastAsia="Franklin Gothic Book" w:cs="Times New Roman"/>
          <w:szCs w:val="24"/>
        </w:rPr>
        <w:t xml:space="preserve"> </w:t>
      </w:r>
      <w:hyperlink w:anchor="_Pielikums._EM_plānošanas" w:history="1">
        <w:r w:rsidR="00165A35" w:rsidRPr="00165A35">
          <w:rPr>
            <w:rStyle w:val="Hyperlink"/>
            <w:rFonts w:eastAsia="Franklin Gothic Book" w:cs="Times New Roman"/>
            <w:color w:val="00859B"/>
            <w:szCs w:val="24"/>
          </w:rPr>
          <w:t>1.pielikumā</w:t>
        </w:r>
      </w:hyperlink>
      <w:r w:rsidR="00165A35" w:rsidRPr="00165A35">
        <w:rPr>
          <w:rFonts w:eastAsia="Franklin Gothic Book" w:cs="Times New Roman"/>
          <w:szCs w:val="24"/>
        </w:rPr>
        <w:t>.</w:t>
      </w:r>
      <w:r w:rsidR="00F055E4">
        <w:rPr>
          <w:rFonts w:eastAsia="Franklin Gothic Book" w:cs="Times New Roman"/>
          <w:szCs w:val="24"/>
        </w:rPr>
        <w:t xml:space="preserve"> </w:t>
      </w:r>
      <w:r w:rsidR="00165A35">
        <w:rPr>
          <w:rFonts w:eastAsia="Franklin Gothic Book" w:cs="Times New Roman"/>
          <w:szCs w:val="24"/>
        </w:rPr>
        <w:t xml:space="preserve">Atbilstoši plānošanas dokumentos noteiktajiem mērķiem </w:t>
      </w:r>
      <w:r w:rsidR="00BE2C20" w:rsidRPr="00BE2C20">
        <w:rPr>
          <w:rFonts w:eastAsia="Franklin Gothic Book" w:cs="Times New Roman"/>
          <w:szCs w:val="24"/>
        </w:rPr>
        <w:t>EM pilnveido komercdarbības vidi un koordinē komercdarbības atbalsta instrumentus, plāno, ievieš un uzrauga attīstības programmas un projektus, piesaistot ES un ārvalstu finansējumu</w:t>
      </w:r>
      <w:r w:rsidR="00BE2C20">
        <w:rPr>
          <w:rFonts w:eastAsia="Franklin Gothic Book" w:cs="Times New Roman"/>
          <w:szCs w:val="24"/>
        </w:rPr>
        <w:t xml:space="preserve">, kā arī regulāri </w:t>
      </w:r>
      <w:r w:rsidR="00BE2C20" w:rsidRPr="00BE2C20">
        <w:rPr>
          <w:rFonts w:eastAsia="Franklin Gothic Book" w:cs="Times New Roman"/>
          <w:szCs w:val="24"/>
        </w:rPr>
        <w:t xml:space="preserve">informē sabiedrību par </w:t>
      </w:r>
      <w:r w:rsidR="008438F2" w:rsidRPr="00BE2C20">
        <w:rPr>
          <w:rFonts w:eastAsia="Franklin Gothic Book" w:cs="Times New Roman"/>
          <w:szCs w:val="24"/>
        </w:rPr>
        <w:t>nozar</w:t>
      </w:r>
      <w:r w:rsidR="008438F2">
        <w:rPr>
          <w:rFonts w:eastAsia="Franklin Gothic Book" w:cs="Times New Roman"/>
          <w:szCs w:val="24"/>
        </w:rPr>
        <w:t>u</w:t>
      </w:r>
      <w:r w:rsidR="008438F2" w:rsidRPr="00BE2C20">
        <w:rPr>
          <w:rFonts w:eastAsia="Franklin Gothic Book" w:cs="Times New Roman"/>
          <w:szCs w:val="24"/>
        </w:rPr>
        <w:t xml:space="preserve"> </w:t>
      </w:r>
      <w:r w:rsidR="00BE2C20" w:rsidRPr="00BE2C20">
        <w:rPr>
          <w:rFonts w:eastAsia="Franklin Gothic Book" w:cs="Times New Roman"/>
          <w:szCs w:val="24"/>
        </w:rPr>
        <w:t xml:space="preserve">politiku un ministrijas padotībā esošo iestāžu darbību, iesaista sabiedrības pārstāvjus lēmuma izstrādes un pieņemšanas procesā, veicina sociālo dialogu jautājumos, kas </w:t>
      </w:r>
      <w:r w:rsidR="00BE2C20" w:rsidRPr="008438F2">
        <w:rPr>
          <w:rFonts w:eastAsia="Franklin Gothic Book" w:cs="Times New Roman"/>
          <w:szCs w:val="24"/>
        </w:rPr>
        <w:t xml:space="preserve">saistīti ar </w:t>
      </w:r>
      <w:r w:rsidR="008438F2" w:rsidRPr="008438F2">
        <w:rPr>
          <w:rFonts w:eastAsia="Franklin Gothic Book" w:cs="Times New Roman"/>
          <w:szCs w:val="24"/>
        </w:rPr>
        <w:t xml:space="preserve">nozaru </w:t>
      </w:r>
      <w:r w:rsidR="00BE2C20" w:rsidRPr="008438F2">
        <w:rPr>
          <w:rFonts w:eastAsia="Franklin Gothic Book" w:cs="Times New Roman"/>
          <w:szCs w:val="24"/>
        </w:rPr>
        <w:t>politikas</w:t>
      </w:r>
      <w:r w:rsidR="00BE2C20" w:rsidRPr="00BE2C20">
        <w:rPr>
          <w:rFonts w:eastAsia="Franklin Gothic Book" w:cs="Times New Roman"/>
          <w:szCs w:val="24"/>
        </w:rPr>
        <w:t xml:space="preserve"> izstrādi, īstenošanu un novērtēšanu</w:t>
      </w:r>
      <w:r w:rsidR="00BE2C20">
        <w:rPr>
          <w:rFonts w:eastAsia="Franklin Gothic Book" w:cs="Times New Roman"/>
          <w:szCs w:val="24"/>
        </w:rPr>
        <w:t>.</w:t>
      </w:r>
    </w:p>
    <w:p w14:paraId="2FC243E8" w14:textId="77777777" w:rsidR="006A4F30" w:rsidRPr="001941A0" w:rsidRDefault="008F10D3" w:rsidP="001941A0">
      <w:pPr>
        <w:spacing w:before="60" w:after="60" w:line="240" w:lineRule="auto"/>
        <w:jc w:val="both"/>
        <w:rPr>
          <w:rFonts w:eastAsia="Franklin Gothic Book" w:cs="Times New Roman"/>
          <w:szCs w:val="24"/>
        </w:rPr>
      </w:pPr>
      <w:r w:rsidRPr="00256E6D">
        <w:rPr>
          <w:rFonts w:eastAsia="Times New Roman" w:cs="Times New Roman"/>
          <w:szCs w:val="24"/>
        </w:rPr>
        <w:t>V</w:t>
      </w:r>
      <w:r w:rsidR="006A4F30" w:rsidRPr="00256E6D">
        <w:rPr>
          <w:rFonts w:eastAsia="Times New Roman" w:cs="Times New Roman"/>
          <w:szCs w:val="24"/>
        </w:rPr>
        <w:t>alsts politiku</w:t>
      </w:r>
      <w:r w:rsidRPr="00256E6D">
        <w:rPr>
          <w:rFonts w:eastAsia="Times New Roman" w:cs="Times New Roman"/>
          <w:szCs w:val="24"/>
        </w:rPr>
        <w:t xml:space="preserve"> un normatīvo aktu prasības </w:t>
      </w:r>
      <w:r w:rsidR="006A4F30" w:rsidRPr="00256E6D">
        <w:rPr>
          <w:rFonts w:eastAsia="Times New Roman" w:cs="Times New Roman"/>
          <w:szCs w:val="24"/>
        </w:rPr>
        <w:t>deleģētajās kompetences jomās</w:t>
      </w:r>
      <w:r w:rsidRPr="00256E6D">
        <w:rPr>
          <w:rFonts w:eastAsia="Times New Roman" w:cs="Times New Roman"/>
          <w:szCs w:val="24"/>
        </w:rPr>
        <w:t xml:space="preserve"> īsteno </w:t>
      </w:r>
      <w:r w:rsidR="001941A0">
        <w:rPr>
          <w:rFonts w:eastAsia="Times New Roman" w:cs="Times New Roman"/>
          <w:szCs w:val="24"/>
        </w:rPr>
        <w:t xml:space="preserve">šādas </w:t>
      </w:r>
      <w:r w:rsidR="00072B81" w:rsidRPr="00256E6D">
        <w:rPr>
          <w:rFonts w:eastAsia="Times New Roman" w:cs="Times New Roman"/>
          <w:szCs w:val="24"/>
        </w:rPr>
        <w:t>EM</w:t>
      </w:r>
      <w:r w:rsidRPr="00256E6D">
        <w:rPr>
          <w:rFonts w:eastAsia="Times New Roman" w:cs="Times New Roman"/>
          <w:szCs w:val="24"/>
        </w:rPr>
        <w:t xml:space="preserve"> padotībā esošās </w:t>
      </w:r>
      <w:r w:rsidRPr="00252C84">
        <w:rPr>
          <w:rFonts w:eastAsia="Times New Roman" w:cs="Times New Roman"/>
          <w:szCs w:val="24"/>
        </w:rPr>
        <w:t>valsts pārvaldes iestādes</w:t>
      </w:r>
      <w:r w:rsidR="006A4F30" w:rsidRPr="00256E6D">
        <w:rPr>
          <w:rFonts w:eastAsia="Times New Roman" w:cs="Times New Roman"/>
          <w:szCs w:val="24"/>
        </w:rPr>
        <w:t xml:space="preserve">: </w:t>
      </w:r>
    </w:p>
    <w:p w14:paraId="4AB3EDDA" w14:textId="77777777" w:rsidR="003A4E7C" w:rsidRPr="00256E6D" w:rsidRDefault="00A548C7" w:rsidP="002B1696">
      <w:pPr>
        <w:numPr>
          <w:ilvl w:val="0"/>
          <w:numId w:val="6"/>
        </w:numPr>
        <w:spacing w:before="20" w:after="20" w:line="240" w:lineRule="auto"/>
        <w:ind w:left="1134" w:hanging="567"/>
        <w:jc w:val="both"/>
        <w:rPr>
          <w:rFonts w:eastAsia="Franklin Gothic Book" w:cs="Times New Roman"/>
          <w:szCs w:val="24"/>
        </w:rPr>
      </w:pPr>
      <w:hyperlink r:id="rId25" w:tgtFrame="_blank" w:history="1">
        <w:r w:rsidR="00DC315F" w:rsidRPr="00256E6D">
          <w:rPr>
            <w:rStyle w:val="Hyperlink"/>
            <w:rFonts w:cs="Times New Roman"/>
            <w:color w:val="00859B"/>
            <w:szCs w:val="24"/>
          </w:rPr>
          <w:t>Latvijas Investīciju un attīstības aģentūra</w:t>
        </w:r>
      </w:hyperlink>
      <w:r w:rsidR="003A4E7C" w:rsidRPr="00256E6D">
        <w:rPr>
          <w:rFonts w:eastAsia="Franklin Gothic Book" w:cs="Times New Roman"/>
          <w:szCs w:val="24"/>
        </w:rPr>
        <w:t>(LIAA);</w:t>
      </w:r>
    </w:p>
    <w:p w14:paraId="73B8A47A" w14:textId="77777777" w:rsidR="003A4E7C" w:rsidRPr="00256E6D" w:rsidRDefault="00A548C7" w:rsidP="002B1696">
      <w:pPr>
        <w:numPr>
          <w:ilvl w:val="0"/>
          <w:numId w:val="6"/>
        </w:numPr>
        <w:spacing w:before="20" w:after="20" w:line="240" w:lineRule="auto"/>
        <w:ind w:left="1134" w:hanging="567"/>
        <w:jc w:val="both"/>
        <w:rPr>
          <w:rFonts w:eastAsia="Franklin Gothic Book" w:cs="Times New Roman"/>
          <w:szCs w:val="24"/>
        </w:rPr>
      </w:pPr>
      <w:hyperlink r:id="rId26" w:tgtFrame="_blank" w:history="1">
        <w:r w:rsidR="00A8153F" w:rsidRPr="00256E6D">
          <w:rPr>
            <w:rStyle w:val="Strong"/>
            <w:rFonts w:ascii="Open Sans" w:hAnsi="Open Sans" w:cs="Open Sans"/>
            <w:b w:val="0"/>
            <w:bCs w:val="0"/>
            <w:color w:val="00859B"/>
            <w:szCs w:val="24"/>
            <w:u w:val="single"/>
          </w:rPr>
          <w:t>Centrālā statistikas pārvalde</w:t>
        </w:r>
      </w:hyperlink>
      <w:r w:rsidR="003A4E7C" w:rsidRPr="00256E6D">
        <w:rPr>
          <w:rFonts w:eastAsia="Franklin Gothic Book" w:cs="Times New Roman"/>
          <w:szCs w:val="24"/>
        </w:rPr>
        <w:t xml:space="preserve"> (CSP);</w:t>
      </w:r>
    </w:p>
    <w:p w14:paraId="0D8AC5D3" w14:textId="77777777" w:rsidR="003A4E7C" w:rsidRPr="00256E6D" w:rsidRDefault="00A548C7" w:rsidP="002B1696">
      <w:pPr>
        <w:numPr>
          <w:ilvl w:val="0"/>
          <w:numId w:val="6"/>
        </w:numPr>
        <w:spacing w:before="20" w:after="20" w:line="240" w:lineRule="auto"/>
        <w:ind w:left="1134" w:hanging="567"/>
        <w:jc w:val="both"/>
        <w:rPr>
          <w:rFonts w:eastAsia="Franklin Gothic Book" w:cs="Times New Roman"/>
          <w:szCs w:val="24"/>
        </w:rPr>
      </w:pPr>
      <w:hyperlink r:id="rId27" w:tgtFrame="_blank" w:history="1">
        <w:r w:rsidR="00702B68" w:rsidRPr="00256E6D">
          <w:rPr>
            <w:rStyle w:val="Hyperlink"/>
            <w:rFonts w:ascii="Open Sans" w:hAnsi="Open Sans" w:cs="Open Sans"/>
            <w:color w:val="00859B"/>
            <w:szCs w:val="24"/>
          </w:rPr>
          <w:t>Konkurences padome</w:t>
        </w:r>
      </w:hyperlink>
      <w:r w:rsidR="003A4E7C" w:rsidRPr="00256E6D">
        <w:rPr>
          <w:rFonts w:eastAsia="Franklin Gothic Book" w:cs="Times New Roman"/>
          <w:szCs w:val="24"/>
        </w:rPr>
        <w:t xml:space="preserve"> (</w:t>
      </w:r>
      <w:r w:rsidR="000D07B3" w:rsidRPr="00256E6D">
        <w:rPr>
          <w:rFonts w:eastAsia="Franklin Gothic Book" w:cs="Times New Roman"/>
          <w:szCs w:val="24"/>
        </w:rPr>
        <w:t>KP</w:t>
      </w:r>
      <w:r w:rsidR="003A4E7C" w:rsidRPr="00256E6D">
        <w:rPr>
          <w:rFonts w:eastAsia="Franklin Gothic Book" w:cs="Times New Roman"/>
          <w:szCs w:val="24"/>
        </w:rPr>
        <w:t>);</w:t>
      </w:r>
    </w:p>
    <w:p w14:paraId="1FD3D98A" w14:textId="77777777" w:rsidR="003A4E7C" w:rsidRPr="00256E6D" w:rsidRDefault="00A548C7" w:rsidP="002B1696">
      <w:pPr>
        <w:numPr>
          <w:ilvl w:val="0"/>
          <w:numId w:val="6"/>
        </w:numPr>
        <w:spacing w:before="20" w:after="20" w:line="240" w:lineRule="auto"/>
        <w:ind w:left="1134" w:hanging="567"/>
        <w:jc w:val="both"/>
        <w:rPr>
          <w:rFonts w:eastAsia="Franklin Gothic Book" w:cs="Times New Roman"/>
          <w:szCs w:val="24"/>
        </w:rPr>
      </w:pPr>
      <w:hyperlink r:id="rId28" w:tgtFrame="_blank" w:history="1">
        <w:r w:rsidR="00A8153F" w:rsidRPr="00256E6D">
          <w:rPr>
            <w:rStyle w:val="Hyperlink"/>
            <w:rFonts w:cs="Times New Roman"/>
            <w:color w:val="00859B"/>
            <w:szCs w:val="24"/>
          </w:rPr>
          <w:t>Patērētāju tiesību aizsardzības centrs</w:t>
        </w:r>
      </w:hyperlink>
      <w:r w:rsidR="003A4E7C" w:rsidRPr="00256E6D">
        <w:rPr>
          <w:rFonts w:eastAsia="Franklin Gothic Book" w:cs="Times New Roman"/>
          <w:szCs w:val="24"/>
        </w:rPr>
        <w:t xml:space="preserve"> (PTAC);</w:t>
      </w:r>
    </w:p>
    <w:p w14:paraId="1D4D4B37" w14:textId="77777777" w:rsidR="003A4E7C" w:rsidRPr="00256E6D" w:rsidRDefault="00A548C7" w:rsidP="002B1696">
      <w:pPr>
        <w:numPr>
          <w:ilvl w:val="0"/>
          <w:numId w:val="6"/>
        </w:numPr>
        <w:spacing w:before="20" w:after="20" w:line="240" w:lineRule="auto"/>
        <w:ind w:left="1134" w:hanging="567"/>
        <w:jc w:val="both"/>
        <w:rPr>
          <w:rFonts w:eastAsia="Franklin Gothic Book" w:cs="Times New Roman"/>
          <w:szCs w:val="24"/>
        </w:rPr>
      </w:pPr>
      <w:hyperlink r:id="rId29" w:tgtFrame="_blank" w:history="1">
        <w:r w:rsidR="00A8153F" w:rsidRPr="00256E6D">
          <w:rPr>
            <w:rStyle w:val="Hyperlink"/>
            <w:rFonts w:cs="Times New Roman"/>
            <w:color w:val="00859B"/>
            <w:szCs w:val="24"/>
          </w:rPr>
          <w:t>Būvniecības valsts kontroles birojs</w:t>
        </w:r>
      </w:hyperlink>
      <w:r w:rsidR="0028029D" w:rsidRPr="00256E6D">
        <w:rPr>
          <w:rFonts w:eastAsia="Franklin Gothic Book" w:cs="Times New Roman"/>
          <w:szCs w:val="24"/>
        </w:rPr>
        <w:t xml:space="preserve"> (BVKB)</w:t>
      </w:r>
      <w:r w:rsidR="003E55B8" w:rsidRPr="00256E6D">
        <w:rPr>
          <w:rFonts w:eastAsia="Franklin Gothic Book" w:cs="Times New Roman"/>
          <w:szCs w:val="24"/>
        </w:rPr>
        <w:t>;</w:t>
      </w:r>
    </w:p>
    <w:p w14:paraId="394B4CC8" w14:textId="77777777" w:rsidR="00132AE0" w:rsidRPr="001941A0" w:rsidRDefault="00A548C7" w:rsidP="00845A10">
      <w:pPr>
        <w:numPr>
          <w:ilvl w:val="0"/>
          <w:numId w:val="6"/>
        </w:numPr>
        <w:spacing w:before="20" w:after="20" w:line="240" w:lineRule="auto"/>
        <w:ind w:left="1134" w:hanging="567"/>
        <w:jc w:val="both"/>
        <w:rPr>
          <w:rFonts w:eastAsia="Franklin Gothic Book" w:cs="Times New Roman"/>
          <w:szCs w:val="24"/>
        </w:rPr>
      </w:pPr>
      <w:hyperlink r:id="rId30" w:history="1">
        <w:r w:rsidR="00702B68" w:rsidRPr="00256E6D">
          <w:rPr>
            <w:rStyle w:val="Strong"/>
            <w:rFonts w:cs="Times New Roman"/>
            <w:b w:val="0"/>
            <w:bCs w:val="0"/>
            <w:color w:val="00859B"/>
            <w:szCs w:val="24"/>
            <w:u w:val="single"/>
          </w:rPr>
          <w:t>Valsts aģentūra “Latvijas Nacionālais akreditācijas birojs”</w:t>
        </w:r>
      </w:hyperlink>
      <w:r w:rsidR="00702B68" w:rsidRPr="00256E6D">
        <w:rPr>
          <w:rFonts w:eastAsia="Franklin Gothic Book" w:cs="Times New Roman"/>
          <w:szCs w:val="24"/>
        </w:rPr>
        <w:t xml:space="preserve"> (LATAK</w:t>
      </w:r>
      <w:r w:rsidR="00A8153F" w:rsidRPr="00256E6D">
        <w:rPr>
          <w:rFonts w:eastAsia="Franklin Gothic Book" w:cs="Times New Roman"/>
          <w:szCs w:val="24"/>
        </w:rPr>
        <w:t>)</w:t>
      </w:r>
      <w:r w:rsidR="00702B68" w:rsidRPr="00256E6D">
        <w:rPr>
          <w:rFonts w:eastAsia="Franklin Gothic Book" w:cs="Times New Roman"/>
          <w:szCs w:val="24"/>
        </w:rPr>
        <w:t>.</w:t>
      </w:r>
    </w:p>
    <w:p w14:paraId="18CD594B" w14:textId="25EAB0A1" w:rsidR="00047F4F" w:rsidRPr="00607FE2" w:rsidRDefault="00047F4F" w:rsidP="001941A0">
      <w:pPr>
        <w:spacing w:before="120" w:after="20"/>
        <w:jc w:val="both"/>
        <w:rPr>
          <w:color w:val="000000"/>
          <w:sz w:val="22"/>
        </w:rPr>
      </w:pPr>
      <w:bookmarkStart w:id="17" w:name="_Hlk74818611"/>
      <w:r w:rsidRPr="00607FE2">
        <w:rPr>
          <w:color w:val="000000"/>
        </w:rPr>
        <w:t>Pārskata periodā EM bija valsts kapitāla daļu turētāja</w:t>
      </w:r>
      <w:r w:rsidR="008C22DE">
        <w:rPr>
          <w:color w:val="000000"/>
        </w:rPr>
        <w:t xml:space="preserve"> </w:t>
      </w:r>
      <w:r w:rsidRPr="00607FE2">
        <w:rPr>
          <w:color w:val="000000"/>
        </w:rPr>
        <w:t xml:space="preserve">šādās </w:t>
      </w:r>
      <w:r w:rsidRPr="008C22DE">
        <w:rPr>
          <w:color w:val="000000"/>
        </w:rPr>
        <w:t>kapitālsabiedrībās</w:t>
      </w:r>
      <w:r w:rsidRPr="00607FE2">
        <w:rPr>
          <w:color w:val="000000"/>
        </w:rPr>
        <w:t>:</w:t>
      </w:r>
    </w:p>
    <w:p w14:paraId="18E75469" w14:textId="77777777" w:rsidR="00047F4F" w:rsidRPr="00607FE2" w:rsidRDefault="00607FE2" w:rsidP="002B1696">
      <w:pPr>
        <w:numPr>
          <w:ilvl w:val="0"/>
          <w:numId w:val="7"/>
        </w:numPr>
        <w:spacing w:before="20" w:after="20" w:line="240" w:lineRule="auto"/>
        <w:ind w:left="1134" w:hanging="567"/>
        <w:jc w:val="both"/>
      </w:pPr>
      <w:r w:rsidRPr="00607FE2">
        <w:t>SIA</w:t>
      </w:r>
      <w:hyperlink r:id="rId31" w:tgtFrame="_blank" w:history="1">
        <w:r w:rsidR="00017F55" w:rsidRPr="00607FE2">
          <w:rPr>
            <w:rStyle w:val="Strong"/>
            <w:rFonts w:cs="Times New Roman"/>
            <w:b w:val="0"/>
            <w:bCs w:val="0"/>
            <w:color w:val="00859B"/>
            <w:szCs w:val="24"/>
            <w:u w:val="single"/>
          </w:rPr>
          <w:t>“Publisko aktīvu pārvaldītājs Possessor”</w:t>
        </w:r>
      </w:hyperlink>
      <w:r w:rsidR="00047F4F" w:rsidRPr="00607FE2">
        <w:t xml:space="preserve"> (PA</w:t>
      </w:r>
      <w:r w:rsidR="00017F55" w:rsidRPr="00607FE2">
        <w:rPr>
          <w:rStyle w:val="FootnoteReference"/>
        </w:rPr>
        <w:footnoteReference w:id="2"/>
      </w:r>
      <w:r w:rsidR="00047F4F" w:rsidRPr="00607FE2">
        <w:t>) (100%);</w:t>
      </w:r>
    </w:p>
    <w:p w14:paraId="7D9E0287" w14:textId="77777777" w:rsidR="00047F4F" w:rsidRPr="00607FE2" w:rsidRDefault="002B1696" w:rsidP="002B1696">
      <w:pPr>
        <w:numPr>
          <w:ilvl w:val="0"/>
          <w:numId w:val="7"/>
        </w:numPr>
        <w:spacing w:before="20" w:after="20" w:line="240" w:lineRule="auto"/>
        <w:ind w:left="1134" w:hanging="567"/>
        <w:jc w:val="both"/>
      </w:pPr>
      <w:r w:rsidRPr="00607FE2">
        <w:t>AS</w:t>
      </w:r>
      <w:hyperlink r:id="rId32" w:tgtFrame="_blank" w:history="1">
        <w:r w:rsidR="006E082E" w:rsidRPr="00607FE2">
          <w:rPr>
            <w:rStyle w:val="Strong"/>
            <w:rFonts w:ascii="Open Sans" w:hAnsi="Open Sans" w:cs="Open Sans"/>
            <w:b w:val="0"/>
            <w:bCs w:val="0"/>
            <w:color w:val="00859B"/>
            <w:szCs w:val="24"/>
            <w:u w:val="single"/>
          </w:rPr>
          <w:t>“Latvenergo</w:t>
        </w:r>
      </w:hyperlink>
      <w:r w:rsidR="006E082E" w:rsidRPr="00607FE2">
        <w:rPr>
          <w:rFonts w:ascii="Open Sans" w:hAnsi="Open Sans" w:cs="Open Sans"/>
          <w:color w:val="00859B"/>
          <w:szCs w:val="24"/>
          <w:u w:val="single"/>
        </w:rPr>
        <w:t>”</w:t>
      </w:r>
      <w:r w:rsidR="00047F4F" w:rsidRPr="00607FE2">
        <w:rPr>
          <w:szCs w:val="24"/>
        </w:rPr>
        <w:t xml:space="preserve"> (100</w:t>
      </w:r>
      <w:r w:rsidR="00047F4F" w:rsidRPr="00607FE2">
        <w:t>%);</w:t>
      </w:r>
    </w:p>
    <w:p w14:paraId="31D3F2B3" w14:textId="77777777" w:rsidR="00047F4F" w:rsidRPr="00607FE2" w:rsidRDefault="002B1696" w:rsidP="002B1696">
      <w:pPr>
        <w:numPr>
          <w:ilvl w:val="0"/>
          <w:numId w:val="7"/>
        </w:numPr>
        <w:spacing w:before="20" w:after="20" w:line="240" w:lineRule="auto"/>
        <w:ind w:left="1134" w:hanging="567"/>
        <w:jc w:val="both"/>
        <w:rPr>
          <w:szCs w:val="24"/>
        </w:rPr>
      </w:pPr>
      <w:r w:rsidRPr="00607FE2">
        <w:rPr>
          <w:szCs w:val="24"/>
        </w:rPr>
        <w:t>SIA</w:t>
      </w:r>
      <w:hyperlink r:id="rId33" w:tgtFrame="_blank" w:history="1">
        <w:r w:rsidR="003B075F" w:rsidRPr="00607FE2">
          <w:rPr>
            <w:rStyle w:val="Hyperlink"/>
            <w:rFonts w:ascii="Open Sans" w:hAnsi="Open Sans" w:cs="Open Sans"/>
            <w:color w:val="00859B"/>
            <w:szCs w:val="24"/>
          </w:rPr>
          <w:t>“Latvijas standarts”</w:t>
        </w:r>
      </w:hyperlink>
      <w:r w:rsidR="00822596" w:rsidRPr="00607FE2">
        <w:rPr>
          <w:szCs w:val="24"/>
        </w:rPr>
        <w:t xml:space="preserve">(LVS) </w:t>
      </w:r>
      <w:r w:rsidR="00047F4F" w:rsidRPr="00607FE2">
        <w:rPr>
          <w:szCs w:val="24"/>
        </w:rPr>
        <w:t>(100%);</w:t>
      </w:r>
    </w:p>
    <w:p w14:paraId="2B128808" w14:textId="77777777" w:rsidR="00047F4F" w:rsidRPr="00607FE2" w:rsidRDefault="002B1696" w:rsidP="002B1696">
      <w:pPr>
        <w:numPr>
          <w:ilvl w:val="0"/>
          <w:numId w:val="7"/>
        </w:numPr>
        <w:spacing w:before="20" w:after="20" w:line="240" w:lineRule="auto"/>
        <w:ind w:left="1134" w:hanging="567"/>
        <w:jc w:val="both"/>
        <w:rPr>
          <w:rFonts w:cs="Times New Roman"/>
          <w:szCs w:val="24"/>
        </w:rPr>
      </w:pPr>
      <w:r w:rsidRPr="00607FE2">
        <w:rPr>
          <w:rFonts w:cs="Times New Roman"/>
          <w:szCs w:val="24"/>
        </w:rPr>
        <w:t>SIA</w:t>
      </w:r>
      <w:hyperlink r:id="rId34" w:tgtFrame="_blank" w:history="1">
        <w:r w:rsidR="003B075F" w:rsidRPr="00607FE2">
          <w:rPr>
            <w:rStyle w:val="Strong"/>
            <w:rFonts w:cs="Times New Roman"/>
            <w:b w:val="0"/>
            <w:bCs w:val="0"/>
            <w:color w:val="00859B"/>
            <w:szCs w:val="24"/>
            <w:u w:val="single"/>
          </w:rPr>
          <w:t>“</w:t>
        </w:r>
        <w:r w:rsidR="00C41759" w:rsidRPr="00607FE2">
          <w:rPr>
            <w:rStyle w:val="Strong"/>
            <w:rFonts w:cs="Times New Roman"/>
            <w:b w:val="0"/>
            <w:bCs w:val="0"/>
            <w:color w:val="00859B"/>
            <w:szCs w:val="24"/>
            <w:u w:val="single"/>
          </w:rPr>
          <w:t>Latvijas Nacionālais metroloģijas centrs</w:t>
        </w:r>
        <w:r w:rsidR="003B075F" w:rsidRPr="00607FE2">
          <w:rPr>
            <w:rStyle w:val="Strong"/>
            <w:rFonts w:cs="Times New Roman"/>
            <w:b w:val="0"/>
            <w:bCs w:val="0"/>
            <w:color w:val="00859B"/>
            <w:szCs w:val="24"/>
            <w:u w:val="single"/>
          </w:rPr>
          <w:t>”</w:t>
        </w:r>
      </w:hyperlink>
      <w:r w:rsidR="00047F4F" w:rsidRPr="00607FE2">
        <w:rPr>
          <w:rFonts w:cs="Times New Roman"/>
          <w:szCs w:val="24"/>
        </w:rPr>
        <w:t>(LNMC) (100%);</w:t>
      </w:r>
    </w:p>
    <w:p w14:paraId="00F96DEE" w14:textId="77777777" w:rsidR="00047F4F" w:rsidRPr="00607FE2" w:rsidRDefault="002B1696" w:rsidP="002B1696">
      <w:pPr>
        <w:numPr>
          <w:ilvl w:val="0"/>
          <w:numId w:val="7"/>
        </w:numPr>
        <w:spacing w:before="20" w:after="20" w:line="240" w:lineRule="auto"/>
        <w:ind w:left="1134" w:hanging="567"/>
        <w:jc w:val="both"/>
        <w:rPr>
          <w:rFonts w:cs="Times New Roman"/>
          <w:szCs w:val="24"/>
        </w:rPr>
      </w:pPr>
      <w:r w:rsidRPr="00607FE2">
        <w:rPr>
          <w:rFonts w:cs="Times New Roman"/>
          <w:szCs w:val="24"/>
        </w:rPr>
        <w:t>AS</w:t>
      </w:r>
      <w:hyperlink r:id="rId35" w:tgtFrame="_blank" w:history="1">
        <w:r w:rsidR="006E082E" w:rsidRPr="00607FE2">
          <w:rPr>
            <w:rStyle w:val="Hyperlink"/>
            <w:rFonts w:cs="Times New Roman"/>
            <w:color w:val="00859B"/>
            <w:szCs w:val="24"/>
          </w:rPr>
          <w:t>“Attīstības finanšu institūcija Altum”</w:t>
        </w:r>
      </w:hyperlink>
      <w:r w:rsidR="00047F4F" w:rsidRPr="00607FE2">
        <w:rPr>
          <w:rFonts w:cs="Times New Roman"/>
          <w:szCs w:val="24"/>
        </w:rPr>
        <w:t>(</w:t>
      </w:r>
      <w:r w:rsidR="001D600A" w:rsidRPr="00607FE2">
        <w:rPr>
          <w:rFonts w:cs="Times New Roman"/>
          <w:szCs w:val="24"/>
        </w:rPr>
        <w:t>ALTUM</w:t>
      </w:r>
      <w:r w:rsidR="00047F4F" w:rsidRPr="00607FE2">
        <w:rPr>
          <w:rFonts w:cs="Times New Roman"/>
          <w:szCs w:val="24"/>
        </w:rPr>
        <w:t>) (30%);</w:t>
      </w:r>
    </w:p>
    <w:p w14:paraId="7BFB00D3" w14:textId="77777777" w:rsidR="00047F4F" w:rsidRPr="00607FE2" w:rsidRDefault="002B1696" w:rsidP="002B1696">
      <w:pPr>
        <w:numPr>
          <w:ilvl w:val="0"/>
          <w:numId w:val="7"/>
        </w:numPr>
        <w:spacing w:before="20" w:after="20" w:line="240" w:lineRule="auto"/>
        <w:ind w:left="1134" w:hanging="567"/>
        <w:jc w:val="both"/>
      </w:pPr>
      <w:r w:rsidRPr="00607FE2">
        <w:t>AS</w:t>
      </w:r>
      <w:hyperlink r:id="rId36" w:tgtFrame="_blank" w:history="1">
        <w:r w:rsidR="009505ED" w:rsidRPr="00607FE2">
          <w:rPr>
            <w:rStyle w:val="Hyperlink"/>
            <w:rFonts w:ascii="Open Sans" w:hAnsi="Open Sans" w:cs="Open Sans"/>
            <w:color w:val="00859B"/>
            <w:szCs w:val="24"/>
          </w:rPr>
          <w:t>“Rīgas Siltums”</w:t>
        </w:r>
      </w:hyperlink>
      <w:r w:rsidR="00047F4F" w:rsidRPr="00607FE2">
        <w:rPr>
          <w:szCs w:val="24"/>
        </w:rPr>
        <w:t>(</w:t>
      </w:r>
      <w:r w:rsidR="00047F4F" w:rsidRPr="00607FE2">
        <w:t>48,995%);</w:t>
      </w:r>
    </w:p>
    <w:p w14:paraId="675B95CA" w14:textId="77777777" w:rsidR="00047F4F" w:rsidRPr="00607FE2" w:rsidRDefault="002B1696" w:rsidP="002B1696">
      <w:pPr>
        <w:numPr>
          <w:ilvl w:val="0"/>
          <w:numId w:val="7"/>
        </w:numPr>
        <w:spacing w:before="20" w:after="20" w:line="240" w:lineRule="auto"/>
        <w:ind w:left="1134" w:hanging="567"/>
        <w:jc w:val="both"/>
        <w:rPr>
          <w:rFonts w:cs="Times New Roman"/>
          <w:szCs w:val="24"/>
        </w:rPr>
      </w:pPr>
      <w:r w:rsidRPr="00607FE2">
        <w:rPr>
          <w:rFonts w:cs="Times New Roman"/>
          <w:szCs w:val="24"/>
        </w:rPr>
        <w:t>AS</w:t>
      </w:r>
      <w:hyperlink r:id="rId37" w:tgtFrame="_blank" w:history="1">
        <w:r w:rsidR="00956E1C" w:rsidRPr="00607FE2">
          <w:rPr>
            <w:rStyle w:val="Hyperlink"/>
            <w:rFonts w:cs="Times New Roman"/>
            <w:color w:val="00859B"/>
            <w:szCs w:val="24"/>
          </w:rPr>
          <w:t>“Latvijas Gāze”</w:t>
        </w:r>
      </w:hyperlink>
      <w:r w:rsidR="00047F4F" w:rsidRPr="00607FE2">
        <w:rPr>
          <w:rFonts w:cs="Times New Roman"/>
          <w:szCs w:val="24"/>
        </w:rPr>
        <w:t>(0,0002</w:t>
      </w:r>
      <w:r w:rsidR="00983F5B" w:rsidRPr="00607FE2">
        <w:rPr>
          <w:rFonts w:cs="Times New Roman"/>
          <w:szCs w:val="24"/>
        </w:rPr>
        <w:t>9</w:t>
      </w:r>
      <w:r w:rsidR="00047F4F" w:rsidRPr="00607FE2">
        <w:rPr>
          <w:rFonts w:cs="Times New Roman"/>
          <w:szCs w:val="24"/>
        </w:rPr>
        <w:t>%)</w:t>
      </w:r>
      <w:r w:rsidR="00983F5B" w:rsidRPr="00607FE2">
        <w:rPr>
          <w:rFonts w:cs="Times New Roman"/>
          <w:szCs w:val="24"/>
        </w:rPr>
        <w:t>.</w:t>
      </w:r>
    </w:p>
    <w:bookmarkEnd w:id="17"/>
    <w:p w14:paraId="3F8E446B" w14:textId="77777777" w:rsidR="00983F5B" w:rsidRPr="00F5511B" w:rsidRDefault="00983F5B" w:rsidP="001941A0">
      <w:pPr>
        <w:pStyle w:val="NormalWeb"/>
        <w:spacing w:before="0" w:beforeAutospacing="0" w:after="0" w:afterAutospacing="0"/>
        <w:rPr>
          <w:rFonts w:eastAsia="Calibri"/>
          <w:smallCaps/>
          <w:noProof/>
          <w:highlight w:val="yellow"/>
        </w:rPr>
      </w:pPr>
    </w:p>
    <w:p w14:paraId="4FE39523" w14:textId="77777777" w:rsidR="007B67AD" w:rsidRPr="00F5511B" w:rsidRDefault="007B67AD">
      <w:pPr>
        <w:spacing w:after="0" w:line="240" w:lineRule="auto"/>
        <w:rPr>
          <w:rFonts w:eastAsia="Calibri" w:cs="Times New Roman"/>
          <w:smallCaps/>
          <w:noProof/>
          <w:szCs w:val="24"/>
          <w:highlight w:val="yellow"/>
          <w:lang w:eastAsia="lv-LV"/>
        </w:rPr>
      </w:pPr>
      <w:r w:rsidRPr="00F5511B">
        <w:rPr>
          <w:rFonts w:eastAsia="Calibri" w:cs="Times New Roman"/>
          <w:smallCaps/>
          <w:noProof/>
          <w:szCs w:val="24"/>
          <w:highlight w:val="yellow"/>
          <w:lang w:eastAsia="lv-LV"/>
        </w:rPr>
        <w:br w:type="page"/>
      </w:r>
    </w:p>
    <w:p w14:paraId="102B7BF2" w14:textId="6F3E9D19" w:rsidR="00D16979" w:rsidRDefault="00D16979" w:rsidP="0074066C">
      <w:pPr>
        <w:spacing w:before="20" w:after="20" w:line="240" w:lineRule="auto"/>
        <w:jc w:val="both"/>
        <w:rPr>
          <w:sz w:val="12"/>
          <w:szCs w:val="12"/>
          <w:highlight w:val="yellow"/>
        </w:rPr>
      </w:pPr>
      <w:bookmarkStart w:id="19" w:name="_Hlk517685908"/>
    </w:p>
    <w:p w14:paraId="4A9B4167" w14:textId="77777777" w:rsidR="00D16979" w:rsidRPr="00720056" w:rsidRDefault="00D16979" w:rsidP="00D16979">
      <w:pPr>
        <w:pStyle w:val="Default"/>
        <w:spacing w:before="20" w:after="20"/>
        <w:ind w:left="3969"/>
        <w:jc w:val="both"/>
        <w:rPr>
          <w:color w:val="auto"/>
        </w:rPr>
      </w:pPr>
      <w:r>
        <w:rPr>
          <w:smallCaps/>
          <w:noProof/>
          <w:color w:val="auto"/>
          <w:sz w:val="32"/>
          <w:szCs w:val="32"/>
          <w:lang w:eastAsia="lv-LV"/>
        </w:rPr>
        <mc:AlternateContent>
          <mc:Choice Requires="wps">
            <w:drawing>
              <wp:anchor distT="0" distB="0" distL="114300" distR="114300" simplePos="0" relativeHeight="251661328" behindDoc="0" locked="0" layoutInCell="1" allowOverlap="1" wp14:anchorId="06EC9FFA" wp14:editId="3EC1DE03">
                <wp:simplePos x="0" y="0"/>
                <wp:positionH relativeFrom="margin">
                  <wp:align>left</wp:align>
                </wp:positionH>
                <wp:positionV relativeFrom="paragraph">
                  <wp:posOffset>89535</wp:posOffset>
                </wp:positionV>
                <wp:extent cx="2268220" cy="1548130"/>
                <wp:effectExtent l="0" t="0" r="0" b="0"/>
                <wp:wrapNone/>
                <wp:docPr id="6"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154813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238F0E6" w14:textId="77777777" w:rsidR="00003D52" w:rsidRPr="00147026" w:rsidRDefault="00003D52" w:rsidP="00BE6C4B">
                            <w:pPr>
                              <w:pStyle w:val="Heading1"/>
                              <w:numPr>
                                <w:ilvl w:val="0"/>
                                <w:numId w:val="13"/>
                              </w:numPr>
                            </w:pPr>
                            <w:bookmarkStart w:id="20" w:name="_Toc78790561"/>
                            <w:bookmarkStart w:id="21" w:name="_Toc78874260"/>
                            <w:bookmarkStart w:id="22" w:name="_Toc78874592"/>
                            <w:r>
                              <w:t>EM darbības virzienu mērķu sasniegšana 2020.gadā</w:t>
                            </w:r>
                            <w:bookmarkEnd w:id="20"/>
                            <w:bookmarkEnd w:id="21"/>
                            <w:bookmarkEnd w:id="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9FFA" id="_x0000_s1029" style="position:absolute;left:0;text-align:left;margin-left:0;margin-top:7.05pt;width:178.6pt;height:121.9pt;z-index:251661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68220,15481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" adj="-11796480,,5400" path="m258027,l2268220,r,l2268220,1290103v,142504,-115523,258027,-258027,258027l,1548130r,l,258027c,115523,115523,,258027,xe" fillcolor="#00859b" strokecolor="#62b1c6" strokeweight="1.5pt">
                <v:stroke joinstyle="miter"/>
                <v:formulas/>
                <v:path arrowok="t" o:connecttype="custom" o:connectlocs="258027,0;2268220,0;2268220,0;2268220,1290103;2010193,1548130;0,1548130;0,1548130;0,258027;258027,0" o:connectangles="0,0,0,0,0,0,0,0,0" textboxrect="0,0,2268220,1548130"/>
                <v:textbox>
                  <w:txbxContent>
                    <w:p w14:paraId="7238F0E6" w14:textId="77777777" w:rsidR="00003D52" w:rsidRPr="00147026" w:rsidRDefault="00003D52" w:rsidP="00BE6C4B">
                      <w:pPr>
                        <w:pStyle w:val="Heading1"/>
                        <w:numPr>
                          <w:ilvl w:val="0"/>
                          <w:numId w:val="13"/>
                        </w:numPr>
                      </w:pPr>
                      <w:bookmarkStart w:id="23" w:name="_Toc78790561"/>
                      <w:bookmarkStart w:id="24" w:name="_Toc78874260"/>
                      <w:bookmarkStart w:id="25" w:name="_Toc78874592"/>
                      <w:r>
                        <w:t>EM darbības virzienu mērķu sasniegšana 2020.gadā</w:t>
                      </w:r>
                      <w:bookmarkEnd w:id="23"/>
                      <w:bookmarkEnd w:id="24"/>
                      <w:bookmarkEnd w:id="25"/>
                    </w:p>
                  </w:txbxContent>
                </v:textbox>
                <w10:wrap anchorx="margin"/>
              </v:shape>
            </w:pict>
          </mc:Fallback>
        </mc:AlternateContent>
      </w:r>
      <w:r w:rsidRPr="00720056">
        <w:rPr>
          <w:color w:val="auto"/>
        </w:rPr>
        <w:t>2020. gadā tika apstiprināta jauna</w:t>
      </w:r>
      <w:r>
        <w:rPr>
          <w:color w:val="auto"/>
        </w:rPr>
        <w:t xml:space="preserve"> </w:t>
      </w:r>
      <w:hyperlink r:id="rId38" w:history="1">
        <w:r w:rsidRPr="00720056">
          <w:rPr>
            <w:rStyle w:val="Hyperlink"/>
            <w:i/>
            <w:iCs/>
            <w:color w:val="00859B"/>
          </w:rPr>
          <w:t>Ekonomikas ministrijas darbības stratēģija 2020.-2022. gadam</w:t>
        </w:r>
      </w:hyperlink>
      <w:r>
        <w:t xml:space="preserve"> </w:t>
      </w:r>
      <w:r w:rsidRPr="00720056">
        <w:rPr>
          <w:rFonts w:eastAsia="Franklin Gothic Book"/>
        </w:rPr>
        <w:t xml:space="preserve">(turpmāk – Stratēģija), </w:t>
      </w:r>
      <w:r w:rsidRPr="00720056">
        <w:rPr>
          <w:color w:val="auto"/>
        </w:rPr>
        <w:t>kurā apkopots skatījums uz nepieciešamo attīstību visās EM kompetences jomās. Stratēģijā</w:t>
      </w:r>
      <w:r>
        <w:rPr>
          <w:color w:val="auto"/>
        </w:rPr>
        <w:t xml:space="preserve"> </w:t>
      </w:r>
      <w:r w:rsidRPr="00720056">
        <w:rPr>
          <w:color w:val="auto"/>
        </w:rPr>
        <w:t>nosprausts</w:t>
      </w:r>
      <w:r>
        <w:rPr>
          <w:color w:val="auto"/>
        </w:rPr>
        <w:t xml:space="preserve"> </w:t>
      </w:r>
      <w:r w:rsidRPr="00720056">
        <w:rPr>
          <w:rFonts w:eastAsia="Franklin Gothic Book"/>
          <w:color w:val="auto"/>
        </w:rPr>
        <w:t xml:space="preserve">EM </w:t>
      </w:r>
      <w:r w:rsidRPr="00720056">
        <w:rPr>
          <w:color w:val="auto"/>
        </w:rPr>
        <w:t>virsmērķis</w:t>
      </w:r>
      <w:r>
        <w:rPr>
          <w:color w:val="auto"/>
        </w:rPr>
        <w:t xml:space="preserve"> </w:t>
      </w:r>
      <w:r w:rsidRPr="00720056">
        <w:rPr>
          <w:color w:val="auto"/>
        </w:rPr>
        <w:t>plānošanas ciklam līdz 2022. gadam –</w:t>
      </w:r>
      <w:r>
        <w:rPr>
          <w:color w:val="auto"/>
        </w:rPr>
        <w:t xml:space="preserve"> </w:t>
      </w:r>
      <w:r w:rsidRPr="00720056">
        <w:rPr>
          <w:bCs/>
        </w:rPr>
        <w:t>nodrošināt makroekonomisko stabilitāti, līdzsvarotu un ar resursiem sabalansētu izaugsmes</w:t>
      </w:r>
      <w:r>
        <w:rPr>
          <w:bCs/>
        </w:rPr>
        <w:t xml:space="preserve"> turpmāku attīstību, piesaistot augsti kvalitatīvas investīcijas, vēršot strukturālo reformu uz produktivitātes pieaugumu un balstot konkurētspējas priekšrocības uz tehnoloģiskiem faktoriem, inovatīviem uzlabojumiem, digitalizāciju un efektīvas valsts pārvaldes </w:t>
      </w:r>
      <w:r w:rsidRPr="00720056">
        <w:rPr>
          <w:bCs/>
        </w:rPr>
        <w:t>principiem</w:t>
      </w:r>
      <w:r w:rsidRPr="00720056">
        <w:rPr>
          <w:color w:val="auto"/>
        </w:rPr>
        <w:t xml:space="preserve">. </w:t>
      </w:r>
    </w:p>
    <w:p w14:paraId="4128E07D" w14:textId="77777777" w:rsidR="00D16979" w:rsidRPr="00851A7D" w:rsidRDefault="00D16979" w:rsidP="00D16979">
      <w:pPr>
        <w:spacing w:before="20" w:after="20" w:line="240" w:lineRule="auto"/>
        <w:jc w:val="both"/>
        <w:rPr>
          <w:rFonts w:eastAsia="Franklin Gothic Book"/>
          <w:szCs w:val="24"/>
        </w:rPr>
      </w:pPr>
      <w:r>
        <w:rPr>
          <w:bCs/>
          <w:szCs w:val="24"/>
        </w:rPr>
        <w:t>Stratēģijā noteiktā virsmērķa sasniegšanai nepieciešamās darbības veido sešu pamatvirzienu kopa</w:t>
      </w:r>
      <w:r>
        <w:rPr>
          <w:rFonts w:eastAsia="Franklin Gothic Book"/>
          <w:szCs w:val="24"/>
        </w:rPr>
        <w:t>.</w:t>
      </w:r>
      <w:r w:rsidRPr="00851A7D">
        <w:rPr>
          <w:rFonts w:eastAsia="Franklin Gothic Book"/>
          <w:szCs w:val="24"/>
        </w:rPr>
        <w:t xml:space="preserve"> </w:t>
      </w:r>
      <w:r>
        <w:rPr>
          <w:rFonts w:eastAsia="Franklin Gothic Book"/>
          <w:szCs w:val="24"/>
        </w:rPr>
        <w:t>Z</w:t>
      </w:r>
      <w:r w:rsidRPr="00851A7D">
        <w:rPr>
          <w:rFonts w:eastAsia="Franklin Gothic Book"/>
          <w:szCs w:val="24"/>
        </w:rPr>
        <w:t xml:space="preserve">emāk </w:t>
      </w:r>
      <w:r>
        <w:rPr>
          <w:rFonts w:eastAsia="Franklin Gothic Book"/>
          <w:szCs w:val="24"/>
        </w:rPr>
        <w:t>a</w:t>
      </w:r>
      <w:r w:rsidRPr="00851A7D">
        <w:rPr>
          <w:rFonts w:eastAsia="Franklin Gothic Book"/>
          <w:szCs w:val="24"/>
        </w:rPr>
        <w:t>nalizēt</w:t>
      </w:r>
      <w:r>
        <w:rPr>
          <w:rFonts w:eastAsia="Franklin Gothic Book"/>
          <w:szCs w:val="24"/>
        </w:rPr>
        <w:t>s</w:t>
      </w:r>
      <w:r w:rsidRPr="00851A7D">
        <w:rPr>
          <w:rFonts w:eastAsia="Franklin Gothic Book"/>
          <w:szCs w:val="24"/>
        </w:rPr>
        <w:t xml:space="preserve"> visu sešu stratēģisko pamatvirzienu kopas progres</w:t>
      </w:r>
      <w:r>
        <w:rPr>
          <w:rFonts w:eastAsia="Franklin Gothic Book"/>
          <w:szCs w:val="24"/>
        </w:rPr>
        <w:t xml:space="preserve">s un </w:t>
      </w:r>
      <w:r w:rsidRPr="00851A7D">
        <w:rPr>
          <w:rFonts w:eastAsia="Franklin Gothic Book"/>
          <w:szCs w:val="24"/>
        </w:rPr>
        <w:t>izklāstīts katra atsevišķa darbības virziena ieguldījums Latvijas ekonomikas izaugsmē pārskata perioda laikā.</w:t>
      </w:r>
    </w:p>
    <w:p w14:paraId="5838ED9B" w14:textId="77777777" w:rsidR="00D16979" w:rsidRPr="00F5511B" w:rsidRDefault="00D16979" w:rsidP="00D16979">
      <w:pPr>
        <w:spacing w:before="20" w:after="20" w:line="240" w:lineRule="auto"/>
        <w:jc w:val="both"/>
        <w:rPr>
          <w:rFonts w:eastAsia="Franklin Gothic Book" w:cs="Times New Roman"/>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2"/>
      </w:tblGrid>
      <w:tr w:rsidR="00D16979" w:rsidRPr="00F5511B" w14:paraId="724F2B46" w14:textId="77777777" w:rsidTr="00D16979">
        <w:tc>
          <w:tcPr>
            <w:tcW w:w="9638" w:type="dxa"/>
            <w:gridSpan w:val="2"/>
            <w:shd w:val="clear" w:color="auto" w:fill="31849B" w:themeFill="accent5" w:themeFillShade="BF"/>
          </w:tcPr>
          <w:p w14:paraId="1B00371E" w14:textId="77777777" w:rsidR="00D16979" w:rsidRPr="008A54F7" w:rsidRDefault="00D16979" w:rsidP="00BE6C4B">
            <w:pPr>
              <w:pStyle w:val="Heading2"/>
              <w:numPr>
                <w:ilvl w:val="1"/>
                <w:numId w:val="15"/>
              </w:numPr>
              <w:spacing w:before="120" w:after="120"/>
              <w:ind w:left="357" w:hanging="357"/>
              <w:rPr>
                <w:rFonts w:eastAsia="Franklin Gothic Book"/>
                <w:lang w:val="lv-LV"/>
              </w:rPr>
            </w:pPr>
            <w:bookmarkStart w:id="26" w:name="_Toc78874593"/>
            <w:r w:rsidRPr="008A54F7">
              <w:rPr>
                <w:rFonts w:eastAsia="Franklin Gothic Book"/>
                <w:lang w:val="lv-LV"/>
              </w:rPr>
              <w:t>Darbības virziens: Produktivitātes paaugstināšana</w:t>
            </w:r>
            <w:bookmarkEnd w:id="26"/>
          </w:p>
        </w:tc>
      </w:tr>
      <w:tr w:rsidR="00D16979" w:rsidRPr="00F5511B" w14:paraId="4D2F3F86" w14:textId="77777777" w:rsidTr="00D16979">
        <w:tc>
          <w:tcPr>
            <w:tcW w:w="3686" w:type="dxa"/>
          </w:tcPr>
          <w:p w14:paraId="623C112B" w14:textId="77777777" w:rsidR="00D16979" w:rsidRPr="00F5511B" w:rsidRDefault="00D16979" w:rsidP="00D16979">
            <w:pPr>
              <w:pStyle w:val="ListParagraph"/>
              <w:spacing w:after="40"/>
              <w:ind w:left="0"/>
              <w:jc w:val="center"/>
              <w:rPr>
                <w:b/>
                <w:sz w:val="16"/>
                <w:szCs w:val="16"/>
                <w:highlight w:val="yellow"/>
              </w:rPr>
            </w:pPr>
          </w:p>
          <w:p w14:paraId="356B7876" w14:textId="77777777" w:rsidR="00D16979" w:rsidRPr="001D596E" w:rsidRDefault="00D16979" w:rsidP="00D16979">
            <w:pPr>
              <w:pStyle w:val="ListParagraph"/>
              <w:spacing w:after="40"/>
              <w:ind w:left="0"/>
              <w:jc w:val="center"/>
              <w:rPr>
                <w:sz w:val="18"/>
                <w:szCs w:val="18"/>
              </w:rPr>
            </w:pPr>
            <w:r w:rsidRPr="001D596E">
              <w:rPr>
                <w:b/>
                <w:sz w:val="18"/>
                <w:szCs w:val="18"/>
              </w:rPr>
              <w:t>1.attēls.</w:t>
            </w:r>
            <w:r w:rsidRPr="001D596E">
              <w:rPr>
                <w:sz w:val="18"/>
                <w:szCs w:val="18"/>
              </w:rPr>
              <w:t xml:space="preserve"> Produktivitāte faktiskajās cenās tautsaimniecībā, % no ES vidējā rādītāja</w:t>
            </w:r>
          </w:p>
        </w:tc>
        <w:tc>
          <w:tcPr>
            <w:tcW w:w="5952" w:type="dxa"/>
            <w:vMerge w:val="restart"/>
          </w:tcPr>
          <w:p w14:paraId="76F91889" w14:textId="0E5A5A95" w:rsidR="00D16979" w:rsidRPr="00F5511B" w:rsidRDefault="00D16979" w:rsidP="00D16979">
            <w:pPr>
              <w:spacing w:before="120" w:after="60" w:line="240" w:lineRule="auto"/>
              <w:jc w:val="both"/>
              <w:rPr>
                <w:rFonts w:eastAsia="Franklin Gothic Book" w:cs="Times New Roman"/>
                <w:szCs w:val="24"/>
                <w:highlight w:val="yellow"/>
              </w:rPr>
            </w:pPr>
            <w:r w:rsidRPr="00BB6D71">
              <w:t>Produktivitātes attīstības dinamika Latvij</w:t>
            </w:r>
            <w:r>
              <w:t>as</w:t>
            </w:r>
            <w:r w:rsidRPr="00BB6D71">
              <w:t xml:space="preserve"> tautsaimniecībā kopumā pēdējos gados ir bijusi gandrīz 3,5 reizes straujāka nekā vidēji ES un produktivitātes plaisa kopš 2010.</w:t>
            </w:r>
            <w:r>
              <w:t> </w:t>
            </w:r>
            <w:r w:rsidRPr="00BB6D71">
              <w:t>gada</w:t>
            </w:r>
            <w:r w:rsidR="004F49AB">
              <w:t xml:space="preserve"> līdz 2020. gadam</w:t>
            </w:r>
            <w:r w:rsidRPr="00BB6D71">
              <w:t xml:space="preserve"> ir samazinājusies par 14 procentpunktiem.</w:t>
            </w:r>
            <w:r>
              <w:t xml:space="preserve"> Tomēr </w:t>
            </w:r>
            <w:r w:rsidRPr="00BB6D71">
              <w:t xml:space="preserve">Covid-19 </w:t>
            </w:r>
            <w:r>
              <w:t xml:space="preserve">izraisītā </w:t>
            </w:r>
            <w:r w:rsidRPr="00BB6D71">
              <w:t xml:space="preserve">krīze negatīvi ietekmēja produktivitātes rādītājus. </w:t>
            </w:r>
            <w:r>
              <w:t>S</w:t>
            </w:r>
            <w:r w:rsidRPr="00BB6D71">
              <w:t>alīdzinot ar 2019.</w:t>
            </w:r>
            <w:r>
              <w:t> </w:t>
            </w:r>
            <w:r w:rsidRPr="00BB6D71">
              <w:t>gadu, 2020.</w:t>
            </w:r>
            <w:r>
              <w:t> </w:t>
            </w:r>
            <w:r w:rsidRPr="00BB6D71">
              <w:t>gadā pandēmijas ierobežošanas pasākumu ietekmē IKP uz vienu nodarbināto (produktivitāte) Latvijā samazinājās par 1,3%. Turklāt vidēji ES valstīs produktivitāte samazinājās daudz straujāk – par 4,7%. Mērenāks nekā vidēji ES produktivitātes kritums noteica produktivitātes plaisas mazināšanos. 2020.</w:t>
            </w:r>
            <w:r>
              <w:t> </w:t>
            </w:r>
            <w:r w:rsidRPr="00BB6D71">
              <w:t xml:space="preserve">gadā produktivitātes līmenis Latvijā bija 51,7% (gandrīz 70% pēc PPS) no vidējā ES līmeņa, t.i. par vienu procentpunktu augtāks nekā pirms </w:t>
            </w:r>
            <w:r w:rsidRPr="00F625D6">
              <w:t xml:space="preserve">gada </w:t>
            </w:r>
            <w:r w:rsidRPr="00F625D6">
              <w:rPr>
                <w:color w:val="000000" w:themeColor="text1"/>
                <w:szCs w:val="24"/>
              </w:rPr>
              <w:t>(skat. 1.attēlu)</w:t>
            </w:r>
            <w:r w:rsidRPr="00F625D6">
              <w:t>.</w:t>
            </w:r>
          </w:p>
        </w:tc>
      </w:tr>
      <w:tr w:rsidR="00D16979" w:rsidRPr="00F5511B" w14:paraId="0D8E5076" w14:textId="77777777" w:rsidTr="00D16979">
        <w:tc>
          <w:tcPr>
            <w:tcW w:w="3686" w:type="dxa"/>
          </w:tcPr>
          <w:p w14:paraId="28A4C5FB" w14:textId="77777777" w:rsidR="00D16979" w:rsidRPr="00F5511B" w:rsidRDefault="00D16979" w:rsidP="00D16979">
            <w:pPr>
              <w:pStyle w:val="ListParagraph"/>
              <w:spacing w:before="60" w:after="60"/>
              <w:ind w:left="0"/>
              <w:rPr>
                <w:sz w:val="16"/>
                <w:szCs w:val="16"/>
                <w:highlight w:val="yellow"/>
              </w:rPr>
            </w:pPr>
            <w:r>
              <w:rPr>
                <w:iCs/>
                <w:noProof/>
                <w:sz w:val="14"/>
                <w:szCs w:val="14"/>
                <w:lang w:val="en-US" w:eastAsia="en-US"/>
              </w:rPr>
              <w:drawing>
                <wp:inline distT="0" distB="0" distL="0" distR="0" wp14:anchorId="2E6EE8AA" wp14:editId="703C429B">
                  <wp:extent cx="2203450" cy="1547495"/>
                  <wp:effectExtent l="0" t="0" r="635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4C00E7" w14:textId="77777777" w:rsidR="00D16979" w:rsidRPr="008A54F7" w:rsidRDefault="00D16979" w:rsidP="00D16979">
            <w:pPr>
              <w:pStyle w:val="ListParagraph"/>
              <w:spacing w:before="40" w:after="40"/>
              <w:ind w:left="0"/>
              <w:contextualSpacing w:val="0"/>
              <w:rPr>
                <w:i/>
                <w:sz w:val="14"/>
                <w:szCs w:val="14"/>
              </w:rPr>
            </w:pPr>
            <w:r w:rsidRPr="008A54F7">
              <w:rPr>
                <w:i/>
                <w:sz w:val="14"/>
                <w:szCs w:val="14"/>
              </w:rPr>
              <w:t>Avots: Eurostat datu bāze, EM aprēķini</w:t>
            </w:r>
          </w:p>
          <w:p w14:paraId="02CB8C24" w14:textId="77777777" w:rsidR="00D16979" w:rsidRPr="00F5511B" w:rsidRDefault="00D16979" w:rsidP="00D16979">
            <w:pPr>
              <w:pStyle w:val="ListParagraph"/>
              <w:spacing w:before="40" w:after="40"/>
              <w:ind w:left="0"/>
              <w:rPr>
                <w:sz w:val="16"/>
                <w:szCs w:val="16"/>
                <w:highlight w:val="yellow"/>
              </w:rPr>
            </w:pPr>
          </w:p>
        </w:tc>
        <w:tc>
          <w:tcPr>
            <w:tcW w:w="5952" w:type="dxa"/>
            <w:vMerge/>
          </w:tcPr>
          <w:p w14:paraId="55CBFBF9" w14:textId="77777777" w:rsidR="00D16979" w:rsidRPr="00F5511B" w:rsidRDefault="00D16979" w:rsidP="00D16979">
            <w:pPr>
              <w:spacing w:before="20" w:after="20" w:line="240" w:lineRule="auto"/>
              <w:jc w:val="both"/>
              <w:rPr>
                <w:rFonts w:eastAsia="Franklin Gothic Book" w:cs="Times New Roman"/>
                <w:szCs w:val="24"/>
                <w:highlight w:val="yellow"/>
              </w:rPr>
            </w:pPr>
          </w:p>
        </w:tc>
      </w:tr>
      <w:tr w:rsidR="00D16979" w:rsidRPr="00F5511B" w14:paraId="4D59B274" w14:textId="77777777" w:rsidTr="00D16979">
        <w:tc>
          <w:tcPr>
            <w:tcW w:w="9638" w:type="dxa"/>
            <w:gridSpan w:val="2"/>
          </w:tcPr>
          <w:p w14:paraId="27B1708C" w14:textId="77777777" w:rsidR="00D16979" w:rsidRPr="00BB6D71" w:rsidRDefault="00D16979" w:rsidP="00D16979">
            <w:pPr>
              <w:spacing w:before="60" w:after="60" w:line="240" w:lineRule="auto"/>
              <w:jc w:val="both"/>
            </w:pPr>
            <w:r w:rsidRPr="00BB6D71">
              <w:t>Apstrādes rūpniecības produktivitāte 2020.</w:t>
            </w:r>
            <w:r>
              <w:t> </w:t>
            </w:r>
            <w:r w:rsidRPr="00BB6D71">
              <w:t>gadā bija par 2,6% augstākā līmenī nekā 2019.</w:t>
            </w:r>
            <w:r>
              <w:t> </w:t>
            </w:r>
            <w:r w:rsidRPr="00BB6D71">
              <w:t xml:space="preserve">gadā. To galvenokārt noteica nodarbināto skaita samazinājums – par 3,4%, kamēr apstrādes </w:t>
            </w:r>
            <w:r>
              <w:t xml:space="preserve">rūpniecības </w:t>
            </w:r>
            <w:r w:rsidRPr="00BB6D71">
              <w:t>pievienotā vērtība 2020.</w:t>
            </w:r>
            <w:r>
              <w:t> </w:t>
            </w:r>
            <w:r w:rsidRPr="00BB6D71">
              <w:t>gadā bija tikai par 0,9% zemākā līmenī nekā pirms gada.</w:t>
            </w:r>
            <w:r>
              <w:t xml:space="preserve"> T</w:t>
            </w:r>
            <w:r w:rsidRPr="00BB6D71">
              <w:t>omēr produktivitātes atpalicība joprojām ir liela – 40,8% (52% pēc PPS) no ES vidējā līmeņa.</w:t>
            </w:r>
          </w:p>
          <w:p w14:paraId="5D376EBE" w14:textId="23AB4EA8" w:rsidR="00D16979" w:rsidRPr="00434038" w:rsidRDefault="00D16979" w:rsidP="00D16979">
            <w:pPr>
              <w:tabs>
                <w:tab w:val="left" w:pos="3745"/>
              </w:tabs>
              <w:spacing w:before="60" w:after="60" w:line="240" w:lineRule="auto"/>
              <w:jc w:val="both"/>
              <w:rPr>
                <w:b/>
                <w:szCs w:val="24"/>
              </w:rPr>
            </w:pPr>
            <w:r w:rsidRPr="00BB6D71">
              <w:t xml:space="preserve">Jāatzīmē, ka Covid-19 krīzes ietekme uz produktivitātes rādītājiem nav viennozīmīgi vērtējama. </w:t>
            </w:r>
            <w:r w:rsidR="00BF509C">
              <w:t>Vērtējo</w:t>
            </w:r>
            <w:r w:rsidR="00BF509C" w:rsidRPr="00BB6D71">
              <w:t xml:space="preserve">t </w:t>
            </w:r>
            <w:r w:rsidRPr="00BB6D71">
              <w:t>pievienoto vērtību pret nodarbināto skaitu produktivitāte Latvijā 2020. gadā samazinājās par 1,3%, bet pret kopējo nostrādāto stundu skaitu tā ir palielinājusies par 1,2%</w:t>
            </w:r>
            <w:r>
              <w:t xml:space="preserve"> </w:t>
            </w:r>
            <w:r w:rsidRPr="00BB6D71">
              <w:t xml:space="preserve">(ES vidēji – par 0,3%). Tas pamatā ir saistīts gan ar darba tirgus korekciju īpatnībām, gan uzņēmumu vērtējumā gaidāmo krīzes ilgumu un dziļumu. Valdības </w:t>
            </w:r>
            <w:r>
              <w:t xml:space="preserve">īstenotie Covid-19 krīzes pārvarēšanas </w:t>
            </w:r>
            <w:r w:rsidRPr="00BB6D71">
              <w:t>atbalsta pasākumi, tādi kā dīkstāves pabalsti, ietekmē</w:t>
            </w:r>
            <w:r>
              <w:t>ja</w:t>
            </w:r>
            <w:r w:rsidRPr="00BB6D71">
              <w:t xml:space="preserve"> darba produktivitātes</w:t>
            </w:r>
            <w:r>
              <w:t xml:space="preserve"> līmeni</w:t>
            </w:r>
            <w:r w:rsidRPr="00BE2D11">
              <w:rPr>
                <w:vertAlign w:val="superscript"/>
              </w:rPr>
              <w:footnoteReference w:id="3"/>
            </w:r>
            <w:r w:rsidRPr="00BB6D71">
              <w:t>.</w:t>
            </w:r>
            <w:r>
              <w:t xml:space="preserve"> </w:t>
            </w:r>
            <w:r w:rsidRPr="008A54F7">
              <w:rPr>
                <w:color w:val="000000" w:themeColor="text1"/>
                <w:szCs w:val="24"/>
              </w:rPr>
              <w:t xml:space="preserve">Produktivitātes paaugstināšanas </w:t>
            </w:r>
            <w:r w:rsidRPr="008A54F7">
              <w:rPr>
                <w:color w:val="000000" w:themeColor="text1"/>
              </w:rPr>
              <w:t>virziena</w:t>
            </w:r>
            <w:r w:rsidRPr="008A54F7">
              <w:rPr>
                <w:color w:val="000000" w:themeColor="text1"/>
                <w:szCs w:val="24"/>
              </w:rPr>
              <w:t xml:space="preserve"> attīstību raksturojošo rādītāju dinamika un skaitliskais </w:t>
            </w:r>
            <w:r w:rsidRPr="008B2EF7">
              <w:rPr>
                <w:color w:val="000000" w:themeColor="text1"/>
                <w:szCs w:val="24"/>
              </w:rPr>
              <w:t xml:space="preserve">progress atspoguļots </w:t>
            </w:r>
            <w:hyperlink w:anchor="_EM_darbības_virziena" w:history="1">
              <w:r w:rsidRPr="008B2EF7">
                <w:rPr>
                  <w:rStyle w:val="Hyperlink"/>
                  <w:rFonts w:eastAsia="Franklin Gothic Book" w:cs="Times New Roman"/>
                  <w:color w:val="00859B"/>
                  <w:szCs w:val="24"/>
                </w:rPr>
                <w:t>2.pielikumā</w:t>
              </w:r>
            </w:hyperlink>
            <w:r w:rsidRPr="008B2EF7">
              <w:rPr>
                <w:color w:val="000000" w:themeColor="text1"/>
                <w:szCs w:val="24"/>
              </w:rPr>
              <w:t>.</w:t>
            </w:r>
          </w:p>
          <w:p w14:paraId="32A05E98" w14:textId="77777777" w:rsidR="00D16979" w:rsidRPr="00F5511B" w:rsidRDefault="00D16979" w:rsidP="00D16979">
            <w:pPr>
              <w:spacing w:before="20" w:after="20" w:line="240" w:lineRule="auto"/>
              <w:jc w:val="both"/>
              <w:rPr>
                <w:rFonts w:eastAsia="Franklin Gothic Book" w:cs="Times New Roman"/>
                <w:szCs w:val="24"/>
                <w:highlight w:val="yellow"/>
              </w:rPr>
            </w:pPr>
          </w:p>
        </w:tc>
      </w:tr>
      <w:tr w:rsidR="00D16979" w:rsidRPr="00F5511B" w14:paraId="32D52AB8" w14:textId="77777777" w:rsidTr="00D16979">
        <w:tc>
          <w:tcPr>
            <w:tcW w:w="9638" w:type="dxa"/>
            <w:gridSpan w:val="2"/>
            <w:shd w:val="clear" w:color="auto" w:fill="31849B" w:themeFill="accent5" w:themeFillShade="BF"/>
          </w:tcPr>
          <w:p w14:paraId="051FDFB1" w14:textId="77777777" w:rsidR="00D16979" w:rsidRPr="002C264B" w:rsidRDefault="00D16979" w:rsidP="00BE6C4B">
            <w:pPr>
              <w:pStyle w:val="Heading2"/>
              <w:numPr>
                <w:ilvl w:val="1"/>
                <w:numId w:val="15"/>
              </w:numPr>
              <w:spacing w:before="120" w:after="120"/>
              <w:ind w:left="357" w:hanging="357"/>
              <w:rPr>
                <w:rFonts w:eastAsia="Franklin Gothic Book"/>
                <w:lang w:val="lv-LV"/>
              </w:rPr>
            </w:pPr>
            <w:bookmarkStart w:id="27" w:name="_Toc78874594"/>
            <w:r w:rsidRPr="002C264B">
              <w:rPr>
                <w:rFonts w:eastAsia="Franklin Gothic Book"/>
                <w:lang w:val="lv-LV"/>
              </w:rPr>
              <w:lastRenderedPageBreak/>
              <w:t>Darbības virziens: Eksporta veicināšana</w:t>
            </w:r>
            <w:bookmarkEnd w:id="27"/>
          </w:p>
        </w:tc>
      </w:tr>
      <w:tr w:rsidR="00D16979" w:rsidRPr="00F5511B" w14:paraId="336460C9" w14:textId="77777777" w:rsidTr="00D16979">
        <w:trPr>
          <w:trHeight w:val="567"/>
        </w:trPr>
        <w:tc>
          <w:tcPr>
            <w:tcW w:w="3686" w:type="dxa"/>
          </w:tcPr>
          <w:p w14:paraId="36D4AF22" w14:textId="77777777" w:rsidR="00D16979" w:rsidRPr="00F5511B" w:rsidRDefault="00D16979" w:rsidP="00D16979">
            <w:pPr>
              <w:pStyle w:val="ListParagraph"/>
              <w:spacing w:after="40"/>
              <w:ind w:left="0"/>
              <w:jc w:val="center"/>
              <w:rPr>
                <w:b/>
                <w:sz w:val="16"/>
                <w:szCs w:val="16"/>
                <w:highlight w:val="yellow"/>
              </w:rPr>
            </w:pPr>
          </w:p>
          <w:p w14:paraId="184F8079" w14:textId="77777777" w:rsidR="00D16979" w:rsidRPr="002C264B" w:rsidRDefault="00D16979" w:rsidP="00D16979">
            <w:pPr>
              <w:pStyle w:val="ListParagraph"/>
              <w:spacing w:after="40"/>
              <w:ind w:left="0" w:right="-105"/>
              <w:jc w:val="center"/>
              <w:rPr>
                <w:sz w:val="18"/>
                <w:szCs w:val="18"/>
                <w:highlight w:val="yellow"/>
              </w:rPr>
            </w:pPr>
            <w:r w:rsidRPr="002C264B">
              <w:rPr>
                <w:b/>
                <w:sz w:val="18"/>
                <w:szCs w:val="18"/>
              </w:rPr>
              <w:t>2.attēls.</w:t>
            </w:r>
            <w:r w:rsidRPr="002C264B">
              <w:rPr>
                <w:sz w:val="18"/>
                <w:szCs w:val="18"/>
              </w:rPr>
              <w:t xml:space="preserve"> Preču un pakalpojumu eksports, % IKP</w:t>
            </w:r>
          </w:p>
        </w:tc>
        <w:tc>
          <w:tcPr>
            <w:tcW w:w="5952" w:type="dxa"/>
            <w:vMerge w:val="restart"/>
          </w:tcPr>
          <w:p w14:paraId="3D00629F" w14:textId="77777777" w:rsidR="00D16979" w:rsidRDefault="00D16979" w:rsidP="00D16979">
            <w:pPr>
              <w:spacing w:before="120" w:after="60" w:line="240" w:lineRule="auto"/>
              <w:jc w:val="both"/>
              <w:rPr>
                <w:color w:val="000000" w:themeColor="text1"/>
              </w:rPr>
            </w:pPr>
            <w:r>
              <w:rPr>
                <w:color w:val="000000"/>
              </w:rPr>
              <w:t>2020</w:t>
            </w:r>
            <w:r w:rsidRPr="00432562">
              <w:rPr>
                <w:color w:val="000000"/>
              </w:rPr>
              <w:t>.</w:t>
            </w:r>
            <w:r>
              <w:rPr>
                <w:color w:val="000000"/>
              </w:rPr>
              <w:t> </w:t>
            </w:r>
            <w:r w:rsidRPr="00432562">
              <w:rPr>
                <w:color w:val="000000"/>
              </w:rPr>
              <w:t xml:space="preserve">gadā preču un pakalpojumu eksporta īpatsvars </w:t>
            </w:r>
            <w:r>
              <w:rPr>
                <w:color w:val="000000"/>
              </w:rPr>
              <w:t xml:space="preserve">IKP </w:t>
            </w:r>
            <w:r w:rsidRPr="00432562">
              <w:rPr>
                <w:color w:val="000000"/>
              </w:rPr>
              <w:t>sasniedza 6</w:t>
            </w:r>
            <w:r>
              <w:rPr>
                <w:color w:val="000000"/>
              </w:rPr>
              <w:t>0</w:t>
            </w:r>
            <w:r w:rsidRPr="00432562">
              <w:rPr>
                <w:color w:val="000000"/>
              </w:rPr>
              <w:t>,3</w:t>
            </w:r>
            <w:r>
              <w:rPr>
                <w:color w:val="000000"/>
              </w:rPr>
              <w:t> </w:t>
            </w:r>
            <w:r w:rsidRPr="00432562">
              <w:rPr>
                <w:color w:val="000000"/>
              </w:rPr>
              <w:t>% līmeni</w:t>
            </w:r>
            <w:r>
              <w:rPr>
                <w:color w:val="000000"/>
              </w:rPr>
              <w:t xml:space="preserve"> </w:t>
            </w:r>
            <w:r w:rsidRPr="00F625D6">
              <w:rPr>
                <w:color w:val="000000" w:themeColor="text1"/>
                <w:szCs w:val="24"/>
              </w:rPr>
              <w:t>(skat. 2.attēlu)</w:t>
            </w:r>
            <w:r w:rsidRPr="00F625D6">
              <w:t>.</w:t>
            </w:r>
            <w:r>
              <w:t xml:space="preserve"> Bet lai panāktu </w:t>
            </w:r>
            <w:r w:rsidRPr="005F1473">
              <w:t>eksporta īpatsvar</w:t>
            </w:r>
            <w:r>
              <w:t>a turpmāku pieaugumu būs svarīgi arī turpmāk veicināt Latvijas ražotāju un pakalpojumu sniedzēju starptautisko konkurētspēju un iespējas iekarot jaunas tirgus nišas</w:t>
            </w:r>
            <w:r>
              <w:rPr>
                <w:color w:val="000000" w:themeColor="text1"/>
              </w:rPr>
              <w:t>.</w:t>
            </w:r>
          </w:p>
          <w:p w14:paraId="52D43E3C" w14:textId="77777777" w:rsidR="00D16979" w:rsidRPr="002472E5" w:rsidRDefault="00D16979" w:rsidP="00D16979">
            <w:pPr>
              <w:spacing w:before="60" w:after="60" w:line="240" w:lineRule="auto"/>
              <w:jc w:val="both"/>
              <w:rPr>
                <w:color w:val="000000" w:themeColor="text1"/>
              </w:rPr>
            </w:pPr>
            <w:r w:rsidRPr="00F91E47">
              <w:t>2020.</w:t>
            </w:r>
            <w:r>
              <w:t> </w:t>
            </w:r>
            <w:r w:rsidRPr="00F91E47">
              <w:t>gadā preču un pakalpojumu eksporta apjomi</w:t>
            </w:r>
            <w:r>
              <w:t xml:space="preserve">, </w:t>
            </w:r>
            <w:r w:rsidRPr="00F91E47">
              <w:t>samazinājās</w:t>
            </w:r>
            <w:r>
              <w:t xml:space="preserve"> par 2,7 %, </w:t>
            </w:r>
            <w:r w:rsidRPr="00F91E47">
              <w:t xml:space="preserve">galvenokārt Covid-19 pandēmijas </w:t>
            </w:r>
            <w:r>
              <w:t xml:space="preserve">ietekmes </w:t>
            </w:r>
            <w:r w:rsidRPr="00F91E47">
              <w:t xml:space="preserve">dēļ. </w:t>
            </w:r>
            <w:r>
              <w:t>2020. g</w:t>
            </w:r>
            <w:r w:rsidRPr="00F91E47">
              <w:t>ada pirmajā un pēdējā ceturksnī eksporta apjomi pieauga, savukārt</w:t>
            </w:r>
            <w:r>
              <w:t>,</w:t>
            </w:r>
            <w:r w:rsidRPr="00F91E47">
              <w:t xml:space="preserve"> 2.-3.ceturksnī tie būtiski samazinājās (attiecīgi par 13,1% un 3,6%), kas noteica eksporta samazinājumu gadā kopumā.</w:t>
            </w:r>
            <w:r>
              <w:t xml:space="preserve"> Tiesa, preču un pakalpojumu eksporta tendences 2020.gadā bija atšķirīgas.</w:t>
            </w:r>
          </w:p>
        </w:tc>
      </w:tr>
      <w:tr w:rsidR="00D16979" w:rsidRPr="00F5511B" w14:paraId="0EA112B9" w14:textId="77777777" w:rsidTr="00D16979">
        <w:trPr>
          <w:trHeight w:val="1417"/>
        </w:trPr>
        <w:tc>
          <w:tcPr>
            <w:tcW w:w="3686" w:type="dxa"/>
          </w:tcPr>
          <w:p w14:paraId="2CE1C275" w14:textId="77777777" w:rsidR="00D16979" w:rsidRPr="00156F13" w:rsidRDefault="00D16979" w:rsidP="00D16979">
            <w:pPr>
              <w:pStyle w:val="ListParagraph"/>
              <w:spacing w:before="60" w:after="60"/>
              <w:ind w:left="0"/>
              <w:rPr>
                <w:bCs/>
                <w:sz w:val="16"/>
                <w:szCs w:val="16"/>
                <w:highlight w:val="yellow"/>
              </w:rPr>
            </w:pPr>
            <w:r>
              <w:rPr>
                <w:noProof/>
                <w:lang w:val="en-US" w:eastAsia="en-US"/>
              </w:rPr>
              <w:drawing>
                <wp:inline distT="0" distB="0" distL="0" distR="0" wp14:anchorId="162E54B9" wp14:editId="0A74FE79">
                  <wp:extent cx="2186609" cy="1741170"/>
                  <wp:effectExtent l="0" t="0" r="4445"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BEDC843" w14:textId="77777777" w:rsidR="00D16979" w:rsidRPr="002C264B" w:rsidRDefault="00D16979" w:rsidP="00D16979">
            <w:pPr>
              <w:pStyle w:val="ListParagraph"/>
              <w:spacing w:before="40" w:after="40"/>
              <w:ind w:left="0"/>
              <w:contextualSpacing w:val="0"/>
              <w:rPr>
                <w:b/>
                <w:sz w:val="16"/>
                <w:szCs w:val="16"/>
              </w:rPr>
            </w:pPr>
            <w:r w:rsidRPr="002C264B">
              <w:rPr>
                <w:i/>
                <w:sz w:val="14"/>
                <w:szCs w:val="14"/>
              </w:rPr>
              <w:t>Avots: CSP datu bāze</w:t>
            </w:r>
          </w:p>
          <w:p w14:paraId="1C28904D" w14:textId="77777777" w:rsidR="00D16979" w:rsidRPr="00F5511B" w:rsidRDefault="00D16979" w:rsidP="00D16979">
            <w:pPr>
              <w:pStyle w:val="ListParagraph"/>
              <w:spacing w:after="40"/>
              <w:ind w:left="0"/>
              <w:rPr>
                <w:b/>
                <w:sz w:val="16"/>
                <w:szCs w:val="16"/>
                <w:highlight w:val="yellow"/>
              </w:rPr>
            </w:pPr>
          </w:p>
        </w:tc>
        <w:tc>
          <w:tcPr>
            <w:tcW w:w="5952" w:type="dxa"/>
            <w:vMerge/>
          </w:tcPr>
          <w:p w14:paraId="5B34AB6B" w14:textId="77777777" w:rsidR="00D16979" w:rsidRPr="00F5511B" w:rsidRDefault="00D16979" w:rsidP="00D16979">
            <w:pPr>
              <w:spacing w:before="20" w:after="20" w:line="240" w:lineRule="auto"/>
              <w:jc w:val="both"/>
              <w:rPr>
                <w:rFonts w:eastAsia="Franklin Gothic Book" w:cs="Times New Roman"/>
                <w:szCs w:val="24"/>
                <w:highlight w:val="yellow"/>
              </w:rPr>
            </w:pPr>
          </w:p>
        </w:tc>
      </w:tr>
      <w:tr w:rsidR="00D16979" w:rsidRPr="00F5511B" w14:paraId="4655922F" w14:textId="77777777" w:rsidTr="00D16979">
        <w:trPr>
          <w:trHeight w:val="1077"/>
        </w:trPr>
        <w:tc>
          <w:tcPr>
            <w:tcW w:w="9638" w:type="dxa"/>
            <w:gridSpan w:val="2"/>
          </w:tcPr>
          <w:p w14:paraId="5457F76E" w14:textId="24F5608E" w:rsidR="00D16979" w:rsidRDefault="00D16979" w:rsidP="00D16979">
            <w:pPr>
              <w:spacing w:before="60" w:after="60" w:line="240" w:lineRule="auto"/>
              <w:jc w:val="both"/>
              <w:rPr>
                <w:rFonts w:eastAsia="Franklin Gothic Book" w:cs="Times New Roman"/>
                <w:szCs w:val="24"/>
              </w:rPr>
            </w:pPr>
            <w:r w:rsidRPr="00F52BD5">
              <w:t>Vairāk nekā divas trešdaļas Latvijas eksporta veido preču eksports,</w:t>
            </w:r>
            <w:r>
              <w:t xml:space="preserve"> kas ievērojami pieauga 2020. gada otrajā pusē (septembrī un oktobrī), kad attiecīgi tika sasniegti augstākie preču eksporta apjomi mēneša laikā. Kopumā 2020. gadā preču eksports pieauga par 5,5%, ko labvēlīgi ietekmēja elektroierīču un iekārtu, graudaugu, eļļas augu sēklu un mehānismu un ierīču eksporta grupu vērtības pieaugums. Savukārt, </w:t>
            </w:r>
            <w:r w:rsidRPr="00015F8B">
              <w:t>pakalpojumu eksporta izaugsmi būtiski ietekmē</w:t>
            </w:r>
            <w:r>
              <w:t>ja</w:t>
            </w:r>
            <w:r w:rsidRPr="00015F8B">
              <w:t xml:space="preserve"> Covid-19 noteiktie ierobežojumi attiecībā uz ceļošanu, ēdināšanu un citiem pakalpojumiem.</w:t>
            </w:r>
            <w:r>
              <w:t xml:space="preserve"> </w:t>
            </w:r>
            <w:r w:rsidRPr="00183F22">
              <w:t>2020.</w:t>
            </w:r>
            <w:r>
              <w:t> </w:t>
            </w:r>
            <w:r w:rsidRPr="00183F22">
              <w:t xml:space="preserve">gadā pieauga vienīgi būvniecības un citu saimniecisko pakalpojumu eksports. </w:t>
            </w:r>
            <w:r>
              <w:t>I</w:t>
            </w:r>
            <w:r w:rsidRPr="00183F22">
              <w:t>evērojami samazinājās transporta pakalpojumu eksports, īpaši – gaisa transportā</w:t>
            </w:r>
            <w:r>
              <w:t>,</w:t>
            </w:r>
            <w:r w:rsidRPr="00183F22">
              <w:t xml:space="preserve"> un ceļojumu pakalpojumu eksports. Mērenāk saruka finanšu un apdrošināšanas un IKT eksporta pakalpojumu vērtība.</w:t>
            </w:r>
            <w:r>
              <w:t xml:space="preserve"> Kopumā 2020. gadā pakalpojumu eksporta apjomi saruka par 21,3 %.</w:t>
            </w:r>
            <w:r>
              <w:rPr>
                <w:rFonts w:eastAsia="Franklin Gothic Book"/>
                <w:szCs w:val="24"/>
              </w:rPr>
              <w:t xml:space="preserve"> </w:t>
            </w:r>
            <w:r w:rsidRPr="00851A7D">
              <w:rPr>
                <w:rFonts w:eastAsia="Franklin Gothic Book"/>
                <w:szCs w:val="24"/>
              </w:rPr>
              <w:t xml:space="preserve">Eksporta veicināšanas </w:t>
            </w:r>
            <w:r w:rsidRPr="00851A7D">
              <w:rPr>
                <w:color w:val="000000" w:themeColor="text1"/>
              </w:rPr>
              <w:t>virziena</w:t>
            </w:r>
            <w:r w:rsidRPr="00851A7D">
              <w:rPr>
                <w:rFonts w:eastAsia="Franklin Gothic Book"/>
                <w:szCs w:val="24"/>
              </w:rPr>
              <w:t xml:space="preserve"> attīstību raksturojošo rādītāju dinamika un </w:t>
            </w:r>
            <w:r w:rsidRPr="008B2EF7">
              <w:rPr>
                <w:rFonts w:eastAsia="Franklin Gothic Book"/>
                <w:szCs w:val="24"/>
              </w:rPr>
              <w:t>skaitliskais progress</w:t>
            </w:r>
            <w:r>
              <w:rPr>
                <w:rFonts w:eastAsia="Franklin Gothic Book"/>
                <w:szCs w:val="24"/>
              </w:rPr>
              <w:t xml:space="preserve"> </w:t>
            </w:r>
            <w:r w:rsidRPr="008B2EF7">
              <w:rPr>
                <w:rFonts w:eastAsia="Franklin Gothic Book" w:cs="Times New Roman"/>
                <w:szCs w:val="24"/>
              </w:rPr>
              <w:t xml:space="preserve">atspoguļots </w:t>
            </w:r>
            <w:hyperlink w:anchor="_Pielikums._EM_darbības" w:history="1">
              <w:r w:rsidRPr="008B2EF7">
                <w:rPr>
                  <w:rStyle w:val="Hyperlink"/>
                  <w:rFonts w:eastAsia="Franklin Gothic Book" w:cs="Times New Roman"/>
                  <w:color w:val="00859B"/>
                  <w:szCs w:val="24"/>
                </w:rPr>
                <w:t>3.pielikumā</w:t>
              </w:r>
            </w:hyperlink>
            <w:r w:rsidRPr="008B2EF7">
              <w:rPr>
                <w:rFonts w:eastAsia="Franklin Gothic Book" w:cs="Times New Roman"/>
                <w:szCs w:val="24"/>
              </w:rPr>
              <w:t>.</w:t>
            </w:r>
          </w:p>
          <w:p w14:paraId="4DBC27F4" w14:textId="77777777" w:rsidR="00D16979" w:rsidRPr="00F625D6" w:rsidRDefault="00D16979" w:rsidP="00D16979">
            <w:pPr>
              <w:spacing w:before="20" w:after="20" w:line="240" w:lineRule="auto"/>
              <w:jc w:val="both"/>
              <w:rPr>
                <w:rFonts w:eastAsia="Franklin Gothic Book" w:cs="Times New Roman"/>
                <w:szCs w:val="24"/>
              </w:rPr>
            </w:pPr>
          </w:p>
        </w:tc>
      </w:tr>
      <w:tr w:rsidR="00D16979" w:rsidRPr="00F5511B" w14:paraId="380D8642" w14:textId="77777777" w:rsidTr="00D16979">
        <w:tc>
          <w:tcPr>
            <w:tcW w:w="9638" w:type="dxa"/>
            <w:gridSpan w:val="2"/>
            <w:shd w:val="clear" w:color="auto" w:fill="31849B" w:themeFill="accent5" w:themeFillShade="BF"/>
          </w:tcPr>
          <w:p w14:paraId="5BD5E70B" w14:textId="77777777" w:rsidR="00D16979" w:rsidRPr="00E26EAA" w:rsidRDefault="00D16979" w:rsidP="00BE6C4B">
            <w:pPr>
              <w:pStyle w:val="Heading2"/>
              <w:numPr>
                <w:ilvl w:val="1"/>
                <w:numId w:val="15"/>
              </w:numPr>
              <w:ind w:left="357" w:hanging="357"/>
              <w:rPr>
                <w:rFonts w:eastAsia="Franklin Gothic Book"/>
                <w:lang w:val="lv-LV"/>
              </w:rPr>
            </w:pPr>
            <w:bookmarkStart w:id="28" w:name="_Toc78874595"/>
            <w:r w:rsidRPr="00E26EAA">
              <w:rPr>
                <w:rFonts w:eastAsia="Franklin Gothic Book"/>
                <w:lang w:val="lv-LV"/>
              </w:rPr>
              <w:t>Darbības virziens: Investīciju veicināšana un piesaiste</w:t>
            </w:r>
            <w:bookmarkEnd w:id="28"/>
          </w:p>
        </w:tc>
      </w:tr>
      <w:tr w:rsidR="00D16979" w:rsidRPr="00F5511B" w14:paraId="18FB6A56" w14:textId="77777777" w:rsidTr="00D16979">
        <w:trPr>
          <w:trHeight w:val="589"/>
        </w:trPr>
        <w:tc>
          <w:tcPr>
            <w:tcW w:w="3686" w:type="dxa"/>
          </w:tcPr>
          <w:p w14:paraId="79E47614" w14:textId="77777777" w:rsidR="00D16979" w:rsidRPr="00F5511B" w:rsidRDefault="00D16979" w:rsidP="00D16979">
            <w:pPr>
              <w:pStyle w:val="ListParagraph"/>
              <w:spacing w:after="40"/>
              <w:ind w:left="0"/>
              <w:jc w:val="center"/>
              <w:rPr>
                <w:b/>
                <w:sz w:val="16"/>
                <w:szCs w:val="16"/>
                <w:highlight w:val="yellow"/>
              </w:rPr>
            </w:pPr>
          </w:p>
          <w:p w14:paraId="4C92D0E1" w14:textId="7485E5B3" w:rsidR="00D16979" w:rsidRPr="00EE56BC" w:rsidRDefault="00D16979" w:rsidP="00D16979">
            <w:pPr>
              <w:pStyle w:val="ListParagraph"/>
              <w:spacing w:after="40"/>
              <w:ind w:left="0"/>
              <w:jc w:val="center"/>
              <w:rPr>
                <w:sz w:val="18"/>
                <w:szCs w:val="18"/>
              </w:rPr>
            </w:pPr>
            <w:r w:rsidRPr="00EE56BC">
              <w:rPr>
                <w:b/>
                <w:sz w:val="18"/>
                <w:szCs w:val="18"/>
              </w:rPr>
              <w:t>3.attēls.</w:t>
            </w:r>
            <w:r w:rsidR="00BF509C">
              <w:rPr>
                <w:b/>
                <w:sz w:val="18"/>
                <w:szCs w:val="18"/>
              </w:rPr>
              <w:t xml:space="preserve"> </w:t>
            </w:r>
            <w:r w:rsidRPr="00EE56BC">
              <w:rPr>
                <w:sz w:val="18"/>
                <w:szCs w:val="18"/>
              </w:rPr>
              <w:t>Bruto ieguldījumi pamatkapitālā Latvijas augsto un vidēji augsto tehnoloģiju nozarēs (milj. </w:t>
            </w:r>
            <w:r w:rsidRPr="00EE56BC">
              <w:rPr>
                <w:i/>
                <w:iCs/>
                <w:sz w:val="18"/>
                <w:szCs w:val="18"/>
              </w:rPr>
              <w:t>euro</w:t>
            </w:r>
            <w:r w:rsidRPr="00EE56BC">
              <w:rPr>
                <w:sz w:val="18"/>
                <w:szCs w:val="18"/>
              </w:rPr>
              <w:t>, faktiskajā cenās)</w:t>
            </w:r>
          </w:p>
        </w:tc>
        <w:tc>
          <w:tcPr>
            <w:tcW w:w="5952" w:type="dxa"/>
            <w:vMerge w:val="restart"/>
          </w:tcPr>
          <w:p w14:paraId="37642C11" w14:textId="77777777" w:rsidR="00D16979" w:rsidRPr="00E26EAA" w:rsidRDefault="00D16979" w:rsidP="00D16979">
            <w:pPr>
              <w:spacing w:before="120" w:after="60" w:line="240" w:lineRule="auto"/>
              <w:jc w:val="both"/>
            </w:pPr>
            <w:r w:rsidRPr="00A36160">
              <w:t xml:space="preserve">Covid-19 krīzes ietekmē investīcijas </w:t>
            </w:r>
            <w:r>
              <w:t xml:space="preserve">(izdevumi kopējā pamatkapitāla veidošanai) </w:t>
            </w:r>
            <w:r w:rsidRPr="00A36160">
              <w:t xml:space="preserve">Latvijas ekonomikā ir zemā līmenī un tuvāko gadu tendences ir nenoteiktas. Investīciju kāpums ir nozīmīgs Latvijas ekonomikas izaugsmes balsts, lai arī pēdējos piecos gados </w:t>
            </w:r>
            <w:r>
              <w:t xml:space="preserve">arī </w:t>
            </w:r>
            <w:r w:rsidRPr="00A36160">
              <w:t xml:space="preserve">pirms </w:t>
            </w:r>
            <w:r>
              <w:t>C</w:t>
            </w:r>
            <w:r w:rsidRPr="00A36160">
              <w:t>ovid-19 pandēmijas to dinamika bija svārstīga.</w:t>
            </w:r>
            <w:r>
              <w:t xml:space="preserve"> </w:t>
            </w:r>
            <w:r w:rsidRPr="00A36160">
              <w:t>Covid-19 pandēmijas ietekmē 2020.</w:t>
            </w:r>
            <w:r>
              <w:t> </w:t>
            </w:r>
            <w:r w:rsidRPr="00A36160">
              <w:t xml:space="preserve">gadā investēšanas aktivitātes bija visai vājas. Salīdzinot ar </w:t>
            </w:r>
            <w:r>
              <w:t>2019. </w:t>
            </w:r>
            <w:r w:rsidRPr="00A36160">
              <w:t>gadu, investīciju apjoms palielinājās tikai par 0,2%</w:t>
            </w:r>
            <w:r>
              <w:t>, t</w:t>
            </w:r>
            <w:r w:rsidRPr="00A36160">
              <w:t>omēr, tas ir viens no labākiem rādītājiem ES valstīs, kur ir vērojams būtisks investīciju apjoma kritums</w:t>
            </w:r>
            <w:r>
              <w:t xml:space="preserve"> – vidēji par 7,4%</w:t>
            </w:r>
            <w:r w:rsidRPr="00A36160">
              <w:t>.</w:t>
            </w:r>
            <w:r>
              <w:t xml:space="preserve"> P</w:t>
            </w:r>
            <w:r w:rsidRPr="00AC3F99">
              <w:t>rivātā sektora investīcijas 2020.</w:t>
            </w:r>
            <w:r>
              <w:t> </w:t>
            </w:r>
            <w:r w:rsidRPr="00AC3F99">
              <w:t>gadā pieaug</w:t>
            </w:r>
            <w:r>
              <w:t xml:space="preserve">a </w:t>
            </w:r>
            <w:r w:rsidRPr="00AC3F99">
              <w:t>par 2,2%,</w:t>
            </w:r>
            <w:r>
              <w:t xml:space="preserve"> un</w:t>
            </w:r>
            <w:r w:rsidRPr="009348E7">
              <w:t xml:space="preserve"> tas ir gandrīz divreiz </w:t>
            </w:r>
            <w:r>
              <w:t>mazāk</w:t>
            </w:r>
            <w:r w:rsidRPr="009348E7">
              <w:t xml:space="preserve"> nekā pirms gada.</w:t>
            </w:r>
            <w:r>
              <w:t xml:space="preserve"> S</w:t>
            </w:r>
            <w:r w:rsidRPr="00AC3F99">
              <w:t xml:space="preserve">avukārt </w:t>
            </w:r>
            <w:r>
              <w:t xml:space="preserve">valsts investīcijas </w:t>
            </w:r>
            <w:r w:rsidRPr="00AC3F99">
              <w:t>bija par gandrīz 7% mazākā apjomā</w:t>
            </w:r>
            <w:r>
              <w:t xml:space="preserve"> nekā 2019. gadā</w:t>
            </w:r>
            <w:r w:rsidRPr="00AC3F99">
              <w:t>.</w:t>
            </w:r>
          </w:p>
        </w:tc>
      </w:tr>
      <w:tr w:rsidR="00D16979" w:rsidRPr="00F5511B" w14:paraId="2346D48C" w14:textId="77777777" w:rsidTr="00D16979">
        <w:trPr>
          <w:trHeight w:val="1695"/>
        </w:trPr>
        <w:tc>
          <w:tcPr>
            <w:tcW w:w="3686" w:type="dxa"/>
          </w:tcPr>
          <w:p w14:paraId="002B16C6" w14:textId="77777777" w:rsidR="00D16979" w:rsidRDefault="00D16979" w:rsidP="00D16979">
            <w:pPr>
              <w:pStyle w:val="ListParagraph"/>
              <w:spacing w:before="60" w:after="60"/>
              <w:ind w:left="0"/>
              <w:rPr>
                <w:i/>
                <w:sz w:val="14"/>
                <w:szCs w:val="14"/>
                <w:highlight w:val="yellow"/>
              </w:rPr>
            </w:pPr>
            <w:r>
              <w:rPr>
                <w:iCs/>
                <w:noProof/>
                <w:sz w:val="14"/>
                <w:szCs w:val="14"/>
                <w:lang w:val="en-US" w:eastAsia="en-US"/>
              </w:rPr>
              <w:drawing>
                <wp:inline distT="0" distB="0" distL="0" distR="0" wp14:anchorId="45532373" wp14:editId="452E84DD">
                  <wp:extent cx="2228850" cy="1439545"/>
                  <wp:effectExtent l="0" t="0" r="0" b="82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0155FE2" w14:textId="77777777" w:rsidR="00D16979" w:rsidRPr="00F5511B" w:rsidRDefault="00D16979" w:rsidP="00D16979">
            <w:pPr>
              <w:pStyle w:val="ListParagraph"/>
              <w:spacing w:before="60" w:after="60"/>
              <w:ind w:left="0"/>
              <w:contextualSpacing w:val="0"/>
              <w:rPr>
                <w:b/>
                <w:sz w:val="16"/>
                <w:szCs w:val="16"/>
                <w:highlight w:val="yellow"/>
              </w:rPr>
            </w:pPr>
            <w:r w:rsidRPr="00E459E4">
              <w:rPr>
                <w:i/>
                <w:sz w:val="14"/>
                <w:szCs w:val="14"/>
              </w:rPr>
              <w:t>Avots: Eurostat datu bāze, EM aprēķini</w:t>
            </w:r>
          </w:p>
          <w:p w14:paraId="1F0C0C30" w14:textId="77777777" w:rsidR="00D16979" w:rsidRPr="00F5511B" w:rsidRDefault="00D16979" w:rsidP="00D16979">
            <w:pPr>
              <w:pStyle w:val="ListParagraph"/>
              <w:spacing w:after="40"/>
              <w:ind w:left="0"/>
              <w:rPr>
                <w:b/>
                <w:sz w:val="16"/>
                <w:szCs w:val="16"/>
                <w:highlight w:val="yellow"/>
              </w:rPr>
            </w:pPr>
          </w:p>
        </w:tc>
        <w:tc>
          <w:tcPr>
            <w:tcW w:w="5952" w:type="dxa"/>
            <w:vMerge/>
          </w:tcPr>
          <w:p w14:paraId="2C3C604A" w14:textId="77777777" w:rsidR="00D16979" w:rsidRPr="00F5511B" w:rsidRDefault="00D16979" w:rsidP="00D16979">
            <w:pPr>
              <w:spacing w:before="20" w:after="20" w:line="240" w:lineRule="auto"/>
              <w:jc w:val="both"/>
              <w:rPr>
                <w:rFonts w:eastAsia="Franklin Gothic Book" w:cs="Times New Roman"/>
                <w:szCs w:val="24"/>
                <w:highlight w:val="yellow"/>
              </w:rPr>
            </w:pPr>
          </w:p>
        </w:tc>
      </w:tr>
      <w:tr w:rsidR="00D16979" w:rsidRPr="00F5511B" w14:paraId="4A506081" w14:textId="77777777" w:rsidTr="00D16979">
        <w:trPr>
          <w:trHeight w:val="1077"/>
        </w:trPr>
        <w:tc>
          <w:tcPr>
            <w:tcW w:w="9638" w:type="dxa"/>
            <w:gridSpan w:val="2"/>
          </w:tcPr>
          <w:p w14:paraId="7F7E7764" w14:textId="77777777" w:rsidR="00BF509C" w:rsidRDefault="00BF509C" w:rsidP="00D16979">
            <w:pPr>
              <w:spacing w:before="60" w:after="60" w:line="240" w:lineRule="auto"/>
              <w:jc w:val="both"/>
            </w:pPr>
            <w:r w:rsidRPr="00AB3271">
              <w:t xml:space="preserve">Investīciju dinamiku </w:t>
            </w:r>
            <w:r>
              <w:t xml:space="preserve">arī </w:t>
            </w:r>
            <w:r w:rsidRPr="00AB3271">
              <w:t xml:space="preserve">turpmāk </w:t>
            </w:r>
            <w:r>
              <w:t xml:space="preserve">var negatīvi </w:t>
            </w:r>
            <w:r w:rsidRPr="00AB3271">
              <w:t>ietekmē</w:t>
            </w:r>
            <w:r>
              <w:t>t</w:t>
            </w:r>
            <w:r w:rsidRPr="00AB3271">
              <w:t xml:space="preserve"> nenoteiktība starptautisk</w:t>
            </w:r>
            <w:r>
              <w:t xml:space="preserve">ajā tirdzniecībā un Covid-19 infekcijas </w:t>
            </w:r>
            <w:r w:rsidRPr="00AB3271">
              <w:t xml:space="preserve">uzliesmojuma </w:t>
            </w:r>
            <w:r>
              <w:t>viļņi</w:t>
            </w:r>
            <w:r w:rsidRPr="00AB3271">
              <w:t>, kā arī ražošanas jaud</w:t>
            </w:r>
            <w:r>
              <w:t>u</w:t>
            </w:r>
            <w:r w:rsidRPr="00AB3271">
              <w:t xml:space="preserve"> noslodzes </w:t>
            </w:r>
            <w:r>
              <w:t>zemais līmenis</w:t>
            </w:r>
            <w:r w:rsidRPr="00AB3271">
              <w:t xml:space="preserve">. </w:t>
            </w:r>
            <w:r>
              <w:t xml:space="preserve">Minēto faktoru </w:t>
            </w:r>
            <w:r w:rsidRPr="00EE0DA8">
              <w:t xml:space="preserve">ietekmē </w:t>
            </w:r>
            <w:r w:rsidRPr="00EE0DA8">
              <w:rPr>
                <w:szCs w:val="24"/>
              </w:rPr>
              <w:t>investīcijas Latvijas augsto un vidēji augsto tehnoloģiju nozarēs</w:t>
            </w:r>
            <w:r w:rsidRPr="00EE0DA8">
              <w:rPr>
                <w:sz w:val="18"/>
                <w:szCs w:val="18"/>
              </w:rPr>
              <w:t xml:space="preserve"> </w:t>
            </w:r>
            <w:r w:rsidRPr="00EE0DA8">
              <w:rPr>
                <w:szCs w:val="24"/>
              </w:rPr>
              <w:t>2019. un 2020.</w:t>
            </w:r>
            <w:r>
              <w:rPr>
                <w:szCs w:val="24"/>
              </w:rPr>
              <w:t> </w:t>
            </w:r>
            <w:r w:rsidRPr="00EE0DA8">
              <w:rPr>
                <w:szCs w:val="24"/>
              </w:rPr>
              <w:t xml:space="preserve">gadā varēja samazināties (skat. 3.attēlu). </w:t>
            </w:r>
            <w:r>
              <w:t>Savukārt, p</w:t>
            </w:r>
            <w:r w:rsidRPr="00AB3271">
              <w:t>ozitīv</w:t>
            </w:r>
            <w:r>
              <w:t>o</w:t>
            </w:r>
            <w:r w:rsidRPr="00AB3271">
              <w:t xml:space="preserve"> </w:t>
            </w:r>
            <w:r>
              <w:t xml:space="preserve">ietekmi uz </w:t>
            </w:r>
            <w:r w:rsidRPr="00AB3271">
              <w:t xml:space="preserve">investēšanas dinamiku </w:t>
            </w:r>
            <w:r>
              <w:t>pēdējos gados veidoja</w:t>
            </w:r>
            <w:r w:rsidRPr="00AB3271">
              <w:t xml:space="preserve"> valsts atbalsta programmu īstenošana. </w:t>
            </w:r>
          </w:p>
          <w:p w14:paraId="6F54B448" w14:textId="39BC1500" w:rsidR="00D16979" w:rsidRDefault="00D16979" w:rsidP="00D16979">
            <w:pPr>
              <w:spacing w:before="60" w:after="60" w:line="240" w:lineRule="auto"/>
              <w:jc w:val="both"/>
            </w:pPr>
            <w:r w:rsidRPr="009348E7">
              <w:t>Lielāka daļa no investīcijām ir veikta būvniecības aktīvos</w:t>
            </w:r>
            <w:r>
              <w:t>,</w:t>
            </w:r>
            <w:r w:rsidRPr="009348E7">
              <w:t xml:space="preserve"> 2020.</w:t>
            </w:r>
            <w:r>
              <w:t> </w:t>
            </w:r>
            <w:r w:rsidRPr="009348E7">
              <w:t xml:space="preserve">gadā būvniecības aktīvos (salīdzināmās cenās) kopumā ieguldīts par 1,6% vairāk nekā pirms gada un to daļa kopējā investīciju apjomā veidoja 56%. Ieguldījumi mājokļos bija par 2,3% zemākā līmenī nekā pirms </w:t>
            </w:r>
            <w:r w:rsidRPr="009348E7">
              <w:lastRenderedPageBreak/>
              <w:t>gada, kamēr ieguldījumi inženierbūves un celtnēs pieauga par 2,4%. Mašīnās un iekārtās uzņēmēji investēja par 2,2% mazāk nekā pirms gada, bet ieguldījumu apjomi transportlīdzekļos būtiski samazinājās – par 22,4%</w:t>
            </w:r>
            <w:r>
              <w:t>. Savukārt, i</w:t>
            </w:r>
            <w:r w:rsidRPr="009348E7">
              <w:t>ntelektuālā īpašuma produktos bija investēts par 2,6% vairāk nekā 2019.</w:t>
            </w:r>
            <w:r>
              <w:t> </w:t>
            </w:r>
            <w:r w:rsidRPr="009348E7">
              <w:t>gadā.</w:t>
            </w:r>
          </w:p>
          <w:p w14:paraId="364ED18E" w14:textId="3183E750" w:rsidR="00D16979" w:rsidRDefault="00D16979" w:rsidP="00D16979">
            <w:pPr>
              <w:spacing w:before="60" w:after="60" w:line="240" w:lineRule="auto"/>
              <w:jc w:val="both"/>
              <w:rPr>
                <w:rFonts w:eastAsia="Franklin Gothic Book"/>
                <w:szCs w:val="24"/>
              </w:rPr>
            </w:pPr>
            <w:r w:rsidRPr="00A36160">
              <w:t>Ārvalstu tiešo investīciju (ĀTI) plūsmu intensitāte Latvijā</w:t>
            </w:r>
            <w:r>
              <w:t xml:space="preserve"> </w:t>
            </w:r>
            <w:r w:rsidRPr="00A36160">
              <w:t>ir mērena. Pasaules ekonomikas nestabilitāte, augsta nenoteiktība, kā arī Covid-19 pandēmijas izplatīšanas ierobežojumi ir nozīmīgs šķērslis investīciju pārrobežu plūsmām.</w:t>
            </w:r>
            <w:r>
              <w:t xml:space="preserve"> </w:t>
            </w:r>
            <w:r w:rsidRPr="00AB3271">
              <w:t>2020.</w:t>
            </w:r>
            <w:r w:rsidR="00BF509C">
              <w:t> </w:t>
            </w:r>
            <w:r w:rsidRPr="00AB3271">
              <w:t>gadā ĀTI darījumu apjoms sasniedza 763</w:t>
            </w:r>
            <w:r>
              <w:t> </w:t>
            </w:r>
            <w:r w:rsidRPr="00AB3271">
              <w:t>milj</w:t>
            </w:r>
            <w:r>
              <w:t>. </w:t>
            </w:r>
            <w:r w:rsidRPr="001029F2">
              <w:rPr>
                <w:i/>
                <w:iCs/>
              </w:rPr>
              <w:t>euro</w:t>
            </w:r>
            <w:r w:rsidRPr="00AB3271">
              <w:t>. 2020.</w:t>
            </w:r>
            <w:r>
              <w:t> </w:t>
            </w:r>
            <w:r w:rsidRPr="00AB3271">
              <w:t>gadā piesaistīto ĀTI neto plūsmas bija tikai par 4,7% mazākā apjomā nekā 2019.</w:t>
            </w:r>
            <w:r>
              <w:t> </w:t>
            </w:r>
            <w:r w:rsidRPr="00AB3271">
              <w:t>gadā un veidoja 2,6% no IKP.</w:t>
            </w:r>
            <w:r>
              <w:t xml:space="preserve"> Vienlaikus </w:t>
            </w:r>
            <w:r w:rsidRPr="00A36160">
              <w:t xml:space="preserve">Baltijas valstīs </w:t>
            </w:r>
            <w:r>
              <w:t>l</w:t>
            </w:r>
            <w:r w:rsidRPr="00A36160">
              <w:t>ielākā daļa ĀTI plūsmu bija Igaunijas ekonomikā (70%), kamēr Latvija un Lietuva piesaistīja attiecīgi 19% no 11% no kopējām ĀTI plūsmām</w:t>
            </w:r>
            <w:r>
              <w:t xml:space="preserve">, kas </w:t>
            </w:r>
            <w:r w:rsidRPr="002E5E4B">
              <w:t>atspoguļo ĀTI snieguma indeksa</w:t>
            </w:r>
            <w:r>
              <w:t xml:space="preserve"> </w:t>
            </w:r>
            <w:r w:rsidRPr="002E5E4B">
              <w:t xml:space="preserve">zemo līmeni </w:t>
            </w:r>
            <w:r>
              <w:t>(2019. un 2020. gadā tas bija tikai 0,7).</w:t>
            </w:r>
            <w:r w:rsidR="00E23203">
              <w:rPr>
                <w:rFonts w:eastAsia="Franklin Gothic Book"/>
                <w:szCs w:val="24"/>
              </w:rPr>
              <w:t xml:space="preserve"> </w:t>
            </w:r>
            <w:r w:rsidRPr="00851A7D">
              <w:rPr>
                <w:rFonts w:eastAsia="Franklin Gothic Book"/>
                <w:szCs w:val="24"/>
              </w:rPr>
              <w:t xml:space="preserve">Investīciju veicināšanas un piesaistes virziena attīstības raksturojošo rādītāju dinamika un skaitliskais </w:t>
            </w:r>
            <w:r w:rsidRPr="00EE0DA8">
              <w:rPr>
                <w:rFonts w:eastAsia="Franklin Gothic Book"/>
                <w:szCs w:val="24"/>
              </w:rPr>
              <w:t xml:space="preserve">progress atspoguļots </w:t>
            </w:r>
            <w:hyperlink w:anchor="_Pielikums._EM_darbības_1" w:history="1">
              <w:r w:rsidRPr="00EE0DA8">
                <w:rPr>
                  <w:rStyle w:val="Hyperlink"/>
                  <w:rFonts w:eastAsia="Franklin Gothic Book" w:cs="Times New Roman"/>
                  <w:color w:val="00859B"/>
                  <w:szCs w:val="24"/>
                </w:rPr>
                <w:t>4.pielikumā</w:t>
              </w:r>
            </w:hyperlink>
            <w:r w:rsidRPr="00851A7D">
              <w:rPr>
                <w:rFonts w:eastAsia="Franklin Gothic Book"/>
                <w:szCs w:val="24"/>
              </w:rPr>
              <w:t>.</w:t>
            </w:r>
          </w:p>
          <w:p w14:paraId="08CA0C8E" w14:textId="77777777" w:rsidR="00D16979" w:rsidRPr="00F5511B" w:rsidRDefault="00D16979" w:rsidP="00D16979">
            <w:pPr>
              <w:spacing w:before="60" w:after="60" w:line="240" w:lineRule="auto"/>
              <w:jc w:val="both"/>
              <w:rPr>
                <w:rFonts w:eastAsia="Franklin Gothic Book"/>
                <w:szCs w:val="24"/>
                <w:highlight w:val="yellow"/>
              </w:rPr>
            </w:pPr>
          </w:p>
        </w:tc>
      </w:tr>
      <w:tr w:rsidR="00D16979" w:rsidRPr="00F5511B" w14:paraId="0AC7D6AA" w14:textId="77777777" w:rsidTr="00D16979">
        <w:tc>
          <w:tcPr>
            <w:tcW w:w="9638" w:type="dxa"/>
            <w:gridSpan w:val="2"/>
            <w:shd w:val="clear" w:color="auto" w:fill="31849B" w:themeFill="accent5" w:themeFillShade="BF"/>
          </w:tcPr>
          <w:p w14:paraId="08930231" w14:textId="77777777" w:rsidR="00D16979" w:rsidRPr="00174D40" w:rsidRDefault="00D16979" w:rsidP="00BE6C4B">
            <w:pPr>
              <w:pStyle w:val="Heading2"/>
              <w:numPr>
                <w:ilvl w:val="1"/>
                <w:numId w:val="15"/>
              </w:numPr>
              <w:spacing w:before="120" w:after="120"/>
              <w:ind w:left="357" w:hanging="357"/>
              <w:rPr>
                <w:rFonts w:eastAsia="Franklin Gothic Book"/>
                <w:lang w:val="lv-LV"/>
              </w:rPr>
            </w:pPr>
            <w:bookmarkStart w:id="29" w:name="_Toc78874596"/>
            <w:r w:rsidRPr="00174D40">
              <w:rPr>
                <w:rFonts w:eastAsia="Franklin Gothic Book"/>
                <w:lang w:val="lv-LV"/>
              </w:rPr>
              <w:lastRenderedPageBreak/>
              <w:t>Darbības virziens: Cilvēkkapitāla attīstība</w:t>
            </w:r>
            <w:bookmarkEnd w:id="29"/>
          </w:p>
        </w:tc>
      </w:tr>
      <w:tr w:rsidR="00D16979" w:rsidRPr="00F5511B" w14:paraId="4C4A1EB7" w14:textId="77777777" w:rsidTr="00D16979">
        <w:trPr>
          <w:cantSplit/>
          <w:trHeight w:val="3855"/>
        </w:trPr>
        <w:tc>
          <w:tcPr>
            <w:tcW w:w="3686" w:type="dxa"/>
          </w:tcPr>
          <w:p w14:paraId="2F82E876" w14:textId="77777777" w:rsidR="00D16979" w:rsidRPr="00F5511B" w:rsidRDefault="00D16979" w:rsidP="00D16979">
            <w:pPr>
              <w:pStyle w:val="ListParagraph"/>
              <w:spacing w:after="40"/>
              <w:ind w:left="0"/>
              <w:jc w:val="center"/>
              <w:rPr>
                <w:b/>
                <w:sz w:val="16"/>
                <w:szCs w:val="16"/>
                <w:highlight w:val="yellow"/>
              </w:rPr>
            </w:pPr>
          </w:p>
          <w:p w14:paraId="4C1CD341" w14:textId="77777777" w:rsidR="00D16979" w:rsidRDefault="00D16979" w:rsidP="00D16979">
            <w:pPr>
              <w:pStyle w:val="ListParagraph"/>
              <w:spacing w:after="40"/>
              <w:ind w:left="0"/>
              <w:jc w:val="center"/>
              <w:rPr>
                <w:sz w:val="18"/>
                <w:szCs w:val="18"/>
              </w:rPr>
            </w:pPr>
            <w:r w:rsidRPr="00EE56BC">
              <w:rPr>
                <w:b/>
                <w:sz w:val="18"/>
                <w:szCs w:val="18"/>
              </w:rPr>
              <w:t>4.attēls.</w:t>
            </w:r>
            <w:r w:rsidRPr="00EE56BC">
              <w:rPr>
                <w:sz w:val="18"/>
                <w:szCs w:val="18"/>
              </w:rPr>
              <w:t xml:space="preserve"> Iedzīvotāju iesaistīšanās līmenis mūžizglītībā, % no iedzīvotājiem </w:t>
            </w:r>
          </w:p>
          <w:p w14:paraId="08E13D08" w14:textId="77777777" w:rsidR="00D16979" w:rsidRPr="00EE56BC" w:rsidRDefault="00D16979" w:rsidP="00D16979">
            <w:pPr>
              <w:pStyle w:val="ListParagraph"/>
              <w:spacing w:after="60"/>
              <w:ind w:left="0"/>
              <w:contextualSpacing w:val="0"/>
              <w:jc w:val="center"/>
              <w:rPr>
                <w:sz w:val="18"/>
                <w:szCs w:val="18"/>
              </w:rPr>
            </w:pPr>
            <w:r w:rsidRPr="00BF509C">
              <w:rPr>
                <w:sz w:val="18"/>
                <w:szCs w:val="18"/>
              </w:rPr>
              <w:t>vecumā no 25 līdz 64 gadiem</w:t>
            </w:r>
          </w:p>
          <w:p w14:paraId="43EF1C45" w14:textId="77777777" w:rsidR="00D16979" w:rsidRDefault="00D16979" w:rsidP="00D16979">
            <w:pPr>
              <w:pStyle w:val="ListParagraph"/>
              <w:spacing w:before="60" w:after="60"/>
              <w:ind w:left="0"/>
              <w:jc w:val="center"/>
              <w:rPr>
                <w:i/>
                <w:sz w:val="14"/>
                <w:szCs w:val="14"/>
                <w:highlight w:val="yellow"/>
              </w:rPr>
            </w:pPr>
            <w:r>
              <w:rPr>
                <w:noProof/>
                <w:lang w:val="en-US" w:eastAsia="en-US"/>
              </w:rPr>
              <w:drawing>
                <wp:inline distT="0" distB="0" distL="0" distR="0" wp14:anchorId="59954C53" wp14:editId="4F9E0277">
                  <wp:extent cx="2228127" cy="1661795"/>
                  <wp:effectExtent l="0" t="0" r="127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71C5E07" w14:textId="77777777" w:rsidR="00D16979" w:rsidRPr="00174D40" w:rsidRDefault="00D16979" w:rsidP="00D16979">
            <w:pPr>
              <w:spacing w:before="40" w:after="40" w:line="240" w:lineRule="auto"/>
              <w:rPr>
                <w:i/>
                <w:sz w:val="14"/>
                <w:szCs w:val="14"/>
              </w:rPr>
            </w:pPr>
            <w:r w:rsidRPr="00174D40">
              <w:rPr>
                <w:i/>
                <w:sz w:val="14"/>
                <w:szCs w:val="14"/>
              </w:rPr>
              <w:t>Avots: CSP, EM prognozes</w:t>
            </w:r>
          </w:p>
          <w:p w14:paraId="26502004" w14:textId="77777777" w:rsidR="00D16979" w:rsidRPr="00F5511B" w:rsidRDefault="00D16979" w:rsidP="00D16979">
            <w:pPr>
              <w:pStyle w:val="ListParagraph"/>
              <w:spacing w:after="40"/>
              <w:ind w:left="0"/>
              <w:rPr>
                <w:i/>
                <w:sz w:val="14"/>
                <w:szCs w:val="14"/>
                <w:highlight w:val="yellow"/>
              </w:rPr>
            </w:pPr>
          </w:p>
        </w:tc>
        <w:tc>
          <w:tcPr>
            <w:tcW w:w="5952" w:type="dxa"/>
          </w:tcPr>
          <w:p w14:paraId="6AE8FB63" w14:textId="77777777" w:rsidR="00D16979" w:rsidRDefault="00D16979" w:rsidP="00D16979">
            <w:pPr>
              <w:spacing w:before="120" w:after="60" w:line="240" w:lineRule="auto"/>
              <w:jc w:val="both"/>
              <w:rPr>
                <w:color w:val="000000" w:themeColor="text1"/>
              </w:rPr>
            </w:pPr>
            <w:r w:rsidRPr="00E7702A">
              <w:rPr>
                <w:color w:val="000000" w:themeColor="text1"/>
              </w:rPr>
              <w:t xml:space="preserve">Lai gan Latvijas ekonomika un darba tirgus nav izteikti atkarīgi no Covid-19 krīzes tieši skartajām nozarēm, tomēr jāņem vērā, ka ieviestie ierobežojumi un globālais pieprasījuma kritums </w:t>
            </w:r>
            <w:r>
              <w:rPr>
                <w:color w:val="000000" w:themeColor="text1"/>
              </w:rPr>
              <w:t xml:space="preserve">2020. gadā </w:t>
            </w:r>
            <w:r w:rsidRPr="00E7702A">
              <w:rPr>
                <w:color w:val="000000" w:themeColor="text1"/>
              </w:rPr>
              <w:t>ietekmē</w:t>
            </w:r>
            <w:r>
              <w:rPr>
                <w:color w:val="000000" w:themeColor="text1"/>
              </w:rPr>
              <w:t xml:space="preserve">ja </w:t>
            </w:r>
            <w:r w:rsidRPr="00E7702A">
              <w:rPr>
                <w:color w:val="000000" w:themeColor="text1"/>
              </w:rPr>
              <w:t>gandrīz visas tautsaimniecības jomas</w:t>
            </w:r>
            <w:r>
              <w:rPr>
                <w:color w:val="000000" w:themeColor="text1"/>
              </w:rPr>
              <w:t>, aptverot būtisku darba tirgus daļu un ierobežojot darbības virziena mērķu sasniegšanu.</w:t>
            </w:r>
          </w:p>
          <w:p w14:paraId="0700FF2D" w14:textId="77777777" w:rsidR="00D16979" w:rsidRPr="00850ED2" w:rsidRDefault="00D16979" w:rsidP="00D16979">
            <w:pPr>
              <w:spacing w:before="60" w:after="60" w:line="240" w:lineRule="auto"/>
              <w:jc w:val="both"/>
              <w:rPr>
                <w:color w:val="000000" w:themeColor="text1"/>
              </w:rPr>
            </w:pPr>
            <w:r w:rsidRPr="007C20D7">
              <w:rPr>
                <w:color w:val="000000" w:themeColor="text1"/>
              </w:rPr>
              <w:t xml:space="preserve">Latvijas iedzīvotāju iesaistes līmenis mūžizglītībā </w:t>
            </w:r>
            <w:r>
              <w:rPr>
                <w:color w:val="000000" w:themeColor="text1"/>
              </w:rPr>
              <w:t xml:space="preserve">2020. gadā salīdzinot ar 2019. gadu kopumā samazinājās par 0,8 procentpunktiem – līdz vidēji 6,6% gadā </w:t>
            </w:r>
            <w:r w:rsidRPr="00F53AF9">
              <w:rPr>
                <w:rFonts w:eastAsia="Franklin Gothic Book"/>
                <w:szCs w:val="24"/>
              </w:rPr>
              <w:t>(skat. 4.attēlu)</w:t>
            </w:r>
            <w:r w:rsidRPr="00F53AF9">
              <w:rPr>
                <w:color w:val="000000" w:themeColor="text1"/>
              </w:rPr>
              <w:t>.</w:t>
            </w:r>
            <w:r>
              <w:rPr>
                <w:color w:val="000000" w:themeColor="text1"/>
              </w:rPr>
              <w:t xml:space="preserve"> Iedzīvotāju iesaisti mūžizglītības pasākumos 2020. gadā būtiski ietekmēja Covid-19 pandēmijas izraisītā krīze un attiecīgi ieviestie ierobežojumi, t.sk. apmācību organizēšanai klātienē.</w:t>
            </w:r>
          </w:p>
        </w:tc>
      </w:tr>
      <w:tr w:rsidR="00D16979" w:rsidRPr="00F5511B" w14:paraId="6DFF40AA" w14:textId="77777777" w:rsidTr="00D16979">
        <w:trPr>
          <w:cantSplit/>
          <w:trHeight w:val="70"/>
        </w:trPr>
        <w:tc>
          <w:tcPr>
            <w:tcW w:w="9638" w:type="dxa"/>
            <w:gridSpan w:val="2"/>
          </w:tcPr>
          <w:p w14:paraId="52892341" w14:textId="77777777" w:rsidR="00D16979" w:rsidRDefault="00D16979" w:rsidP="00D16979">
            <w:pPr>
              <w:spacing w:before="60" w:after="60" w:line="240" w:lineRule="auto"/>
              <w:jc w:val="both"/>
              <w:rPr>
                <w:color w:val="000000" w:themeColor="text1"/>
              </w:rPr>
            </w:pPr>
            <w:r>
              <w:rPr>
                <w:color w:val="000000" w:themeColor="text1"/>
              </w:rPr>
              <w:t>2020.gadā daļa no cilvēkkapitāla attīstību veicinošiem pasākumiem bija pārorientēti uz atbalstu Covid-19 izraisītās krīzes pārvarēšanai,</w:t>
            </w:r>
            <w:r w:rsidRPr="00E7702A">
              <w:rPr>
                <w:color w:val="000000" w:themeColor="text1"/>
              </w:rPr>
              <w:t xml:space="preserve"> kas </w:t>
            </w:r>
            <w:r>
              <w:rPr>
                <w:color w:val="000000" w:themeColor="text1"/>
              </w:rPr>
              <w:t xml:space="preserve">ir </w:t>
            </w:r>
            <w:r w:rsidRPr="00E7702A">
              <w:rPr>
                <w:color w:val="000000" w:themeColor="text1"/>
              </w:rPr>
              <w:t>ļāvuši</w:t>
            </w:r>
            <w:r>
              <w:rPr>
                <w:color w:val="000000" w:themeColor="text1"/>
              </w:rPr>
              <w:t xml:space="preserve"> daļai iedzīvotāju </w:t>
            </w:r>
            <w:r w:rsidRPr="00E7702A">
              <w:rPr>
                <w:color w:val="000000" w:themeColor="text1"/>
              </w:rPr>
              <w:t>saglabāt gan darbavietas, gan ienākumus.</w:t>
            </w:r>
            <w:r>
              <w:rPr>
                <w:color w:val="000000" w:themeColor="text1"/>
              </w:rPr>
              <w:t xml:space="preserve"> P</w:t>
            </w:r>
            <w:r w:rsidRPr="005C228A">
              <w:rPr>
                <w:color w:val="000000" w:themeColor="text1"/>
              </w:rPr>
              <w:t>irmajā krīzes vilnī no 2020.</w:t>
            </w:r>
            <w:r>
              <w:rPr>
                <w:color w:val="000000" w:themeColor="text1"/>
              </w:rPr>
              <w:t> </w:t>
            </w:r>
            <w:r w:rsidRPr="005C228A">
              <w:rPr>
                <w:color w:val="000000" w:themeColor="text1"/>
              </w:rPr>
              <w:t>gada 12.</w:t>
            </w:r>
            <w:r>
              <w:rPr>
                <w:color w:val="000000" w:themeColor="text1"/>
              </w:rPr>
              <w:t> </w:t>
            </w:r>
            <w:r w:rsidRPr="005C228A">
              <w:rPr>
                <w:color w:val="000000" w:themeColor="text1"/>
              </w:rPr>
              <w:t>marta līdz 30.</w:t>
            </w:r>
            <w:r>
              <w:rPr>
                <w:color w:val="000000" w:themeColor="text1"/>
              </w:rPr>
              <w:t> </w:t>
            </w:r>
            <w:r w:rsidRPr="005C228A">
              <w:rPr>
                <w:color w:val="000000" w:themeColor="text1"/>
              </w:rPr>
              <w:t xml:space="preserve">jūnijam </w:t>
            </w:r>
            <w:r>
              <w:rPr>
                <w:color w:val="000000" w:themeColor="text1"/>
              </w:rPr>
              <w:t>dīkstāves pabalstus saņēma</w:t>
            </w:r>
            <w:r w:rsidRPr="005C228A">
              <w:rPr>
                <w:color w:val="000000" w:themeColor="text1"/>
              </w:rPr>
              <w:t xml:space="preserve"> vairāk nekā 55</w:t>
            </w:r>
            <w:r>
              <w:rPr>
                <w:color w:val="000000" w:themeColor="text1"/>
              </w:rPr>
              <w:t> 000</w:t>
            </w:r>
            <w:r w:rsidRPr="005C228A">
              <w:rPr>
                <w:color w:val="000000" w:themeColor="text1"/>
              </w:rPr>
              <w:t xml:space="preserve"> darba ņēmēju un pašnodarbināto. Savukārt</w:t>
            </w:r>
            <w:r>
              <w:rPr>
                <w:color w:val="000000" w:themeColor="text1"/>
              </w:rPr>
              <w:t xml:space="preserve"> krīzes otrajā vilnī</w:t>
            </w:r>
            <w:r w:rsidRPr="005C228A">
              <w:rPr>
                <w:color w:val="000000" w:themeColor="text1"/>
              </w:rPr>
              <w:t xml:space="preserve"> no 2020.</w:t>
            </w:r>
            <w:r>
              <w:rPr>
                <w:color w:val="000000" w:themeColor="text1"/>
              </w:rPr>
              <w:t> </w:t>
            </w:r>
            <w:r w:rsidRPr="005C228A">
              <w:rPr>
                <w:color w:val="000000" w:themeColor="text1"/>
              </w:rPr>
              <w:t>gada 1.</w:t>
            </w:r>
            <w:r>
              <w:rPr>
                <w:color w:val="000000" w:themeColor="text1"/>
              </w:rPr>
              <w:t> </w:t>
            </w:r>
            <w:r w:rsidRPr="005C228A">
              <w:rPr>
                <w:color w:val="000000" w:themeColor="text1"/>
              </w:rPr>
              <w:t xml:space="preserve">decembra līdz </w:t>
            </w:r>
            <w:r>
              <w:rPr>
                <w:color w:val="000000" w:themeColor="text1"/>
              </w:rPr>
              <w:t>2021. </w:t>
            </w:r>
            <w:r w:rsidRPr="005C228A">
              <w:rPr>
                <w:color w:val="000000" w:themeColor="text1"/>
              </w:rPr>
              <w:t xml:space="preserve">gada </w:t>
            </w:r>
            <w:r>
              <w:rPr>
                <w:color w:val="000000" w:themeColor="text1"/>
              </w:rPr>
              <w:t>maija beigām</w:t>
            </w:r>
            <w:r w:rsidRPr="005C228A">
              <w:rPr>
                <w:color w:val="000000" w:themeColor="text1"/>
              </w:rPr>
              <w:t xml:space="preserve"> dīkstāves atbalstu </w:t>
            </w:r>
            <w:r>
              <w:rPr>
                <w:color w:val="000000" w:themeColor="text1"/>
              </w:rPr>
              <w:t>vai</w:t>
            </w:r>
            <w:r w:rsidRPr="005C228A">
              <w:rPr>
                <w:color w:val="000000" w:themeColor="text1"/>
              </w:rPr>
              <w:t xml:space="preserve"> algu subsīdijas </w:t>
            </w:r>
            <w:r>
              <w:rPr>
                <w:color w:val="000000" w:themeColor="text1"/>
              </w:rPr>
              <w:t>bija saņēmuši kopumā gandrīz 89 000 darba ņēmēju, pašnodarbināto un patentmaksātāju</w:t>
            </w:r>
            <w:r w:rsidRPr="005C228A">
              <w:rPr>
                <w:color w:val="000000" w:themeColor="text1"/>
              </w:rPr>
              <w:t xml:space="preserve"> kopumā </w:t>
            </w:r>
            <w:r>
              <w:rPr>
                <w:color w:val="000000" w:themeColor="text1"/>
              </w:rPr>
              <w:t>132</w:t>
            </w:r>
            <w:r w:rsidRPr="005C228A">
              <w:rPr>
                <w:color w:val="000000" w:themeColor="text1"/>
              </w:rPr>
              <w:t>,</w:t>
            </w:r>
            <w:r>
              <w:rPr>
                <w:color w:val="000000" w:themeColor="text1"/>
              </w:rPr>
              <w:t>7 </w:t>
            </w:r>
            <w:r w:rsidRPr="005C228A">
              <w:rPr>
                <w:color w:val="000000" w:themeColor="text1"/>
              </w:rPr>
              <w:t xml:space="preserve">milj. </w:t>
            </w:r>
            <w:r w:rsidRPr="00A669E4">
              <w:rPr>
                <w:i/>
                <w:iCs/>
                <w:color w:val="000000" w:themeColor="text1"/>
              </w:rPr>
              <w:t>euro</w:t>
            </w:r>
            <w:r>
              <w:rPr>
                <w:i/>
                <w:iCs/>
                <w:color w:val="000000" w:themeColor="text1"/>
              </w:rPr>
              <w:t xml:space="preserve"> </w:t>
            </w:r>
            <w:r w:rsidRPr="005C228A">
              <w:rPr>
                <w:color w:val="000000" w:themeColor="text1"/>
              </w:rPr>
              <w:t>apmērā</w:t>
            </w:r>
            <w:r>
              <w:rPr>
                <w:color w:val="000000" w:themeColor="text1"/>
              </w:rPr>
              <w:t xml:space="preserve">. </w:t>
            </w:r>
            <w:r w:rsidRPr="005C228A">
              <w:rPr>
                <w:color w:val="000000" w:themeColor="text1"/>
              </w:rPr>
              <w:t>2020.</w:t>
            </w:r>
            <w:r>
              <w:rPr>
                <w:color w:val="000000" w:themeColor="text1"/>
              </w:rPr>
              <w:t> </w:t>
            </w:r>
            <w:r w:rsidRPr="005C228A">
              <w:rPr>
                <w:color w:val="000000" w:themeColor="text1"/>
              </w:rPr>
              <w:t xml:space="preserve">gadā nodarbināto skaits </w:t>
            </w:r>
            <w:r>
              <w:rPr>
                <w:color w:val="000000" w:themeColor="text1"/>
              </w:rPr>
              <w:t xml:space="preserve">kopumā </w:t>
            </w:r>
            <w:r w:rsidRPr="005C228A">
              <w:rPr>
                <w:color w:val="000000" w:themeColor="text1"/>
              </w:rPr>
              <w:t xml:space="preserve">samazinājās par 1,9% </w:t>
            </w:r>
            <w:r>
              <w:rPr>
                <w:color w:val="000000" w:themeColor="text1"/>
              </w:rPr>
              <w:t>vai</w:t>
            </w:r>
            <w:r w:rsidRPr="005C228A">
              <w:rPr>
                <w:color w:val="000000" w:themeColor="text1"/>
              </w:rPr>
              <w:t xml:space="preserve"> aptuveni 17</w:t>
            </w:r>
            <w:r>
              <w:rPr>
                <w:color w:val="000000" w:themeColor="text1"/>
              </w:rPr>
              <w:t> 000</w:t>
            </w:r>
            <w:r w:rsidRPr="005C228A">
              <w:rPr>
                <w:color w:val="000000" w:themeColor="text1"/>
              </w:rPr>
              <w:t>, salīdzin</w:t>
            </w:r>
            <w:r>
              <w:rPr>
                <w:color w:val="000000" w:themeColor="text1"/>
              </w:rPr>
              <w:t>ājumā</w:t>
            </w:r>
            <w:r w:rsidRPr="005C228A">
              <w:rPr>
                <w:color w:val="000000" w:themeColor="text1"/>
              </w:rPr>
              <w:t xml:space="preserve"> ar 2019.</w:t>
            </w:r>
            <w:r>
              <w:rPr>
                <w:color w:val="000000" w:themeColor="text1"/>
              </w:rPr>
              <w:t> </w:t>
            </w:r>
            <w:r w:rsidRPr="005C228A">
              <w:rPr>
                <w:color w:val="000000" w:themeColor="text1"/>
              </w:rPr>
              <w:t>gadu</w:t>
            </w:r>
            <w:r>
              <w:rPr>
                <w:color w:val="000000" w:themeColor="text1"/>
              </w:rPr>
              <w:t>, bet bezdarbs pieauga līdz 8,1% – par 1,8 procentpunktiem. Bez krīzes atbalsta pasākumiem, potenciālo darba meklētāju skaits varētu būt uz pusi augstāks nekā faktiski ir bijis 2020. gada beigās.</w:t>
            </w:r>
          </w:p>
          <w:p w14:paraId="721A471B" w14:textId="77777777" w:rsidR="00D16979" w:rsidRDefault="00D16979" w:rsidP="00D16979">
            <w:pPr>
              <w:spacing w:before="60" w:after="60" w:line="240" w:lineRule="auto"/>
              <w:jc w:val="both"/>
              <w:rPr>
                <w:color w:val="000000" w:themeColor="text1"/>
              </w:rPr>
            </w:pPr>
            <w:r w:rsidRPr="007A3963">
              <w:rPr>
                <w:color w:val="000000" w:themeColor="text1"/>
              </w:rPr>
              <w:t>Latvijas izaugsmei vidējā termiņā ir būtiski virzīties uz zināšanās balstītu ekonomikas modeli, kurā noteicošā loma ir nozaru produktivitātei un tehnoloģijām. Tādēļ svarīgi ir nodrošināt nepārtrauktu iedzīvotāju zināšanu un prasmju pilnveidošanu, kā arī jaunu zināšanu un prasmju apgūšanu.</w:t>
            </w:r>
            <w:r>
              <w:rPr>
                <w:color w:val="000000" w:themeColor="text1"/>
              </w:rPr>
              <w:t xml:space="preserve"> </w:t>
            </w:r>
            <w:r w:rsidRPr="007A3963">
              <w:rPr>
                <w:color w:val="000000" w:themeColor="text1"/>
              </w:rPr>
              <w:t xml:space="preserve">Funkcionālas pieaugošo izglītības sistēmas izveide ir </w:t>
            </w:r>
            <w:r w:rsidRPr="00E85EC4">
              <w:rPr>
                <w:color w:val="000000" w:themeColor="text1"/>
              </w:rPr>
              <w:t>vitāls priekšnosacījums</w:t>
            </w:r>
            <w:r w:rsidRPr="007A3963">
              <w:rPr>
                <w:color w:val="000000" w:themeColor="text1"/>
              </w:rPr>
              <w:t xml:space="preserve"> sociālekonomiskās paradigmas pārmaiņām, Covid-19 </w:t>
            </w:r>
            <w:r>
              <w:rPr>
                <w:color w:val="000000" w:themeColor="text1"/>
              </w:rPr>
              <w:t xml:space="preserve">krīzes </w:t>
            </w:r>
            <w:r w:rsidRPr="007A3963">
              <w:rPr>
                <w:color w:val="000000" w:themeColor="text1"/>
              </w:rPr>
              <w:t>radīto seku mazināšanai, mazkvalificēto īpatsvara samazināšanai, nepārtrauktai prasmju, t</w:t>
            </w:r>
            <w:r>
              <w:rPr>
                <w:color w:val="000000" w:themeColor="text1"/>
              </w:rPr>
              <w:t>.</w:t>
            </w:r>
            <w:r w:rsidRPr="007A3963">
              <w:rPr>
                <w:color w:val="000000" w:themeColor="text1"/>
              </w:rPr>
              <w:t>sk</w:t>
            </w:r>
            <w:r>
              <w:rPr>
                <w:color w:val="000000" w:themeColor="text1"/>
              </w:rPr>
              <w:t>.</w:t>
            </w:r>
            <w:r w:rsidRPr="007A3963">
              <w:rPr>
                <w:color w:val="000000" w:themeColor="text1"/>
              </w:rPr>
              <w:t xml:space="preserve"> digitālo prasmju, un iemaņu apgūšanai, kas ir vai tiks pieprasītas nākotnes darba tirgū, nodrošinot pēc krīzes augošās nozares ar nepieciešamajiem cilvēkresursiem</w:t>
            </w:r>
            <w:r w:rsidRPr="00F53AF9">
              <w:rPr>
                <w:color w:val="000000" w:themeColor="text1"/>
              </w:rPr>
              <w:t>.</w:t>
            </w:r>
            <w:r>
              <w:rPr>
                <w:color w:val="000000" w:themeColor="text1"/>
              </w:rPr>
              <w:t xml:space="preserve"> </w:t>
            </w:r>
            <w:r w:rsidRPr="00F53AF9">
              <w:rPr>
                <w:rFonts w:eastAsia="Franklin Gothic Book" w:cs="Times New Roman"/>
                <w:szCs w:val="24"/>
              </w:rPr>
              <w:t xml:space="preserve">Cilvēkkapitāla attīstības </w:t>
            </w:r>
            <w:r w:rsidRPr="00F53AF9">
              <w:rPr>
                <w:color w:val="000000" w:themeColor="text1"/>
              </w:rPr>
              <w:t>virziena</w:t>
            </w:r>
            <w:r w:rsidRPr="00F53AF9">
              <w:rPr>
                <w:rFonts w:eastAsia="Franklin Gothic Book" w:cs="Times New Roman"/>
                <w:szCs w:val="24"/>
              </w:rPr>
              <w:t xml:space="preserve"> raksturojošo rādītāju dinamika un skaitliskais progress atspoguļots </w:t>
            </w:r>
            <w:hyperlink w:anchor="_Pielikums._EM_darbības_2" w:history="1">
              <w:r w:rsidRPr="00F53AF9">
                <w:rPr>
                  <w:rStyle w:val="Hyperlink"/>
                  <w:rFonts w:eastAsia="Franklin Gothic Book" w:cs="Times New Roman"/>
                  <w:color w:val="00859B"/>
                  <w:szCs w:val="24"/>
                </w:rPr>
                <w:t>5.pielikumā</w:t>
              </w:r>
            </w:hyperlink>
            <w:r w:rsidRPr="00F53AF9">
              <w:t>.</w:t>
            </w:r>
            <w:r>
              <w:rPr>
                <w:color w:val="000000" w:themeColor="text1"/>
              </w:rPr>
              <w:t xml:space="preserve"> </w:t>
            </w:r>
          </w:p>
          <w:p w14:paraId="7526D67C" w14:textId="77777777" w:rsidR="00D16979" w:rsidRDefault="00D16979" w:rsidP="00D16979">
            <w:pPr>
              <w:spacing w:before="60" w:after="60" w:line="240" w:lineRule="auto"/>
              <w:jc w:val="both"/>
              <w:rPr>
                <w:color w:val="000000" w:themeColor="text1"/>
              </w:rPr>
            </w:pPr>
          </w:p>
        </w:tc>
      </w:tr>
      <w:tr w:rsidR="00D16979" w:rsidRPr="00F5511B" w14:paraId="3C4F752F" w14:textId="77777777" w:rsidTr="00D16979">
        <w:tc>
          <w:tcPr>
            <w:tcW w:w="9638" w:type="dxa"/>
            <w:gridSpan w:val="2"/>
            <w:shd w:val="clear" w:color="auto" w:fill="31849B" w:themeFill="accent5" w:themeFillShade="BF"/>
          </w:tcPr>
          <w:p w14:paraId="7460B011" w14:textId="77777777" w:rsidR="00D16979" w:rsidRPr="001830FD" w:rsidRDefault="00D16979" w:rsidP="00BE6C4B">
            <w:pPr>
              <w:pStyle w:val="Heading2"/>
              <w:numPr>
                <w:ilvl w:val="1"/>
                <w:numId w:val="15"/>
              </w:numPr>
              <w:spacing w:before="120" w:after="120"/>
              <w:ind w:left="357" w:hanging="357"/>
              <w:rPr>
                <w:rFonts w:eastAsia="Franklin Gothic Book"/>
                <w:lang w:val="lv-LV"/>
              </w:rPr>
            </w:pPr>
            <w:bookmarkStart w:id="30" w:name="_Toc78874597"/>
            <w:r w:rsidRPr="001830FD">
              <w:rPr>
                <w:rFonts w:eastAsia="Franklin Gothic Book"/>
                <w:lang w:val="lv-LV"/>
              </w:rPr>
              <w:lastRenderedPageBreak/>
              <w:t>Darbības virziens: Inovācijas un digitalizācijas</w:t>
            </w:r>
            <w:r>
              <w:rPr>
                <w:rFonts w:eastAsia="Franklin Gothic Book"/>
                <w:lang w:val="lv-LV"/>
              </w:rPr>
              <w:t xml:space="preserve"> </w:t>
            </w:r>
            <w:r w:rsidRPr="001830FD">
              <w:rPr>
                <w:rFonts w:eastAsia="Franklin Gothic Book"/>
                <w:lang w:val="lv-LV"/>
              </w:rPr>
              <w:t>veicināšana</w:t>
            </w:r>
            <w:bookmarkEnd w:id="30"/>
          </w:p>
        </w:tc>
      </w:tr>
      <w:tr w:rsidR="00D16979" w:rsidRPr="00F5511B" w14:paraId="628B37E6" w14:textId="77777777" w:rsidTr="00D16979">
        <w:trPr>
          <w:trHeight w:val="567"/>
        </w:trPr>
        <w:tc>
          <w:tcPr>
            <w:tcW w:w="3686" w:type="dxa"/>
          </w:tcPr>
          <w:p w14:paraId="4F4F7366" w14:textId="77777777" w:rsidR="00D16979" w:rsidRPr="00F5511B" w:rsidRDefault="00D16979" w:rsidP="00D16979">
            <w:pPr>
              <w:pStyle w:val="ListParagraph"/>
              <w:spacing w:after="40"/>
              <w:ind w:left="0"/>
              <w:jc w:val="center"/>
              <w:rPr>
                <w:b/>
                <w:sz w:val="16"/>
                <w:szCs w:val="16"/>
                <w:highlight w:val="yellow"/>
              </w:rPr>
            </w:pPr>
          </w:p>
          <w:p w14:paraId="360AFC67" w14:textId="77777777" w:rsidR="00D16979" w:rsidRPr="001830FD" w:rsidRDefault="00D16979" w:rsidP="00D16979">
            <w:pPr>
              <w:pStyle w:val="ListParagraph"/>
              <w:spacing w:after="40"/>
              <w:ind w:left="0"/>
              <w:jc w:val="center"/>
              <w:rPr>
                <w:sz w:val="18"/>
                <w:szCs w:val="18"/>
              </w:rPr>
            </w:pPr>
            <w:r>
              <w:rPr>
                <w:b/>
                <w:sz w:val="18"/>
                <w:szCs w:val="18"/>
              </w:rPr>
              <w:t>5</w:t>
            </w:r>
            <w:r w:rsidRPr="001830FD">
              <w:rPr>
                <w:b/>
                <w:sz w:val="18"/>
                <w:szCs w:val="18"/>
              </w:rPr>
              <w:t>.attēls.</w:t>
            </w:r>
            <w:r>
              <w:rPr>
                <w:b/>
                <w:sz w:val="18"/>
                <w:szCs w:val="18"/>
              </w:rPr>
              <w:t xml:space="preserve"> </w:t>
            </w:r>
            <w:r w:rsidRPr="001830FD">
              <w:rPr>
                <w:sz w:val="18"/>
                <w:szCs w:val="18"/>
              </w:rPr>
              <w:t>Privātā sektora izdevumu īpatsvars kopējos izdevumos zinātniski pētnieciskajam darbam</w:t>
            </w:r>
            <w:r>
              <w:rPr>
                <w:sz w:val="18"/>
                <w:szCs w:val="18"/>
              </w:rPr>
              <w:t>, %</w:t>
            </w:r>
          </w:p>
          <w:p w14:paraId="5E81C7EB" w14:textId="77777777" w:rsidR="00D16979" w:rsidRPr="00F5511B" w:rsidRDefault="00D16979" w:rsidP="00D16979">
            <w:pPr>
              <w:tabs>
                <w:tab w:val="left" w:pos="3544"/>
              </w:tabs>
              <w:spacing w:before="60" w:after="60" w:line="240" w:lineRule="auto"/>
              <w:jc w:val="center"/>
              <w:rPr>
                <w:i/>
                <w:noProof/>
                <w:sz w:val="14"/>
                <w:szCs w:val="14"/>
                <w:highlight w:val="yellow"/>
              </w:rPr>
            </w:pPr>
            <w:r>
              <w:rPr>
                <w:iCs/>
                <w:noProof/>
                <w:sz w:val="14"/>
                <w:szCs w:val="14"/>
                <w:lang w:val="en-US"/>
              </w:rPr>
              <w:drawing>
                <wp:inline distT="0" distB="0" distL="0" distR="0" wp14:anchorId="7BD161CC" wp14:editId="2AA1D5C2">
                  <wp:extent cx="2202511" cy="1439545"/>
                  <wp:effectExtent l="0" t="0" r="7620" b="825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3DF6DAB" w14:textId="77777777" w:rsidR="00D16979" w:rsidRPr="001830FD" w:rsidRDefault="00D16979" w:rsidP="00D16979">
            <w:pPr>
              <w:pStyle w:val="ListParagraph"/>
              <w:spacing w:before="40" w:after="40"/>
              <w:ind w:left="0"/>
              <w:contextualSpacing w:val="0"/>
              <w:rPr>
                <w:i/>
                <w:noProof/>
                <w:sz w:val="14"/>
                <w:szCs w:val="14"/>
              </w:rPr>
            </w:pPr>
            <w:r w:rsidRPr="001830FD">
              <w:rPr>
                <w:i/>
                <w:noProof/>
                <w:sz w:val="14"/>
                <w:szCs w:val="14"/>
              </w:rPr>
              <w:t xml:space="preserve">Avots: </w:t>
            </w:r>
            <w:r w:rsidRPr="001830FD">
              <w:rPr>
                <w:i/>
                <w:sz w:val="14"/>
                <w:szCs w:val="14"/>
              </w:rPr>
              <w:t>CSP, EM aprēķini</w:t>
            </w:r>
          </w:p>
          <w:p w14:paraId="1D7F1729" w14:textId="77777777" w:rsidR="00D16979" w:rsidRPr="00F5511B" w:rsidRDefault="00D16979" w:rsidP="00D16979">
            <w:pPr>
              <w:tabs>
                <w:tab w:val="left" w:pos="3544"/>
              </w:tabs>
              <w:spacing w:before="20" w:after="20" w:line="240" w:lineRule="auto"/>
              <w:rPr>
                <w:i/>
                <w:sz w:val="14"/>
                <w:szCs w:val="14"/>
                <w:highlight w:val="yellow"/>
              </w:rPr>
            </w:pPr>
          </w:p>
        </w:tc>
        <w:tc>
          <w:tcPr>
            <w:tcW w:w="5952" w:type="dxa"/>
          </w:tcPr>
          <w:p w14:paraId="2FA831CC" w14:textId="13A95DC0" w:rsidR="00D16979" w:rsidRPr="00AF45C9" w:rsidRDefault="00D16979" w:rsidP="00D16979">
            <w:pPr>
              <w:spacing w:before="120" w:after="60" w:line="240" w:lineRule="auto"/>
              <w:jc w:val="both"/>
              <w:rPr>
                <w:color w:val="000000" w:themeColor="text1"/>
                <w:highlight w:val="yellow"/>
              </w:rPr>
            </w:pPr>
            <w:r>
              <w:t>EK</w:t>
            </w:r>
            <w:r w:rsidRPr="00B81C4E">
              <w:t xml:space="preserve"> ikgadēji publicē Eiropas inovācijas rezultātu pārskat</w:t>
            </w:r>
            <w:r>
              <w:t>u</w:t>
            </w:r>
            <w:r w:rsidRPr="00B81C4E">
              <w:t xml:space="preserve"> (</w:t>
            </w:r>
            <w:r w:rsidRPr="00B81C4E">
              <w:rPr>
                <w:i/>
                <w:iCs/>
              </w:rPr>
              <w:t>European</w:t>
            </w:r>
            <w:r>
              <w:rPr>
                <w:i/>
                <w:iCs/>
              </w:rPr>
              <w:t xml:space="preserve"> </w:t>
            </w:r>
            <w:r w:rsidRPr="00B81C4E">
              <w:rPr>
                <w:i/>
                <w:iCs/>
              </w:rPr>
              <w:t>Innovation</w:t>
            </w:r>
            <w:r>
              <w:rPr>
                <w:i/>
                <w:iCs/>
              </w:rPr>
              <w:t xml:space="preserve"> </w:t>
            </w:r>
            <w:r w:rsidRPr="00B81C4E">
              <w:rPr>
                <w:i/>
                <w:iCs/>
              </w:rPr>
              <w:t>Scoreboard</w:t>
            </w:r>
            <w:r w:rsidRPr="00B81C4E">
              <w:t>)</w:t>
            </w:r>
            <w:r>
              <w:t>.</w:t>
            </w:r>
            <w:r w:rsidRPr="00B81C4E">
              <w:t xml:space="preserve"> </w:t>
            </w:r>
            <w:r>
              <w:t xml:space="preserve">2020.gadā </w:t>
            </w:r>
            <w:r w:rsidRPr="00B81C4E">
              <w:t>Latvija 27 ES valstu vidū ir ierindojusies 23.</w:t>
            </w:r>
            <w:r>
              <w:t> </w:t>
            </w:r>
            <w:r w:rsidRPr="00B81C4E">
              <w:t>vietā un piekto gadu pēc kārtas ir iekļauta mēreno novatoru valstu grupā. Latvijas inovācijas sniegums (</w:t>
            </w:r>
            <w:r w:rsidRPr="00BE2D11">
              <w:rPr>
                <w:i/>
                <w:iCs/>
              </w:rPr>
              <w:t>Innovation</w:t>
            </w:r>
            <w:r>
              <w:rPr>
                <w:i/>
                <w:iCs/>
              </w:rPr>
              <w:t xml:space="preserve"> </w:t>
            </w:r>
            <w:r w:rsidRPr="00BE2D11">
              <w:rPr>
                <w:i/>
                <w:iCs/>
              </w:rPr>
              <w:t>Index</w:t>
            </w:r>
            <w:r w:rsidRPr="00B81C4E">
              <w:t>) kopš 2012.</w:t>
            </w:r>
            <w:r>
              <w:t> </w:t>
            </w:r>
            <w:r w:rsidRPr="00B81C4E">
              <w:t xml:space="preserve">gada ir palielinājies par 22,6% (ES vidēji – par 8,7%). Inovāciju pamatnosacījumi, kas ietver inovācijām labvēlīgu vidi un finansiālo atbalstu ir atzīmēti kā Latvijas spēcīgākie inovācijas snieguma virzītāji. </w:t>
            </w:r>
            <w:r>
              <w:t>P</w:t>
            </w:r>
            <w:r w:rsidRPr="00B81C4E">
              <w:t xml:space="preserve">aaugstinās vērtējums </w:t>
            </w:r>
            <w:r>
              <w:t xml:space="preserve">tādam Latvijas </w:t>
            </w:r>
            <w:r w:rsidRPr="00B81C4E">
              <w:t>inovāciju snieguma dimensijām</w:t>
            </w:r>
            <w:r>
              <w:t xml:space="preserve">, kā </w:t>
            </w:r>
            <w:r w:rsidRPr="00B81C4E">
              <w:t>kvalificēta un izglītota darbaspēka pieejamība, pētniecības sistēmas pievilcība</w:t>
            </w:r>
            <w:r>
              <w:t>. T</w:t>
            </w:r>
            <w:r w:rsidRPr="00B81C4E">
              <w:t>omēr Latvijas uzņēmēju aktivitātes inovāciju jomā ilgstoši saglabāj</w:t>
            </w:r>
            <w:r>
              <w:t>a</w:t>
            </w:r>
            <w:r w:rsidRPr="00B81C4E">
              <w:t xml:space="preserve">s salīdzinoši vājas. Par to liecina uzņēmēju </w:t>
            </w:r>
            <w:r w:rsidR="00A161A1">
              <w:t xml:space="preserve">(privātā sektora) </w:t>
            </w:r>
            <w:r>
              <w:t xml:space="preserve">veiktie </w:t>
            </w:r>
            <w:r w:rsidRPr="00B81C4E">
              <w:t>nelieli ieguldījumi pētniecībā un attīstībā (P&amp;A).</w:t>
            </w:r>
          </w:p>
        </w:tc>
      </w:tr>
      <w:tr w:rsidR="00D16979" w:rsidRPr="00F5511B" w14:paraId="1AFBCAEC" w14:textId="77777777" w:rsidTr="00D16979">
        <w:trPr>
          <w:trHeight w:val="1077"/>
        </w:trPr>
        <w:tc>
          <w:tcPr>
            <w:tcW w:w="9638" w:type="dxa"/>
            <w:gridSpan w:val="2"/>
          </w:tcPr>
          <w:p w14:paraId="11EC55C3" w14:textId="6E8FAD5E" w:rsidR="00D16979" w:rsidRDefault="00D16979" w:rsidP="00D16979">
            <w:pPr>
              <w:spacing w:before="60" w:after="60" w:line="240" w:lineRule="auto"/>
              <w:jc w:val="both"/>
            </w:pPr>
            <w:r w:rsidRPr="00C92DF7">
              <w:t>Latvijas kopējie izdevumi pētniecībā un attīstībā (P</w:t>
            </w:r>
            <w:r w:rsidRPr="00641794">
              <w:t>&amp;A) 2019. gadā veidoja 0,64% no</w:t>
            </w:r>
            <w:r w:rsidRPr="00C92DF7">
              <w:t xml:space="preserve"> IKP, kas būtiski atpaliek no mērķa rādītāja </w:t>
            </w:r>
            <w:r>
              <w:t xml:space="preserve">2027.gadam </w:t>
            </w:r>
            <w:r w:rsidRPr="00C92DF7">
              <w:t xml:space="preserve">(1,5% no IKP). </w:t>
            </w:r>
            <w:r w:rsidRPr="00291C78">
              <w:t>Pēc šī rādītāja Latvija atpaliek arī no Baltijas kaimiņvalstīm Lietuvas un Igaunijas.</w:t>
            </w:r>
            <w:r>
              <w:t xml:space="preserve"> Latvijas u</w:t>
            </w:r>
            <w:r w:rsidRPr="00291C78">
              <w:t>zņēmēju ieguldījumu</w:t>
            </w:r>
            <w:r>
              <w:t>s</w:t>
            </w:r>
            <w:r w:rsidRPr="00291C78">
              <w:t xml:space="preserve"> P&amp;A </w:t>
            </w:r>
            <w:r w:rsidRPr="00F53AF9">
              <w:rPr>
                <w:rFonts w:eastAsia="Franklin Gothic Book"/>
                <w:szCs w:val="24"/>
              </w:rPr>
              <w:t>(skat.</w:t>
            </w:r>
            <w:r w:rsidR="00A161A1">
              <w:rPr>
                <w:rFonts w:eastAsia="Franklin Gothic Book"/>
                <w:szCs w:val="24"/>
              </w:rPr>
              <w:t> </w:t>
            </w:r>
            <w:r w:rsidRPr="00F53AF9">
              <w:rPr>
                <w:rFonts w:eastAsia="Franklin Gothic Book"/>
                <w:szCs w:val="24"/>
              </w:rPr>
              <w:t xml:space="preserve">5.attēlu) </w:t>
            </w:r>
            <w:r w:rsidRPr="00F53AF9">
              <w:t>i</w:t>
            </w:r>
            <w:r w:rsidRPr="00291C78">
              <w:t>etekmē gan piedāvājuma faktori (piemēram, pētniecības iestāžu nepietiekama kapacitāte), gan pieprasījuma puses faktori, t.i. P&amp;A intensīvo nozaru (it īpaši apstrādes rūpniecības nozaru) zems īpatsvars tautsaimniecības struktūrā.</w:t>
            </w:r>
            <w:r>
              <w:t xml:space="preserve"> E</w:t>
            </w:r>
            <w:r w:rsidRPr="00291C78">
              <w:t xml:space="preserve">konomikas specializācija ir salīdzinoši noturīga un strukturālās izmaiņas notiek lēni. Turklāt saglabājoties esošai nozaru struktūrai, ieguldījumi P&amp;A </w:t>
            </w:r>
            <w:r>
              <w:t xml:space="preserve">var turpināties būt </w:t>
            </w:r>
            <w:r w:rsidRPr="00291C78">
              <w:t>salīdzinoši zemā līmenī, kas</w:t>
            </w:r>
            <w:r>
              <w:t xml:space="preserve">, </w:t>
            </w:r>
            <w:r w:rsidRPr="00291C78">
              <w:t>zināmā mērā</w:t>
            </w:r>
            <w:r>
              <w:t>,</w:t>
            </w:r>
            <w:r w:rsidRPr="00291C78">
              <w:t xml:space="preserve"> ir dabisks līmenis.</w:t>
            </w:r>
          </w:p>
          <w:p w14:paraId="32A2E033" w14:textId="77777777" w:rsidR="00D16979" w:rsidRPr="003247A9" w:rsidRDefault="00D16979" w:rsidP="00D16979">
            <w:pPr>
              <w:spacing w:before="60" w:after="60" w:line="240" w:lineRule="auto"/>
              <w:jc w:val="both"/>
              <w:rPr>
                <w:rFonts w:eastAsia="Franklin Gothic Book"/>
                <w:szCs w:val="24"/>
              </w:rPr>
            </w:pPr>
            <w:r w:rsidRPr="00EF7992">
              <w:t>C</w:t>
            </w:r>
            <w:r>
              <w:t>ovid-</w:t>
            </w:r>
            <w:r w:rsidRPr="00EF7992">
              <w:t>19 izraisītā</w:t>
            </w:r>
            <w:r>
              <w:t>s</w:t>
            </w:r>
            <w:r w:rsidRPr="00EF7992">
              <w:t xml:space="preserve"> krīze</w:t>
            </w:r>
            <w:r>
              <w:t xml:space="preserve">s ietekme uz ieguldījumiem P&amp;A nav viennozīmīgi vērtējama, jo investīciju dinamika intelektuālā īpašuma produktos, liecina pat par pozitīvām tendencēm. 2020. gadā ieguldījumi intelektuālā īpašuma produktos par 2,6% bija lielāki nekā pirms gada. </w:t>
            </w:r>
            <w:r w:rsidRPr="002472E5">
              <w:rPr>
                <w:color w:val="000000" w:themeColor="text1"/>
              </w:rPr>
              <w:t xml:space="preserve">Inovācijas </w:t>
            </w:r>
            <w:r w:rsidRPr="001830FD">
              <w:rPr>
                <w:rFonts w:eastAsia="Franklin Gothic Book"/>
              </w:rPr>
              <w:t>un digitalizācijas</w:t>
            </w:r>
            <w:r>
              <w:rPr>
                <w:rFonts w:eastAsia="Franklin Gothic Book"/>
              </w:rPr>
              <w:t xml:space="preserve"> </w:t>
            </w:r>
            <w:r w:rsidRPr="002472E5">
              <w:rPr>
                <w:color w:val="000000" w:themeColor="text1"/>
              </w:rPr>
              <w:t xml:space="preserve">veicināšanas raksturojošo rādītāju dinamika un </w:t>
            </w:r>
            <w:r w:rsidRPr="003247A9">
              <w:rPr>
                <w:color w:val="000000" w:themeColor="text1"/>
              </w:rPr>
              <w:t xml:space="preserve">skaitliskais progress atspoguļots </w:t>
            </w:r>
            <w:hyperlink w:anchor="_Pielikums._EM_darbības_3" w:history="1">
              <w:r w:rsidRPr="003247A9">
                <w:rPr>
                  <w:rStyle w:val="Hyperlink"/>
                  <w:color w:val="00859B"/>
                </w:rPr>
                <w:t>6.pielikumā</w:t>
              </w:r>
            </w:hyperlink>
            <w:r w:rsidRPr="003247A9">
              <w:rPr>
                <w:color w:val="000000" w:themeColor="text1"/>
              </w:rPr>
              <w:t>.</w:t>
            </w:r>
          </w:p>
          <w:p w14:paraId="2D7FCD82" w14:textId="77777777" w:rsidR="00D16979" w:rsidRPr="00F5511B" w:rsidRDefault="00D16979" w:rsidP="00D16979">
            <w:pPr>
              <w:spacing w:before="20" w:after="20" w:line="240" w:lineRule="auto"/>
              <w:jc w:val="both"/>
              <w:rPr>
                <w:rFonts w:eastAsia="Franklin Gothic Book"/>
                <w:szCs w:val="24"/>
                <w:highlight w:val="yellow"/>
              </w:rPr>
            </w:pPr>
          </w:p>
        </w:tc>
      </w:tr>
      <w:tr w:rsidR="00D16979" w:rsidRPr="00F5511B" w14:paraId="68CD85D0" w14:textId="77777777" w:rsidTr="00D16979">
        <w:tc>
          <w:tcPr>
            <w:tcW w:w="9638" w:type="dxa"/>
            <w:gridSpan w:val="2"/>
            <w:shd w:val="clear" w:color="auto" w:fill="31849B" w:themeFill="accent5" w:themeFillShade="BF"/>
          </w:tcPr>
          <w:p w14:paraId="48A47947" w14:textId="77777777" w:rsidR="00D16979" w:rsidRPr="00BD5F38" w:rsidRDefault="00D16979" w:rsidP="00BE6C4B">
            <w:pPr>
              <w:pStyle w:val="Heading2"/>
              <w:numPr>
                <w:ilvl w:val="1"/>
                <w:numId w:val="15"/>
              </w:numPr>
              <w:spacing w:before="120" w:after="120"/>
              <w:ind w:left="357" w:hanging="357"/>
              <w:rPr>
                <w:rFonts w:eastAsia="Franklin Gothic Book"/>
                <w:lang w:val="lv-LV"/>
              </w:rPr>
            </w:pPr>
            <w:bookmarkStart w:id="31" w:name="_Toc78874598"/>
            <w:r w:rsidRPr="00BD5F38">
              <w:rPr>
                <w:rFonts w:eastAsia="Franklin Gothic Book"/>
                <w:lang w:val="lv-LV"/>
              </w:rPr>
              <w:t>Darbības virziens: Uzņēmējdarbības veicināšana (t.sk. uzņēmējdarbības vides uzlabošana) un infrastruktūras attīstība</w:t>
            </w:r>
            <w:bookmarkEnd w:id="31"/>
          </w:p>
        </w:tc>
      </w:tr>
      <w:tr w:rsidR="00D16979" w:rsidRPr="00F5511B" w14:paraId="2BB99BFD" w14:textId="77777777" w:rsidTr="00D16979">
        <w:trPr>
          <w:trHeight w:val="1407"/>
        </w:trPr>
        <w:tc>
          <w:tcPr>
            <w:tcW w:w="3686" w:type="dxa"/>
          </w:tcPr>
          <w:p w14:paraId="2F93616B" w14:textId="77777777" w:rsidR="00D16979" w:rsidRPr="00F5511B" w:rsidRDefault="00D16979" w:rsidP="00D16979">
            <w:pPr>
              <w:pStyle w:val="ListParagraph"/>
              <w:spacing w:after="40"/>
              <w:ind w:left="0"/>
              <w:jc w:val="center"/>
              <w:rPr>
                <w:b/>
                <w:sz w:val="16"/>
                <w:szCs w:val="16"/>
                <w:highlight w:val="yellow"/>
              </w:rPr>
            </w:pPr>
          </w:p>
          <w:p w14:paraId="3E9306E6" w14:textId="77777777" w:rsidR="00E23203" w:rsidRDefault="00D16979" w:rsidP="00D16979">
            <w:pPr>
              <w:pStyle w:val="ListParagraph"/>
              <w:spacing w:after="40"/>
              <w:ind w:left="0"/>
              <w:jc w:val="center"/>
              <w:rPr>
                <w:bCs/>
                <w:sz w:val="18"/>
                <w:szCs w:val="18"/>
              </w:rPr>
            </w:pPr>
            <w:r>
              <w:rPr>
                <w:b/>
                <w:sz w:val="18"/>
                <w:szCs w:val="18"/>
              </w:rPr>
              <w:t>6</w:t>
            </w:r>
            <w:r w:rsidRPr="00BD5F38">
              <w:rPr>
                <w:b/>
                <w:sz w:val="18"/>
                <w:szCs w:val="18"/>
              </w:rPr>
              <w:t xml:space="preserve">.attēls. </w:t>
            </w:r>
            <w:r w:rsidRPr="00BD5F38">
              <w:rPr>
                <w:bCs/>
                <w:sz w:val="18"/>
                <w:szCs w:val="18"/>
              </w:rPr>
              <w:t xml:space="preserve">Latvijas vieta </w:t>
            </w:r>
            <w:r w:rsidRPr="00BD5F38">
              <w:rPr>
                <w:bCs/>
                <w:i/>
                <w:iCs/>
                <w:sz w:val="18"/>
                <w:szCs w:val="18"/>
              </w:rPr>
              <w:t>Doing</w:t>
            </w:r>
            <w:r>
              <w:rPr>
                <w:bCs/>
                <w:i/>
                <w:iCs/>
                <w:sz w:val="18"/>
                <w:szCs w:val="18"/>
              </w:rPr>
              <w:t xml:space="preserve"> </w:t>
            </w:r>
            <w:r w:rsidRPr="00BD5F38">
              <w:rPr>
                <w:bCs/>
                <w:i/>
                <w:iCs/>
                <w:sz w:val="18"/>
                <w:szCs w:val="18"/>
              </w:rPr>
              <w:t>Business</w:t>
            </w:r>
            <w:r w:rsidRPr="00BD5F38">
              <w:rPr>
                <w:bCs/>
                <w:sz w:val="18"/>
                <w:szCs w:val="18"/>
              </w:rPr>
              <w:t xml:space="preserve"> </w:t>
            </w:r>
          </w:p>
          <w:p w14:paraId="440D0C14" w14:textId="2C4DC533" w:rsidR="00D16979" w:rsidRPr="00BD5F38" w:rsidRDefault="00D16979" w:rsidP="00D16979">
            <w:pPr>
              <w:pStyle w:val="ListParagraph"/>
              <w:spacing w:after="40"/>
              <w:ind w:left="0"/>
              <w:jc w:val="center"/>
              <w:rPr>
                <w:bCs/>
                <w:sz w:val="18"/>
                <w:szCs w:val="18"/>
              </w:rPr>
            </w:pPr>
            <w:r w:rsidRPr="00BD5F38">
              <w:rPr>
                <w:bCs/>
                <w:sz w:val="18"/>
                <w:szCs w:val="18"/>
              </w:rPr>
              <w:t>indeks</w:t>
            </w:r>
            <w:r>
              <w:rPr>
                <w:bCs/>
                <w:sz w:val="18"/>
                <w:szCs w:val="18"/>
              </w:rPr>
              <w:t>a novērtējumā</w:t>
            </w:r>
            <w:r w:rsidRPr="00BD5F38">
              <w:rPr>
                <w:bCs/>
                <w:sz w:val="18"/>
                <w:szCs w:val="18"/>
              </w:rPr>
              <w:t>*</w:t>
            </w:r>
          </w:p>
          <w:p w14:paraId="43953CAC" w14:textId="77777777" w:rsidR="00D16979" w:rsidRDefault="00D16979" w:rsidP="00D16979">
            <w:pPr>
              <w:pStyle w:val="ListParagraph"/>
              <w:spacing w:after="40"/>
              <w:ind w:left="0"/>
              <w:jc w:val="center"/>
              <w:rPr>
                <w:bCs/>
                <w:sz w:val="16"/>
                <w:szCs w:val="16"/>
                <w:highlight w:val="yellow"/>
              </w:rPr>
            </w:pPr>
            <w:r>
              <w:rPr>
                <w:noProof/>
                <w:lang w:val="en-US" w:eastAsia="en-US"/>
              </w:rPr>
              <w:drawing>
                <wp:inline distT="0" distB="0" distL="0" distR="0" wp14:anchorId="1D9236B1" wp14:editId="0D48D528">
                  <wp:extent cx="2216552" cy="1439545"/>
                  <wp:effectExtent l="0" t="0" r="12700" b="8255"/>
                  <wp:docPr id="22" name="Chart 22">
                    <a:extLst xmlns:a="http://schemas.openxmlformats.org/drawingml/2006/main">
                      <a:ext uri="{FF2B5EF4-FFF2-40B4-BE49-F238E27FC236}">
                        <a16:creationId xmlns:a16="http://schemas.microsoft.com/office/drawing/2014/main" id="{40597F03-462F-4293-9221-0E557976C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F45716B" w14:textId="77777777" w:rsidR="00D16979" w:rsidRPr="00F5511B" w:rsidRDefault="00D16979" w:rsidP="00D16979">
            <w:pPr>
              <w:pStyle w:val="ListParagraph"/>
              <w:spacing w:after="40"/>
              <w:ind w:left="0"/>
              <w:jc w:val="center"/>
              <w:rPr>
                <w:sz w:val="4"/>
                <w:szCs w:val="4"/>
                <w:highlight w:val="yellow"/>
              </w:rPr>
            </w:pPr>
          </w:p>
          <w:p w14:paraId="361CF508" w14:textId="77777777" w:rsidR="00D16979" w:rsidRDefault="00D16979" w:rsidP="00D16979">
            <w:pPr>
              <w:pStyle w:val="ListParagraph"/>
              <w:spacing w:before="40" w:after="40"/>
              <w:ind w:left="0"/>
              <w:rPr>
                <w:i/>
                <w:noProof/>
                <w:sz w:val="14"/>
                <w:szCs w:val="14"/>
              </w:rPr>
            </w:pPr>
            <w:r w:rsidRPr="00174D40">
              <w:rPr>
                <w:i/>
                <w:noProof/>
                <w:sz w:val="14"/>
                <w:szCs w:val="14"/>
              </w:rPr>
              <w:t>Avots: International Bank for Reconstruction and Development The World Bank, Doing Business 2020: Sustaining the Pace of Reforms, EM aprēķini</w:t>
            </w:r>
          </w:p>
          <w:p w14:paraId="0FF1019C" w14:textId="77777777" w:rsidR="00D16979" w:rsidRPr="00174D40" w:rsidRDefault="00D16979" w:rsidP="00D16979">
            <w:pPr>
              <w:pStyle w:val="ListParagraph"/>
              <w:spacing w:before="40" w:after="40"/>
              <w:ind w:left="0"/>
              <w:rPr>
                <w:i/>
                <w:noProof/>
                <w:sz w:val="14"/>
                <w:szCs w:val="14"/>
              </w:rPr>
            </w:pPr>
          </w:p>
          <w:p w14:paraId="2BD77F03" w14:textId="77777777" w:rsidR="00D16979" w:rsidRPr="00BD5F38" w:rsidRDefault="00D16979" w:rsidP="00D16979">
            <w:pPr>
              <w:pStyle w:val="ListParagraph"/>
              <w:spacing w:after="40"/>
              <w:ind w:left="0"/>
              <w:rPr>
                <w:i/>
                <w:noProof/>
                <w:sz w:val="14"/>
                <w:szCs w:val="14"/>
              </w:rPr>
            </w:pPr>
            <w:r w:rsidRPr="00BD5F38">
              <w:rPr>
                <w:i/>
                <w:noProof/>
                <w:sz w:val="14"/>
                <w:szCs w:val="14"/>
              </w:rPr>
              <w:t>* indeksa nosaukumā gada skaitlis ir par vienu lielāks nekā tā publicēšanas gada skaitlis</w:t>
            </w:r>
          </w:p>
          <w:p w14:paraId="0530588E" w14:textId="77777777" w:rsidR="00D16979" w:rsidRPr="00F5511B" w:rsidRDefault="00D16979" w:rsidP="00D16979">
            <w:pPr>
              <w:tabs>
                <w:tab w:val="left" w:pos="3544"/>
              </w:tabs>
              <w:spacing w:before="20" w:after="20" w:line="240" w:lineRule="auto"/>
              <w:rPr>
                <w:i/>
                <w:sz w:val="14"/>
                <w:szCs w:val="14"/>
                <w:highlight w:val="yellow"/>
              </w:rPr>
            </w:pPr>
          </w:p>
        </w:tc>
        <w:tc>
          <w:tcPr>
            <w:tcW w:w="5952" w:type="dxa"/>
          </w:tcPr>
          <w:p w14:paraId="2AC1F77C" w14:textId="06B73341" w:rsidR="00D16979" w:rsidRPr="002C7B1A" w:rsidRDefault="00D16979" w:rsidP="00D16979">
            <w:pPr>
              <w:spacing w:before="120" w:after="60" w:line="240" w:lineRule="auto"/>
              <w:jc w:val="both"/>
              <w:rPr>
                <w:color w:val="000000" w:themeColor="text1"/>
              </w:rPr>
            </w:pPr>
            <w:r w:rsidRPr="00445E9B">
              <w:rPr>
                <w:color w:val="000000" w:themeColor="text1"/>
              </w:rPr>
              <w:t>Uzņēmējdarbības vides kvalitāte ir viens no priekšnosacījumiem Latvijas tautsaimniecības konkurēt</w:t>
            </w:r>
            <w:r>
              <w:rPr>
                <w:color w:val="000000" w:themeColor="text1"/>
              </w:rPr>
              <w:t>-</w:t>
            </w:r>
            <w:r w:rsidRPr="00445E9B">
              <w:rPr>
                <w:color w:val="000000" w:themeColor="text1"/>
              </w:rPr>
              <w:t>spējīgai attīstībai – jo labākus apstākļus valsts spēj radīt uzņēmējiem</w:t>
            </w:r>
            <w:r>
              <w:rPr>
                <w:color w:val="000000" w:themeColor="text1"/>
              </w:rPr>
              <w:t>,</w:t>
            </w:r>
            <w:r w:rsidRPr="00445E9B">
              <w:rPr>
                <w:color w:val="000000" w:themeColor="text1"/>
              </w:rPr>
              <w:t xml:space="preserve"> jo lielākas investīcijas var sagaidīt tautsaimniecībā, kas savukārt nozīmē jaunu darba vietu rašanos un labklājību iedzīvotājiem.</w:t>
            </w:r>
            <w:r>
              <w:rPr>
                <w:color w:val="000000" w:themeColor="text1"/>
              </w:rPr>
              <w:t xml:space="preserve"> 2020.gadā turpinājās darbs pie </w:t>
            </w:r>
            <w:hyperlink r:id="rId45">
              <w:r w:rsidRPr="00CD73AB">
                <w:rPr>
                  <w:rStyle w:val="Hyperlink"/>
                  <w:i/>
                  <w:iCs/>
                  <w:color w:val="00859B"/>
                </w:rPr>
                <w:t>Uzņēmējdarbības vides pilnveidošanas pasākumu plānā 2019.-2022. gadam</w:t>
              </w:r>
            </w:hyperlink>
            <w:r>
              <w:rPr>
                <w:color w:val="000000" w:themeColor="text1"/>
              </w:rPr>
              <w:t xml:space="preserve"> iekļauto pasākumu īstenošanas.</w:t>
            </w:r>
            <w:r w:rsidR="002C7B1A">
              <w:rPr>
                <w:color w:val="000000" w:themeColor="text1"/>
              </w:rPr>
              <w:t xml:space="preserve"> </w:t>
            </w:r>
            <w:r w:rsidR="002C7B1A" w:rsidRPr="002C7B1A">
              <w:rPr>
                <w:rFonts w:eastAsia="Times New Roman"/>
                <w:color w:val="000000" w:themeColor="text1"/>
                <w:szCs w:val="24"/>
              </w:rPr>
              <w:t xml:space="preserve">Pasaules Bankas </w:t>
            </w:r>
            <w:r w:rsidR="002C7B1A" w:rsidRPr="002C7B1A">
              <w:rPr>
                <w:rFonts w:eastAsia="Times New Roman"/>
                <w:i/>
                <w:iCs/>
                <w:color w:val="000000" w:themeColor="text1"/>
                <w:szCs w:val="24"/>
              </w:rPr>
              <w:t>Doing Business 2020</w:t>
            </w:r>
            <w:r w:rsidR="002C7B1A" w:rsidRPr="002C7B1A">
              <w:rPr>
                <w:rFonts w:eastAsia="Times New Roman"/>
                <w:color w:val="000000" w:themeColor="text1"/>
                <w:szCs w:val="24"/>
              </w:rPr>
              <w:t xml:space="preserve"> reitingā 190 valstu konkurencē Latvija ierindota 19. vietā </w:t>
            </w:r>
            <w:r w:rsidR="002C7B1A" w:rsidRPr="002C7B1A">
              <w:rPr>
                <w:rFonts w:eastAsia="Franklin Gothic Book"/>
                <w:szCs w:val="24"/>
              </w:rPr>
              <w:t>(skat. </w:t>
            </w:r>
            <w:r w:rsidR="002C7B1A">
              <w:rPr>
                <w:rFonts w:eastAsia="Franklin Gothic Book"/>
                <w:szCs w:val="24"/>
              </w:rPr>
              <w:t>6</w:t>
            </w:r>
            <w:r w:rsidR="002C7B1A" w:rsidRPr="002C7B1A">
              <w:rPr>
                <w:rFonts w:eastAsia="Franklin Gothic Book"/>
                <w:szCs w:val="24"/>
              </w:rPr>
              <w:t>.attēlu)</w:t>
            </w:r>
            <w:r w:rsidR="002C7B1A" w:rsidRPr="002C7B1A">
              <w:rPr>
                <w:rFonts w:eastAsia="Times New Roman"/>
                <w:color w:val="000000" w:themeColor="text1"/>
                <w:szCs w:val="24"/>
              </w:rPr>
              <w:t>.</w:t>
            </w:r>
          </w:p>
          <w:p w14:paraId="6E4016DA" w14:textId="4723615A" w:rsidR="00D16979" w:rsidRPr="00A161A1" w:rsidRDefault="00D16979" w:rsidP="00D16979">
            <w:pPr>
              <w:spacing w:before="20" w:after="60" w:line="240" w:lineRule="auto"/>
              <w:jc w:val="both"/>
              <w:rPr>
                <w:color w:val="000000" w:themeColor="text1"/>
              </w:rPr>
            </w:pPr>
            <w:r w:rsidRPr="00445E9B">
              <w:rPr>
                <w:color w:val="000000" w:themeColor="text1"/>
              </w:rPr>
              <w:t xml:space="preserve">Latvijā </w:t>
            </w:r>
            <w:r w:rsidRPr="00BD5F38">
              <w:rPr>
                <w:i/>
                <w:iCs/>
                <w:color w:val="000000" w:themeColor="text1"/>
              </w:rPr>
              <w:t>Doing</w:t>
            </w:r>
            <w:r>
              <w:rPr>
                <w:i/>
                <w:iCs/>
                <w:color w:val="000000" w:themeColor="text1"/>
              </w:rPr>
              <w:t xml:space="preserve"> </w:t>
            </w:r>
            <w:r w:rsidRPr="00BD5F38">
              <w:rPr>
                <w:i/>
                <w:iCs/>
                <w:color w:val="000000" w:themeColor="text1"/>
              </w:rPr>
              <w:t>Business</w:t>
            </w:r>
            <w:r w:rsidRPr="00445E9B">
              <w:rPr>
                <w:color w:val="000000" w:themeColor="text1"/>
              </w:rPr>
              <w:t xml:space="preserve"> reitings tiek izmantots kā reformu novērtēšanas rīks, kas ļauj iezīmēt prasības</w:t>
            </w:r>
            <w:r>
              <w:rPr>
                <w:color w:val="000000" w:themeColor="text1"/>
              </w:rPr>
              <w:t xml:space="preserve"> jomām</w:t>
            </w:r>
            <w:r w:rsidRPr="00445E9B">
              <w:rPr>
                <w:color w:val="000000" w:themeColor="text1"/>
              </w:rPr>
              <w:t>, kurās administratīvais slogs ir pārāk liels, proti, ļauj salīdzināt</w:t>
            </w:r>
            <w:r>
              <w:rPr>
                <w:rStyle w:val="FootnoteReference"/>
                <w:color w:val="000000" w:themeColor="text1"/>
              </w:rPr>
              <w:footnoteReference w:id="4"/>
            </w:r>
            <w:r w:rsidRPr="00445E9B">
              <w:rPr>
                <w:color w:val="000000" w:themeColor="text1"/>
              </w:rPr>
              <w:t xml:space="preserve"> administratīvo procedūru skaitu</w:t>
            </w:r>
            <w:r w:rsidR="002C7B1A">
              <w:rPr>
                <w:color w:val="000000" w:themeColor="text1"/>
              </w:rPr>
              <w:t>,</w:t>
            </w:r>
            <w:r w:rsidRPr="00445E9B">
              <w:rPr>
                <w:color w:val="000000" w:themeColor="text1"/>
              </w:rPr>
              <w:t xml:space="preserve"> </w:t>
            </w:r>
            <w:r w:rsidR="002C7B1A">
              <w:rPr>
                <w:color w:val="000000" w:themeColor="text1"/>
              </w:rPr>
              <w:t>to izpildes</w:t>
            </w:r>
            <w:r w:rsidR="002C7B1A" w:rsidRPr="00445E9B">
              <w:rPr>
                <w:color w:val="000000" w:themeColor="text1"/>
              </w:rPr>
              <w:t xml:space="preserve"> </w:t>
            </w:r>
            <w:r w:rsidRPr="00445E9B">
              <w:rPr>
                <w:color w:val="000000" w:themeColor="text1"/>
              </w:rPr>
              <w:t>ilgumu</w:t>
            </w:r>
            <w:r w:rsidR="002C7B1A">
              <w:rPr>
                <w:color w:val="000000" w:themeColor="text1"/>
              </w:rPr>
              <w:t>,</w:t>
            </w:r>
            <w:r w:rsidRPr="00445E9B">
              <w:rPr>
                <w:color w:val="000000" w:themeColor="text1"/>
              </w:rPr>
              <w:t xml:space="preserve"> saistītās izmaksas, kā arī novērtēt uzņēmējdarbības vidi kopumā. </w:t>
            </w:r>
          </w:p>
        </w:tc>
      </w:tr>
      <w:tr w:rsidR="00D16979" w:rsidRPr="00F5511B" w14:paraId="1A77FF30" w14:textId="77777777" w:rsidTr="00D16979">
        <w:trPr>
          <w:trHeight w:val="1407"/>
        </w:trPr>
        <w:tc>
          <w:tcPr>
            <w:tcW w:w="9638" w:type="dxa"/>
            <w:gridSpan w:val="2"/>
          </w:tcPr>
          <w:p w14:paraId="6B6C8D1F" w14:textId="070D10B1" w:rsidR="00A161A1" w:rsidRDefault="002C7B1A" w:rsidP="00D16979">
            <w:pPr>
              <w:spacing w:before="60" w:after="60" w:line="240" w:lineRule="auto"/>
              <w:jc w:val="both"/>
              <w:rPr>
                <w:color w:val="000000" w:themeColor="text1"/>
              </w:rPr>
            </w:pPr>
            <w:r w:rsidRPr="005F6979">
              <w:rPr>
                <w:color w:val="000000" w:themeColor="text1"/>
              </w:rPr>
              <w:lastRenderedPageBreak/>
              <w:t>2020.</w:t>
            </w:r>
            <w:r>
              <w:rPr>
                <w:color w:val="000000" w:themeColor="text1"/>
              </w:rPr>
              <w:t> </w:t>
            </w:r>
            <w:r w:rsidRPr="005F6979">
              <w:rPr>
                <w:color w:val="000000" w:themeColor="text1"/>
              </w:rPr>
              <w:t xml:space="preserve">gadā </w:t>
            </w:r>
            <w:r>
              <w:rPr>
                <w:color w:val="000000" w:themeColor="text1"/>
              </w:rPr>
              <w:t>Covid</w:t>
            </w:r>
            <w:r w:rsidRPr="005F6979">
              <w:rPr>
                <w:color w:val="000000" w:themeColor="text1"/>
              </w:rPr>
              <w:t>-19 krīze ietekmēja starptautisk</w:t>
            </w:r>
            <w:r>
              <w:rPr>
                <w:color w:val="000000" w:themeColor="text1"/>
              </w:rPr>
              <w:t>ā</w:t>
            </w:r>
            <w:r w:rsidRPr="005F6979">
              <w:rPr>
                <w:color w:val="000000" w:themeColor="text1"/>
              </w:rPr>
              <w:t xml:space="preserve"> reiting</w:t>
            </w:r>
            <w:r>
              <w:rPr>
                <w:color w:val="000000" w:themeColor="text1"/>
              </w:rPr>
              <w:t>a</w:t>
            </w:r>
            <w:r w:rsidRPr="005F6979">
              <w:rPr>
                <w:color w:val="000000" w:themeColor="text1"/>
              </w:rPr>
              <w:t xml:space="preserve"> sagatavošan</w:t>
            </w:r>
            <w:r>
              <w:rPr>
                <w:color w:val="000000" w:themeColor="text1"/>
              </w:rPr>
              <w:t>as procesu</w:t>
            </w:r>
            <w:r w:rsidRPr="005F6979">
              <w:rPr>
                <w:color w:val="000000" w:themeColor="text1"/>
              </w:rPr>
              <w:t>.</w:t>
            </w:r>
            <w:r>
              <w:rPr>
                <w:color w:val="000000" w:themeColor="text1"/>
              </w:rPr>
              <w:t xml:space="preserve"> </w:t>
            </w:r>
            <w:r w:rsidR="00A161A1" w:rsidRPr="005F6979">
              <w:rPr>
                <w:color w:val="000000" w:themeColor="text1"/>
              </w:rPr>
              <w:t xml:space="preserve">Ikgadējais Pasaules Bankas </w:t>
            </w:r>
            <w:r w:rsidR="00A161A1" w:rsidRPr="005F6979">
              <w:rPr>
                <w:i/>
                <w:iCs/>
                <w:color w:val="000000" w:themeColor="text1"/>
              </w:rPr>
              <w:t>“Doing</w:t>
            </w:r>
            <w:r w:rsidR="00A161A1">
              <w:rPr>
                <w:i/>
                <w:iCs/>
                <w:color w:val="000000" w:themeColor="text1"/>
              </w:rPr>
              <w:t xml:space="preserve"> </w:t>
            </w:r>
            <w:r w:rsidR="00A161A1" w:rsidRPr="005F6979">
              <w:rPr>
                <w:i/>
                <w:iCs/>
                <w:color w:val="000000" w:themeColor="text1"/>
              </w:rPr>
              <w:t>Business” 2021</w:t>
            </w:r>
            <w:r w:rsidR="00A161A1" w:rsidRPr="005F6979">
              <w:rPr>
                <w:color w:val="000000" w:themeColor="text1"/>
              </w:rPr>
              <w:t xml:space="preserve"> reitings netika sagatavots, jo bija nepieciešams veikt datu integritātes auditu, ko izraisīja atsevišķu valstu sagrozītu datu sniegšana. </w:t>
            </w:r>
            <w:r w:rsidR="00A161A1">
              <w:rPr>
                <w:color w:val="000000" w:themeColor="text1"/>
              </w:rPr>
              <w:t>Tomēr indeksa gatavošana nav pārtraukta, bet tā publicēšana ir atlikta uz nenoteiktu laiku.</w:t>
            </w:r>
          </w:p>
          <w:p w14:paraId="4DA32FB2" w14:textId="77777777" w:rsidR="00D16979" w:rsidRDefault="00D16979" w:rsidP="00C143A9">
            <w:pPr>
              <w:spacing w:before="60" w:after="60" w:line="240" w:lineRule="auto"/>
              <w:jc w:val="both"/>
            </w:pPr>
            <w:r w:rsidRPr="005F6979">
              <w:rPr>
                <w:color w:val="000000" w:themeColor="text1"/>
              </w:rPr>
              <w:t xml:space="preserve">Savukārt, Pasaules ekonomikas foruma veidotā Globālās konkurētspējas indeksa </w:t>
            </w:r>
            <w:r>
              <w:rPr>
                <w:color w:val="000000" w:themeColor="text1"/>
              </w:rPr>
              <w:t xml:space="preserve">novērtēšanas </w:t>
            </w:r>
            <w:r w:rsidRPr="005F6979">
              <w:rPr>
                <w:color w:val="000000" w:themeColor="text1"/>
              </w:rPr>
              <w:t xml:space="preserve">vietā </w:t>
            </w:r>
            <w:r>
              <w:rPr>
                <w:color w:val="000000" w:themeColor="text1"/>
              </w:rPr>
              <w:t xml:space="preserve">2020. gadā </w:t>
            </w:r>
            <w:r w:rsidRPr="005F6979">
              <w:rPr>
                <w:color w:val="000000" w:themeColor="text1"/>
              </w:rPr>
              <w:t xml:space="preserve">tika sagatavots speciālizdevums, kas veltīts </w:t>
            </w:r>
            <w:r>
              <w:rPr>
                <w:color w:val="000000" w:themeColor="text1"/>
              </w:rPr>
              <w:t xml:space="preserve">tikai 37 </w:t>
            </w:r>
            <w:r w:rsidRPr="005F6979">
              <w:rPr>
                <w:color w:val="000000" w:themeColor="text1"/>
              </w:rPr>
              <w:t xml:space="preserve">valstu reakcijai uz </w:t>
            </w:r>
            <w:r>
              <w:rPr>
                <w:color w:val="000000" w:themeColor="text1"/>
              </w:rPr>
              <w:t>Covid</w:t>
            </w:r>
            <w:r w:rsidRPr="005F6979">
              <w:rPr>
                <w:color w:val="000000" w:themeColor="text1"/>
              </w:rPr>
              <w:t xml:space="preserve">-19 krīzi. Tā kā informācijas iegūšana </w:t>
            </w:r>
            <w:r>
              <w:rPr>
                <w:color w:val="000000" w:themeColor="text1"/>
              </w:rPr>
              <w:t>un starptautiskā salīdzināšana</w:t>
            </w:r>
            <w:r w:rsidRPr="005F6979">
              <w:rPr>
                <w:color w:val="000000" w:themeColor="text1"/>
              </w:rPr>
              <w:t xml:space="preserve"> </w:t>
            </w:r>
            <w:r>
              <w:rPr>
                <w:color w:val="000000" w:themeColor="text1"/>
              </w:rPr>
              <w:t>bijusi</w:t>
            </w:r>
            <w:r w:rsidRPr="005F6979">
              <w:rPr>
                <w:color w:val="000000" w:themeColor="text1"/>
              </w:rPr>
              <w:t xml:space="preserve"> problemāti</w:t>
            </w:r>
            <w:r>
              <w:rPr>
                <w:color w:val="000000" w:themeColor="text1"/>
              </w:rPr>
              <w:t>s</w:t>
            </w:r>
            <w:r w:rsidRPr="005F6979">
              <w:rPr>
                <w:color w:val="000000" w:themeColor="text1"/>
              </w:rPr>
              <w:t>ka, tika publicēti tikai labāko 10 valstu saraksti daž</w:t>
            </w:r>
            <w:r>
              <w:rPr>
                <w:color w:val="000000" w:themeColor="text1"/>
              </w:rPr>
              <w:t>u</w:t>
            </w:r>
            <w:r w:rsidRPr="005F6979">
              <w:rPr>
                <w:color w:val="000000" w:themeColor="text1"/>
              </w:rPr>
              <w:t xml:space="preserve"> rādītāj</w:t>
            </w:r>
            <w:r>
              <w:rPr>
                <w:color w:val="000000" w:themeColor="text1"/>
              </w:rPr>
              <w:t>u greizumā</w:t>
            </w:r>
            <w:r w:rsidRPr="005F6979">
              <w:rPr>
                <w:color w:val="000000" w:themeColor="text1"/>
              </w:rPr>
              <w:t xml:space="preserve">. </w:t>
            </w:r>
            <w:r>
              <w:rPr>
                <w:color w:val="000000" w:themeColor="text1"/>
              </w:rPr>
              <w:t xml:space="preserve">Diemžēl </w:t>
            </w:r>
            <w:r w:rsidRPr="005F6979">
              <w:rPr>
                <w:color w:val="000000" w:themeColor="text1"/>
              </w:rPr>
              <w:t xml:space="preserve">Latvija šajos sarakstos </w:t>
            </w:r>
            <w:r>
              <w:rPr>
                <w:color w:val="000000" w:themeColor="text1"/>
              </w:rPr>
              <w:t xml:space="preserve">netika </w:t>
            </w:r>
            <w:r w:rsidRPr="00F555E6">
              <w:rPr>
                <w:color w:val="000000" w:themeColor="text1"/>
              </w:rPr>
              <w:t>iekļ</w:t>
            </w:r>
            <w:r>
              <w:rPr>
                <w:color w:val="000000" w:themeColor="text1"/>
              </w:rPr>
              <w:t>a</w:t>
            </w:r>
            <w:r w:rsidRPr="00F555E6">
              <w:rPr>
                <w:color w:val="000000" w:themeColor="text1"/>
              </w:rPr>
              <w:t>u</w:t>
            </w:r>
            <w:r>
              <w:rPr>
                <w:color w:val="000000" w:themeColor="text1"/>
              </w:rPr>
              <w:t>ta</w:t>
            </w:r>
            <w:r w:rsidRPr="00F555E6">
              <w:rPr>
                <w:color w:val="000000" w:themeColor="text1"/>
              </w:rPr>
              <w:t>.</w:t>
            </w:r>
            <w:r>
              <w:rPr>
                <w:color w:val="000000" w:themeColor="text1"/>
              </w:rPr>
              <w:t xml:space="preserve"> </w:t>
            </w:r>
            <w:r w:rsidRPr="00F555E6">
              <w:rPr>
                <w:color w:val="000000" w:themeColor="text1"/>
              </w:rPr>
              <w:t xml:space="preserve">Uzņēmējdarbības veicināšanas virziena </w:t>
            </w:r>
            <w:r>
              <w:rPr>
                <w:color w:val="000000" w:themeColor="text1"/>
              </w:rPr>
              <w:t xml:space="preserve">citu </w:t>
            </w:r>
            <w:r w:rsidRPr="00F555E6">
              <w:rPr>
                <w:color w:val="000000" w:themeColor="text1"/>
              </w:rPr>
              <w:t xml:space="preserve">raksturojošo rādītāju dinamika un skaitliskais </w:t>
            </w:r>
            <w:r w:rsidRPr="00A636C1">
              <w:rPr>
                <w:color w:val="000000" w:themeColor="text1"/>
              </w:rPr>
              <w:t xml:space="preserve">progress </w:t>
            </w:r>
            <w:r w:rsidRPr="00A636C1">
              <w:t xml:space="preserve">atspoguļots </w:t>
            </w:r>
            <w:hyperlink w:anchor="_Pielikums._EM_darbības_4" w:history="1">
              <w:r w:rsidRPr="00A636C1">
                <w:rPr>
                  <w:rStyle w:val="Hyperlink"/>
                  <w:color w:val="00859B"/>
                </w:rPr>
                <w:t>7.pielikumā</w:t>
              </w:r>
            </w:hyperlink>
            <w:r w:rsidRPr="00A636C1">
              <w:t>.</w:t>
            </w:r>
          </w:p>
          <w:p w14:paraId="53590DEC" w14:textId="229873E7" w:rsidR="00C143A9" w:rsidRPr="00F5511B" w:rsidRDefault="00C143A9" w:rsidP="00C143A9">
            <w:pPr>
              <w:spacing w:before="60" w:after="60" w:line="240" w:lineRule="auto"/>
              <w:jc w:val="both"/>
              <w:rPr>
                <w:rFonts w:eastAsia="Times New Roman"/>
                <w:szCs w:val="24"/>
                <w:highlight w:val="yellow"/>
              </w:rPr>
            </w:pPr>
          </w:p>
        </w:tc>
      </w:tr>
    </w:tbl>
    <w:p w14:paraId="3AA172F5" w14:textId="5EC3FAB1" w:rsidR="00D16979" w:rsidRDefault="00D16979" w:rsidP="0074066C">
      <w:pPr>
        <w:spacing w:before="20" w:after="20" w:line="240" w:lineRule="auto"/>
        <w:jc w:val="both"/>
        <w:rPr>
          <w:sz w:val="12"/>
          <w:szCs w:val="12"/>
          <w:highlight w:val="yellow"/>
        </w:rPr>
      </w:pPr>
    </w:p>
    <w:p w14:paraId="1F754DDE" w14:textId="77777777" w:rsidR="00D16979" w:rsidRPr="00F5511B" w:rsidRDefault="00D16979" w:rsidP="0074066C">
      <w:pPr>
        <w:spacing w:before="20" w:after="20" w:line="240" w:lineRule="auto"/>
        <w:jc w:val="both"/>
        <w:rPr>
          <w:sz w:val="12"/>
          <w:szCs w:val="12"/>
          <w:highlight w:val="yellow"/>
        </w:rPr>
      </w:pPr>
    </w:p>
    <w:p w14:paraId="776E3766" w14:textId="77777777" w:rsidR="005058C4" w:rsidRPr="00F5511B" w:rsidRDefault="005058C4">
      <w:pPr>
        <w:spacing w:after="0" w:line="240" w:lineRule="auto"/>
        <w:rPr>
          <w:sz w:val="16"/>
          <w:szCs w:val="16"/>
          <w:highlight w:val="yellow"/>
        </w:rPr>
      </w:pPr>
      <w:r w:rsidRPr="00F5511B">
        <w:rPr>
          <w:sz w:val="16"/>
          <w:szCs w:val="16"/>
          <w:highlight w:val="yellow"/>
        </w:rPr>
        <w:br w:type="page"/>
      </w:r>
    </w:p>
    <w:p w14:paraId="5A50386B" w14:textId="6C0D73D6" w:rsidR="00DE7A55" w:rsidRPr="0053329E" w:rsidRDefault="00BC60D9" w:rsidP="002371DB">
      <w:pPr>
        <w:spacing w:before="60" w:after="60" w:line="240" w:lineRule="auto"/>
        <w:ind w:left="3969"/>
        <w:jc w:val="both"/>
      </w:pPr>
      <w:r>
        <w:rPr>
          <w:smallCaps/>
          <w:noProof/>
          <w:sz w:val="32"/>
          <w:szCs w:val="32"/>
          <w:highlight w:val="yellow"/>
          <w:lang w:eastAsia="lv-LV"/>
        </w:rPr>
        <w:lastRenderedPageBreak/>
        <mc:AlternateContent>
          <mc:Choice Requires="wps">
            <w:drawing>
              <wp:anchor distT="0" distB="0" distL="114300" distR="114300" simplePos="0" relativeHeight="251658241" behindDoc="0" locked="0" layoutInCell="1" allowOverlap="1" wp14:anchorId="539FD9E9" wp14:editId="613F85B5">
                <wp:simplePos x="0" y="0"/>
                <wp:positionH relativeFrom="margin">
                  <wp:posOffset>-8890</wp:posOffset>
                </wp:positionH>
                <wp:positionV relativeFrom="paragraph">
                  <wp:posOffset>139700</wp:posOffset>
                </wp:positionV>
                <wp:extent cx="2267585" cy="1367790"/>
                <wp:effectExtent l="0" t="0" r="0" b="3810"/>
                <wp:wrapNone/>
                <wp:docPr id="16"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585" cy="136779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66AD27BB" w14:textId="77777777" w:rsidR="00003D52" w:rsidRPr="00504EE9" w:rsidRDefault="00003D52" w:rsidP="00BE6C4B">
                            <w:pPr>
                              <w:pStyle w:val="Heading1"/>
                              <w:numPr>
                                <w:ilvl w:val="0"/>
                                <w:numId w:val="14"/>
                              </w:numPr>
                            </w:pPr>
                            <w:bookmarkStart w:id="32" w:name="_Toc78874599"/>
                            <w:r w:rsidRPr="00504EE9">
                              <w:t>Paveiktais EM svarīgāko nozaru attīstībai 2020.gadā</w:t>
                            </w:r>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D9E9" id="_x0000_s1030" style="position:absolute;left:0;text-align:left;margin-left:-.7pt;margin-top:11pt;width:178.55pt;height:10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67585,1367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" adj="-11796480,,5400" path="m227970,l2267585,r,l2267585,1139820v,125904,-102066,227970,-227970,227970l,1367790r,l,227970c,102066,102066,,227970,xe" fillcolor="#00859b" strokecolor="#62b1c6" strokeweight="1.5pt">
                <v:stroke joinstyle="miter"/>
                <v:formulas/>
                <v:path arrowok="t" o:connecttype="custom" o:connectlocs="227970,0;2267585,0;2267585,0;2267585,1139820;2039615,1367790;0,1367790;0,1367790;0,227970;227970,0" o:connectangles="0,0,0,0,0,0,0,0,0" textboxrect="0,0,2267585,1367790"/>
                <v:textbox>
                  <w:txbxContent>
                    <w:p w14:paraId="66AD27BB" w14:textId="77777777" w:rsidR="00003D52" w:rsidRPr="00504EE9" w:rsidRDefault="00003D52" w:rsidP="00BE6C4B">
                      <w:pPr>
                        <w:pStyle w:val="Heading1"/>
                        <w:numPr>
                          <w:ilvl w:val="0"/>
                          <w:numId w:val="14"/>
                        </w:numPr>
                      </w:pPr>
                      <w:bookmarkStart w:id="33" w:name="_Toc78874599"/>
                      <w:r w:rsidRPr="00504EE9">
                        <w:t>Paveiktais EM svarīgāko nozaru attīstībai 2020.gadā</w:t>
                      </w:r>
                      <w:bookmarkEnd w:id="33"/>
                    </w:p>
                  </w:txbxContent>
                </v:textbox>
                <w10:wrap anchorx="margin"/>
              </v:shape>
            </w:pict>
          </mc:Fallback>
        </mc:AlternateContent>
      </w:r>
      <w:r w:rsidR="0079454F" w:rsidRPr="0053329E">
        <w:t>Atbilstoši</w:t>
      </w:r>
      <w:r w:rsidR="0004614F">
        <w:t xml:space="preserve"> </w:t>
      </w:r>
      <w:hyperlink r:id="rId46" w:history="1">
        <w:r w:rsidR="00EE6719" w:rsidRPr="00EE6719">
          <w:rPr>
            <w:rStyle w:val="Hyperlink"/>
            <w:i/>
            <w:iCs/>
            <w:color w:val="00859B"/>
          </w:rPr>
          <w:t>Ekonomikas ministrijas d</w:t>
        </w:r>
      </w:hyperlink>
      <w:r w:rsidR="00EE6719" w:rsidRPr="00EE6719">
        <w:rPr>
          <w:rStyle w:val="Hyperlink"/>
          <w:i/>
          <w:iCs/>
          <w:color w:val="00859B"/>
        </w:rPr>
        <w:t>arbības stratēģijā 2020.-2022.gadam</w:t>
      </w:r>
      <w:r w:rsidR="00C4736C">
        <w:rPr>
          <w:rStyle w:val="FootnoteReference"/>
        </w:rPr>
        <w:footnoteReference w:id="5"/>
      </w:r>
      <w:r w:rsidR="0004614F">
        <w:rPr>
          <w:rStyle w:val="Hyperlink"/>
          <w:i/>
          <w:iCs/>
          <w:color w:val="00859B"/>
        </w:rPr>
        <w:t xml:space="preserve"> </w:t>
      </w:r>
      <w:r w:rsidR="0079454F" w:rsidRPr="0053329E">
        <w:t>noteiktiem</w:t>
      </w:r>
      <w:r w:rsidR="0004614F">
        <w:t xml:space="preserve"> </w:t>
      </w:r>
      <w:r w:rsidR="0079454F" w:rsidRPr="0053329E">
        <w:t>darbības virzieniem</w:t>
      </w:r>
      <w:r w:rsidR="00EE6719">
        <w:t>,</w:t>
      </w:r>
      <w:r w:rsidR="0004614F">
        <w:t xml:space="preserve"> </w:t>
      </w:r>
      <w:r w:rsidR="007C20BC" w:rsidRPr="0053329E">
        <w:t>EM</w:t>
      </w:r>
      <w:r w:rsidR="0004614F">
        <w:t xml:space="preserve"> </w:t>
      </w:r>
      <w:r w:rsidR="0002488E" w:rsidRPr="0053329E">
        <w:t>20</w:t>
      </w:r>
      <w:r w:rsidR="0053329E" w:rsidRPr="0053329E">
        <w:t>20</w:t>
      </w:r>
      <w:r w:rsidR="0002488E" w:rsidRPr="0053329E">
        <w:t>.</w:t>
      </w:r>
      <w:r w:rsidR="00367FA8" w:rsidRPr="0053329E">
        <w:t> </w:t>
      </w:r>
      <w:r w:rsidR="0002488E" w:rsidRPr="0053329E">
        <w:t>gad</w:t>
      </w:r>
      <w:r w:rsidR="00DF595B" w:rsidRPr="0053329E">
        <w:t>ā</w:t>
      </w:r>
      <w:r w:rsidR="0004614F">
        <w:t xml:space="preserve"> </w:t>
      </w:r>
      <w:r w:rsidR="00EE6719">
        <w:t>plānoja</w:t>
      </w:r>
      <w:r w:rsidR="0004614F">
        <w:t xml:space="preserve"> </w:t>
      </w:r>
      <w:r w:rsidR="00367FA8" w:rsidRPr="0053329E">
        <w:t>virkni</w:t>
      </w:r>
      <w:r w:rsidR="0004614F">
        <w:t xml:space="preserve"> </w:t>
      </w:r>
      <w:r w:rsidR="00D204E9" w:rsidRPr="0053329E">
        <w:t>uzdevumu</w:t>
      </w:r>
      <w:r w:rsidR="0002488E" w:rsidRPr="0053329E">
        <w:t xml:space="preserve">, </w:t>
      </w:r>
      <w:r w:rsidR="00D44318">
        <w:t xml:space="preserve">starp kuriem bija arī </w:t>
      </w:r>
      <w:r w:rsidR="00D44318">
        <w:rPr>
          <w:szCs w:val="24"/>
        </w:rPr>
        <w:t>p</w:t>
      </w:r>
      <w:r w:rsidR="00D44318" w:rsidRPr="008B70A4">
        <w:rPr>
          <w:szCs w:val="24"/>
        </w:rPr>
        <w:t>asākumu īstenošana C</w:t>
      </w:r>
      <w:r w:rsidR="00D44318">
        <w:rPr>
          <w:szCs w:val="24"/>
        </w:rPr>
        <w:t>ovid</w:t>
      </w:r>
      <w:r w:rsidR="00D44318" w:rsidRPr="008B70A4">
        <w:rPr>
          <w:szCs w:val="24"/>
        </w:rPr>
        <w:t>-19 izraisīto seku mazināšana</w:t>
      </w:r>
      <w:r w:rsidR="00D44318">
        <w:rPr>
          <w:szCs w:val="24"/>
        </w:rPr>
        <w:t>i,</w:t>
      </w:r>
      <w:r w:rsidR="00D44318" w:rsidRPr="0053329E">
        <w:t xml:space="preserve"> k</w:t>
      </w:r>
      <w:r w:rsidR="00D44318">
        <w:t>as ne</w:t>
      </w:r>
      <w:r w:rsidR="0053329E" w:rsidRPr="0053329E">
        <w:t>paredzēja</w:t>
      </w:r>
      <w:r w:rsidR="0004614F">
        <w:t xml:space="preserve"> </w:t>
      </w:r>
      <w:r w:rsidR="00245007" w:rsidRPr="0053329E">
        <w:t xml:space="preserve">ministrijas </w:t>
      </w:r>
      <w:r w:rsidR="004F74A3" w:rsidRPr="0053329E">
        <w:t>darbība</w:t>
      </w:r>
      <w:r w:rsidR="005058C4" w:rsidRPr="0053329E">
        <w:t>s</w:t>
      </w:r>
      <w:r w:rsidR="0004614F">
        <w:t xml:space="preserve"> </w:t>
      </w:r>
      <w:r w:rsidR="005058C4" w:rsidRPr="0053329E">
        <w:t xml:space="preserve">lielāko īpatsvaru </w:t>
      </w:r>
      <w:r w:rsidR="00367FA8" w:rsidRPr="0053329E">
        <w:t xml:space="preserve">visā </w:t>
      </w:r>
      <w:r w:rsidR="004F74A3" w:rsidRPr="0053329E">
        <w:t xml:space="preserve">pārskata periodā. </w:t>
      </w:r>
      <w:r w:rsidR="0053329E" w:rsidRPr="0053329E">
        <w:t>Tomēr 2020.</w:t>
      </w:r>
      <w:r w:rsidR="0017491E">
        <w:t> </w:t>
      </w:r>
      <w:r w:rsidR="0053329E" w:rsidRPr="0053329E">
        <w:t xml:space="preserve">gadā Covid-19 </w:t>
      </w:r>
      <w:r w:rsidR="0004614F">
        <w:t>pandēmija</w:t>
      </w:r>
      <w:r w:rsidR="00343F09">
        <w:t xml:space="preserve">s izplatība </w:t>
      </w:r>
      <w:r w:rsidR="0004614F">
        <w:t xml:space="preserve">ietekmēja </w:t>
      </w:r>
      <w:r w:rsidR="00343F09">
        <w:t>ministrijas darbu</w:t>
      </w:r>
      <w:r w:rsidR="0053329E">
        <w:t xml:space="preserve">, nosakot </w:t>
      </w:r>
      <w:r w:rsidR="00D44318">
        <w:t xml:space="preserve">aktuālākas </w:t>
      </w:r>
      <w:r w:rsidR="0053329E">
        <w:t xml:space="preserve">prioritātes </w:t>
      </w:r>
      <w:r w:rsidR="00EE6719">
        <w:t xml:space="preserve">EM veicamajiem uzdevumiem. </w:t>
      </w:r>
      <w:r w:rsidR="00343F09">
        <w:rPr>
          <w:bCs/>
          <w:szCs w:val="24"/>
        </w:rPr>
        <w:t>G</w:t>
      </w:r>
      <w:r w:rsidR="00343F09" w:rsidRPr="00CC7933">
        <w:rPr>
          <w:bCs/>
          <w:szCs w:val="24"/>
        </w:rPr>
        <w:t>lobāl</w:t>
      </w:r>
      <w:r w:rsidR="00343F09">
        <w:rPr>
          <w:bCs/>
          <w:szCs w:val="24"/>
        </w:rPr>
        <w:t xml:space="preserve">ās izaugsmes palēnināšana 2019.gada beigās un </w:t>
      </w:r>
      <w:r w:rsidR="00343F09" w:rsidRPr="005D2533">
        <w:rPr>
          <w:bCs/>
          <w:szCs w:val="24"/>
        </w:rPr>
        <w:t xml:space="preserve">Covid-19 </w:t>
      </w:r>
      <w:r w:rsidR="00810F63" w:rsidRPr="005D2533">
        <w:rPr>
          <w:bCs/>
          <w:szCs w:val="24"/>
        </w:rPr>
        <w:t>izplatī</w:t>
      </w:r>
      <w:r w:rsidR="00810F63">
        <w:rPr>
          <w:bCs/>
          <w:szCs w:val="24"/>
        </w:rPr>
        <w:t>šanās</w:t>
      </w:r>
      <w:r w:rsidR="00810F63" w:rsidRPr="005D2533">
        <w:rPr>
          <w:bCs/>
          <w:szCs w:val="24"/>
        </w:rPr>
        <w:t xml:space="preserve"> </w:t>
      </w:r>
      <w:r w:rsidR="00343F09">
        <w:rPr>
          <w:bCs/>
          <w:szCs w:val="24"/>
        </w:rPr>
        <w:t xml:space="preserve">2020.gada sākumā </w:t>
      </w:r>
      <w:r w:rsidR="0017491E" w:rsidRPr="00223D1E">
        <w:rPr>
          <w:bCs/>
          <w:szCs w:val="24"/>
        </w:rPr>
        <w:t xml:space="preserve">būtiski ietekmēja </w:t>
      </w:r>
      <w:r w:rsidR="00CA5C59">
        <w:rPr>
          <w:bCs/>
          <w:szCs w:val="24"/>
        </w:rPr>
        <w:t xml:space="preserve">Latvijas </w:t>
      </w:r>
      <w:r w:rsidR="0017491E" w:rsidRPr="00223D1E">
        <w:rPr>
          <w:bCs/>
          <w:szCs w:val="24"/>
        </w:rPr>
        <w:t>ekonomikas attīstību</w:t>
      </w:r>
      <w:r w:rsidR="00CA5C59">
        <w:rPr>
          <w:bCs/>
          <w:szCs w:val="24"/>
        </w:rPr>
        <w:t xml:space="preserve">, </w:t>
      </w:r>
      <w:r w:rsidR="0017491E" w:rsidRPr="00223D1E">
        <w:rPr>
          <w:bCs/>
          <w:szCs w:val="24"/>
        </w:rPr>
        <w:t>2020.</w:t>
      </w:r>
      <w:r w:rsidR="00CA5C59">
        <w:rPr>
          <w:bCs/>
          <w:szCs w:val="24"/>
        </w:rPr>
        <w:t xml:space="preserve">gada laikā IKP sarūkot </w:t>
      </w:r>
      <w:r w:rsidR="0017491E" w:rsidRPr="00223D1E">
        <w:rPr>
          <w:bCs/>
          <w:szCs w:val="24"/>
        </w:rPr>
        <w:t>par 3,6%, salīdzin</w:t>
      </w:r>
      <w:r w:rsidR="00CA5C59">
        <w:rPr>
          <w:bCs/>
          <w:szCs w:val="24"/>
        </w:rPr>
        <w:t xml:space="preserve">ājumā ar iepriekšējo </w:t>
      </w:r>
      <w:r w:rsidR="0017491E" w:rsidRPr="00223D1E">
        <w:rPr>
          <w:bCs/>
          <w:szCs w:val="24"/>
        </w:rPr>
        <w:t>gadu</w:t>
      </w:r>
      <w:r w:rsidR="0017491E">
        <w:rPr>
          <w:bCs/>
          <w:szCs w:val="24"/>
        </w:rPr>
        <w:t>.</w:t>
      </w:r>
    </w:p>
    <w:p w14:paraId="635BAA8D" w14:textId="6866D32B" w:rsidR="00054A90" w:rsidRDefault="004B7530" w:rsidP="00BB186F">
      <w:pPr>
        <w:spacing w:before="60" w:after="60" w:line="240" w:lineRule="auto"/>
        <w:jc w:val="both"/>
        <w:rPr>
          <w:rFonts w:cs="Times New Roman"/>
          <w:bCs/>
          <w:szCs w:val="24"/>
        </w:rPr>
      </w:pPr>
      <w:r>
        <w:rPr>
          <w:rFonts w:eastAsia="Times New Roman"/>
          <w:szCs w:val="24"/>
        </w:rPr>
        <w:t>G</w:t>
      </w:r>
      <w:r w:rsidRPr="00223D1E">
        <w:rPr>
          <w:rFonts w:eastAsia="Times New Roman"/>
          <w:szCs w:val="24"/>
        </w:rPr>
        <w:t xml:space="preserve">lobālā pandēmija negatīvi ietekmēja </w:t>
      </w:r>
      <w:r w:rsidR="008F66A0">
        <w:rPr>
          <w:rFonts w:eastAsia="Times New Roman"/>
          <w:szCs w:val="24"/>
        </w:rPr>
        <w:t>lēmumu pieņemšanu visiem Latvijas tautsaimniecības subjektiem</w:t>
      </w:r>
      <w:r w:rsidR="00013433">
        <w:rPr>
          <w:rFonts w:eastAsia="Times New Roman"/>
          <w:szCs w:val="24"/>
        </w:rPr>
        <w:t xml:space="preserve">: gan </w:t>
      </w:r>
      <w:r w:rsidR="00013433" w:rsidRPr="00223D1E">
        <w:rPr>
          <w:rFonts w:eastAsia="Times New Roman"/>
          <w:szCs w:val="24"/>
        </w:rPr>
        <w:t>investor</w:t>
      </w:r>
      <w:r w:rsidR="00013433">
        <w:rPr>
          <w:rFonts w:eastAsia="Times New Roman"/>
          <w:szCs w:val="24"/>
        </w:rPr>
        <w:t>iem (par investēšanas projektiem)</w:t>
      </w:r>
      <w:r w:rsidRPr="00223D1E">
        <w:rPr>
          <w:rFonts w:eastAsia="Times New Roman"/>
          <w:szCs w:val="24"/>
        </w:rPr>
        <w:t xml:space="preserve">, </w:t>
      </w:r>
      <w:r w:rsidR="00013433">
        <w:rPr>
          <w:rFonts w:eastAsia="Times New Roman"/>
          <w:szCs w:val="24"/>
        </w:rPr>
        <w:t xml:space="preserve">gan </w:t>
      </w:r>
      <w:r w:rsidR="00013433" w:rsidRPr="00223D1E">
        <w:rPr>
          <w:rFonts w:eastAsia="Times New Roman"/>
          <w:szCs w:val="24"/>
        </w:rPr>
        <w:t>uzņēmēj</w:t>
      </w:r>
      <w:r w:rsidR="00013433">
        <w:rPr>
          <w:rFonts w:eastAsia="Times New Roman"/>
          <w:szCs w:val="24"/>
        </w:rPr>
        <w:t>iem (s</w:t>
      </w:r>
      <w:r w:rsidR="007B48C8">
        <w:rPr>
          <w:rFonts w:eastAsia="Times New Roman"/>
          <w:szCs w:val="24"/>
        </w:rPr>
        <w:t>ai</w:t>
      </w:r>
      <w:r w:rsidR="00013433">
        <w:rPr>
          <w:rFonts w:eastAsia="Times New Roman"/>
          <w:szCs w:val="24"/>
        </w:rPr>
        <w:t xml:space="preserve">stībā ar sava biznesa turpmāku attīstību), gan </w:t>
      </w:r>
      <w:r w:rsidR="00013433" w:rsidRPr="00223D1E">
        <w:rPr>
          <w:rFonts w:eastAsia="Times New Roman"/>
          <w:szCs w:val="24"/>
        </w:rPr>
        <w:t>iedzīvotāj</w:t>
      </w:r>
      <w:r w:rsidR="00013433">
        <w:rPr>
          <w:rFonts w:eastAsia="Times New Roman"/>
          <w:szCs w:val="24"/>
        </w:rPr>
        <w:t xml:space="preserve">iem (mainot </w:t>
      </w:r>
      <w:r w:rsidR="00414541">
        <w:rPr>
          <w:rFonts w:eastAsia="Times New Roman"/>
          <w:szCs w:val="24"/>
        </w:rPr>
        <w:t xml:space="preserve">savus </w:t>
      </w:r>
      <w:r w:rsidR="00013433">
        <w:rPr>
          <w:rFonts w:eastAsia="Times New Roman"/>
          <w:szCs w:val="24"/>
        </w:rPr>
        <w:t xml:space="preserve">patēriņa paradumus). </w:t>
      </w:r>
      <w:r>
        <w:rPr>
          <w:rFonts w:eastAsia="Times New Roman"/>
          <w:szCs w:val="24"/>
        </w:rPr>
        <w:t>Īpaši smagi cieta</w:t>
      </w:r>
      <w:r w:rsidRPr="00223D1E">
        <w:rPr>
          <w:rFonts w:eastAsia="Times New Roman"/>
          <w:szCs w:val="24"/>
        </w:rPr>
        <w:t xml:space="preserve"> vairākas </w:t>
      </w:r>
      <w:r w:rsidR="00013433">
        <w:rPr>
          <w:rFonts w:eastAsia="Times New Roman"/>
          <w:szCs w:val="24"/>
        </w:rPr>
        <w:t>tautsaimniecības</w:t>
      </w:r>
      <w:r w:rsidR="00013433" w:rsidRPr="00223D1E">
        <w:rPr>
          <w:rFonts w:eastAsia="Times New Roman"/>
          <w:szCs w:val="24"/>
        </w:rPr>
        <w:t xml:space="preserve"> </w:t>
      </w:r>
      <w:r w:rsidRPr="00223D1E">
        <w:rPr>
          <w:rFonts w:eastAsia="Times New Roman"/>
          <w:szCs w:val="24"/>
        </w:rPr>
        <w:t>nozares</w:t>
      </w:r>
      <w:r w:rsidR="00013433">
        <w:rPr>
          <w:rFonts w:eastAsia="Times New Roman"/>
          <w:szCs w:val="24"/>
        </w:rPr>
        <w:t xml:space="preserve">, kas bija </w:t>
      </w:r>
      <w:r w:rsidR="00810F63">
        <w:rPr>
          <w:rFonts w:eastAsia="Times New Roman"/>
          <w:szCs w:val="24"/>
        </w:rPr>
        <w:t xml:space="preserve">spiestas </w:t>
      </w:r>
      <w:r w:rsidR="00013433">
        <w:rPr>
          <w:rFonts w:eastAsia="Times New Roman"/>
          <w:szCs w:val="24"/>
        </w:rPr>
        <w:t>atbilstoši pieprasījumam būtiski samazināt apjomus, kā piemērām</w:t>
      </w:r>
      <w:r w:rsidR="00514313">
        <w:rPr>
          <w:rFonts w:eastAsia="Times New Roman"/>
          <w:szCs w:val="24"/>
        </w:rPr>
        <w:t>,</w:t>
      </w:r>
      <w:r w:rsidRPr="00223D1E">
        <w:rPr>
          <w:rFonts w:eastAsia="Times New Roman"/>
          <w:szCs w:val="24"/>
        </w:rPr>
        <w:t xml:space="preserve"> </w:t>
      </w:r>
      <w:r w:rsidRPr="007E1579">
        <w:rPr>
          <w:rFonts w:eastAsia="Times New Roman"/>
          <w:szCs w:val="24"/>
        </w:rPr>
        <w:t xml:space="preserve">izmitināšanas un ēdināšanas, kā arī mākslas, izklaides un atpūtas nozarēs, </w:t>
      </w:r>
      <w:r w:rsidR="00013433" w:rsidRPr="007E1579">
        <w:rPr>
          <w:rFonts w:eastAsia="Times New Roman"/>
          <w:szCs w:val="24"/>
        </w:rPr>
        <w:t>kur</w:t>
      </w:r>
      <w:r w:rsidR="00013433">
        <w:rPr>
          <w:rFonts w:eastAsia="Times New Roman"/>
          <w:szCs w:val="24"/>
        </w:rPr>
        <w:t>u</w:t>
      </w:r>
      <w:r w:rsidR="00013433" w:rsidRPr="007E1579">
        <w:rPr>
          <w:rFonts w:eastAsia="Times New Roman"/>
          <w:szCs w:val="24"/>
        </w:rPr>
        <w:t xml:space="preserve"> </w:t>
      </w:r>
      <w:r w:rsidRPr="007E1579">
        <w:rPr>
          <w:rFonts w:eastAsia="Times New Roman"/>
          <w:szCs w:val="24"/>
        </w:rPr>
        <w:t xml:space="preserve">kritums </w:t>
      </w:r>
      <w:r w:rsidR="00013433">
        <w:rPr>
          <w:rFonts w:eastAsia="Times New Roman"/>
          <w:szCs w:val="24"/>
        </w:rPr>
        <w:t xml:space="preserve">tikai 2020.gada </w:t>
      </w:r>
      <w:r w:rsidRPr="007E1579">
        <w:rPr>
          <w:rFonts w:eastAsia="Times New Roman"/>
          <w:szCs w:val="24"/>
        </w:rPr>
        <w:t xml:space="preserve">griezumā </w:t>
      </w:r>
      <w:r w:rsidR="00514313">
        <w:rPr>
          <w:rFonts w:eastAsia="Times New Roman"/>
          <w:szCs w:val="24"/>
        </w:rPr>
        <w:t>sasniedza</w:t>
      </w:r>
      <w:r w:rsidR="00013433" w:rsidRPr="007E1579">
        <w:rPr>
          <w:rFonts w:eastAsia="Times New Roman"/>
          <w:szCs w:val="24"/>
        </w:rPr>
        <w:t xml:space="preserve"> </w:t>
      </w:r>
      <w:r w:rsidRPr="007E1579">
        <w:rPr>
          <w:rFonts w:eastAsia="Times New Roman"/>
          <w:szCs w:val="24"/>
        </w:rPr>
        <w:t xml:space="preserve">attiecīgi 38,1% un 26,6%. Covid-19 ierobežojumi būtiski ietekmēja arī aviācijas, sauszemes transporta un dzelzceļa </w:t>
      </w:r>
      <w:r w:rsidR="00013433">
        <w:rPr>
          <w:rFonts w:eastAsia="Times New Roman"/>
          <w:szCs w:val="24"/>
        </w:rPr>
        <w:t xml:space="preserve">nozaru </w:t>
      </w:r>
      <w:r w:rsidRPr="00C4736C">
        <w:rPr>
          <w:rFonts w:eastAsia="Times New Roman" w:cs="Times New Roman"/>
          <w:szCs w:val="24"/>
        </w:rPr>
        <w:t>uzņēmumus.</w:t>
      </w:r>
      <w:r w:rsidRPr="00C4736C">
        <w:rPr>
          <w:rFonts w:cs="Times New Roman"/>
          <w:szCs w:val="24"/>
        </w:rPr>
        <w:t xml:space="preserve"> </w:t>
      </w:r>
      <w:r w:rsidR="00013433">
        <w:rPr>
          <w:rFonts w:cs="Times New Roman"/>
          <w:szCs w:val="24"/>
        </w:rPr>
        <w:t>Savukārt</w:t>
      </w:r>
      <w:r w:rsidR="00D44318">
        <w:rPr>
          <w:rFonts w:cs="Times New Roman"/>
          <w:szCs w:val="24"/>
        </w:rPr>
        <w:t>,</w:t>
      </w:r>
      <w:r w:rsidR="00013433">
        <w:rPr>
          <w:rFonts w:cs="Times New Roman"/>
          <w:szCs w:val="24"/>
        </w:rPr>
        <w:t xml:space="preserve"> augošais </w:t>
      </w:r>
      <w:r w:rsidRPr="00C4736C">
        <w:rPr>
          <w:rFonts w:cs="Times New Roman"/>
          <w:szCs w:val="24"/>
        </w:rPr>
        <w:t>bezdarb</w:t>
      </w:r>
      <w:r w:rsidR="00013433">
        <w:rPr>
          <w:rFonts w:cs="Times New Roman"/>
          <w:szCs w:val="24"/>
        </w:rPr>
        <w:t>s</w:t>
      </w:r>
      <w:r w:rsidRPr="00C4736C">
        <w:rPr>
          <w:rFonts w:cs="Times New Roman"/>
          <w:szCs w:val="24"/>
        </w:rPr>
        <w:t xml:space="preserve"> un </w:t>
      </w:r>
      <w:r w:rsidR="00013433">
        <w:rPr>
          <w:rFonts w:cs="Times New Roman"/>
          <w:szCs w:val="24"/>
        </w:rPr>
        <w:t xml:space="preserve">iedzīvotāju </w:t>
      </w:r>
      <w:r w:rsidRPr="00C4736C">
        <w:rPr>
          <w:rFonts w:cs="Times New Roman"/>
          <w:szCs w:val="24"/>
        </w:rPr>
        <w:t xml:space="preserve">ienākumu kritums ietekmēja mājsaimniecību </w:t>
      </w:r>
      <w:r w:rsidR="00054A90" w:rsidRPr="00C4736C">
        <w:rPr>
          <w:rFonts w:cs="Times New Roman"/>
          <w:szCs w:val="24"/>
        </w:rPr>
        <w:t>patēriņ</w:t>
      </w:r>
      <w:r w:rsidR="00054A90">
        <w:rPr>
          <w:rFonts w:cs="Times New Roman"/>
          <w:szCs w:val="24"/>
        </w:rPr>
        <w:t>a struktūru</w:t>
      </w:r>
      <w:r w:rsidRPr="00C4736C">
        <w:rPr>
          <w:rFonts w:cs="Times New Roman"/>
          <w:szCs w:val="24"/>
        </w:rPr>
        <w:t xml:space="preserve">. </w:t>
      </w:r>
    </w:p>
    <w:p w14:paraId="52913E28" w14:textId="5D9A5068" w:rsidR="004B7530" w:rsidRDefault="0017491E" w:rsidP="00BB186F">
      <w:pPr>
        <w:spacing w:before="60" w:after="60" w:line="240" w:lineRule="auto"/>
        <w:jc w:val="both"/>
        <w:rPr>
          <w:bCs/>
        </w:rPr>
      </w:pPr>
      <w:r w:rsidRPr="00C4736C">
        <w:rPr>
          <w:rFonts w:cs="Times New Roman"/>
          <w:bCs/>
          <w:szCs w:val="24"/>
        </w:rPr>
        <w:t>2020. gad</w:t>
      </w:r>
      <w:r w:rsidR="00013433">
        <w:rPr>
          <w:rFonts w:cs="Times New Roman"/>
          <w:bCs/>
          <w:szCs w:val="24"/>
        </w:rPr>
        <w:t>a garumā</w:t>
      </w:r>
      <w:r w:rsidRPr="00C4736C">
        <w:rPr>
          <w:rFonts w:cs="Times New Roman"/>
          <w:bCs/>
          <w:szCs w:val="24"/>
        </w:rPr>
        <w:t xml:space="preserve"> </w:t>
      </w:r>
      <w:r w:rsidR="00013433" w:rsidRPr="00C4736C">
        <w:rPr>
          <w:rFonts w:cs="Times New Roman"/>
          <w:bCs/>
          <w:szCs w:val="24"/>
        </w:rPr>
        <w:t xml:space="preserve">EM </w:t>
      </w:r>
      <w:r w:rsidRPr="00C4736C">
        <w:rPr>
          <w:rFonts w:cs="Times New Roman"/>
          <w:bCs/>
          <w:szCs w:val="24"/>
        </w:rPr>
        <w:t>regulāri</w:t>
      </w:r>
      <w:r w:rsidR="00013433">
        <w:rPr>
          <w:rFonts w:cs="Times New Roman"/>
          <w:bCs/>
          <w:szCs w:val="24"/>
        </w:rPr>
        <w:t xml:space="preserve"> veica</w:t>
      </w:r>
      <w:r>
        <w:rPr>
          <w:bCs/>
          <w:szCs w:val="24"/>
        </w:rPr>
        <w:t xml:space="preserve"> Covid-19 pandēmijas </w:t>
      </w:r>
      <w:r w:rsidR="00013433">
        <w:rPr>
          <w:bCs/>
          <w:szCs w:val="24"/>
        </w:rPr>
        <w:t xml:space="preserve">ietekmes </w:t>
      </w:r>
      <w:r w:rsidR="00FD782E">
        <w:rPr>
          <w:bCs/>
          <w:szCs w:val="24"/>
        </w:rPr>
        <w:t xml:space="preserve">izvērtējumus </w:t>
      </w:r>
      <w:r>
        <w:rPr>
          <w:bCs/>
          <w:szCs w:val="24"/>
        </w:rPr>
        <w:t>uz Latvijas ekonomiku</w:t>
      </w:r>
      <w:r w:rsidR="007B48C8">
        <w:rPr>
          <w:bCs/>
          <w:szCs w:val="24"/>
        </w:rPr>
        <w:t>,</w:t>
      </w:r>
      <w:r>
        <w:rPr>
          <w:bCs/>
          <w:szCs w:val="24"/>
        </w:rPr>
        <w:t xml:space="preserve"> </w:t>
      </w:r>
      <w:r w:rsidR="007B48C8">
        <w:rPr>
          <w:bCs/>
          <w:szCs w:val="24"/>
        </w:rPr>
        <w:t xml:space="preserve">sniedzot </w:t>
      </w:r>
      <w:r>
        <w:rPr>
          <w:bCs/>
          <w:szCs w:val="24"/>
        </w:rPr>
        <w:t>informāciju MK un Saeima</w:t>
      </w:r>
      <w:r w:rsidR="00C4736C">
        <w:rPr>
          <w:bCs/>
          <w:szCs w:val="24"/>
        </w:rPr>
        <w:t xml:space="preserve">s komisijām, </w:t>
      </w:r>
      <w:r w:rsidR="00693733">
        <w:rPr>
          <w:bCs/>
          <w:szCs w:val="24"/>
        </w:rPr>
        <w:t>kā arī</w:t>
      </w:r>
      <w:r w:rsidR="00C4736C">
        <w:rPr>
          <w:bCs/>
          <w:szCs w:val="24"/>
        </w:rPr>
        <w:t xml:space="preserve"> </w:t>
      </w:r>
      <w:r w:rsidR="00C4736C" w:rsidRPr="00036BFB">
        <w:rPr>
          <w:bCs/>
        </w:rPr>
        <w:t>Covid-19 ierobežošanas stratēģiskās vadības grupai</w:t>
      </w:r>
      <w:r w:rsidR="00CD73AB">
        <w:rPr>
          <w:bCs/>
        </w:rPr>
        <w:t>.</w:t>
      </w:r>
      <w:r w:rsidR="00693733">
        <w:rPr>
          <w:bCs/>
        </w:rPr>
        <w:t xml:space="preserve"> </w:t>
      </w:r>
      <w:r w:rsidR="00693733">
        <w:rPr>
          <w:bCs/>
          <w:szCs w:val="24"/>
        </w:rPr>
        <w:t xml:space="preserve">Pārskata </w:t>
      </w:r>
      <w:r w:rsidR="00693733" w:rsidRPr="00BB186F">
        <w:rPr>
          <w:bCs/>
          <w:szCs w:val="24"/>
        </w:rPr>
        <w:t xml:space="preserve">periodā </w:t>
      </w:r>
      <w:hyperlink r:id="rId47" w:history="1">
        <w:r w:rsidR="00693733" w:rsidRPr="00E225E1">
          <w:rPr>
            <w:rStyle w:val="Hyperlink"/>
            <w:bCs/>
            <w:i/>
            <w:iCs/>
            <w:color w:val="00859B"/>
            <w:szCs w:val="24"/>
          </w:rPr>
          <w:t xml:space="preserve">Covid </w:t>
        </w:r>
        <w:r w:rsidR="00E225E1">
          <w:rPr>
            <w:rStyle w:val="Hyperlink"/>
            <w:bCs/>
            <w:i/>
            <w:iCs/>
            <w:color w:val="00859B"/>
            <w:szCs w:val="24"/>
          </w:rPr>
          <w:t>D</w:t>
        </w:r>
        <w:r w:rsidR="00E225E1" w:rsidRPr="00E225E1">
          <w:rPr>
            <w:rStyle w:val="Hyperlink"/>
            <w:bCs/>
            <w:i/>
            <w:iCs/>
            <w:color w:val="00859B"/>
            <w:szCs w:val="24"/>
          </w:rPr>
          <w:t xml:space="preserve">rošas </w:t>
        </w:r>
        <w:r w:rsidR="00693733" w:rsidRPr="00E225E1">
          <w:rPr>
            <w:rStyle w:val="Hyperlink"/>
            <w:bCs/>
            <w:i/>
            <w:iCs/>
            <w:color w:val="00859B"/>
            <w:szCs w:val="24"/>
          </w:rPr>
          <w:t xml:space="preserve">tirdzniecības </w:t>
        </w:r>
        <w:r w:rsidR="006C5B98" w:rsidRPr="00E225E1">
          <w:rPr>
            <w:rStyle w:val="Hyperlink"/>
            <w:bCs/>
            <w:i/>
            <w:iCs/>
            <w:color w:val="00859B"/>
            <w:szCs w:val="24"/>
          </w:rPr>
          <w:t xml:space="preserve">koncepta </w:t>
        </w:r>
        <w:r w:rsidR="00693733" w:rsidRPr="00E225E1">
          <w:rPr>
            <w:rStyle w:val="Hyperlink"/>
            <w:bCs/>
            <w:i/>
            <w:iCs/>
            <w:color w:val="00859B"/>
            <w:szCs w:val="24"/>
          </w:rPr>
          <w:t>un nosacījumu</w:t>
        </w:r>
      </w:hyperlink>
      <w:r w:rsidR="00693733">
        <w:rPr>
          <w:bCs/>
          <w:szCs w:val="24"/>
        </w:rPr>
        <w:t xml:space="preserve"> </w:t>
      </w:r>
      <w:r w:rsidR="00693733" w:rsidRPr="00BB186F">
        <w:rPr>
          <w:bCs/>
        </w:rPr>
        <w:t>izstrādei veikta mazumtirdzniecības nozares analīze, ierobežoto un klātienes tirdzniecības nozaru un uzņēmumu analīze, ietekmes izvērtējumi, mazumtirdzniecības uzņēmumu mikro datu analīze</w:t>
      </w:r>
      <w:r w:rsidR="00693733">
        <w:rPr>
          <w:bCs/>
        </w:rPr>
        <w:t>, ņemot vērā</w:t>
      </w:r>
      <w:r w:rsidR="00693733" w:rsidRPr="00BB186F">
        <w:rPr>
          <w:bCs/>
        </w:rPr>
        <w:t xml:space="preserve"> mazumtirdzniecības veid</w:t>
      </w:r>
      <w:r w:rsidR="00693733">
        <w:rPr>
          <w:bCs/>
        </w:rPr>
        <w:t>u</w:t>
      </w:r>
      <w:r w:rsidR="00693733" w:rsidRPr="00BB186F">
        <w:rPr>
          <w:bCs/>
        </w:rPr>
        <w:t>s, strādājošo skait</w:t>
      </w:r>
      <w:r w:rsidR="00693733">
        <w:rPr>
          <w:bCs/>
        </w:rPr>
        <w:t>u</w:t>
      </w:r>
      <w:r w:rsidR="00693733" w:rsidRPr="00BB186F">
        <w:rPr>
          <w:bCs/>
        </w:rPr>
        <w:t>, veikalu skait</w:t>
      </w:r>
      <w:r w:rsidR="00693733">
        <w:rPr>
          <w:bCs/>
        </w:rPr>
        <w:t xml:space="preserve">u un </w:t>
      </w:r>
      <w:r w:rsidR="00693733" w:rsidRPr="00BB186F">
        <w:rPr>
          <w:bCs/>
        </w:rPr>
        <w:t>ģeogrāfisk</w:t>
      </w:r>
      <w:r w:rsidR="00693733">
        <w:rPr>
          <w:bCs/>
        </w:rPr>
        <w:t>o</w:t>
      </w:r>
      <w:r w:rsidR="00693733" w:rsidRPr="00BB186F">
        <w:rPr>
          <w:bCs/>
        </w:rPr>
        <w:t xml:space="preserve"> </w:t>
      </w:r>
      <w:r w:rsidR="00693733">
        <w:rPr>
          <w:bCs/>
        </w:rPr>
        <w:t>izvietojumu</w:t>
      </w:r>
      <w:r w:rsidR="00693733" w:rsidRPr="00BB186F">
        <w:rPr>
          <w:bCs/>
        </w:rPr>
        <w:t>.</w:t>
      </w:r>
    </w:p>
    <w:p w14:paraId="5BF8443B" w14:textId="0D946E11" w:rsidR="002D4F2F" w:rsidRDefault="002371DB" w:rsidP="00941144">
      <w:pPr>
        <w:spacing w:before="60" w:after="60" w:line="240" w:lineRule="auto"/>
        <w:jc w:val="both"/>
        <w:rPr>
          <w:bCs/>
        </w:rPr>
      </w:pPr>
      <w:r>
        <w:rPr>
          <w:bCs/>
        </w:rPr>
        <w:t xml:space="preserve">Būtiski ir </w:t>
      </w:r>
      <w:r w:rsidRPr="00BB186F">
        <w:rPr>
          <w:bCs/>
        </w:rPr>
        <w:t xml:space="preserve">atzīmēt </w:t>
      </w:r>
      <w:hyperlink r:id="rId48" w:history="1">
        <w:r w:rsidR="00B40556" w:rsidRPr="00B40556">
          <w:rPr>
            <w:rStyle w:val="Hyperlink"/>
            <w:i/>
            <w:iCs/>
            <w:color w:val="00859B"/>
          </w:rPr>
          <w:t>Stratēģijai Latvijai Covid-19 krīzes radīto seku mazināšanai</w:t>
        </w:r>
      </w:hyperlink>
      <w:r w:rsidRPr="00BB186F">
        <w:rPr>
          <w:rStyle w:val="FootnoteReference"/>
          <w:bCs/>
        </w:rPr>
        <w:footnoteReference w:id="6"/>
      </w:r>
      <w:r w:rsidR="00414541">
        <w:rPr>
          <w:bCs/>
        </w:rPr>
        <w:t xml:space="preserve"> </w:t>
      </w:r>
      <w:r w:rsidRPr="00BB186F">
        <w:rPr>
          <w:bCs/>
        </w:rPr>
        <w:t xml:space="preserve">izstrādāto </w:t>
      </w:r>
      <w:r w:rsidR="00C4736C" w:rsidRPr="00BB186F">
        <w:rPr>
          <w:bCs/>
        </w:rPr>
        <w:t>makroekonomisk</w:t>
      </w:r>
      <w:r w:rsidRPr="00BB186F">
        <w:rPr>
          <w:bCs/>
        </w:rPr>
        <w:t>o</w:t>
      </w:r>
      <w:r w:rsidR="00C4736C" w:rsidRPr="00BB186F">
        <w:rPr>
          <w:bCs/>
        </w:rPr>
        <w:t xml:space="preserve"> ietvar</w:t>
      </w:r>
      <w:r w:rsidRPr="00BB186F">
        <w:rPr>
          <w:bCs/>
        </w:rPr>
        <w:t>u</w:t>
      </w:r>
      <w:r w:rsidR="00C4736C" w:rsidRPr="00BB186F">
        <w:rPr>
          <w:bCs/>
        </w:rPr>
        <w:t>, mērķu definēšan</w:t>
      </w:r>
      <w:r w:rsidRPr="00BB186F">
        <w:rPr>
          <w:bCs/>
        </w:rPr>
        <w:t>u</w:t>
      </w:r>
      <w:r w:rsidR="00C4736C" w:rsidRPr="00BB186F">
        <w:rPr>
          <w:bCs/>
        </w:rPr>
        <w:t xml:space="preserve"> un </w:t>
      </w:r>
      <w:r w:rsidRPr="00BB186F">
        <w:rPr>
          <w:bCs/>
        </w:rPr>
        <w:t>C</w:t>
      </w:r>
      <w:r w:rsidR="00C4736C" w:rsidRPr="00BB186F">
        <w:rPr>
          <w:bCs/>
        </w:rPr>
        <w:t>ovid-19 seku ietekmes novērtējum</w:t>
      </w:r>
      <w:r w:rsidRPr="00BB186F">
        <w:rPr>
          <w:bCs/>
        </w:rPr>
        <w:t>u</w:t>
      </w:r>
      <w:r w:rsidR="00C4736C" w:rsidRPr="00BB186F">
        <w:rPr>
          <w:bCs/>
        </w:rPr>
        <w:t xml:space="preserve"> uz Latvijas tautsaimniecību</w:t>
      </w:r>
      <w:r w:rsidR="00BB186F" w:rsidRPr="00BB186F">
        <w:rPr>
          <w:bCs/>
        </w:rPr>
        <w:t xml:space="preserve">, kā arī pārskata periodā </w:t>
      </w:r>
      <w:r w:rsidR="00264B1F">
        <w:rPr>
          <w:bCs/>
        </w:rPr>
        <w:t xml:space="preserve">veikto </w:t>
      </w:r>
      <w:r w:rsidR="00C4736C" w:rsidRPr="00BB186F">
        <w:rPr>
          <w:bCs/>
        </w:rPr>
        <w:t>situācijas monitoring</w:t>
      </w:r>
      <w:r w:rsidR="00BB186F">
        <w:rPr>
          <w:bCs/>
        </w:rPr>
        <w:t>u</w:t>
      </w:r>
      <w:r w:rsidR="00C4736C" w:rsidRPr="00BB186F">
        <w:rPr>
          <w:bCs/>
        </w:rPr>
        <w:t>, priekšlikum</w:t>
      </w:r>
      <w:r w:rsidR="00BB186F">
        <w:rPr>
          <w:bCs/>
        </w:rPr>
        <w:t>us</w:t>
      </w:r>
      <w:r w:rsidR="00C4736C" w:rsidRPr="00BB186F">
        <w:rPr>
          <w:bCs/>
        </w:rPr>
        <w:t xml:space="preserve"> Covid-19 </w:t>
      </w:r>
      <w:r w:rsidR="00264B1F">
        <w:rPr>
          <w:bCs/>
        </w:rPr>
        <w:t xml:space="preserve">skarto </w:t>
      </w:r>
      <w:r w:rsidR="00C4736C" w:rsidRPr="00BB186F">
        <w:rPr>
          <w:bCs/>
        </w:rPr>
        <w:t xml:space="preserve">uzņēmēju </w:t>
      </w:r>
      <w:r w:rsidR="00264B1F" w:rsidRPr="00BB186F">
        <w:rPr>
          <w:bCs/>
        </w:rPr>
        <w:t xml:space="preserve">valsts atbalsta instrumentu izstrādē </w:t>
      </w:r>
      <w:r w:rsidR="002D4F2F">
        <w:rPr>
          <w:bCs/>
        </w:rPr>
        <w:t xml:space="preserve">un </w:t>
      </w:r>
      <w:r w:rsidR="00C4736C" w:rsidRPr="00BB186F">
        <w:rPr>
          <w:bCs/>
        </w:rPr>
        <w:t xml:space="preserve">atbalsta programmu </w:t>
      </w:r>
      <w:r w:rsidR="002D4F2F">
        <w:rPr>
          <w:bCs/>
        </w:rPr>
        <w:t xml:space="preserve">(skat. </w:t>
      </w:r>
      <w:hyperlink r:id="rId49" w:tooltip="Covid programmas 16072021" w:history="1">
        <w:r w:rsidR="002D4F2F" w:rsidRPr="00A232E6">
          <w:rPr>
            <w:rStyle w:val="Hyperlink"/>
            <w:i/>
            <w:iCs/>
            <w:color w:val="00859B"/>
          </w:rPr>
          <w:t>Būtiskākās atbalsta programmas Covid-19 seku mazināšanai</w:t>
        </w:r>
      </w:hyperlink>
      <w:r w:rsidR="002D4F2F">
        <w:rPr>
          <w:bCs/>
        </w:rPr>
        <w:t xml:space="preserve">) </w:t>
      </w:r>
      <w:r w:rsidR="00C4736C" w:rsidRPr="00BB186F">
        <w:rPr>
          <w:bCs/>
        </w:rPr>
        <w:t>korekcijām</w:t>
      </w:r>
      <w:r w:rsidR="00BB186F" w:rsidRPr="00BB186F">
        <w:rPr>
          <w:bCs/>
        </w:rPr>
        <w:t>.</w:t>
      </w:r>
      <w:r w:rsidR="00002442">
        <w:rPr>
          <w:bCs/>
        </w:rPr>
        <w:t xml:space="preserve"> </w:t>
      </w:r>
    </w:p>
    <w:p w14:paraId="6C99FA7B" w14:textId="6B451368" w:rsidR="00303579" w:rsidRPr="00941144" w:rsidRDefault="002D4F2F" w:rsidP="00B40556">
      <w:pPr>
        <w:spacing w:before="60" w:after="60" w:line="240" w:lineRule="auto"/>
        <w:jc w:val="both"/>
        <w:rPr>
          <w:szCs w:val="24"/>
        </w:rPr>
      </w:pPr>
      <w:r>
        <w:rPr>
          <w:bCs/>
        </w:rPr>
        <w:t xml:space="preserve">Pārskata </w:t>
      </w:r>
      <w:r w:rsidR="00BB186F">
        <w:rPr>
          <w:bCs/>
        </w:rPr>
        <w:t xml:space="preserve">periodā </w:t>
      </w:r>
      <w:r w:rsidR="00002442">
        <w:rPr>
          <w:bCs/>
        </w:rPr>
        <w:t xml:space="preserve">tika </w:t>
      </w:r>
      <w:r w:rsidR="00BB186F">
        <w:rPr>
          <w:bCs/>
        </w:rPr>
        <w:t xml:space="preserve">izstrādātai un </w:t>
      </w:r>
      <w:r w:rsidR="00002442">
        <w:rPr>
          <w:bCs/>
        </w:rPr>
        <w:t>īstenoti</w:t>
      </w:r>
      <w:r w:rsidR="00BB186F">
        <w:rPr>
          <w:bCs/>
        </w:rPr>
        <w:t xml:space="preserve"> </w:t>
      </w:r>
      <w:r w:rsidR="00002442">
        <w:rPr>
          <w:bCs/>
        </w:rPr>
        <w:t xml:space="preserve">vairāki </w:t>
      </w:r>
      <w:r w:rsidR="00BB186F">
        <w:rPr>
          <w:bCs/>
        </w:rPr>
        <w:t xml:space="preserve">Covid-19 krīzes skarto sektoru tiešā atbalsta </w:t>
      </w:r>
      <w:r w:rsidR="00BB186F" w:rsidRPr="00E225E1">
        <w:rPr>
          <w:bCs/>
        </w:rPr>
        <w:t>instrument</w:t>
      </w:r>
      <w:r w:rsidR="00002442" w:rsidRPr="00E225E1">
        <w:rPr>
          <w:bCs/>
        </w:rPr>
        <w:t xml:space="preserve">i </w:t>
      </w:r>
      <w:r w:rsidR="00941144" w:rsidRPr="00E225E1">
        <w:rPr>
          <w:bCs/>
        </w:rPr>
        <w:t xml:space="preserve">(sk. </w:t>
      </w:r>
      <w:r w:rsidR="00D1403B" w:rsidRPr="00E225E1">
        <w:rPr>
          <w:bCs/>
        </w:rPr>
        <w:t>7</w:t>
      </w:r>
      <w:r w:rsidR="00941144" w:rsidRPr="00E225E1">
        <w:rPr>
          <w:bCs/>
        </w:rPr>
        <w:t>.attēl</w:t>
      </w:r>
      <w:r w:rsidR="006E1D30" w:rsidRPr="00E225E1">
        <w:rPr>
          <w:bCs/>
        </w:rPr>
        <w:t>ā apkopoto atbalsta programmu grafiku</w:t>
      </w:r>
      <w:r w:rsidR="00941144" w:rsidRPr="00E225E1">
        <w:rPr>
          <w:bCs/>
        </w:rPr>
        <w:t>)</w:t>
      </w:r>
      <w:r w:rsidR="00BB186F" w:rsidRPr="00E225E1">
        <w:rPr>
          <w:bCs/>
        </w:rPr>
        <w:t>.</w:t>
      </w:r>
      <w:bookmarkEnd w:id="19"/>
      <w:r>
        <w:rPr>
          <w:szCs w:val="24"/>
        </w:rPr>
        <w:t xml:space="preserve"> </w:t>
      </w:r>
      <w:r w:rsidR="00C4736C">
        <w:rPr>
          <w:szCs w:val="24"/>
        </w:rPr>
        <w:t xml:space="preserve">Pandēmijas ietekmi mazināja EM izstrādātie atbalsta pasākumi gan komersantiem, gan darba ņēmējiem. </w:t>
      </w:r>
      <w:r>
        <w:t>L</w:t>
      </w:r>
      <w:r w:rsidR="00303579" w:rsidRPr="22E7E7A7">
        <w:rPr>
          <w:rFonts w:eastAsia="Times New Roman"/>
          <w:color w:val="000000" w:themeColor="text1"/>
          <w:szCs w:val="24"/>
        </w:rPr>
        <w:t>ai mazinātu Covid-19 izplatības ietekmi uz uzņēmējiem, kuri sask</w:t>
      </w:r>
      <w:r w:rsidR="0053329E">
        <w:rPr>
          <w:rFonts w:eastAsia="Times New Roman"/>
          <w:color w:val="000000" w:themeColor="text1"/>
          <w:szCs w:val="24"/>
        </w:rPr>
        <w:t>ā</w:t>
      </w:r>
      <w:r w:rsidR="00303579" w:rsidRPr="22E7E7A7">
        <w:rPr>
          <w:rFonts w:eastAsia="Times New Roman"/>
          <w:color w:val="000000" w:themeColor="text1"/>
          <w:szCs w:val="24"/>
        </w:rPr>
        <w:t>r</w:t>
      </w:r>
      <w:r w:rsidR="0053329E">
        <w:rPr>
          <w:rFonts w:eastAsia="Times New Roman"/>
          <w:color w:val="000000" w:themeColor="text1"/>
          <w:szCs w:val="24"/>
        </w:rPr>
        <w:t>ā</w:t>
      </w:r>
      <w:r w:rsidR="00303579" w:rsidRPr="22E7E7A7">
        <w:rPr>
          <w:rFonts w:eastAsia="Times New Roman"/>
          <w:color w:val="000000" w:themeColor="text1"/>
          <w:szCs w:val="24"/>
        </w:rPr>
        <w:t>s ar likviditātes problēmām</w:t>
      </w:r>
      <w:r w:rsidR="0053329E">
        <w:rPr>
          <w:rFonts w:eastAsia="Times New Roman"/>
          <w:color w:val="000000" w:themeColor="text1"/>
          <w:szCs w:val="24"/>
        </w:rPr>
        <w:t>,</w:t>
      </w:r>
      <w:r w:rsidR="00303579" w:rsidRPr="22E7E7A7">
        <w:rPr>
          <w:rFonts w:eastAsia="Times New Roman"/>
          <w:color w:val="000000" w:themeColor="text1"/>
          <w:szCs w:val="24"/>
        </w:rPr>
        <w:t xml:space="preserve"> kā arī atbalstītu uzņēmumu pārveidi, pielāgojoties jaunajai situācijai, </w:t>
      </w:r>
      <w:r w:rsidR="00303579">
        <w:rPr>
          <w:rFonts w:eastAsia="Times New Roman"/>
          <w:color w:val="000000" w:themeColor="text1"/>
          <w:szCs w:val="24"/>
        </w:rPr>
        <w:t>EM</w:t>
      </w:r>
      <w:r w:rsidR="00303579" w:rsidRPr="22E7E7A7">
        <w:rPr>
          <w:rFonts w:eastAsia="Times New Roman"/>
          <w:color w:val="000000" w:themeColor="text1"/>
          <w:szCs w:val="24"/>
        </w:rPr>
        <w:t xml:space="preserve"> izstrādā</w:t>
      </w:r>
      <w:r w:rsidR="00303579">
        <w:rPr>
          <w:rFonts w:eastAsia="Times New Roman"/>
          <w:color w:val="000000" w:themeColor="text1"/>
          <w:szCs w:val="24"/>
        </w:rPr>
        <w:t>j</w:t>
      </w:r>
      <w:r w:rsidR="00303579" w:rsidRPr="22E7E7A7">
        <w:rPr>
          <w:rFonts w:eastAsia="Times New Roman"/>
          <w:color w:val="000000" w:themeColor="text1"/>
          <w:szCs w:val="24"/>
        </w:rPr>
        <w:t xml:space="preserve">a vairākas atbalsta programmas, kuru rezultāti parāda nozīmīgu ieguldījumu </w:t>
      </w:r>
      <w:r w:rsidR="001A0AD3">
        <w:rPr>
          <w:rFonts w:eastAsia="Times New Roman"/>
          <w:color w:val="000000" w:themeColor="text1"/>
          <w:szCs w:val="24"/>
        </w:rPr>
        <w:t xml:space="preserve">Latvijas </w:t>
      </w:r>
      <w:r w:rsidR="00303579" w:rsidRPr="22E7E7A7">
        <w:rPr>
          <w:rFonts w:eastAsia="Times New Roman"/>
          <w:color w:val="000000" w:themeColor="text1"/>
          <w:szCs w:val="24"/>
        </w:rPr>
        <w:t xml:space="preserve">tautsaimniecībā Covid-19 </w:t>
      </w:r>
      <w:r w:rsidR="001A0AD3">
        <w:rPr>
          <w:rFonts w:eastAsia="Times New Roman"/>
          <w:color w:val="000000" w:themeColor="text1"/>
          <w:szCs w:val="24"/>
        </w:rPr>
        <w:t xml:space="preserve">radīto </w:t>
      </w:r>
      <w:r w:rsidR="00303579" w:rsidRPr="22E7E7A7">
        <w:rPr>
          <w:rFonts w:eastAsia="Times New Roman"/>
          <w:color w:val="000000" w:themeColor="text1"/>
          <w:szCs w:val="24"/>
        </w:rPr>
        <w:t>seku mazināšanai</w:t>
      </w:r>
      <w:r w:rsidR="00303579">
        <w:rPr>
          <w:rFonts w:eastAsia="Times New Roman"/>
          <w:color w:val="000000" w:themeColor="text1"/>
          <w:szCs w:val="24"/>
        </w:rPr>
        <w:t>. 2020.</w:t>
      </w:r>
      <w:r w:rsidR="00173B3B">
        <w:rPr>
          <w:rFonts w:eastAsia="Times New Roman"/>
          <w:color w:val="000000" w:themeColor="text1"/>
          <w:szCs w:val="24"/>
        </w:rPr>
        <w:t> </w:t>
      </w:r>
      <w:r w:rsidR="00303579">
        <w:rPr>
          <w:rFonts w:eastAsia="Times New Roman"/>
          <w:color w:val="000000" w:themeColor="text1"/>
          <w:szCs w:val="24"/>
        </w:rPr>
        <w:t>gadā tika nodrošināti:</w:t>
      </w:r>
    </w:p>
    <w:p w14:paraId="6A2B2A41" w14:textId="0D666432" w:rsidR="00303579" w:rsidRPr="00303579" w:rsidRDefault="00303579" w:rsidP="00BE6C4B">
      <w:pPr>
        <w:pStyle w:val="ListParagraph"/>
        <w:numPr>
          <w:ilvl w:val="0"/>
          <w:numId w:val="24"/>
        </w:numPr>
        <w:spacing w:before="60" w:after="60"/>
        <w:ind w:left="714" w:hanging="357"/>
        <w:contextualSpacing w:val="0"/>
        <w:jc w:val="both"/>
        <w:rPr>
          <w:rFonts w:eastAsiaTheme="minorEastAsia"/>
          <w:color w:val="000000" w:themeColor="text1"/>
        </w:rPr>
      </w:pPr>
      <w:r w:rsidRPr="00303579">
        <w:rPr>
          <w:b/>
          <w:bCs/>
          <w:color w:val="00859B"/>
        </w:rPr>
        <w:t>apgrozāmo līdzekļu aizdevumi</w:t>
      </w:r>
      <w:r w:rsidR="004E2D15">
        <w:rPr>
          <w:b/>
          <w:bCs/>
          <w:color w:val="00859B"/>
        </w:rPr>
        <w:t xml:space="preserve"> </w:t>
      </w:r>
      <w:r w:rsidRPr="004E2D15">
        <w:rPr>
          <w:b/>
          <w:bCs/>
          <w:color w:val="00859B"/>
        </w:rPr>
        <w:t>Covid-19 skartajiem uzņēmumiem</w:t>
      </w:r>
      <w:r w:rsidRPr="22E7E7A7">
        <w:rPr>
          <w:color w:val="000000" w:themeColor="text1"/>
        </w:rPr>
        <w:t>. Programma</w:t>
      </w:r>
      <w:r w:rsidR="00B40556">
        <w:rPr>
          <w:rStyle w:val="FootnoteReference"/>
          <w:color w:val="000000" w:themeColor="text1"/>
        </w:rPr>
        <w:footnoteReference w:id="7"/>
      </w:r>
      <w:r w:rsidRPr="22E7E7A7">
        <w:rPr>
          <w:color w:val="000000" w:themeColor="text1"/>
        </w:rPr>
        <w:t xml:space="preserve"> tiek īstenota no 2020.</w:t>
      </w:r>
      <w:r>
        <w:rPr>
          <w:color w:val="000000" w:themeColor="text1"/>
        </w:rPr>
        <w:t> </w:t>
      </w:r>
      <w:r w:rsidRPr="22E7E7A7">
        <w:rPr>
          <w:color w:val="000000" w:themeColor="text1"/>
        </w:rPr>
        <w:t>gada 25.</w:t>
      </w:r>
      <w:r>
        <w:rPr>
          <w:color w:val="000000" w:themeColor="text1"/>
        </w:rPr>
        <w:t> </w:t>
      </w:r>
      <w:r w:rsidRPr="22E7E7A7">
        <w:rPr>
          <w:color w:val="000000" w:themeColor="text1"/>
        </w:rPr>
        <w:t xml:space="preserve">marta </w:t>
      </w:r>
      <w:r>
        <w:rPr>
          <w:color w:val="000000" w:themeColor="text1"/>
        </w:rPr>
        <w:t xml:space="preserve">un </w:t>
      </w:r>
      <w:r w:rsidRPr="22E7E7A7">
        <w:rPr>
          <w:color w:val="000000" w:themeColor="text1"/>
        </w:rPr>
        <w:t>tās īstenošanai ir paredzēts valsts budžeta finansējums 60</w:t>
      </w:r>
      <w:r>
        <w:rPr>
          <w:color w:val="000000" w:themeColor="text1"/>
        </w:rPr>
        <w:t> </w:t>
      </w:r>
      <w:r w:rsidRPr="22E7E7A7">
        <w:rPr>
          <w:color w:val="000000" w:themeColor="text1"/>
        </w:rPr>
        <w:t>milj.</w:t>
      </w:r>
      <w:r>
        <w:rPr>
          <w:color w:val="000000" w:themeColor="text1"/>
        </w:rPr>
        <w:t> </w:t>
      </w:r>
      <w:r w:rsidRPr="00303579">
        <w:rPr>
          <w:i/>
          <w:iCs/>
          <w:color w:val="000000" w:themeColor="text1"/>
        </w:rPr>
        <w:t>euro</w:t>
      </w:r>
      <w:r w:rsidRPr="22E7E7A7">
        <w:rPr>
          <w:color w:val="000000" w:themeColor="text1"/>
        </w:rPr>
        <w:t xml:space="preserve"> apmērā</w:t>
      </w:r>
      <w:r>
        <w:rPr>
          <w:color w:val="000000" w:themeColor="text1"/>
        </w:rPr>
        <w:t>,</w:t>
      </w:r>
      <w:r w:rsidRPr="22E7E7A7">
        <w:rPr>
          <w:color w:val="000000" w:themeColor="text1"/>
        </w:rPr>
        <w:t xml:space="preserve"> kā arī ALTUM līdzfinansējums 150 milj. </w:t>
      </w:r>
      <w:r w:rsidRPr="00303579">
        <w:rPr>
          <w:i/>
          <w:iCs/>
          <w:color w:val="000000" w:themeColor="text1"/>
        </w:rPr>
        <w:t>euro</w:t>
      </w:r>
      <w:r w:rsidR="004E2D15">
        <w:rPr>
          <w:i/>
          <w:iCs/>
          <w:color w:val="000000" w:themeColor="text1"/>
        </w:rPr>
        <w:t xml:space="preserve"> </w:t>
      </w:r>
      <w:r w:rsidRPr="22E7E7A7">
        <w:rPr>
          <w:color w:val="000000" w:themeColor="text1"/>
        </w:rPr>
        <w:t>apmērā</w:t>
      </w:r>
      <w:r w:rsidR="002F18A2">
        <w:rPr>
          <w:color w:val="000000" w:themeColor="text1"/>
        </w:rPr>
        <w:t>. K</w:t>
      </w:r>
      <w:r>
        <w:rPr>
          <w:color w:val="000000" w:themeColor="text1"/>
        </w:rPr>
        <w:t xml:space="preserve">opā </w:t>
      </w:r>
      <w:r w:rsidRPr="00303579">
        <w:rPr>
          <w:color w:val="000000" w:themeColor="text1"/>
        </w:rPr>
        <w:t>2020.gad</w:t>
      </w:r>
      <w:r w:rsidR="001A0AD3">
        <w:rPr>
          <w:color w:val="000000" w:themeColor="text1"/>
        </w:rPr>
        <w:t>a laik</w:t>
      </w:r>
      <w:r w:rsidRPr="00303579">
        <w:rPr>
          <w:color w:val="000000" w:themeColor="text1"/>
        </w:rPr>
        <w:t xml:space="preserve">ā izsniegti 527 aizdevumi 93 milj. </w:t>
      </w:r>
      <w:r w:rsidRPr="00303579">
        <w:rPr>
          <w:i/>
          <w:iCs/>
          <w:color w:val="000000" w:themeColor="text1"/>
        </w:rPr>
        <w:t>euro</w:t>
      </w:r>
      <w:r w:rsidR="002F18A2">
        <w:rPr>
          <w:i/>
          <w:iCs/>
          <w:color w:val="000000" w:themeColor="text1"/>
        </w:rPr>
        <w:t xml:space="preserve"> </w:t>
      </w:r>
      <w:r w:rsidRPr="00303579">
        <w:rPr>
          <w:color w:val="000000" w:themeColor="text1"/>
        </w:rPr>
        <w:t>apmērā</w:t>
      </w:r>
      <w:r>
        <w:rPr>
          <w:color w:val="000000" w:themeColor="text1"/>
        </w:rPr>
        <w:t>;</w:t>
      </w:r>
    </w:p>
    <w:p w14:paraId="1500FD45" w14:textId="201828CF" w:rsidR="00303579" w:rsidRPr="001A0AD3" w:rsidRDefault="00303579" w:rsidP="00BE6C4B">
      <w:pPr>
        <w:pStyle w:val="ListParagraph"/>
        <w:numPr>
          <w:ilvl w:val="0"/>
          <w:numId w:val="24"/>
        </w:numPr>
        <w:spacing w:before="60" w:after="60"/>
        <w:ind w:left="714" w:hanging="357"/>
        <w:contextualSpacing w:val="0"/>
        <w:jc w:val="both"/>
        <w:rPr>
          <w:rFonts w:eastAsiaTheme="minorEastAsia"/>
          <w:color w:val="000000" w:themeColor="text1"/>
        </w:rPr>
      </w:pPr>
      <w:r w:rsidRPr="00303579">
        <w:rPr>
          <w:b/>
          <w:bCs/>
          <w:color w:val="00859B"/>
        </w:rPr>
        <w:t>kredītu garantijas un portfeļgarantijas</w:t>
      </w:r>
      <w:r w:rsidR="004E2D15">
        <w:rPr>
          <w:b/>
          <w:bCs/>
          <w:color w:val="00859B"/>
        </w:rPr>
        <w:t xml:space="preserve"> </w:t>
      </w:r>
      <w:r w:rsidRPr="004E2D15">
        <w:rPr>
          <w:b/>
          <w:bCs/>
          <w:color w:val="00859B"/>
        </w:rPr>
        <w:t>uzņēmumiem</w:t>
      </w:r>
      <w:r w:rsidRPr="22E7E7A7">
        <w:rPr>
          <w:color w:val="000000" w:themeColor="text1"/>
        </w:rPr>
        <w:t xml:space="preserve">, kuriem Covid-19 izplatības dēļ radušās objektīvas grūtības veikt aizdevumu maksājumus bankās, </w:t>
      </w:r>
      <w:r w:rsidR="001A0AD3">
        <w:rPr>
          <w:color w:val="000000" w:themeColor="text1"/>
        </w:rPr>
        <w:t xml:space="preserve">tika nodrošinātas </w:t>
      </w:r>
      <w:r w:rsidRPr="22E7E7A7">
        <w:rPr>
          <w:color w:val="000000" w:themeColor="text1"/>
        </w:rPr>
        <w:t>pieejamas garantija</w:t>
      </w:r>
      <w:r w:rsidR="001A0AD3">
        <w:rPr>
          <w:color w:val="000000" w:themeColor="text1"/>
        </w:rPr>
        <w:t>s</w:t>
      </w:r>
      <w:r w:rsidRPr="22E7E7A7">
        <w:rPr>
          <w:color w:val="000000" w:themeColor="text1"/>
        </w:rPr>
        <w:t>, kas ļauj komercbankai atlikt pamatsummas maksājumus. Programma</w:t>
      </w:r>
      <w:r w:rsidR="003E5DAC">
        <w:rPr>
          <w:rStyle w:val="FootnoteReference"/>
          <w:color w:val="000000" w:themeColor="text1"/>
        </w:rPr>
        <w:footnoteReference w:id="8"/>
      </w:r>
      <w:r w:rsidRPr="22E7E7A7">
        <w:rPr>
          <w:color w:val="000000" w:themeColor="text1"/>
        </w:rPr>
        <w:t xml:space="preserve"> tiek īstenota </w:t>
      </w:r>
      <w:r w:rsidRPr="22E7E7A7">
        <w:rPr>
          <w:color w:val="000000" w:themeColor="text1"/>
        </w:rPr>
        <w:lastRenderedPageBreak/>
        <w:t>kopš 2020.</w:t>
      </w:r>
      <w:r w:rsidR="001A0AD3">
        <w:rPr>
          <w:color w:val="000000" w:themeColor="text1"/>
        </w:rPr>
        <w:t> </w:t>
      </w:r>
      <w:r w:rsidRPr="22E7E7A7">
        <w:rPr>
          <w:color w:val="000000" w:themeColor="text1"/>
        </w:rPr>
        <w:t>gada 25.</w:t>
      </w:r>
      <w:r w:rsidR="001A0AD3">
        <w:rPr>
          <w:color w:val="000000" w:themeColor="text1"/>
        </w:rPr>
        <w:t> </w:t>
      </w:r>
      <w:r w:rsidRPr="22E7E7A7">
        <w:rPr>
          <w:color w:val="000000" w:themeColor="text1"/>
        </w:rPr>
        <w:t>marta un tai paredzēts valsts budžeta finansējums 47</w:t>
      </w:r>
      <w:r w:rsidR="001A0AD3">
        <w:rPr>
          <w:color w:val="000000" w:themeColor="text1"/>
        </w:rPr>
        <w:t>,</w:t>
      </w:r>
      <w:r w:rsidRPr="22E7E7A7">
        <w:rPr>
          <w:color w:val="000000" w:themeColor="text1"/>
        </w:rPr>
        <w:t xml:space="preserve">5 milj. </w:t>
      </w:r>
      <w:r w:rsidRPr="001A0AD3">
        <w:rPr>
          <w:i/>
          <w:iCs/>
          <w:color w:val="000000" w:themeColor="text1"/>
        </w:rPr>
        <w:t>euro</w:t>
      </w:r>
      <w:r w:rsidR="002F18A2">
        <w:rPr>
          <w:i/>
          <w:iCs/>
          <w:color w:val="000000" w:themeColor="text1"/>
        </w:rPr>
        <w:t xml:space="preserve"> </w:t>
      </w:r>
      <w:r w:rsidR="001A0AD3" w:rsidRPr="00303579">
        <w:rPr>
          <w:color w:val="000000" w:themeColor="text1"/>
        </w:rPr>
        <w:t>apmērā</w:t>
      </w:r>
      <w:r w:rsidR="002F18A2">
        <w:rPr>
          <w:color w:val="000000" w:themeColor="text1"/>
        </w:rPr>
        <w:t>. K</w:t>
      </w:r>
      <w:r w:rsidR="001A0AD3">
        <w:rPr>
          <w:color w:val="000000" w:themeColor="text1"/>
        </w:rPr>
        <w:t>opā</w:t>
      </w:r>
      <w:r w:rsidR="002F18A2">
        <w:rPr>
          <w:color w:val="000000" w:themeColor="text1"/>
        </w:rPr>
        <w:t xml:space="preserve"> </w:t>
      </w:r>
      <w:r w:rsidRPr="001A0AD3">
        <w:rPr>
          <w:color w:val="000000" w:themeColor="text1"/>
        </w:rPr>
        <w:t>2020.</w:t>
      </w:r>
      <w:r w:rsidR="001A0AD3">
        <w:rPr>
          <w:color w:val="000000" w:themeColor="text1"/>
        </w:rPr>
        <w:t> </w:t>
      </w:r>
      <w:r w:rsidRPr="001A0AD3">
        <w:rPr>
          <w:color w:val="000000" w:themeColor="text1"/>
        </w:rPr>
        <w:t>gad</w:t>
      </w:r>
      <w:r w:rsidR="001A0AD3">
        <w:rPr>
          <w:color w:val="000000" w:themeColor="text1"/>
        </w:rPr>
        <w:t>a laik</w:t>
      </w:r>
      <w:r w:rsidRPr="001A0AD3">
        <w:rPr>
          <w:color w:val="000000" w:themeColor="text1"/>
        </w:rPr>
        <w:t>ā izsniegtas 230 garantijas par summu 34</w:t>
      </w:r>
      <w:r w:rsidR="001A0AD3">
        <w:rPr>
          <w:color w:val="000000" w:themeColor="text1"/>
        </w:rPr>
        <w:t>,</w:t>
      </w:r>
      <w:r w:rsidRPr="001A0AD3">
        <w:rPr>
          <w:color w:val="000000" w:themeColor="text1"/>
        </w:rPr>
        <w:t xml:space="preserve">8 milj. </w:t>
      </w:r>
      <w:r w:rsidRPr="001A0AD3">
        <w:rPr>
          <w:i/>
          <w:iCs/>
          <w:color w:val="000000" w:themeColor="text1"/>
        </w:rPr>
        <w:t>euro</w:t>
      </w:r>
      <w:r w:rsidR="002F18A2">
        <w:rPr>
          <w:i/>
          <w:iCs/>
          <w:color w:val="000000" w:themeColor="text1"/>
        </w:rPr>
        <w:t xml:space="preserve"> </w:t>
      </w:r>
      <w:r w:rsidR="001A0AD3" w:rsidRPr="00303579">
        <w:rPr>
          <w:color w:val="000000" w:themeColor="text1"/>
        </w:rPr>
        <w:t>apmērā</w:t>
      </w:r>
      <w:r w:rsidR="001A0AD3">
        <w:rPr>
          <w:color w:val="000000" w:themeColor="text1"/>
        </w:rPr>
        <w:t>,</w:t>
      </w:r>
      <w:r w:rsidR="002F18A2">
        <w:rPr>
          <w:color w:val="000000" w:themeColor="text1"/>
        </w:rPr>
        <w:t xml:space="preserve"> </w:t>
      </w:r>
      <w:r w:rsidRPr="001A0AD3">
        <w:rPr>
          <w:color w:val="000000" w:themeColor="text1"/>
        </w:rPr>
        <w:t xml:space="preserve">garantējot aizdevumus 95 milj. </w:t>
      </w:r>
      <w:r w:rsidR="001A0AD3" w:rsidRPr="001A0AD3">
        <w:rPr>
          <w:i/>
          <w:iCs/>
          <w:color w:val="000000" w:themeColor="text1"/>
        </w:rPr>
        <w:t>e</w:t>
      </w:r>
      <w:r w:rsidRPr="001A0AD3">
        <w:rPr>
          <w:i/>
          <w:iCs/>
          <w:color w:val="000000" w:themeColor="text1"/>
        </w:rPr>
        <w:t>uro</w:t>
      </w:r>
      <w:r w:rsidRPr="001A0AD3">
        <w:rPr>
          <w:color w:val="000000" w:themeColor="text1"/>
        </w:rPr>
        <w:t xml:space="preserve"> apmērā</w:t>
      </w:r>
      <w:r w:rsidR="002C6C35">
        <w:rPr>
          <w:color w:val="000000" w:themeColor="text1"/>
        </w:rPr>
        <w:t>;</w:t>
      </w:r>
    </w:p>
    <w:p w14:paraId="62010AFE" w14:textId="7EE9D06C" w:rsidR="00303579" w:rsidRPr="001A0AD3" w:rsidRDefault="00303579" w:rsidP="00BE6C4B">
      <w:pPr>
        <w:pStyle w:val="ListParagraph"/>
        <w:numPr>
          <w:ilvl w:val="0"/>
          <w:numId w:val="24"/>
        </w:numPr>
        <w:spacing w:before="60" w:after="60"/>
        <w:ind w:left="714" w:hanging="357"/>
        <w:contextualSpacing w:val="0"/>
        <w:jc w:val="both"/>
        <w:rPr>
          <w:rFonts w:eastAsiaTheme="minorEastAsia"/>
          <w:color w:val="000000" w:themeColor="text1"/>
        </w:rPr>
      </w:pPr>
      <w:r w:rsidRPr="001A0AD3">
        <w:rPr>
          <w:b/>
          <w:bCs/>
          <w:color w:val="00859B"/>
        </w:rPr>
        <w:t>kapitāla ieguldījumi komersantos</w:t>
      </w:r>
      <w:r w:rsidRPr="22E7E7A7">
        <w:rPr>
          <w:color w:val="000000" w:themeColor="text1"/>
        </w:rPr>
        <w:t xml:space="preserve">, kuru darbību ietekmējusi Covid-19 izplatība, </w:t>
      </w:r>
      <w:r w:rsidR="001A0AD3">
        <w:rPr>
          <w:color w:val="000000" w:themeColor="text1"/>
        </w:rPr>
        <w:t>to</w:t>
      </w:r>
      <w:r w:rsidRPr="22E7E7A7">
        <w:rPr>
          <w:color w:val="000000" w:themeColor="text1"/>
        </w:rPr>
        <w:t xml:space="preserve"> īstenošanai </w:t>
      </w:r>
      <w:r w:rsidR="002C6C35">
        <w:rPr>
          <w:color w:val="000000" w:themeColor="text1"/>
        </w:rPr>
        <w:t>programmas</w:t>
      </w:r>
      <w:r w:rsidR="002C6C35">
        <w:rPr>
          <w:rStyle w:val="FootnoteReference"/>
          <w:color w:val="000000" w:themeColor="text1"/>
        </w:rPr>
        <w:footnoteReference w:id="9"/>
      </w:r>
      <w:r w:rsidR="002C6C35">
        <w:rPr>
          <w:color w:val="000000" w:themeColor="text1"/>
        </w:rPr>
        <w:t xml:space="preserve"> ietvaros </w:t>
      </w:r>
      <w:r w:rsidRPr="22E7E7A7">
        <w:rPr>
          <w:color w:val="000000" w:themeColor="text1"/>
        </w:rPr>
        <w:t>paredzēt</w:t>
      </w:r>
      <w:r w:rsidR="001A0AD3">
        <w:rPr>
          <w:color w:val="000000" w:themeColor="text1"/>
        </w:rPr>
        <w:t>s</w:t>
      </w:r>
      <w:r w:rsidRPr="22E7E7A7">
        <w:rPr>
          <w:color w:val="000000" w:themeColor="text1"/>
        </w:rPr>
        <w:t xml:space="preserve"> 50 milj. </w:t>
      </w:r>
      <w:r w:rsidRPr="001A0AD3">
        <w:rPr>
          <w:i/>
          <w:iCs/>
          <w:color w:val="000000" w:themeColor="text1"/>
        </w:rPr>
        <w:t>euro</w:t>
      </w:r>
      <w:r w:rsidRPr="22E7E7A7">
        <w:rPr>
          <w:color w:val="000000" w:themeColor="text1"/>
        </w:rPr>
        <w:t xml:space="preserve"> valsts budžeta finansējums</w:t>
      </w:r>
      <w:r w:rsidR="00264B1F">
        <w:rPr>
          <w:color w:val="000000" w:themeColor="text1"/>
        </w:rPr>
        <w:t xml:space="preserve">. Kopā </w:t>
      </w:r>
      <w:r w:rsidR="00264B1F" w:rsidRPr="001A0AD3">
        <w:rPr>
          <w:color w:val="000000" w:themeColor="text1"/>
        </w:rPr>
        <w:t>2020.</w:t>
      </w:r>
      <w:r w:rsidR="00264B1F">
        <w:rPr>
          <w:color w:val="000000" w:themeColor="text1"/>
        </w:rPr>
        <w:t> </w:t>
      </w:r>
      <w:r w:rsidR="00264B1F" w:rsidRPr="001A0AD3">
        <w:rPr>
          <w:color w:val="000000" w:themeColor="text1"/>
        </w:rPr>
        <w:t>gad</w:t>
      </w:r>
      <w:r w:rsidR="00264B1F">
        <w:rPr>
          <w:color w:val="000000" w:themeColor="text1"/>
        </w:rPr>
        <w:t>a laik</w:t>
      </w:r>
      <w:r w:rsidR="00264B1F" w:rsidRPr="001A0AD3">
        <w:rPr>
          <w:color w:val="000000" w:themeColor="text1"/>
        </w:rPr>
        <w:t xml:space="preserve">ā </w:t>
      </w:r>
      <w:r w:rsidR="00264B1F">
        <w:rPr>
          <w:color w:val="000000" w:themeColor="text1"/>
        </w:rPr>
        <w:t>noslēgti 3 darījumi</w:t>
      </w:r>
      <w:r w:rsidR="00264B1F" w:rsidRPr="001A0AD3">
        <w:rPr>
          <w:color w:val="000000" w:themeColor="text1"/>
        </w:rPr>
        <w:t xml:space="preserve"> par summu </w:t>
      </w:r>
      <w:r w:rsidR="00264B1F">
        <w:rPr>
          <w:color w:val="000000" w:themeColor="text1"/>
        </w:rPr>
        <w:t>1</w:t>
      </w:r>
      <w:r w:rsidR="00264B1F" w:rsidRPr="001A0AD3">
        <w:rPr>
          <w:color w:val="000000" w:themeColor="text1"/>
        </w:rPr>
        <w:t>4</w:t>
      </w:r>
      <w:r w:rsidR="00264B1F">
        <w:rPr>
          <w:color w:val="000000" w:themeColor="text1"/>
        </w:rPr>
        <w:t>,9</w:t>
      </w:r>
      <w:r w:rsidR="00264B1F" w:rsidRPr="001A0AD3">
        <w:rPr>
          <w:color w:val="000000" w:themeColor="text1"/>
        </w:rPr>
        <w:t xml:space="preserve"> milj. </w:t>
      </w:r>
      <w:r w:rsidR="00264B1F" w:rsidRPr="001A0AD3">
        <w:rPr>
          <w:i/>
          <w:iCs/>
          <w:color w:val="000000" w:themeColor="text1"/>
        </w:rPr>
        <w:t>euro</w:t>
      </w:r>
      <w:r w:rsidR="00264B1F">
        <w:rPr>
          <w:i/>
          <w:iCs/>
          <w:color w:val="000000" w:themeColor="text1"/>
        </w:rPr>
        <w:t xml:space="preserve"> </w:t>
      </w:r>
      <w:r w:rsidR="00264B1F" w:rsidRPr="00303579">
        <w:rPr>
          <w:color w:val="000000" w:themeColor="text1"/>
        </w:rPr>
        <w:t>apmērā</w:t>
      </w:r>
      <w:r w:rsidRPr="22E7E7A7">
        <w:rPr>
          <w:color w:val="000000" w:themeColor="text1"/>
        </w:rPr>
        <w:t>;</w:t>
      </w:r>
      <w:r w:rsidR="002F18A2">
        <w:rPr>
          <w:color w:val="000000" w:themeColor="text1"/>
        </w:rPr>
        <w:t xml:space="preserve"> </w:t>
      </w:r>
    </w:p>
    <w:p w14:paraId="5D0FA4B0" w14:textId="19E7C5BA" w:rsidR="00303579" w:rsidRPr="00173B3B" w:rsidRDefault="00303579" w:rsidP="00BE6C4B">
      <w:pPr>
        <w:pStyle w:val="ListParagraph"/>
        <w:numPr>
          <w:ilvl w:val="0"/>
          <w:numId w:val="24"/>
        </w:numPr>
        <w:spacing w:before="60" w:after="60"/>
        <w:ind w:left="714" w:hanging="357"/>
        <w:contextualSpacing w:val="0"/>
        <w:jc w:val="both"/>
        <w:rPr>
          <w:rFonts w:eastAsiaTheme="minorEastAsia"/>
          <w:color w:val="000000" w:themeColor="text1"/>
        </w:rPr>
      </w:pPr>
      <w:r w:rsidRPr="001A0AD3">
        <w:rPr>
          <w:b/>
          <w:bCs/>
          <w:color w:val="00859B"/>
        </w:rPr>
        <w:t>dīkstāves pabalsts</w:t>
      </w:r>
      <w:r w:rsidR="004E2D15">
        <w:rPr>
          <w:b/>
          <w:bCs/>
          <w:color w:val="00859B"/>
        </w:rPr>
        <w:t xml:space="preserve"> </w:t>
      </w:r>
      <w:r w:rsidR="001A0AD3" w:rsidRPr="004E2D15">
        <w:rPr>
          <w:b/>
          <w:bCs/>
          <w:color w:val="00859B"/>
        </w:rPr>
        <w:t>Covid-19 izraisītās</w:t>
      </w:r>
      <w:r w:rsidRPr="004E2D15">
        <w:rPr>
          <w:b/>
          <w:bCs/>
          <w:color w:val="00859B"/>
        </w:rPr>
        <w:t xml:space="preserve"> krīzes skartajiem darba devējiem</w:t>
      </w:r>
      <w:r w:rsidRPr="00A669E4">
        <w:t xml:space="preserve"> to darbinieku algu kompensēšanai</w:t>
      </w:r>
      <w:r w:rsidR="001A0AD3" w:rsidRPr="00A669E4">
        <w:t>,</w:t>
      </w:r>
      <w:r w:rsidR="004E2D15">
        <w:t xml:space="preserve"> </w:t>
      </w:r>
      <w:r w:rsidR="001A0AD3" w:rsidRPr="00A669E4">
        <w:t xml:space="preserve">atbalstu nodrošinot </w:t>
      </w:r>
      <w:r w:rsidRPr="00A669E4">
        <w:t xml:space="preserve">laika posmā no </w:t>
      </w:r>
      <w:r w:rsidR="001A0AD3" w:rsidRPr="00A669E4">
        <w:t xml:space="preserve">2020. gada </w:t>
      </w:r>
      <w:r w:rsidRPr="00A669E4">
        <w:t>14.</w:t>
      </w:r>
      <w:r w:rsidR="001A0AD3" w:rsidRPr="00A669E4">
        <w:t> marta</w:t>
      </w:r>
      <w:r w:rsidRPr="00A669E4">
        <w:t xml:space="preserve"> līdz 30.</w:t>
      </w:r>
      <w:r w:rsidR="001A0AD3" w:rsidRPr="00A669E4">
        <w:t>jūnijam</w:t>
      </w:r>
      <w:r w:rsidRPr="00A669E4">
        <w:t xml:space="preserve">. </w:t>
      </w:r>
      <w:r w:rsidR="0069732D" w:rsidRPr="00A669E4">
        <w:t>Programmu administrējošais VID</w:t>
      </w:r>
      <w:r w:rsidRPr="00A669E4">
        <w:t xml:space="preserve"> atbalstā izmaksāj</w:t>
      </w:r>
      <w:r w:rsidR="0053329E" w:rsidRPr="00A669E4">
        <w:t>a</w:t>
      </w:r>
      <w:r w:rsidRPr="00A669E4">
        <w:t xml:space="preserve"> 53,8</w:t>
      </w:r>
      <w:r w:rsidR="00FC4725">
        <w:t> </w:t>
      </w:r>
      <w:r w:rsidRPr="00A669E4">
        <w:t>milj.</w:t>
      </w:r>
      <w:r w:rsidR="00FC4725">
        <w:t> </w:t>
      </w:r>
      <w:r w:rsidRPr="00A669E4">
        <w:rPr>
          <w:i/>
          <w:iCs/>
        </w:rPr>
        <w:t>euro</w:t>
      </w:r>
      <w:r w:rsidRPr="00A669E4">
        <w:t xml:space="preserve">. </w:t>
      </w:r>
    </w:p>
    <w:p w14:paraId="2AB22299" w14:textId="77777777" w:rsidR="00E225E1" w:rsidRDefault="00E225E1" w:rsidP="00173B3B">
      <w:pPr>
        <w:spacing w:before="60" w:after="60"/>
        <w:jc w:val="both"/>
        <w:rPr>
          <w:rFonts w:eastAsiaTheme="minorEastAsia"/>
          <w:color w:val="000000" w:themeColor="text1"/>
          <w:sz w:val="16"/>
          <w:szCs w:val="16"/>
        </w:rPr>
      </w:pPr>
    </w:p>
    <w:p w14:paraId="4655A4C8" w14:textId="77777777" w:rsidR="00941144" w:rsidRPr="00173B3B" w:rsidRDefault="00E16FC3" w:rsidP="00173B3B">
      <w:pPr>
        <w:spacing w:before="60" w:after="60"/>
        <w:jc w:val="both"/>
        <w:rPr>
          <w:rFonts w:eastAsiaTheme="minorEastAsia"/>
          <w:color w:val="000000" w:themeColor="text1"/>
          <w:sz w:val="16"/>
          <w:szCs w:val="16"/>
        </w:rPr>
      </w:pPr>
      <w:r w:rsidRPr="00264B1F">
        <w:rPr>
          <w:b/>
          <w:sz w:val="18"/>
          <w:szCs w:val="18"/>
        </w:rPr>
        <w:t>7</w:t>
      </w:r>
      <w:r w:rsidR="00941144" w:rsidRPr="00264B1F">
        <w:rPr>
          <w:b/>
          <w:sz w:val="18"/>
          <w:szCs w:val="18"/>
        </w:rPr>
        <w:t xml:space="preserve">.attēls. </w:t>
      </w:r>
      <w:r w:rsidR="00941144" w:rsidRPr="00264B1F">
        <w:rPr>
          <w:bCs/>
          <w:sz w:val="18"/>
          <w:szCs w:val="18"/>
        </w:rPr>
        <w:t>Atbalsta</w:t>
      </w:r>
      <w:r w:rsidR="00941144">
        <w:rPr>
          <w:bCs/>
          <w:sz w:val="18"/>
          <w:szCs w:val="18"/>
        </w:rPr>
        <w:t xml:space="preserve"> programmu Covid-19 seku mazināšanai īstenošanas laika grafiks</w:t>
      </w:r>
    </w:p>
    <w:p w14:paraId="5E9F62AC" w14:textId="77777777" w:rsidR="00434038" w:rsidRPr="00FC4725" w:rsidRDefault="00991BD7" w:rsidP="00864CA3">
      <w:pPr>
        <w:spacing w:before="60" w:after="60" w:line="240" w:lineRule="auto"/>
        <w:jc w:val="both"/>
        <w:rPr>
          <w:sz w:val="20"/>
          <w:szCs w:val="20"/>
          <w:highlight w:val="yellow"/>
        </w:rPr>
      </w:pPr>
      <w:r>
        <w:rPr>
          <w:noProof/>
          <w:lang w:val="en-US"/>
        </w:rPr>
        <w:drawing>
          <wp:inline distT="0" distB="0" distL="0" distR="0" wp14:anchorId="367796A3" wp14:editId="4C57C12A">
            <wp:extent cx="6212938" cy="6356044"/>
            <wp:effectExtent l="19050" t="19050" r="16510" b="26035"/>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231620" cy="6375156"/>
                    </a:xfrm>
                    <a:prstGeom prst="rect">
                      <a:avLst/>
                    </a:prstGeom>
                    <a:ln>
                      <a:solidFill>
                        <a:srgbClr val="00859B"/>
                      </a:solidFill>
                    </a:ln>
                  </pic:spPr>
                </pic:pic>
              </a:graphicData>
            </a:graphic>
          </wp:inline>
        </w:drawing>
      </w:r>
    </w:p>
    <w:p w14:paraId="23994E68" w14:textId="77777777" w:rsidR="00434038" w:rsidRPr="00FC4725" w:rsidRDefault="006E1D30" w:rsidP="00FC4725">
      <w:pPr>
        <w:spacing w:before="40" w:after="40" w:line="240" w:lineRule="auto"/>
        <w:jc w:val="both"/>
        <w:rPr>
          <w:i/>
          <w:iCs/>
          <w:sz w:val="16"/>
          <w:szCs w:val="16"/>
        </w:rPr>
      </w:pPr>
      <w:r w:rsidRPr="00FC4725">
        <w:rPr>
          <w:i/>
          <w:iCs/>
          <w:sz w:val="16"/>
          <w:szCs w:val="16"/>
        </w:rPr>
        <w:t>Avots</w:t>
      </w:r>
      <w:r w:rsidR="00FC4725" w:rsidRPr="00FC4725">
        <w:rPr>
          <w:i/>
          <w:iCs/>
          <w:sz w:val="16"/>
          <w:szCs w:val="16"/>
        </w:rPr>
        <w:t>:</w:t>
      </w:r>
      <w:r w:rsidRPr="00FC4725">
        <w:rPr>
          <w:i/>
          <w:iCs/>
          <w:sz w:val="16"/>
          <w:szCs w:val="16"/>
        </w:rPr>
        <w:t xml:space="preserve"> EM dati</w:t>
      </w:r>
    </w:p>
    <w:p w14:paraId="4B61B12A" w14:textId="77777777" w:rsidR="006E1D30" w:rsidRPr="00173B3B" w:rsidRDefault="006E1D30" w:rsidP="00864CA3">
      <w:pPr>
        <w:spacing w:before="60" w:after="60" w:line="240" w:lineRule="auto"/>
        <w:jc w:val="both"/>
        <w:rPr>
          <w:sz w:val="16"/>
          <w:szCs w:val="16"/>
          <w:highlight w:val="yellow"/>
        </w:rPr>
      </w:pPr>
    </w:p>
    <w:p w14:paraId="7DD679BC" w14:textId="77777777" w:rsidR="00173B3B" w:rsidRPr="001B13D6" w:rsidRDefault="00173B3B" w:rsidP="00173B3B">
      <w:pPr>
        <w:spacing w:before="60" w:after="60" w:line="240" w:lineRule="auto"/>
        <w:jc w:val="both"/>
        <w:rPr>
          <w:rFonts w:eastAsia="Times New Roman"/>
          <w:szCs w:val="24"/>
        </w:rPr>
      </w:pPr>
      <w:r w:rsidRPr="001B13D6">
        <w:rPr>
          <w:rFonts w:eastAsia="Times New Roman"/>
          <w:sz w:val="20"/>
          <w:szCs w:val="20"/>
        </w:rPr>
        <w:t>Ņ</w:t>
      </w:r>
      <w:r w:rsidRPr="001B13D6">
        <w:rPr>
          <w:rFonts w:eastAsia="Times New Roman"/>
          <w:szCs w:val="24"/>
        </w:rPr>
        <w:t xml:space="preserve">emot vērā </w:t>
      </w:r>
      <w:r>
        <w:rPr>
          <w:rFonts w:eastAsia="Times New Roman"/>
          <w:szCs w:val="24"/>
        </w:rPr>
        <w:t xml:space="preserve">pārskata periodā sākušos </w:t>
      </w:r>
      <w:r w:rsidRPr="001B13D6">
        <w:rPr>
          <w:rFonts w:eastAsia="Times New Roman"/>
          <w:szCs w:val="24"/>
        </w:rPr>
        <w:t xml:space="preserve">Covid-19 otro vilni, </w:t>
      </w:r>
      <w:r>
        <w:rPr>
          <w:rFonts w:eastAsia="Times New Roman"/>
          <w:szCs w:val="24"/>
        </w:rPr>
        <w:t xml:space="preserve">EM izstrādāja un </w:t>
      </w:r>
      <w:hyperlink r:id="rId51" w:history="1">
        <w:r w:rsidRPr="00E23203">
          <w:t>MK 2020. gada 10. novembra sēdē</w:t>
        </w:r>
      </w:hyperlink>
      <w:r>
        <w:rPr>
          <w:rFonts w:eastAsia="Times New Roman"/>
          <w:szCs w:val="24"/>
        </w:rPr>
        <w:t xml:space="preserve"> tika </w:t>
      </w:r>
      <w:r w:rsidRPr="001B13D6">
        <w:rPr>
          <w:rFonts w:eastAsia="Times New Roman"/>
          <w:szCs w:val="24"/>
        </w:rPr>
        <w:t>apstiprin</w:t>
      </w:r>
      <w:r>
        <w:rPr>
          <w:rFonts w:eastAsia="Times New Roman"/>
          <w:szCs w:val="24"/>
        </w:rPr>
        <w:t xml:space="preserve">ātas </w:t>
      </w:r>
      <w:r w:rsidRPr="001B13D6">
        <w:rPr>
          <w:rFonts w:eastAsia="Times New Roman"/>
          <w:szCs w:val="24"/>
        </w:rPr>
        <w:t>jaunas atbalsta programmas:</w:t>
      </w:r>
    </w:p>
    <w:p w14:paraId="28092D90" w14:textId="58EDB2AD" w:rsidR="00173B3B" w:rsidRPr="007D1361" w:rsidRDefault="00173B3B" w:rsidP="00BE6C4B">
      <w:pPr>
        <w:pStyle w:val="ListParagraph"/>
        <w:numPr>
          <w:ilvl w:val="0"/>
          <w:numId w:val="24"/>
        </w:numPr>
        <w:spacing w:before="60" w:after="60"/>
        <w:ind w:left="714" w:hanging="357"/>
        <w:contextualSpacing w:val="0"/>
        <w:jc w:val="both"/>
        <w:rPr>
          <w:rFonts w:eastAsiaTheme="minorEastAsia"/>
        </w:rPr>
      </w:pPr>
      <w:r w:rsidRPr="0079347F">
        <w:rPr>
          <w:b/>
          <w:bCs/>
          <w:color w:val="00859B"/>
        </w:rPr>
        <w:t>apgrozāmo līdzekļu kompensēšanai</w:t>
      </w:r>
      <w:r w:rsidRPr="0079347F">
        <w:t xml:space="preserve">, </w:t>
      </w:r>
      <w:r w:rsidR="00F8309E">
        <w:t>programmas</w:t>
      </w:r>
      <w:r w:rsidR="004B7384">
        <w:rPr>
          <w:rStyle w:val="FootnoteReference"/>
        </w:rPr>
        <w:footnoteReference w:id="10"/>
      </w:r>
      <w:r w:rsidR="00F8309E">
        <w:t xml:space="preserve"> </w:t>
      </w:r>
      <w:r w:rsidR="00A5214D">
        <w:t xml:space="preserve">īstenošanai paredzēts finansējums 310,8 milj. </w:t>
      </w:r>
      <w:r w:rsidR="00A5214D" w:rsidRPr="007D1361">
        <w:rPr>
          <w:i/>
          <w:iCs/>
        </w:rPr>
        <w:t>euro</w:t>
      </w:r>
      <w:r w:rsidR="00A5214D">
        <w:t xml:space="preserve"> (vēlāk to palielinot līdz 533,8 milj. </w:t>
      </w:r>
      <w:r w:rsidR="00A5214D" w:rsidRPr="007D1361">
        <w:rPr>
          <w:i/>
          <w:iCs/>
        </w:rPr>
        <w:t>euro</w:t>
      </w:r>
      <w:r w:rsidR="00A5214D">
        <w:t xml:space="preserve">) un tā </w:t>
      </w:r>
      <w:r w:rsidR="00F8309E">
        <w:t xml:space="preserve">ietvaros </w:t>
      </w:r>
      <w:r>
        <w:t xml:space="preserve">nodrošinot </w:t>
      </w:r>
      <w:r w:rsidRPr="0079347F">
        <w:t>MVU un lielajiem komersantiem pieejam</w:t>
      </w:r>
      <w:r>
        <w:t>us</w:t>
      </w:r>
      <w:r w:rsidR="00B16067">
        <w:t xml:space="preserve"> </w:t>
      </w:r>
      <w:r w:rsidRPr="0079347F">
        <w:t>grant</w:t>
      </w:r>
      <w:r>
        <w:t>us un a</w:t>
      </w:r>
      <w:r w:rsidRPr="00374792">
        <w:t>tbalst</w:t>
      </w:r>
      <w:r>
        <w:t>u</w:t>
      </w:r>
      <w:r w:rsidRPr="00374792">
        <w:t xml:space="preserve"> paredz</w:t>
      </w:r>
      <w:r>
        <w:t>o</w:t>
      </w:r>
      <w:r w:rsidRPr="00374792">
        <w:t>t uzņēmumiem, k</w:t>
      </w:r>
      <w:r>
        <w:t>as</w:t>
      </w:r>
      <w:r w:rsidRPr="00374792">
        <w:t xml:space="preserve"> Covid-19 ietekmē ir saskārušies ar uzņēmuma apgrozījuma kritumu, ļaujot saņemt granta atbalstu tekošo izdevumu segšanai, sniedzot iespēju šiem uzņēmumiem atjaunot saimniecisko darbību pēc ierobežojumu </w:t>
      </w:r>
      <w:r w:rsidRPr="007D1361">
        <w:t>atcelšanas</w:t>
      </w:r>
      <w:r w:rsidR="00A5214D" w:rsidRPr="007D1361">
        <w:t>. Izmaksāts</w:t>
      </w:r>
      <w:r w:rsidR="00A5214D" w:rsidRPr="007D1361">
        <w:rPr>
          <w:i/>
          <w:iCs/>
        </w:rPr>
        <w:t xml:space="preserve"> </w:t>
      </w:r>
      <w:r w:rsidR="00A5214D" w:rsidRPr="007D1361">
        <w:t xml:space="preserve">445,46 milj. </w:t>
      </w:r>
      <w:r w:rsidR="00A5214D" w:rsidRPr="007D1361">
        <w:rPr>
          <w:i/>
          <w:iCs/>
        </w:rPr>
        <w:t>euro</w:t>
      </w:r>
      <w:r w:rsidR="00A5214D" w:rsidRPr="007D1361">
        <w:t>, atbalstot 34 559 komersantus</w:t>
      </w:r>
      <w:r w:rsidRPr="007D1361">
        <w:t>;</w:t>
      </w:r>
    </w:p>
    <w:p w14:paraId="0325C85B" w14:textId="40373DFD" w:rsidR="00173B3B" w:rsidRPr="00E6758E" w:rsidRDefault="00173B3B" w:rsidP="00BE6C4B">
      <w:pPr>
        <w:pStyle w:val="ListParagraph"/>
        <w:numPr>
          <w:ilvl w:val="0"/>
          <w:numId w:val="24"/>
        </w:numPr>
        <w:spacing w:before="60" w:after="60"/>
        <w:ind w:left="714" w:hanging="357"/>
        <w:contextualSpacing w:val="0"/>
        <w:jc w:val="both"/>
        <w:rPr>
          <w:rFonts w:eastAsiaTheme="minorEastAsia"/>
        </w:rPr>
      </w:pPr>
      <w:r w:rsidRPr="0079347F">
        <w:rPr>
          <w:b/>
          <w:bCs/>
          <w:color w:val="00859B"/>
        </w:rPr>
        <w:t>dīkstāves atbalsts darbinieku, pašnodarbināto personu un patentmaksātāju atlīdzības kompensēšanai</w:t>
      </w:r>
      <w:r w:rsidR="009A7973">
        <w:rPr>
          <w:b/>
          <w:bCs/>
          <w:color w:val="00859B"/>
        </w:rPr>
        <w:t xml:space="preserve"> </w:t>
      </w:r>
      <w:r w:rsidRPr="22E7E7A7">
        <w:t xml:space="preserve">(dīkstāves atbalsts) </w:t>
      </w:r>
      <w:r w:rsidRPr="0079347F">
        <w:t xml:space="preserve">un </w:t>
      </w:r>
      <w:r w:rsidRPr="0079347F">
        <w:rPr>
          <w:b/>
          <w:bCs/>
          <w:color w:val="00859B"/>
        </w:rPr>
        <w:t>atbalsts nepilnu darba laiku strādājošu darbinieku atlīdzības kompensēšanai</w:t>
      </w:r>
      <w:r w:rsidR="009A7973">
        <w:rPr>
          <w:b/>
          <w:bCs/>
          <w:color w:val="00859B"/>
        </w:rPr>
        <w:t xml:space="preserve"> </w:t>
      </w:r>
      <w:r w:rsidRPr="22E7E7A7">
        <w:t>(atbalsts algu subsīdijai</w:t>
      </w:r>
      <w:r w:rsidRPr="13B3CE6D">
        <w:t xml:space="preserve">), lai </w:t>
      </w:r>
      <w:r w:rsidR="004B7384">
        <w:t>programmas</w:t>
      </w:r>
      <w:r w:rsidR="004B7384">
        <w:rPr>
          <w:rStyle w:val="FootnoteReference"/>
        </w:rPr>
        <w:footnoteReference w:id="11"/>
      </w:r>
      <w:r w:rsidR="004B7384">
        <w:t xml:space="preserve"> ietvaros </w:t>
      </w:r>
      <w:r w:rsidRPr="13B3CE6D">
        <w:t xml:space="preserve">kompensētu ienākumus </w:t>
      </w:r>
      <w:r w:rsidRPr="33E24DC3">
        <w:t xml:space="preserve">Covid-19 </w:t>
      </w:r>
      <w:r w:rsidRPr="13B3CE6D">
        <w:t>pandēmijas ierobežojumu dēļ</w:t>
      </w:r>
      <w:r w:rsidR="009232D9">
        <w:t xml:space="preserve">. </w:t>
      </w:r>
      <w:r w:rsidR="00E6758E">
        <w:t>Tā</w:t>
      </w:r>
      <w:r w:rsidR="009232D9">
        <w:t xml:space="preserve"> īstenošanai valsts budžetā </w:t>
      </w:r>
      <w:r w:rsidR="0023003F">
        <w:t xml:space="preserve">2020.gada pavasarī tika </w:t>
      </w:r>
      <w:r w:rsidR="009232D9">
        <w:t xml:space="preserve">piešķirts </w:t>
      </w:r>
      <w:r w:rsidR="0023003F">
        <w:t>101,7 milj. </w:t>
      </w:r>
      <w:r w:rsidR="0023003F" w:rsidRPr="0023003F">
        <w:rPr>
          <w:i/>
          <w:iCs/>
        </w:rPr>
        <w:t>euro</w:t>
      </w:r>
      <w:r w:rsidR="0023003F">
        <w:t xml:space="preserve">, atbalstā izmaksājot 53,8 milj. </w:t>
      </w:r>
      <w:r w:rsidR="0023003F" w:rsidRPr="0023003F">
        <w:rPr>
          <w:i/>
          <w:iCs/>
        </w:rPr>
        <w:t>euro</w:t>
      </w:r>
      <w:r w:rsidR="0023003F">
        <w:t xml:space="preserve">, </w:t>
      </w:r>
      <w:r w:rsidR="00564A9B">
        <w:t xml:space="preserve">vēlāk piešķirts </w:t>
      </w:r>
      <w:r w:rsidR="009232D9">
        <w:t xml:space="preserve">104,5 milj. </w:t>
      </w:r>
      <w:r w:rsidR="009232D9" w:rsidRPr="00E6758E">
        <w:rPr>
          <w:i/>
          <w:iCs/>
        </w:rPr>
        <w:t>euro</w:t>
      </w:r>
      <w:r w:rsidR="009232D9">
        <w:t xml:space="preserve"> </w:t>
      </w:r>
      <w:r w:rsidR="00E6758E">
        <w:t xml:space="preserve">un rezultātā </w:t>
      </w:r>
      <w:r w:rsidR="00E6758E" w:rsidRPr="00E6758E">
        <w:t>tika atbalstīti 118 953 komersanti (t.sk. atbalstā algu subsīdijai)</w:t>
      </w:r>
      <w:r w:rsidR="00564A9B">
        <w:t xml:space="preserve">, kopumā izmaksāti 137,8 milj. </w:t>
      </w:r>
      <w:r w:rsidR="00564A9B" w:rsidRPr="00564A9B">
        <w:rPr>
          <w:i/>
          <w:iCs/>
        </w:rPr>
        <w:t>euro</w:t>
      </w:r>
      <w:r w:rsidR="00564A9B">
        <w:t>.</w:t>
      </w:r>
      <w:r w:rsidRPr="00E6758E">
        <w:t>;</w:t>
      </w:r>
    </w:p>
    <w:p w14:paraId="5B83F2C5" w14:textId="53668368" w:rsidR="00173B3B" w:rsidRPr="007D1361" w:rsidRDefault="00173B3B" w:rsidP="00BE6C4B">
      <w:pPr>
        <w:pStyle w:val="ListParagraph"/>
        <w:numPr>
          <w:ilvl w:val="0"/>
          <w:numId w:val="24"/>
        </w:numPr>
        <w:spacing w:before="60" w:after="60"/>
        <w:ind w:left="714" w:hanging="357"/>
        <w:contextualSpacing w:val="0"/>
        <w:jc w:val="both"/>
        <w:rPr>
          <w:rFonts w:eastAsiaTheme="minorEastAsia"/>
          <w:color w:val="000000" w:themeColor="text1"/>
        </w:rPr>
      </w:pPr>
      <w:r>
        <w:rPr>
          <w:b/>
          <w:bCs/>
          <w:color w:val="00859B"/>
        </w:rPr>
        <w:t>a</w:t>
      </w:r>
      <w:r w:rsidRPr="0079347F">
        <w:rPr>
          <w:b/>
          <w:bCs/>
          <w:color w:val="00859B"/>
        </w:rPr>
        <w:t xml:space="preserve">izdevumu un to procentu likmju subsīdiju programmu </w:t>
      </w:r>
      <w:r w:rsidRPr="0079347F">
        <w:t>jeb krīzes sindicētos aizdevumus</w:t>
      </w:r>
      <w:r>
        <w:t>, ko</w:t>
      </w:r>
      <w:r w:rsidR="009A7973">
        <w:t xml:space="preserve"> </w:t>
      </w:r>
      <w:r w:rsidRPr="00303579">
        <w:t>varēs saņemt lielie un vidējie komersanti</w:t>
      </w:r>
      <w:r>
        <w:t>.</w:t>
      </w:r>
      <w:r w:rsidR="009A7973">
        <w:t xml:space="preserve"> </w:t>
      </w:r>
      <w:r>
        <w:t>Programmas</w:t>
      </w:r>
      <w:r>
        <w:rPr>
          <w:rStyle w:val="FootnoteReference"/>
        </w:rPr>
        <w:footnoteReference w:id="12"/>
      </w:r>
      <w:r w:rsidR="00A5214D">
        <w:t xml:space="preserve"> </w:t>
      </w:r>
      <w:r w:rsidRPr="22E7E7A7">
        <w:t xml:space="preserve">īstenošanai </w:t>
      </w:r>
      <w:r w:rsidR="00551986">
        <w:t xml:space="preserve">bija </w:t>
      </w:r>
      <w:r w:rsidRPr="22E7E7A7">
        <w:t>paredzēts valsts budžeta finansējums 50</w:t>
      </w:r>
      <w:r>
        <w:t> </w:t>
      </w:r>
      <w:r w:rsidRPr="22E7E7A7">
        <w:t>milj.</w:t>
      </w:r>
      <w:r>
        <w:t> </w:t>
      </w:r>
      <w:r w:rsidRPr="0053329E">
        <w:rPr>
          <w:i/>
          <w:iCs/>
        </w:rPr>
        <w:t>euro</w:t>
      </w:r>
      <w:r w:rsidRPr="22E7E7A7">
        <w:t xml:space="preserve"> apmērā</w:t>
      </w:r>
      <w:r>
        <w:t xml:space="preserve"> un tās ietvaros a</w:t>
      </w:r>
      <w:r w:rsidRPr="00303579">
        <w:t xml:space="preserve">izdevumus </w:t>
      </w:r>
      <w:r w:rsidR="00551986">
        <w:t xml:space="preserve">paredzēja </w:t>
      </w:r>
      <w:r w:rsidR="00551986" w:rsidRPr="00303579">
        <w:t>izsnie</w:t>
      </w:r>
      <w:r w:rsidR="00551986">
        <w:t>gt</w:t>
      </w:r>
      <w:r w:rsidR="00551986" w:rsidRPr="00303579">
        <w:t xml:space="preserve"> </w:t>
      </w:r>
      <w:r>
        <w:t>ALTUM</w:t>
      </w:r>
      <w:r w:rsidRPr="00303579">
        <w:t xml:space="preserve"> kopā ar kredītiestādēm</w:t>
      </w:r>
      <w:r w:rsidR="009250CB">
        <w:t>.</w:t>
      </w:r>
      <w:r w:rsidRPr="00303579">
        <w:t xml:space="preserve"> </w:t>
      </w:r>
      <w:r w:rsidR="00551986">
        <w:t xml:space="preserve">Tomēr </w:t>
      </w:r>
      <w:r w:rsidR="005E2268">
        <w:t xml:space="preserve">vēlāk </w:t>
      </w:r>
      <w:r w:rsidR="00551986">
        <w:t>programma tika atcelta</w:t>
      </w:r>
      <w:r w:rsidR="00551986">
        <w:rPr>
          <w:rStyle w:val="FootnoteReference"/>
        </w:rPr>
        <w:footnoteReference w:id="13"/>
      </w:r>
      <w:r w:rsidR="00E23203">
        <w:t>,</w:t>
      </w:r>
      <w:r w:rsidRPr="00303579">
        <w:t xml:space="preserve"> </w:t>
      </w:r>
      <w:r w:rsidR="00E23203" w:rsidRPr="00874DB1">
        <w:rPr>
          <w:iCs/>
        </w:rPr>
        <w:t xml:space="preserve">lai </w:t>
      </w:r>
      <w:r w:rsidR="00E23203" w:rsidRPr="00874DB1">
        <w:rPr>
          <w:rFonts w:eastAsia="Calibri"/>
          <w:color w:val="000000" w:themeColor="text1"/>
        </w:rPr>
        <w:t xml:space="preserve">nodrošinātu </w:t>
      </w:r>
      <w:r w:rsidR="00E23203" w:rsidRPr="00874DB1">
        <w:rPr>
          <w:iCs/>
        </w:rPr>
        <w:t>finansējuma pārdali no aizdevumiem un to procentu likmju subsīdiju programmas uz aizdevumu programmu - aizdevumi</w:t>
      </w:r>
      <w:r w:rsidR="005E2268">
        <w:rPr>
          <w:iCs/>
        </w:rPr>
        <w:t>em</w:t>
      </w:r>
      <w:r w:rsidR="00E23203" w:rsidRPr="00874DB1">
        <w:rPr>
          <w:iCs/>
        </w:rPr>
        <w:t xml:space="preserve"> ar kapitāla atlaidi investīciju projektiem komersantiem konkurētspējas veicināšanai</w:t>
      </w:r>
      <w:r w:rsidR="005E2268">
        <w:rPr>
          <w:iCs/>
        </w:rPr>
        <w:t>.</w:t>
      </w:r>
    </w:p>
    <w:p w14:paraId="700553BF" w14:textId="77777777" w:rsidR="00864CA3" w:rsidRPr="00F5511B" w:rsidRDefault="00864CA3" w:rsidP="004B7384">
      <w:pPr>
        <w:spacing w:before="60" w:after="60" w:line="240" w:lineRule="auto"/>
        <w:jc w:val="both"/>
        <w:rPr>
          <w:szCs w:val="24"/>
          <w:highlight w:val="yellow"/>
        </w:rPr>
      </w:pPr>
    </w:p>
    <w:tbl>
      <w:tblPr>
        <w:tblStyle w:val="TableGrid"/>
        <w:tblW w:w="0" w:type="auto"/>
        <w:tblLook w:val="04A0" w:firstRow="1" w:lastRow="0" w:firstColumn="1" w:lastColumn="0" w:noHBand="0" w:noVBand="1"/>
      </w:tblPr>
      <w:tblGrid>
        <w:gridCol w:w="9628"/>
      </w:tblGrid>
      <w:tr w:rsidR="003D746D" w:rsidRPr="00F5511B" w14:paraId="732C84D0" w14:textId="77777777" w:rsidTr="00332293">
        <w:tc>
          <w:tcPr>
            <w:tcW w:w="9628" w:type="dxa"/>
            <w:tcBorders>
              <w:top w:val="nil"/>
              <w:left w:val="nil"/>
              <w:bottom w:val="nil"/>
              <w:right w:val="nil"/>
            </w:tcBorders>
            <w:shd w:val="clear" w:color="auto" w:fill="31849B" w:themeFill="accent5" w:themeFillShade="BF"/>
          </w:tcPr>
          <w:p w14:paraId="176AB19D" w14:textId="1E43C66A" w:rsidR="003D746D" w:rsidRPr="006454D0" w:rsidRDefault="006454D0" w:rsidP="00BE6C4B">
            <w:pPr>
              <w:pStyle w:val="Heading2"/>
              <w:numPr>
                <w:ilvl w:val="1"/>
                <w:numId w:val="16"/>
              </w:numPr>
              <w:spacing w:before="120" w:after="120"/>
              <w:ind w:left="357" w:hanging="357"/>
              <w:rPr>
                <w:szCs w:val="24"/>
                <w:lang w:val="lv-LV"/>
              </w:rPr>
            </w:pPr>
            <w:bookmarkStart w:id="34" w:name="_Toc74826405"/>
            <w:bookmarkStart w:id="35" w:name="_Toc78874600"/>
            <w:r w:rsidRPr="006454D0">
              <w:rPr>
                <w:lang w:val="lv-LV"/>
              </w:rPr>
              <w:t>Atbalsta pasākumi eksporta veicināšanai un Covid-19 krīzes skartajiem preču un pakalpojumu eksportētājiem krīzes seku pārvarēšanai</w:t>
            </w:r>
            <w:bookmarkEnd w:id="34"/>
            <w:bookmarkEnd w:id="35"/>
          </w:p>
        </w:tc>
      </w:tr>
    </w:tbl>
    <w:p w14:paraId="15A327C0" w14:textId="77777777" w:rsidR="006E5E4A" w:rsidRDefault="00657B38" w:rsidP="007F4A95">
      <w:pPr>
        <w:spacing w:before="120" w:after="60" w:line="240" w:lineRule="auto"/>
        <w:jc w:val="both"/>
        <w:rPr>
          <w:rFonts w:eastAsia="Times New Roman"/>
          <w:szCs w:val="24"/>
        </w:rPr>
      </w:pPr>
      <w:r>
        <w:rPr>
          <w:rFonts w:eastAsia="Times New Roman"/>
          <w:szCs w:val="24"/>
        </w:rPr>
        <w:t xml:space="preserve">Pārskata periodā EM turpināja iepriekšējos gados uzsāktos eksporta atbalsta pasākumus. </w:t>
      </w:r>
      <w:r w:rsidRPr="6D25BF40">
        <w:rPr>
          <w:rFonts w:eastAsia="Times New Roman"/>
          <w:szCs w:val="24"/>
        </w:rPr>
        <w:t>Nozīmīgu atbalstu eksporta veicināšanai sniedz</w:t>
      </w:r>
      <w:r w:rsidR="007F4A95">
        <w:rPr>
          <w:rFonts w:eastAsia="Times New Roman"/>
          <w:szCs w:val="24"/>
        </w:rPr>
        <w:t>a</w:t>
      </w:r>
      <w:r w:rsidR="00365467">
        <w:rPr>
          <w:rFonts w:eastAsia="Times New Roman"/>
          <w:szCs w:val="24"/>
        </w:rPr>
        <w:t xml:space="preserve"> </w:t>
      </w:r>
      <w:r w:rsidRPr="00252C84">
        <w:rPr>
          <w:rFonts w:eastAsia="Times New Roman"/>
          <w:szCs w:val="24"/>
        </w:rPr>
        <w:t>finanšu instrumentu programmu īstenošana</w:t>
      </w:r>
      <w:r w:rsidRPr="6D25BF40">
        <w:rPr>
          <w:rFonts w:eastAsia="Times New Roman"/>
          <w:szCs w:val="24"/>
        </w:rPr>
        <w:t>, ko nodrošina ALTUM, 2020.</w:t>
      </w:r>
      <w:r>
        <w:rPr>
          <w:rFonts w:eastAsia="Times New Roman"/>
          <w:szCs w:val="24"/>
        </w:rPr>
        <w:t> </w:t>
      </w:r>
      <w:r w:rsidRPr="6D25BF40">
        <w:rPr>
          <w:rFonts w:eastAsia="Times New Roman"/>
          <w:szCs w:val="24"/>
        </w:rPr>
        <w:t xml:space="preserve">gadā izsniedzot </w:t>
      </w:r>
      <w:r w:rsidRPr="00F87C31">
        <w:rPr>
          <w:rFonts w:eastAsia="Times New Roman"/>
          <w:szCs w:val="24"/>
        </w:rPr>
        <w:t>1</w:t>
      </w:r>
      <w:r>
        <w:rPr>
          <w:rFonts w:eastAsia="Times New Roman"/>
          <w:szCs w:val="24"/>
        </w:rPr>
        <w:t>20</w:t>
      </w:r>
      <w:r w:rsidRPr="6D25BF40">
        <w:rPr>
          <w:rFonts w:eastAsia="Times New Roman"/>
          <w:szCs w:val="24"/>
        </w:rPr>
        <w:t xml:space="preserve"> eksporta kredīta garantijas. </w:t>
      </w:r>
    </w:p>
    <w:p w14:paraId="7BFC201F" w14:textId="3AB6976A" w:rsidR="003A504F" w:rsidRDefault="00657B38" w:rsidP="00E0760A">
      <w:pPr>
        <w:spacing w:before="60" w:after="60" w:line="240" w:lineRule="auto"/>
        <w:jc w:val="both"/>
        <w:rPr>
          <w:rFonts w:eastAsia="Times New Roman"/>
          <w:szCs w:val="24"/>
        </w:rPr>
      </w:pPr>
      <w:r w:rsidRPr="6D25BF40">
        <w:rPr>
          <w:rFonts w:eastAsia="Times New Roman"/>
          <w:szCs w:val="24"/>
        </w:rPr>
        <w:t>2020.</w:t>
      </w:r>
      <w:r>
        <w:rPr>
          <w:rFonts w:eastAsia="Times New Roman"/>
          <w:szCs w:val="24"/>
        </w:rPr>
        <w:t> </w:t>
      </w:r>
      <w:r w:rsidRPr="6D25BF40">
        <w:rPr>
          <w:rFonts w:eastAsia="Times New Roman"/>
          <w:szCs w:val="24"/>
        </w:rPr>
        <w:t xml:space="preserve">gadā turpinājās </w:t>
      </w:r>
      <w:r w:rsidR="00E0760A" w:rsidRPr="6D25BF40">
        <w:rPr>
          <w:rFonts w:eastAsia="Times New Roman"/>
          <w:szCs w:val="24"/>
        </w:rPr>
        <w:t xml:space="preserve">ES fondu plānošanas perioda 2014.-2020.gadam </w:t>
      </w:r>
      <w:r w:rsidR="00E0760A">
        <w:rPr>
          <w:rFonts w:eastAsia="Times New Roman"/>
          <w:szCs w:val="24"/>
        </w:rPr>
        <w:t>atbalsta pasākumu</w:t>
      </w:r>
      <w:r w:rsidRPr="6D25BF40">
        <w:rPr>
          <w:rFonts w:eastAsia="Times New Roman"/>
          <w:szCs w:val="24"/>
        </w:rPr>
        <w:t xml:space="preserve"> īstenošana</w:t>
      </w:r>
      <w:r w:rsidR="006E5E4A">
        <w:rPr>
          <w:rFonts w:eastAsia="Times New Roman"/>
          <w:szCs w:val="24"/>
        </w:rPr>
        <w:t xml:space="preserve"> </w:t>
      </w:r>
      <w:r w:rsidR="006E5E4A" w:rsidRPr="006E5E4A">
        <w:rPr>
          <w:rFonts w:eastAsia="Times New Roman"/>
          <w:szCs w:val="24"/>
        </w:rPr>
        <w:t xml:space="preserve">Mazo un vidējo komersantu konkurētspējas veicināšanas </w:t>
      </w:r>
      <w:r w:rsidR="006E5E4A">
        <w:rPr>
          <w:rFonts w:eastAsia="Times New Roman"/>
          <w:szCs w:val="24"/>
        </w:rPr>
        <w:t xml:space="preserve">virziena </w:t>
      </w:r>
      <w:r w:rsidR="006E5E4A" w:rsidRPr="006E5E4A">
        <w:rPr>
          <w:rFonts w:eastAsia="Times New Roman"/>
          <w:szCs w:val="24"/>
        </w:rPr>
        <w:t>ietvaros</w:t>
      </w:r>
      <w:r w:rsidRPr="6D25BF40">
        <w:rPr>
          <w:rFonts w:eastAsia="Times New Roman"/>
          <w:szCs w:val="24"/>
        </w:rPr>
        <w:t xml:space="preserve"> </w:t>
      </w:r>
      <w:r w:rsidR="00E0760A">
        <w:rPr>
          <w:rFonts w:eastAsia="Times New Roman"/>
          <w:szCs w:val="24"/>
        </w:rPr>
        <w:t>(</w:t>
      </w:r>
      <w:r w:rsidR="00E0760A" w:rsidRPr="00E0760A">
        <w:rPr>
          <w:rFonts w:cs="Times New Roman"/>
          <w:szCs w:val="24"/>
        </w:rPr>
        <w:t xml:space="preserve">skat. </w:t>
      </w:r>
      <w:hyperlink w:anchor="_Pielikums._EM_īstenojamo" w:history="1">
        <w:r w:rsidR="00E0760A" w:rsidRPr="004B7384">
          <w:rPr>
            <w:rStyle w:val="Hyperlink"/>
            <w:color w:val="00859B"/>
            <w:szCs w:val="28"/>
          </w:rPr>
          <w:t>8.pielikumu</w:t>
        </w:r>
      </w:hyperlink>
      <w:r w:rsidR="00472217" w:rsidRPr="00472217">
        <w:rPr>
          <w:rStyle w:val="Hyperlink"/>
          <w:color w:val="auto"/>
          <w:szCs w:val="28"/>
          <w:u w:val="none"/>
        </w:rPr>
        <w:t xml:space="preserve">, </w:t>
      </w:r>
      <w:r w:rsidR="00472217" w:rsidRPr="00BF79D1">
        <w:rPr>
          <w:rFonts w:eastAsia="Times New Roman"/>
          <w:color w:val="000000" w:themeColor="text1"/>
          <w:szCs w:val="24"/>
        </w:rPr>
        <w:t>3.</w:t>
      </w:r>
      <w:r w:rsidR="00472217">
        <w:rPr>
          <w:rFonts w:eastAsia="Times New Roman"/>
          <w:color w:val="000000" w:themeColor="text1"/>
          <w:szCs w:val="24"/>
        </w:rPr>
        <w:t>1</w:t>
      </w:r>
      <w:r w:rsidR="00472217" w:rsidRPr="00BF79D1">
        <w:rPr>
          <w:rFonts w:eastAsia="Times New Roman"/>
          <w:color w:val="000000" w:themeColor="text1"/>
          <w:szCs w:val="24"/>
        </w:rPr>
        <w:t>.1.</w:t>
      </w:r>
      <w:r w:rsidR="00472217">
        <w:rPr>
          <w:rFonts w:eastAsia="Times New Roman"/>
          <w:color w:val="000000" w:themeColor="text1"/>
          <w:szCs w:val="24"/>
        </w:rPr>
        <w:t>1</w:t>
      </w:r>
      <w:r w:rsidR="00472217" w:rsidRPr="00BF79D1">
        <w:rPr>
          <w:rFonts w:eastAsia="Times New Roman"/>
          <w:color w:val="000000" w:themeColor="text1"/>
          <w:szCs w:val="24"/>
        </w:rPr>
        <w:t>.</w:t>
      </w:r>
      <w:r w:rsidR="00472217">
        <w:rPr>
          <w:rFonts w:eastAsia="Times New Roman"/>
          <w:color w:val="000000" w:themeColor="text1"/>
          <w:szCs w:val="24"/>
        </w:rPr>
        <w:t xml:space="preserve">, </w:t>
      </w:r>
      <w:r w:rsidR="00472217" w:rsidRPr="00BF79D1">
        <w:rPr>
          <w:rFonts w:eastAsia="Times New Roman"/>
          <w:color w:val="000000" w:themeColor="text1"/>
          <w:szCs w:val="24"/>
        </w:rPr>
        <w:t>3.</w:t>
      </w:r>
      <w:r w:rsidR="00472217">
        <w:rPr>
          <w:rFonts w:eastAsia="Times New Roman"/>
          <w:color w:val="000000" w:themeColor="text1"/>
          <w:szCs w:val="24"/>
        </w:rPr>
        <w:t>1.</w:t>
      </w:r>
      <w:r w:rsidR="00472217" w:rsidRPr="00BF79D1">
        <w:rPr>
          <w:rFonts w:eastAsia="Times New Roman"/>
          <w:color w:val="000000" w:themeColor="text1"/>
          <w:szCs w:val="24"/>
        </w:rPr>
        <w:t>2.1.</w:t>
      </w:r>
      <w:r w:rsidR="00472217">
        <w:rPr>
          <w:rFonts w:eastAsia="Times New Roman"/>
          <w:color w:val="000000" w:themeColor="text1"/>
          <w:szCs w:val="24"/>
        </w:rPr>
        <w:t xml:space="preserve"> un </w:t>
      </w:r>
      <w:r w:rsidR="00472217" w:rsidRPr="00BF79D1">
        <w:rPr>
          <w:rFonts w:eastAsia="Times New Roman"/>
          <w:color w:val="000000" w:themeColor="text1"/>
          <w:szCs w:val="24"/>
        </w:rPr>
        <w:t>3.1.2.</w:t>
      </w:r>
      <w:r w:rsidR="00472217">
        <w:rPr>
          <w:rFonts w:eastAsia="Times New Roman"/>
          <w:color w:val="000000" w:themeColor="text1"/>
          <w:szCs w:val="24"/>
        </w:rPr>
        <w:t>2.</w:t>
      </w:r>
      <w:r w:rsidR="00B95866">
        <w:rPr>
          <w:rFonts w:eastAsia="Times New Roman"/>
          <w:color w:val="000000" w:themeColor="text1"/>
          <w:szCs w:val="24"/>
        </w:rPr>
        <w:t>pasākumu</w:t>
      </w:r>
      <w:r w:rsidR="00E0760A" w:rsidRPr="00E0760A">
        <w:rPr>
          <w:rStyle w:val="Hyperlink"/>
          <w:color w:val="auto"/>
          <w:szCs w:val="28"/>
          <w:u w:val="none"/>
        </w:rPr>
        <w:t>),</w:t>
      </w:r>
      <w:r w:rsidR="00E0760A" w:rsidRPr="00472217">
        <w:rPr>
          <w:rStyle w:val="Hyperlink"/>
          <w:color w:val="auto"/>
          <w:szCs w:val="28"/>
          <w:u w:val="none"/>
        </w:rPr>
        <w:t xml:space="preserve"> </w:t>
      </w:r>
      <w:r w:rsidRPr="6D25BF40">
        <w:rPr>
          <w:rFonts w:eastAsia="Times New Roman"/>
          <w:szCs w:val="24"/>
        </w:rPr>
        <w:t>sekmējot finansējuma pieejamību uzņēmējdarbības uzsākšanai un attīstībai aizdevumu, garantiju un riska kapitāla veidā. 2020.</w:t>
      </w:r>
      <w:r>
        <w:rPr>
          <w:rFonts w:eastAsia="Times New Roman"/>
          <w:szCs w:val="24"/>
        </w:rPr>
        <w:t> </w:t>
      </w:r>
      <w:r w:rsidRPr="6D25BF40">
        <w:rPr>
          <w:rFonts w:eastAsia="Times New Roman"/>
          <w:szCs w:val="24"/>
        </w:rPr>
        <w:t xml:space="preserve">gadā tika izsniegtas 60 aizdevumu garantijas, noslēgti 5 līgumi par riska kapitāla finansējumu, 29 līgumi tehnoloģiju akceleratorā, kā arī </w:t>
      </w:r>
      <w:r>
        <w:rPr>
          <w:rFonts w:eastAsia="Times New Roman"/>
          <w:szCs w:val="24"/>
        </w:rPr>
        <w:t xml:space="preserve">sniegtas </w:t>
      </w:r>
      <w:r w:rsidRPr="22E7E7A7">
        <w:rPr>
          <w:rFonts w:eastAsia="Times New Roman"/>
          <w:szCs w:val="24"/>
        </w:rPr>
        <w:t>193</w:t>
      </w:r>
      <w:r w:rsidR="003A504F">
        <w:rPr>
          <w:rFonts w:eastAsia="Times New Roman"/>
          <w:szCs w:val="24"/>
        </w:rPr>
        <w:t xml:space="preserve"> </w:t>
      </w:r>
      <w:r w:rsidRPr="6D25BF40">
        <w:rPr>
          <w:rFonts w:eastAsia="Times New Roman"/>
          <w:szCs w:val="24"/>
        </w:rPr>
        <w:t xml:space="preserve">portfeļgarantijas. </w:t>
      </w:r>
    </w:p>
    <w:p w14:paraId="0DF002EC" w14:textId="07B0CF65" w:rsidR="00657B38" w:rsidRDefault="00657B38" w:rsidP="00E0760A">
      <w:pPr>
        <w:spacing w:before="60" w:after="60" w:line="240" w:lineRule="auto"/>
        <w:jc w:val="both"/>
        <w:rPr>
          <w:rFonts w:eastAsia="Times New Roman"/>
          <w:color w:val="000000" w:themeColor="text1"/>
          <w:szCs w:val="24"/>
        </w:rPr>
      </w:pPr>
      <w:r w:rsidRPr="6D25BF40">
        <w:rPr>
          <w:rFonts w:eastAsia="Times New Roman"/>
          <w:szCs w:val="24"/>
        </w:rPr>
        <w:t xml:space="preserve">Līdztekus </w:t>
      </w:r>
      <w:r w:rsidR="00067695">
        <w:rPr>
          <w:rFonts w:eastAsia="Times New Roman"/>
          <w:szCs w:val="24"/>
        </w:rPr>
        <w:t xml:space="preserve">pārskata periodā nodrošinātajiem </w:t>
      </w:r>
      <w:r w:rsidRPr="6D25BF40">
        <w:rPr>
          <w:rFonts w:eastAsia="Times New Roman"/>
          <w:szCs w:val="24"/>
        </w:rPr>
        <w:t xml:space="preserve">finanšu instrumentiem, </w:t>
      </w:r>
      <w:r w:rsidRPr="22E7E7A7">
        <w:rPr>
          <w:rFonts w:eastAsia="Times New Roman"/>
          <w:szCs w:val="24"/>
        </w:rPr>
        <w:t>tiek īstenotas</w:t>
      </w:r>
      <w:r w:rsidR="003A504F">
        <w:rPr>
          <w:rFonts w:eastAsia="Times New Roman"/>
          <w:szCs w:val="24"/>
        </w:rPr>
        <w:t xml:space="preserve"> </w:t>
      </w:r>
      <w:r w:rsidR="00067695">
        <w:rPr>
          <w:rFonts w:eastAsia="Times New Roman"/>
          <w:szCs w:val="24"/>
        </w:rPr>
        <w:t xml:space="preserve">arī </w:t>
      </w:r>
      <w:r w:rsidR="00BF79D1">
        <w:rPr>
          <w:rFonts w:eastAsia="Times New Roman"/>
          <w:szCs w:val="24"/>
        </w:rPr>
        <w:t xml:space="preserve">citi </w:t>
      </w:r>
      <w:r w:rsidRPr="6D25BF40">
        <w:rPr>
          <w:rFonts w:eastAsia="Times New Roman"/>
          <w:szCs w:val="24"/>
        </w:rPr>
        <w:t>ES fondu plānošanas perioda 2014.-</w:t>
      </w:r>
      <w:r w:rsidRPr="00BF79D1">
        <w:rPr>
          <w:rFonts w:eastAsia="Times New Roman"/>
          <w:szCs w:val="24"/>
        </w:rPr>
        <w:t xml:space="preserve">2020.gadam </w:t>
      </w:r>
      <w:r w:rsidR="00BF79D1" w:rsidRPr="00BF79D1">
        <w:rPr>
          <w:rFonts w:eastAsia="Times New Roman"/>
          <w:szCs w:val="24"/>
        </w:rPr>
        <w:t xml:space="preserve">pasākumi </w:t>
      </w:r>
      <w:r w:rsidR="00BF79D1" w:rsidRPr="00BF79D1">
        <w:rPr>
          <w:rFonts w:eastAsia="Times New Roman"/>
          <w:color w:val="000000"/>
          <w:szCs w:val="24"/>
          <w:lang w:eastAsia="lv-LV"/>
        </w:rPr>
        <w:t xml:space="preserve">Pētniecības, tehnoloģiju attīstības un inovācijas virziena ietvaros </w:t>
      </w:r>
      <w:r w:rsidR="00BF79D1" w:rsidRPr="00BF79D1">
        <w:rPr>
          <w:rFonts w:cs="Times New Roman"/>
          <w:szCs w:val="24"/>
        </w:rPr>
        <w:t xml:space="preserve">(skat. </w:t>
      </w:r>
      <w:hyperlink w:anchor="_Pielikums._EM_īstenojamo" w:history="1">
        <w:r w:rsidR="00BF79D1" w:rsidRPr="00BF79D1">
          <w:rPr>
            <w:rStyle w:val="Hyperlink"/>
            <w:color w:val="00859B"/>
            <w:szCs w:val="24"/>
          </w:rPr>
          <w:t>8.pielikumu</w:t>
        </w:r>
      </w:hyperlink>
      <w:r w:rsidR="00472217" w:rsidRPr="00472217">
        <w:rPr>
          <w:rStyle w:val="Hyperlink"/>
          <w:color w:val="auto"/>
          <w:szCs w:val="24"/>
          <w:u w:val="none"/>
        </w:rPr>
        <w:t xml:space="preserve">, </w:t>
      </w:r>
      <w:r w:rsidR="00472217">
        <w:rPr>
          <w:rFonts w:eastAsia="Times New Roman"/>
          <w:color w:val="000000" w:themeColor="text1"/>
          <w:szCs w:val="24"/>
        </w:rPr>
        <w:t>1.2.1.4. un 1.2.2.2.</w:t>
      </w:r>
      <w:r w:rsidR="00B95866">
        <w:rPr>
          <w:rFonts w:eastAsia="Times New Roman"/>
          <w:color w:val="000000" w:themeColor="text1"/>
          <w:szCs w:val="24"/>
        </w:rPr>
        <w:t>pasākumu</w:t>
      </w:r>
      <w:r w:rsidR="00BF79D1" w:rsidRPr="00BF79D1">
        <w:rPr>
          <w:szCs w:val="24"/>
        </w:rPr>
        <w:t>)</w:t>
      </w:r>
      <w:r w:rsidR="006E5E4A" w:rsidRPr="00BF79D1">
        <w:rPr>
          <w:szCs w:val="24"/>
        </w:rPr>
        <w:t>,</w:t>
      </w:r>
      <w:r w:rsidR="006E5E4A">
        <w:t xml:space="preserve"> </w:t>
      </w:r>
      <w:r w:rsidRPr="6D25BF40">
        <w:rPr>
          <w:rFonts w:eastAsia="Times New Roman"/>
          <w:color w:val="000000" w:themeColor="text1"/>
          <w:szCs w:val="24"/>
        </w:rPr>
        <w:t>lai veicinātu Latvijas komersantu produktu un pakalpojumu īpatsvaru eksportā, kā arī inovācijas un jaunu produktu veidošanos.</w:t>
      </w:r>
    </w:p>
    <w:p w14:paraId="4BACC5D1" w14:textId="0E1CE349" w:rsidR="00FE5673" w:rsidRPr="00374792" w:rsidRDefault="00BF79D1" w:rsidP="00FE5673">
      <w:pPr>
        <w:spacing w:before="60" w:after="60" w:line="240" w:lineRule="auto"/>
        <w:jc w:val="both"/>
        <w:rPr>
          <w:rFonts w:eastAsia="Times New Roman"/>
          <w:color w:val="000000" w:themeColor="text1"/>
          <w:szCs w:val="24"/>
        </w:rPr>
      </w:pPr>
      <w:r>
        <w:rPr>
          <w:rFonts w:eastAsia="Times New Roman"/>
          <w:color w:val="000000" w:themeColor="text1"/>
          <w:szCs w:val="24"/>
        </w:rPr>
        <w:t xml:space="preserve">Tomēr vistiešākā ietekme ir arī </w:t>
      </w:r>
      <w:r w:rsidR="00FE5673" w:rsidRPr="00374792">
        <w:rPr>
          <w:rFonts w:eastAsia="Times New Roman"/>
          <w:color w:val="000000" w:themeColor="text1"/>
          <w:szCs w:val="24"/>
        </w:rPr>
        <w:t>2020.</w:t>
      </w:r>
      <w:r w:rsidR="00FE5673">
        <w:rPr>
          <w:rFonts w:eastAsia="Times New Roman"/>
          <w:color w:val="000000" w:themeColor="text1"/>
          <w:szCs w:val="24"/>
        </w:rPr>
        <w:t> </w:t>
      </w:r>
      <w:r w:rsidR="00FE5673" w:rsidRPr="00374792">
        <w:rPr>
          <w:rFonts w:eastAsia="Times New Roman"/>
          <w:color w:val="000000" w:themeColor="text1"/>
          <w:szCs w:val="24"/>
        </w:rPr>
        <w:t>gadā</w:t>
      </w:r>
      <w:r>
        <w:rPr>
          <w:rFonts w:eastAsia="Times New Roman"/>
          <w:color w:val="000000" w:themeColor="text1"/>
          <w:szCs w:val="24"/>
        </w:rPr>
        <w:t xml:space="preserve"> īstenotajam atbalstam</w:t>
      </w:r>
      <w:r w:rsidR="00FE5673" w:rsidRPr="00374792">
        <w:rPr>
          <w:rFonts w:eastAsia="Times New Roman"/>
          <w:color w:val="000000" w:themeColor="text1"/>
          <w:szCs w:val="24"/>
        </w:rPr>
        <w:t xml:space="preserve"> </w:t>
      </w:r>
      <w:hyperlink r:id="rId52" w:history="1">
        <w:r w:rsidR="00252C84" w:rsidRPr="00252C84">
          <w:rPr>
            <w:rStyle w:val="Hyperlink"/>
            <w:rFonts w:eastAsia="Times New Roman"/>
            <w:i/>
            <w:iCs/>
            <w:color w:val="00859B"/>
            <w:szCs w:val="24"/>
          </w:rPr>
          <w:t>Starptautiskās konkurētspējas veicināšanas</w:t>
        </w:r>
      </w:hyperlink>
      <w:r w:rsidR="00252C84">
        <w:rPr>
          <w:rFonts w:eastAsia="Times New Roman"/>
          <w:color w:val="000000" w:themeColor="text1"/>
          <w:szCs w:val="24"/>
        </w:rPr>
        <w:t xml:space="preserve"> </w:t>
      </w:r>
      <w:r w:rsidR="00DF78F6" w:rsidRPr="00BF79D1">
        <w:rPr>
          <w:rFonts w:eastAsia="Times New Roman"/>
          <w:color w:val="000000" w:themeColor="text1"/>
          <w:szCs w:val="24"/>
        </w:rPr>
        <w:t xml:space="preserve">pasākuma </w:t>
      </w:r>
      <w:r w:rsidR="00FE5673" w:rsidRPr="00374792">
        <w:rPr>
          <w:rFonts w:eastAsia="Times New Roman"/>
          <w:color w:val="000000" w:themeColor="text1"/>
          <w:szCs w:val="24"/>
        </w:rPr>
        <w:t>ietvaros</w:t>
      </w:r>
      <w:r w:rsidR="00252C84">
        <w:rPr>
          <w:rFonts w:eastAsia="Times New Roman"/>
          <w:color w:val="000000" w:themeColor="text1"/>
          <w:szCs w:val="24"/>
        </w:rPr>
        <w:t xml:space="preserve"> </w:t>
      </w:r>
      <w:r w:rsidR="00252C84" w:rsidRPr="00BF79D1">
        <w:rPr>
          <w:rFonts w:eastAsia="Times New Roman"/>
          <w:color w:val="000000" w:themeColor="text1"/>
          <w:szCs w:val="24"/>
        </w:rPr>
        <w:t>(</w:t>
      </w:r>
      <w:r w:rsidR="00252C84" w:rsidRPr="00BF79D1">
        <w:rPr>
          <w:rFonts w:cs="Times New Roman"/>
          <w:szCs w:val="24"/>
        </w:rPr>
        <w:t xml:space="preserve">skat. </w:t>
      </w:r>
      <w:hyperlink w:anchor="_Pielikums._EM_īstenojamo" w:history="1">
        <w:r w:rsidR="00252C84" w:rsidRPr="00BF79D1">
          <w:rPr>
            <w:rStyle w:val="Hyperlink"/>
            <w:color w:val="00859B"/>
            <w:szCs w:val="24"/>
          </w:rPr>
          <w:t>8.pielikumu</w:t>
        </w:r>
      </w:hyperlink>
      <w:r w:rsidR="00252C84" w:rsidRPr="00BF79D1">
        <w:rPr>
          <w:rStyle w:val="Hyperlink"/>
          <w:color w:val="auto"/>
          <w:szCs w:val="24"/>
          <w:u w:val="none"/>
        </w:rPr>
        <w:t xml:space="preserve">, </w:t>
      </w:r>
      <w:r w:rsidR="00252C84" w:rsidRPr="00BF79D1">
        <w:rPr>
          <w:rFonts w:eastAsia="Times New Roman"/>
          <w:color w:val="000000" w:themeColor="text1"/>
          <w:szCs w:val="24"/>
        </w:rPr>
        <w:t>3.2.1.2.</w:t>
      </w:r>
      <w:r w:rsidR="00252C84">
        <w:rPr>
          <w:rFonts w:eastAsia="Times New Roman"/>
          <w:color w:val="000000" w:themeColor="text1"/>
          <w:szCs w:val="24"/>
        </w:rPr>
        <w:t>pasākumu</w:t>
      </w:r>
      <w:r w:rsidR="00252C84" w:rsidRPr="00BF79D1">
        <w:rPr>
          <w:rFonts w:eastAsia="Times New Roman"/>
          <w:color w:val="000000" w:themeColor="text1"/>
          <w:szCs w:val="24"/>
        </w:rPr>
        <w:t>)</w:t>
      </w:r>
      <w:r w:rsidR="00FE5673">
        <w:rPr>
          <w:rFonts w:eastAsia="Times New Roman"/>
          <w:color w:val="000000" w:themeColor="text1"/>
          <w:szCs w:val="24"/>
        </w:rPr>
        <w:t xml:space="preserve">, mijoties klātienes un neklātienes pasākumiem, ko noteica daudzās valstīs noteiktie </w:t>
      </w:r>
      <w:r w:rsidR="00FE5673" w:rsidRPr="00374792">
        <w:rPr>
          <w:rFonts w:eastAsia="Times New Roman"/>
          <w:color w:val="000000" w:themeColor="text1"/>
          <w:szCs w:val="24"/>
        </w:rPr>
        <w:t xml:space="preserve">Covid-19 </w:t>
      </w:r>
      <w:r w:rsidR="00FE5673">
        <w:rPr>
          <w:rFonts w:eastAsia="Times New Roman"/>
          <w:color w:val="000000" w:themeColor="text1"/>
          <w:szCs w:val="24"/>
        </w:rPr>
        <w:t>infekcijas izplatības ierobežojumi,</w:t>
      </w:r>
      <w:r w:rsidR="00FE5673" w:rsidRPr="00374792">
        <w:rPr>
          <w:rFonts w:eastAsia="Times New Roman"/>
          <w:color w:val="000000" w:themeColor="text1"/>
          <w:szCs w:val="24"/>
        </w:rPr>
        <w:t xml:space="preserve"> Latvijas uzņēmumiem </w:t>
      </w:r>
      <w:r w:rsidR="00FE5673">
        <w:rPr>
          <w:rFonts w:eastAsia="Times New Roman"/>
          <w:color w:val="000000" w:themeColor="text1"/>
          <w:szCs w:val="24"/>
        </w:rPr>
        <w:t xml:space="preserve">tika </w:t>
      </w:r>
      <w:r w:rsidR="00FE5673" w:rsidRPr="00374792">
        <w:rPr>
          <w:rFonts w:eastAsia="Times New Roman"/>
          <w:color w:val="000000" w:themeColor="text1"/>
          <w:szCs w:val="24"/>
        </w:rPr>
        <w:t xml:space="preserve">organizēta dalība 4 nacionālajos stendos (32 dalībnieki), 5 </w:t>
      </w:r>
      <w:r w:rsidR="00FE5673" w:rsidRPr="00374792">
        <w:rPr>
          <w:rFonts w:eastAsia="Times New Roman"/>
          <w:color w:val="000000" w:themeColor="text1"/>
          <w:szCs w:val="24"/>
        </w:rPr>
        <w:lastRenderedPageBreak/>
        <w:t>kopstendos (79</w:t>
      </w:r>
      <w:r w:rsidR="00FE5673">
        <w:rPr>
          <w:rFonts w:eastAsia="Times New Roman"/>
          <w:color w:val="000000" w:themeColor="text1"/>
          <w:szCs w:val="24"/>
        </w:rPr>
        <w:t> </w:t>
      </w:r>
      <w:r w:rsidR="00FE5673" w:rsidRPr="00374792">
        <w:rPr>
          <w:rFonts w:eastAsia="Times New Roman"/>
          <w:color w:val="000000" w:themeColor="text1"/>
          <w:szCs w:val="24"/>
        </w:rPr>
        <w:t>dalībnieki) un 13 tiešsaistes izstādēs, t</w:t>
      </w:r>
      <w:r w:rsidR="00FE5673">
        <w:rPr>
          <w:rFonts w:eastAsia="Times New Roman"/>
          <w:color w:val="000000" w:themeColor="text1"/>
          <w:szCs w:val="24"/>
        </w:rPr>
        <w:t>.</w:t>
      </w:r>
      <w:r w:rsidR="00FE5673" w:rsidRPr="00374792">
        <w:rPr>
          <w:rFonts w:eastAsia="Times New Roman"/>
          <w:color w:val="000000" w:themeColor="text1"/>
          <w:szCs w:val="24"/>
        </w:rPr>
        <w:t>sk</w:t>
      </w:r>
      <w:r w:rsidR="00FE5673">
        <w:rPr>
          <w:rFonts w:eastAsia="Times New Roman"/>
          <w:color w:val="000000" w:themeColor="text1"/>
          <w:szCs w:val="24"/>
        </w:rPr>
        <w:t>.</w:t>
      </w:r>
      <w:r w:rsidR="00FE5673" w:rsidRPr="00374792">
        <w:rPr>
          <w:rFonts w:eastAsia="Times New Roman"/>
          <w:color w:val="000000" w:themeColor="text1"/>
          <w:szCs w:val="24"/>
        </w:rPr>
        <w:t xml:space="preserve"> pārstāvniecīb</w:t>
      </w:r>
      <w:r w:rsidR="00FE5673">
        <w:rPr>
          <w:rFonts w:eastAsia="Times New Roman"/>
          <w:color w:val="000000" w:themeColor="text1"/>
          <w:szCs w:val="24"/>
        </w:rPr>
        <w:t>a</w:t>
      </w:r>
      <w:r w:rsidR="00FE5673" w:rsidRPr="00374792">
        <w:rPr>
          <w:rFonts w:eastAsia="Times New Roman"/>
          <w:color w:val="000000" w:themeColor="text1"/>
          <w:szCs w:val="24"/>
        </w:rPr>
        <w:t xml:space="preserve"> virtuālajos stendos Ķīnā un AAE (36</w:t>
      </w:r>
      <w:r w:rsidR="00FE5673">
        <w:rPr>
          <w:rFonts w:eastAsia="Times New Roman"/>
          <w:color w:val="000000" w:themeColor="text1"/>
          <w:szCs w:val="24"/>
        </w:rPr>
        <w:t> </w:t>
      </w:r>
      <w:r w:rsidR="00FE5673" w:rsidRPr="00374792">
        <w:rPr>
          <w:rFonts w:eastAsia="Times New Roman"/>
          <w:color w:val="000000" w:themeColor="text1"/>
          <w:szCs w:val="24"/>
        </w:rPr>
        <w:t>uzņēmum</w:t>
      </w:r>
      <w:r w:rsidR="00FE5673">
        <w:rPr>
          <w:rFonts w:eastAsia="Times New Roman"/>
          <w:color w:val="000000" w:themeColor="text1"/>
          <w:szCs w:val="24"/>
        </w:rPr>
        <w:t>i</w:t>
      </w:r>
      <w:r w:rsidR="00FE5673" w:rsidRPr="00374792">
        <w:rPr>
          <w:rFonts w:eastAsia="Times New Roman"/>
          <w:color w:val="000000" w:themeColor="text1"/>
          <w:szCs w:val="24"/>
        </w:rPr>
        <w:t>), organizētas 7 virtuālās kontaktbiržas (46 dalībnieki)</w:t>
      </w:r>
      <w:r w:rsidR="00381F89">
        <w:rPr>
          <w:rFonts w:eastAsia="Times New Roman"/>
          <w:color w:val="000000" w:themeColor="text1"/>
          <w:szCs w:val="24"/>
        </w:rPr>
        <w:t xml:space="preserve"> un</w:t>
      </w:r>
      <w:r w:rsidR="00FE5673" w:rsidRPr="00374792">
        <w:rPr>
          <w:rFonts w:eastAsia="Times New Roman"/>
          <w:color w:val="000000" w:themeColor="text1"/>
          <w:szCs w:val="24"/>
        </w:rPr>
        <w:t xml:space="preserve"> 12 tirdzniecības misijas ārvalstīs (32 dalībnieki). Vienlaikus Latvijas uzņēmumiem par ārējās tirdzniecības jautājumiem un biznesa partneru atrašanas iespējām sniegtas 1</w:t>
      </w:r>
      <w:r w:rsidR="00FE5673">
        <w:rPr>
          <w:rFonts w:eastAsia="Times New Roman"/>
          <w:color w:val="000000" w:themeColor="text1"/>
          <w:szCs w:val="24"/>
        </w:rPr>
        <w:t> </w:t>
      </w:r>
      <w:r w:rsidR="00FE5673" w:rsidRPr="00374792">
        <w:rPr>
          <w:rFonts w:eastAsia="Times New Roman"/>
          <w:color w:val="000000" w:themeColor="text1"/>
          <w:szCs w:val="24"/>
        </w:rPr>
        <w:t>340 konsultācijas, apzinātas uzņēmumu problēmas un sniegtas 4</w:t>
      </w:r>
      <w:r w:rsidR="00851A7D">
        <w:rPr>
          <w:rFonts w:eastAsia="Times New Roman"/>
          <w:color w:val="000000" w:themeColor="text1"/>
          <w:szCs w:val="24"/>
        </w:rPr>
        <w:t> </w:t>
      </w:r>
      <w:r w:rsidR="00FE5673" w:rsidRPr="00374792">
        <w:rPr>
          <w:rFonts w:eastAsia="Times New Roman"/>
          <w:color w:val="000000" w:themeColor="text1"/>
          <w:szCs w:val="24"/>
        </w:rPr>
        <w:t>635 konsultācijas par risinājumiem Covid-19 krīzes situācijas pārvarēšanai</w:t>
      </w:r>
      <w:r w:rsidR="00DF78F6">
        <w:rPr>
          <w:rFonts w:eastAsia="Times New Roman"/>
          <w:color w:val="000000" w:themeColor="text1"/>
          <w:szCs w:val="24"/>
        </w:rPr>
        <w:t>. Bija</w:t>
      </w:r>
      <w:r w:rsidR="00FE5673" w:rsidRPr="00374792">
        <w:rPr>
          <w:rFonts w:eastAsia="Times New Roman"/>
          <w:color w:val="000000" w:themeColor="text1"/>
          <w:szCs w:val="24"/>
        </w:rPr>
        <w:t xml:space="preserve"> identificēti 524 eksporta projekti un pieprasījumi</w:t>
      </w:r>
      <w:r w:rsidR="00DF78F6">
        <w:rPr>
          <w:rFonts w:eastAsia="Times New Roman"/>
          <w:color w:val="000000" w:themeColor="text1"/>
          <w:szCs w:val="24"/>
        </w:rPr>
        <w:t>, kā arī</w:t>
      </w:r>
      <w:r w:rsidR="00FE5673" w:rsidRPr="00374792">
        <w:rPr>
          <w:rFonts w:eastAsia="Times New Roman"/>
          <w:color w:val="000000" w:themeColor="text1"/>
          <w:szCs w:val="24"/>
        </w:rPr>
        <w:t xml:space="preserve"> uzsākti 92 eksporta projekti.</w:t>
      </w:r>
    </w:p>
    <w:p w14:paraId="3E2DB19A" w14:textId="7A802883" w:rsidR="00657B38" w:rsidRDefault="00657B38" w:rsidP="00657B38">
      <w:pPr>
        <w:spacing w:before="60" w:after="60" w:line="240" w:lineRule="auto"/>
        <w:jc w:val="both"/>
        <w:rPr>
          <w:rFonts w:eastAsia="Times New Roman"/>
          <w:color w:val="000000" w:themeColor="text1"/>
          <w:szCs w:val="24"/>
        </w:rPr>
      </w:pPr>
      <w:r w:rsidRPr="00374792">
        <w:rPr>
          <w:rFonts w:eastAsia="Times New Roman"/>
          <w:color w:val="000000" w:themeColor="text1"/>
          <w:szCs w:val="24"/>
        </w:rPr>
        <w:t xml:space="preserve">Nozīmīgu darbu eksporta mērķa tirgu attīstībai, ieskaitot tālos tirgus, lai veicinātu Latvijas uzņēmumu eksporta apjomu palielināšanu un jaunu tirgu apgūšanu, ekonomisko jautājumu risināšanai un Latvijas uzņēmēju atbalstam, turpina </w:t>
      </w:r>
      <w:r w:rsidR="00DF78F6">
        <w:rPr>
          <w:rFonts w:eastAsia="Times New Roman"/>
          <w:color w:val="000000" w:themeColor="text1"/>
          <w:szCs w:val="24"/>
        </w:rPr>
        <w:t xml:space="preserve">LIAA </w:t>
      </w:r>
      <w:r w:rsidRPr="00374792">
        <w:rPr>
          <w:rFonts w:eastAsia="Times New Roman"/>
          <w:color w:val="000000" w:themeColor="text1"/>
          <w:szCs w:val="24"/>
        </w:rPr>
        <w:t>Latvijas ārējās ekonomiskās pārstāvniecības</w:t>
      </w:r>
      <w:r w:rsidR="00067695">
        <w:rPr>
          <w:rFonts w:eastAsia="Times New Roman"/>
          <w:color w:val="000000" w:themeColor="text1"/>
          <w:szCs w:val="24"/>
        </w:rPr>
        <w:t>.</w:t>
      </w:r>
      <w:r w:rsidRPr="00374792">
        <w:rPr>
          <w:rFonts w:eastAsia="Times New Roman"/>
          <w:color w:val="000000" w:themeColor="text1"/>
          <w:szCs w:val="24"/>
        </w:rPr>
        <w:t xml:space="preserve"> 2020.</w:t>
      </w:r>
      <w:r w:rsidR="00067695">
        <w:rPr>
          <w:rFonts w:eastAsia="Times New Roman"/>
          <w:color w:val="000000" w:themeColor="text1"/>
          <w:szCs w:val="24"/>
        </w:rPr>
        <w:t> </w:t>
      </w:r>
      <w:r w:rsidRPr="00374792">
        <w:rPr>
          <w:rFonts w:eastAsia="Times New Roman"/>
          <w:color w:val="000000" w:themeColor="text1"/>
          <w:szCs w:val="24"/>
        </w:rPr>
        <w:t xml:space="preserve">gadā </w:t>
      </w:r>
      <w:r w:rsidR="00067695">
        <w:rPr>
          <w:rFonts w:eastAsia="Times New Roman"/>
          <w:color w:val="000000" w:themeColor="text1"/>
          <w:szCs w:val="24"/>
        </w:rPr>
        <w:t xml:space="preserve">tika </w:t>
      </w:r>
      <w:r w:rsidRPr="00374792">
        <w:rPr>
          <w:rFonts w:eastAsia="Times New Roman"/>
          <w:color w:val="000000" w:themeColor="text1"/>
          <w:szCs w:val="24"/>
        </w:rPr>
        <w:t xml:space="preserve">nodrošināta ārējo ekonomisko pārstāvniecību </w:t>
      </w:r>
      <w:r w:rsidR="00067695">
        <w:rPr>
          <w:rFonts w:eastAsia="Times New Roman"/>
          <w:color w:val="000000" w:themeColor="text1"/>
          <w:szCs w:val="24"/>
        </w:rPr>
        <w:t xml:space="preserve">(kopā 20) </w:t>
      </w:r>
      <w:r w:rsidRPr="00374792">
        <w:rPr>
          <w:rFonts w:eastAsia="Times New Roman"/>
          <w:color w:val="000000" w:themeColor="text1"/>
          <w:szCs w:val="24"/>
        </w:rPr>
        <w:t>tīkla darbība</w:t>
      </w:r>
      <w:r w:rsidR="00067695">
        <w:rPr>
          <w:rFonts w:eastAsia="Times New Roman"/>
          <w:color w:val="000000" w:themeColor="text1"/>
          <w:szCs w:val="24"/>
        </w:rPr>
        <w:t>,</w:t>
      </w:r>
      <w:r w:rsidRPr="00374792">
        <w:rPr>
          <w:rFonts w:eastAsia="Times New Roman"/>
          <w:color w:val="000000" w:themeColor="text1"/>
          <w:szCs w:val="24"/>
        </w:rPr>
        <w:t xml:space="preserve"> veiktas izmaiņas pārstāvniecību tīklā </w:t>
      </w:r>
      <w:r w:rsidR="00067695">
        <w:rPr>
          <w:rFonts w:eastAsia="Times New Roman"/>
          <w:color w:val="000000" w:themeColor="text1"/>
          <w:szCs w:val="24"/>
        </w:rPr>
        <w:t>un</w:t>
      </w:r>
      <w:r w:rsidRPr="00374792">
        <w:rPr>
          <w:rFonts w:eastAsia="Times New Roman"/>
          <w:color w:val="000000" w:themeColor="text1"/>
          <w:szCs w:val="24"/>
        </w:rPr>
        <w:t xml:space="preserve"> slēgtas pārstāvniecības Vācijā (Frankfurtē), Itālijā, Kazahstānā, Singapūrā, </w:t>
      </w:r>
      <w:r w:rsidR="00067695">
        <w:rPr>
          <w:rFonts w:eastAsia="Times New Roman"/>
          <w:color w:val="000000" w:themeColor="text1"/>
          <w:szCs w:val="24"/>
        </w:rPr>
        <w:t xml:space="preserve">savukārt ir </w:t>
      </w:r>
      <w:r w:rsidRPr="00374792">
        <w:rPr>
          <w:rFonts w:eastAsia="Times New Roman"/>
          <w:color w:val="000000" w:themeColor="text1"/>
          <w:szCs w:val="24"/>
        </w:rPr>
        <w:t>izveidotas jaun</w:t>
      </w:r>
      <w:r w:rsidR="00067695">
        <w:rPr>
          <w:rFonts w:eastAsia="Times New Roman"/>
          <w:color w:val="000000" w:themeColor="text1"/>
          <w:szCs w:val="24"/>
        </w:rPr>
        <w:t>as</w:t>
      </w:r>
      <w:r w:rsidRPr="00374792">
        <w:rPr>
          <w:rFonts w:eastAsia="Times New Roman"/>
          <w:color w:val="000000" w:themeColor="text1"/>
          <w:szCs w:val="24"/>
        </w:rPr>
        <w:t xml:space="preserve"> pārstāvniecīb</w:t>
      </w:r>
      <w:r w:rsidR="00067695">
        <w:rPr>
          <w:rFonts w:eastAsia="Times New Roman"/>
          <w:color w:val="000000" w:themeColor="text1"/>
          <w:szCs w:val="24"/>
        </w:rPr>
        <w:t>as</w:t>
      </w:r>
      <w:r w:rsidRPr="00374792">
        <w:rPr>
          <w:rFonts w:eastAsia="Times New Roman"/>
          <w:color w:val="000000" w:themeColor="text1"/>
          <w:szCs w:val="24"/>
        </w:rPr>
        <w:t xml:space="preserve"> – Beļģijā, ASV (Bostonā), Dienvidkorejā, Austrijā.</w:t>
      </w:r>
    </w:p>
    <w:p w14:paraId="675AD50E" w14:textId="4A7B8858" w:rsidR="00E72DE0" w:rsidRPr="00BD5C6D" w:rsidRDefault="00E72DE0" w:rsidP="00E72DE0">
      <w:pPr>
        <w:spacing w:before="60" w:after="60" w:line="240" w:lineRule="auto"/>
        <w:jc w:val="both"/>
        <w:rPr>
          <w:szCs w:val="24"/>
        </w:rPr>
      </w:pPr>
      <w:r w:rsidRPr="31632AEF">
        <w:rPr>
          <w:szCs w:val="24"/>
        </w:rPr>
        <w:t>2020.</w:t>
      </w:r>
      <w:r>
        <w:rPr>
          <w:szCs w:val="24"/>
        </w:rPr>
        <w:t> </w:t>
      </w:r>
      <w:r w:rsidRPr="31632AEF">
        <w:rPr>
          <w:szCs w:val="24"/>
        </w:rPr>
        <w:t xml:space="preserve">gadā bija plānots aizvadīt vienu no nozīmīgākajiem eksporta veicināšanas pasākumiem ar Latvijas dalību starptautiskajā izstādē </w:t>
      </w:r>
      <w:r w:rsidRPr="31632AEF">
        <w:rPr>
          <w:i/>
          <w:szCs w:val="24"/>
        </w:rPr>
        <w:t>EXPO 2020 Dubai</w:t>
      </w:r>
      <w:r w:rsidRPr="31632AEF">
        <w:rPr>
          <w:szCs w:val="24"/>
        </w:rPr>
        <w:t xml:space="preserve">, kura pusgada garumā </w:t>
      </w:r>
      <w:r>
        <w:rPr>
          <w:szCs w:val="24"/>
        </w:rPr>
        <w:t xml:space="preserve">paredzēja </w:t>
      </w:r>
      <w:r w:rsidRPr="31632AEF">
        <w:rPr>
          <w:szCs w:val="24"/>
        </w:rPr>
        <w:t>pulcē</w:t>
      </w:r>
      <w:r>
        <w:rPr>
          <w:szCs w:val="24"/>
        </w:rPr>
        <w:t>t</w:t>
      </w:r>
      <w:r w:rsidRPr="31632AEF">
        <w:rPr>
          <w:szCs w:val="24"/>
        </w:rPr>
        <w:t xml:space="preserve"> gandrīz visas pasaules valstis, to uzņēmumus un institūcijas ar mērķi veidot sadarbību dažādās jomās. Diemžēl šo izstādi Covid-19 pandēmijas izraisīto risku dēļ pārcēla uz 2021.</w:t>
      </w:r>
      <w:r>
        <w:rPr>
          <w:szCs w:val="24"/>
        </w:rPr>
        <w:t> </w:t>
      </w:r>
      <w:r w:rsidRPr="31632AEF">
        <w:rPr>
          <w:szCs w:val="24"/>
        </w:rPr>
        <w:t xml:space="preserve">gadu. </w:t>
      </w:r>
      <w:r>
        <w:rPr>
          <w:szCs w:val="24"/>
        </w:rPr>
        <w:t>EM sadarbībā ar</w:t>
      </w:r>
      <w:r w:rsidRPr="31632AEF">
        <w:rPr>
          <w:szCs w:val="24"/>
        </w:rPr>
        <w:t xml:space="preserve"> LI</w:t>
      </w:r>
      <w:r>
        <w:rPr>
          <w:szCs w:val="24"/>
        </w:rPr>
        <w:t>AA</w:t>
      </w:r>
      <w:r w:rsidR="00F94733">
        <w:rPr>
          <w:szCs w:val="24"/>
        </w:rPr>
        <w:t xml:space="preserve"> </w:t>
      </w:r>
      <w:r w:rsidR="00E072EA">
        <w:rPr>
          <w:szCs w:val="24"/>
        </w:rPr>
        <w:t>turpina</w:t>
      </w:r>
      <w:r w:rsidRPr="31632AEF">
        <w:rPr>
          <w:szCs w:val="24"/>
        </w:rPr>
        <w:t xml:space="preserve"> strādā</w:t>
      </w:r>
      <w:r w:rsidR="00E072EA">
        <w:rPr>
          <w:szCs w:val="24"/>
        </w:rPr>
        <w:t>t</w:t>
      </w:r>
      <w:r w:rsidRPr="31632AEF">
        <w:rPr>
          <w:szCs w:val="24"/>
        </w:rPr>
        <w:t>, lai organizētu Latvijas dalību izst</w:t>
      </w:r>
      <w:r w:rsidR="00E072EA">
        <w:rPr>
          <w:szCs w:val="24"/>
        </w:rPr>
        <w:t>ā</w:t>
      </w:r>
      <w:r w:rsidRPr="31632AEF">
        <w:rPr>
          <w:szCs w:val="24"/>
        </w:rPr>
        <w:t>dē, tādejādi veicinot eksporta attīstību un ārvalstu investīciju piesaisti Latvijā.</w:t>
      </w:r>
    </w:p>
    <w:p w14:paraId="17ACBA78" w14:textId="77777777" w:rsidR="005E2268" w:rsidRDefault="004B7384" w:rsidP="00C0521A">
      <w:pPr>
        <w:spacing w:before="60" w:after="60" w:line="240" w:lineRule="auto"/>
        <w:jc w:val="both"/>
      </w:pPr>
      <w:r>
        <w:t>Savukārt, t</w:t>
      </w:r>
      <w:r w:rsidR="00416588" w:rsidRPr="00416588">
        <w:t>iešā veidā sniedzot atbalstu Covid-19 krīzes skartajiem preču un pakalpojumu eksportētājiem krīzes seku pārvarēšanai</w:t>
      </w:r>
      <w:r>
        <w:t>,</w:t>
      </w:r>
      <w:r w:rsidR="00416588" w:rsidRPr="00416588">
        <w:t xml:space="preserve"> 2020. gadā EM </w:t>
      </w:r>
      <w:r w:rsidR="00A3611B">
        <w:t xml:space="preserve">paredzēja </w:t>
      </w:r>
      <w:r w:rsidR="00A3611B" w:rsidRPr="00416588">
        <w:t>nodrošinā</w:t>
      </w:r>
      <w:r w:rsidR="00A3611B">
        <w:t>t</w:t>
      </w:r>
      <w:r w:rsidR="00A3611B" w:rsidRPr="00416588">
        <w:t xml:space="preserve"> </w:t>
      </w:r>
      <w:r w:rsidR="00416588" w:rsidRPr="00416588">
        <w:rPr>
          <w:rFonts w:eastAsia="Times New Roman" w:cs="Times New Roman"/>
          <w:b/>
          <w:bCs/>
          <w:color w:val="00859B"/>
          <w:szCs w:val="24"/>
          <w:lang w:eastAsia="lv-LV"/>
        </w:rPr>
        <w:t>eksportējošu uzņēmumu atbalsta pasākumu</w:t>
      </w:r>
      <w:r w:rsidR="00416588" w:rsidRPr="00416588">
        <w:t xml:space="preserve"> īstenošanu</w:t>
      </w:r>
      <w:r w:rsidR="00A3611B">
        <w:t xml:space="preserve">. Pārskata periodā tika </w:t>
      </w:r>
      <w:r w:rsidR="00416588" w:rsidRPr="00C0521A">
        <w:t>sniegtas eksporta kredītu garantijas</w:t>
      </w:r>
      <w:r w:rsidR="003A504F" w:rsidRPr="00C0521A">
        <w:t xml:space="preserve"> </w:t>
      </w:r>
      <w:r w:rsidR="00416588" w:rsidRPr="002C6C35">
        <w:t>eksportējošiem uzņēmumiem neatkarīgi no uzņēmuma lieluma un eksporta valsts (</w:t>
      </w:r>
      <w:r w:rsidR="00416588" w:rsidRPr="00A3611B">
        <w:t>programmu īsteno ALTUM</w:t>
      </w:r>
      <w:r w:rsidR="00416588" w:rsidRPr="00C0521A">
        <w:t>)</w:t>
      </w:r>
      <w:r w:rsidR="00C0521A" w:rsidRPr="00C0521A">
        <w:t xml:space="preserve">, </w:t>
      </w:r>
      <w:r w:rsidR="00C0521A" w:rsidRPr="002514A3">
        <w:rPr>
          <w:rFonts w:eastAsia="Times New Roman" w:cs="Times New Roman"/>
          <w:lang w:eastAsia="lv-LV"/>
        </w:rPr>
        <w:t>atmaksājot no ES fondu līdzekļiem 3,5 milj. </w:t>
      </w:r>
      <w:r w:rsidR="00C0521A" w:rsidRPr="00C0521A">
        <w:rPr>
          <w:rFonts w:eastAsia="Times New Roman" w:cs="Times New Roman"/>
          <w:i/>
          <w:iCs/>
          <w:lang w:eastAsia="lv-LV"/>
        </w:rPr>
        <w:t>euro</w:t>
      </w:r>
      <w:r w:rsidR="00C0521A" w:rsidRPr="00C0521A">
        <w:rPr>
          <w:rFonts w:eastAsia="Times New Roman" w:cs="Times New Roman"/>
          <w:lang w:eastAsia="lv-LV"/>
        </w:rPr>
        <w:t>,</w:t>
      </w:r>
      <w:r w:rsidR="00C0521A" w:rsidRPr="005E2268">
        <w:rPr>
          <w:rFonts w:eastAsia="Times New Roman" w:cs="Times New Roman"/>
          <w:lang w:eastAsia="lv-LV"/>
        </w:rPr>
        <w:t xml:space="preserve"> </w:t>
      </w:r>
      <w:r w:rsidR="00C0521A" w:rsidRPr="002514A3">
        <w:rPr>
          <w:rFonts w:eastAsia="Times New Roman" w:cs="Times New Roman"/>
          <w:lang w:eastAsia="lv-LV"/>
        </w:rPr>
        <w:t xml:space="preserve">pamatojoties uz 451 deklarāciju par </w:t>
      </w:r>
      <w:r w:rsidR="00C0521A" w:rsidRPr="00C0521A">
        <w:rPr>
          <w:rFonts w:cs="Times New Roman"/>
        </w:rPr>
        <w:t xml:space="preserve">deklarētu vai jau notikušo darījumu apjomu 47,2 milj. </w:t>
      </w:r>
      <w:r w:rsidR="00C0521A" w:rsidRPr="002514A3">
        <w:rPr>
          <w:rFonts w:cs="Times New Roman"/>
          <w:i/>
          <w:iCs/>
        </w:rPr>
        <w:t>euro</w:t>
      </w:r>
      <w:r w:rsidR="00C0521A" w:rsidRPr="00C0521A">
        <w:rPr>
          <w:rFonts w:cs="Times New Roman"/>
        </w:rPr>
        <w:t xml:space="preserve"> apmērā.</w:t>
      </w:r>
      <w:r w:rsidR="00C0521A" w:rsidRPr="00C0521A">
        <w:t xml:space="preserve"> </w:t>
      </w:r>
    </w:p>
    <w:p w14:paraId="4980ECBC" w14:textId="2E532035" w:rsidR="00416588" w:rsidRPr="00C0521A" w:rsidRDefault="00C0521A" w:rsidP="00C0521A">
      <w:pPr>
        <w:spacing w:before="60" w:after="60" w:line="240" w:lineRule="auto"/>
        <w:jc w:val="both"/>
        <w:rPr>
          <w:rFonts w:cs="Times New Roman"/>
          <w:lang w:eastAsia="lv-LV"/>
        </w:rPr>
      </w:pPr>
      <w:r w:rsidRPr="00C0521A">
        <w:t xml:space="preserve">Tika plānots sniegt garantijas lielajiem </w:t>
      </w:r>
      <w:r w:rsidR="005E2268">
        <w:t xml:space="preserve">eksportējošiem </w:t>
      </w:r>
      <w:r w:rsidRPr="00C0521A">
        <w:t>komersantiem</w:t>
      </w:r>
      <w:r w:rsidRPr="002514A3">
        <w:t xml:space="preserve">, kuru darbību </w:t>
      </w:r>
      <w:r w:rsidRPr="00C0521A">
        <w:rPr>
          <w:color w:val="000000" w:themeColor="text1"/>
        </w:rPr>
        <w:t>ietekmējusi Covid-19 izplatī</w:t>
      </w:r>
      <w:r w:rsidRPr="00416588">
        <w:rPr>
          <w:color w:val="000000" w:themeColor="text1"/>
        </w:rPr>
        <w:t>ba, to īstenošanai programmas</w:t>
      </w:r>
      <w:r>
        <w:rPr>
          <w:rStyle w:val="FootnoteReference"/>
          <w:color w:val="000000" w:themeColor="text1"/>
        </w:rPr>
        <w:footnoteReference w:id="14"/>
      </w:r>
      <w:r w:rsidRPr="00416588">
        <w:rPr>
          <w:color w:val="000000" w:themeColor="text1"/>
        </w:rPr>
        <w:t xml:space="preserve"> ietvaros paredzēts 20 milj. </w:t>
      </w:r>
      <w:r w:rsidRPr="00416588">
        <w:rPr>
          <w:i/>
          <w:iCs/>
          <w:color w:val="000000" w:themeColor="text1"/>
        </w:rPr>
        <w:t>euro</w:t>
      </w:r>
      <w:r w:rsidRPr="00416588">
        <w:rPr>
          <w:color w:val="000000" w:themeColor="text1"/>
        </w:rPr>
        <w:t xml:space="preserve"> valsts budžeta </w:t>
      </w:r>
      <w:r w:rsidRPr="002C6C35">
        <w:rPr>
          <w:color w:val="000000" w:themeColor="text1"/>
        </w:rPr>
        <w:t>finansējums.</w:t>
      </w:r>
      <w:r w:rsidR="002514A3">
        <w:rPr>
          <w:color w:val="000000" w:themeColor="text1"/>
        </w:rPr>
        <w:t xml:space="preserve"> Tomēr </w:t>
      </w:r>
      <w:r w:rsidR="005E2268">
        <w:rPr>
          <w:color w:val="000000" w:themeColor="text1"/>
        </w:rPr>
        <w:t xml:space="preserve">vēlāk šīs </w:t>
      </w:r>
      <w:r w:rsidR="002514A3">
        <w:rPr>
          <w:color w:val="000000" w:themeColor="text1"/>
        </w:rPr>
        <w:t>programma</w:t>
      </w:r>
      <w:r w:rsidR="00802FC5">
        <w:rPr>
          <w:color w:val="000000" w:themeColor="text1"/>
        </w:rPr>
        <w:t>s īstenošana</w:t>
      </w:r>
      <w:r w:rsidR="002514A3">
        <w:rPr>
          <w:color w:val="000000" w:themeColor="text1"/>
        </w:rPr>
        <w:t xml:space="preserve"> tika atcelta</w:t>
      </w:r>
      <w:r w:rsidR="002514A3">
        <w:rPr>
          <w:rStyle w:val="FootnoteReference"/>
          <w:color w:val="000000" w:themeColor="text1"/>
        </w:rPr>
        <w:footnoteReference w:id="15"/>
      </w:r>
      <w:r w:rsidR="005E2268">
        <w:rPr>
          <w:color w:val="000000" w:themeColor="text1"/>
        </w:rPr>
        <w:t xml:space="preserve">, </w:t>
      </w:r>
      <w:r w:rsidR="005E2268" w:rsidRPr="00874DB1">
        <w:rPr>
          <w:rFonts w:eastAsia="Times New Roman" w:cs="Times New Roman"/>
          <w:iCs/>
          <w:szCs w:val="24"/>
          <w:lang w:eastAsia="lv-LV"/>
        </w:rPr>
        <w:t xml:space="preserve">lai </w:t>
      </w:r>
      <w:r w:rsidR="005E2268" w:rsidRPr="00874DB1">
        <w:rPr>
          <w:rFonts w:eastAsia="Calibri" w:cs="Times New Roman"/>
          <w:color w:val="000000" w:themeColor="text1"/>
          <w:szCs w:val="24"/>
        </w:rPr>
        <w:t xml:space="preserve">nodrošinātu </w:t>
      </w:r>
      <w:r w:rsidR="005E2268" w:rsidRPr="00874DB1">
        <w:rPr>
          <w:rFonts w:eastAsia="Times New Roman" w:cs="Times New Roman"/>
          <w:iCs/>
          <w:szCs w:val="24"/>
          <w:lang w:eastAsia="lv-LV"/>
        </w:rPr>
        <w:t>finansējuma pārdali no krīzes garantiju programmas uz aizdevumu programmu - aizdevumi</w:t>
      </w:r>
      <w:r w:rsidR="005E2268">
        <w:rPr>
          <w:rFonts w:eastAsia="Times New Roman" w:cs="Times New Roman"/>
          <w:iCs/>
          <w:szCs w:val="24"/>
          <w:lang w:eastAsia="lv-LV"/>
        </w:rPr>
        <w:t>em</w:t>
      </w:r>
      <w:r w:rsidR="005E2268" w:rsidRPr="00874DB1">
        <w:rPr>
          <w:rFonts w:eastAsia="Times New Roman" w:cs="Times New Roman"/>
          <w:iCs/>
          <w:szCs w:val="24"/>
          <w:lang w:eastAsia="lv-LV"/>
        </w:rPr>
        <w:t xml:space="preserve"> ar kapitāla atlaidi investīciju projektiem komersantiem konkurētspējas veicināšanai</w:t>
      </w:r>
    </w:p>
    <w:p w14:paraId="0669E060" w14:textId="32FAE974" w:rsidR="004B7384" w:rsidRPr="004B7384" w:rsidRDefault="004B7384" w:rsidP="002514A3">
      <w:pPr>
        <w:spacing w:before="60" w:after="60" w:line="240" w:lineRule="auto"/>
        <w:jc w:val="both"/>
        <w:rPr>
          <w:color w:val="000000" w:themeColor="text1"/>
        </w:rPr>
      </w:pPr>
      <w:r w:rsidRPr="004B7384">
        <w:rPr>
          <w:color w:val="000000" w:themeColor="text1"/>
        </w:rPr>
        <w:t xml:space="preserve">Īpaši akcentējot eksporta atbalstu ārkārtējos apstākļos, lai mazinātu Covid-19 izraisīto krīzi, līdztekus iepriekšminētajiem atbalsta instrumentiem, jāuzsver pārskata periodā izveidotā </w:t>
      </w:r>
      <w:r w:rsidRPr="004B7384">
        <w:rPr>
          <w:b/>
          <w:bCs/>
          <w:color w:val="00859B"/>
        </w:rPr>
        <w:t>atbalsta programma eksportējošo uzņēmumu darbinieku algu kompensācijai</w:t>
      </w:r>
      <w:r w:rsidRPr="004B7384">
        <w:rPr>
          <w:color w:val="000000" w:themeColor="text1"/>
        </w:rPr>
        <w:t>. Programma</w:t>
      </w:r>
      <w:r>
        <w:rPr>
          <w:rStyle w:val="FootnoteReference"/>
          <w:rFonts w:eastAsia="Times New Roman"/>
          <w:color w:val="000000" w:themeColor="text1"/>
          <w:szCs w:val="24"/>
        </w:rPr>
        <w:footnoteReference w:id="16"/>
      </w:r>
      <w:r w:rsidRPr="004B7384">
        <w:rPr>
          <w:color w:val="000000" w:themeColor="text1"/>
        </w:rPr>
        <w:t xml:space="preserve"> tika īstenota sadarbībā ar LIAA, veidojot nozīmīgu atspaidu eksportējošo uzņēmumu esošo darbinieku noturēšanai un darba vietu saglabāšanai. Pārskata periodā tika apstiprināti 260 iesniegumi ar kopējo izmaksāto atbalsta summu </w:t>
      </w:r>
      <w:r w:rsidR="00C0521A" w:rsidRPr="004B7384">
        <w:rPr>
          <w:color w:val="000000" w:themeColor="text1"/>
        </w:rPr>
        <w:t>30</w:t>
      </w:r>
      <w:r w:rsidR="00C0521A">
        <w:rPr>
          <w:color w:val="000000" w:themeColor="text1"/>
        </w:rPr>
        <w:t>,4</w:t>
      </w:r>
      <w:r w:rsidRPr="004B7384">
        <w:rPr>
          <w:color w:val="000000" w:themeColor="text1"/>
        </w:rPr>
        <w:t xml:space="preserve"> </w:t>
      </w:r>
      <w:r w:rsidR="00C0521A">
        <w:rPr>
          <w:color w:val="000000" w:themeColor="text1"/>
        </w:rPr>
        <w:t xml:space="preserve">milj. </w:t>
      </w:r>
      <w:r w:rsidRPr="004B7384">
        <w:rPr>
          <w:i/>
          <w:iCs/>
          <w:color w:val="000000" w:themeColor="text1"/>
        </w:rPr>
        <w:t>euro</w:t>
      </w:r>
      <w:r w:rsidRPr="004B7384">
        <w:rPr>
          <w:color w:val="000000" w:themeColor="text1"/>
        </w:rPr>
        <w:t xml:space="preserve"> apmērā.</w:t>
      </w:r>
    </w:p>
    <w:p w14:paraId="26D17FF2" w14:textId="77777777" w:rsidR="00AA6137" w:rsidRPr="00F5511B" w:rsidRDefault="00AA6137"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3D746D" w:rsidRPr="00F5511B" w14:paraId="2705DD8B" w14:textId="77777777" w:rsidTr="00332293">
        <w:tc>
          <w:tcPr>
            <w:tcW w:w="9628" w:type="dxa"/>
            <w:tcBorders>
              <w:top w:val="nil"/>
              <w:left w:val="nil"/>
              <w:bottom w:val="nil"/>
              <w:right w:val="nil"/>
            </w:tcBorders>
            <w:shd w:val="clear" w:color="auto" w:fill="31849B" w:themeFill="accent5" w:themeFillShade="BF"/>
          </w:tcPr>
          <w:p w14:paraId="4E261BD0" w14:textId="0CB3FC16" w:rsidR="003D746D" w:rsidRPr="000862DE" w:rsidRDefault="000862DE" w:rsidP="00BE6C4B">
            <w:pPr>
              <w:pStyle w:val="Heading2"/>
              <w:numPr>
                <w:ilvl w:val="1"/>
                <w:numId w:val="16"/>
              </w:numPr>
              <w:spacing w:before="120" w:after="120"/>
              <w:ind w:left="357" w:hanging="357"/>
              <w:jc w:val="both"/>
              <w:rPr>
                <w:szCs w:val="24"/>
                <w:lang w:val="lv-LV"/>
              </w:rPr>
            </w:pPr>
            <w:bookmarkStart w:id="36" w:name="_Toc78874601"/>
            <w:r w:rsidRPr="000862DE">
              <w:rPr>
                <w:rFonts w:ascii="Times New Roman" w:hAnsi="Times New Roman" w:cs="Times New Roman"/>
                <w:szCs w:val="24"/>
                <w:lang w:val="lv-LV"/>
              </w:rPr>
              <w:t>Atbalsts Covid-19 krīzes skartajiem tūrisma nozares saimnieciskās darbības veicējiem</w:t>
            </w:r>
            <w:bookmarkEnd w:id="36"/>
          </w:p>
        </w:tc>
      </w:tr>
    </w:tbl>
    <w:p w14:paraId="2710F550" w14:textId="38FB8C6E" w:rsidR="00626D37" w:rsidRDefault="00DB3B71" w:rsidP="00041B97">
      <w:pPr>
        <w:spacing w:before="120" w:after="60" w:line="240" w:lineRule="auto"/>
        <w:jc w:val="both"/>
        <w:rPr>
          <w:rFonts w:eastAsia="Times New Roman" w:cs="Times New Roman"/>
          <w:szCs w:val="24"/>
        </w:rPr>
      </w:pPr>
      <w:r w:rsidRPr="00DB3B71">
        <w:t>Pārskata periodā īpaši ir jā</w:t>
      </w:r>
      <w:r w:rsidR="00CD73AB">
        <w:t>uzsver</w:t>
      </w:r>
      <w:r w:rsidR="005A4804">
        <w:t xml:space="preserve"> </w:t>
      </w:r>
      <w:r w:rsidRPr="00DB3B71">
        <w:rPr>
          <w:rFonts w:cs="Times New Roman"/>
          <w:szCs w:val="24"/>
        </w:rPr>
        <w:t xml:space="preserve">sniegtais </w:t>
      </w:r>
      <w:r>
        <w:rPr>
          <w:rFonts w:cs="Times New Roman"/>
          <w:szCs w:val="24"/>
        </w:rPr>
        <w:t>a</w:t>
      </w:r>
      <w:r w:rsidRPr="00DB3B71">
        <w:rPr>
          <w:rFonts w:cs="Times New Roman"/>
          <w:szCs w:val="24"/>
        </w:rPr>
        <w:t>tbalsts Covid-19 krīzes skartajiem tūrisma nozares saimnieciskās darbības veicējiem</w:t>
      </w:r>
      <w:r w:rsidR="00A26250">
        <w:rPr>
          <w:rFonts w:cs="Times New Roman"/>
          <w:szCs w:val="24"/>
        </w:rPr>
        <w:t>.</w:t>
      </w:r>
      <w:r w:rsidR="005A4804">
        <w:rPr>
          <w:rFonts w:cs="Times New Roman"/>
          <w:szCs w:val="24"/>
        </w:rPr>
        <w:t xml:space="preserve"> </w:t>
      </w:r>
      <w:r w:rsidR="00626D37">
        <w:t xml:space="preserve">Latvijā Covid-19 ierobežojošie pasākumi jo īpaši negatīvi ietekmēja tūrisma, restorānu un ēdināšanas sektora, izklaides, pasākumu rīkošanas u.c. pakalpojumu sniedzējus. Tieši Covid-19 skarto nozaru pievienotā vērtība veido gandrīz 800 milj. </w:t>
      </w:r>
      <w:r w:rsidR="00626D37" w:rsidRPr="00626D37">
        <w:rPr>
          <w:i/>
          <w:iCs/>
        </w:rPr>
        <w:t>euro</w:t>
      </w:r>
      <w:r w:rsidR="00626D37">
        <w:t xml:space="preserve"> </w:t>
      </w:r>
      <w:r w:rsidR="002514A3">
        <w:t xml:space="preserve">- </w:t>
      </w:r>
      <w:r w:rsidR="00626D37">
        <w:t>2,9 % no IKP</w:t>
      </w:r>
      <w:r w:rsidR="005A4804">
        <w:t xml:space="preserve">. </w:t>
      </w:r>
      <w:r w:rsidR="00626D37" w:rsidRPr="00626D37">
        <w:t xml:space="preserve">2019. gadā </w:t>
      </w:r>
      <w:r w:rsidR="00626D37" w:rsidRPr="00626D37">
        <w:rPr>
          <w:rFonts w:eastAsia="Times New Roman" w:cs="Times New Roman"/>
          <w:szCs w:val="24"/>
        </w:rPr>
        <w:t>tūrisma nozare Latvijā veidoja 4,3% no IKP</w:t>
      </w:r>
      <w:r w:rsidR="00626D37">
        <w:t xml:space="preserve">. Lai arī </w:t>
      </w:r>
      <w:r w:rsidR="00626D37" w:rsidRPr="00626D37">
        <w:t xml:space="preserve">2020. gadā Latvijas tūristu </w:t>
      </w:r>
      <w:r w:rsidR="00626D37" w:rsidRPr="00626D37">
        <w:lastRenderedPageBreak/>
        <w:t xml:space="preserve">mītnēs </w:t>
      </w:r>
      <w:r w:rsidR="00626D37">
        <w:t xml:space="preserve">tika </w:t>
      </w:r>
      <w:r w:rsidR="00626D37" w:rsidRPr="00626D37">
        <w:t xml:space="preserve">apkalpoti 1,46 milj. ārvalstu un vietējo viesu, </w:t>
      </w:r>
      <w:r w:rsidR="00626D37">
        <w:t>taču t</w:t>
      </w:r>
      <w:r w:rsidR="00626D37" w:rsidRPr="00626D37">
        <w:t xml:space="preserve">as </w:t>
      </w:r>
      <w:r w:rsidR="005A4804">
        <w:t>bija</w:t>
      </w:r>
      <w:r w:rsidR="005A4804" w:rsidRPr="00626D37">
        <w:t xml:space="preserve"> </w:t>
      </w:r>
      <w:r w:rsidR="00626D37" w:rsidRPr="00626D37">
        <w:t>par 48,7 % mazāk nekā 2019. gadā un ir zemākais rādītājs pēdējo desmit gadu laikā</w:t>
      </w:r>
      <w:r w:rsidR="00626D37">
        <w:t xml:space="preserve">, </w:t>
      </w:r>
      <w:r w:rsidR="002514A3">
        <w:t xml:space="preserve">kā to </w:t>
      </w:r>
      <w:r w:rsidR="00626D37">
        <w:t>liecina CSP dati</w:t>
      </w:r>
      <w:r w:rsidR="00626D37">
        <w:rPr>
          <w:rStyle w:val="FootnoteReference"/>
        </w:rPr>
        <w:footnoteReference w:id="17"/>
      </w:r>
      <w:r w:rsidR="00626D37">
        <w:t xml:space="preserve">. Viesi tūristu mītnēs pavadīja 2,89 milj. nakšu (par 47,6 % mazāk, salīdzinot ar </w:t>
      </w:r>
      <w:r w:rsidR="0069564E">
        <w:t xml:space="preserve">2019.gadu </w:t>
      </w:r>
      <w:r w:rsidR="00626D37">
        <w:t>gadu). 2020. gadā tūristu mītnēs tika apkalpoti 715 tūkst. ārvalstu viesu (par 63,3 % mazāk nekā 2019. gadā). To pavadīto nakšu skaits bija 1,5 milj., sasniedzot kritumu par 60,9%</w:t>
      </w:r>
      <w:r w:rsidR="001E7FE2" w:rsidRPr="00626D37">
        <w:rPr>
          <w:rFonts w:eastAsia="Times New Roman" w:cs="Times New Roman"/>
          <w:szCs w:val="24"/>
        </w:rPr>
        <w:t>.</w:t>
      </w:r>
      <w:r w:rsidR="0069564E">
        <w:rPr>
          <w:rFonts w:eastAsia="Times New Roman" w:cs="Times New Roman"/>
          <w:szCs w:val="24"/>
        </w:rPr>
        <w:t xml:space="preserve"> </w:t>
      </w:r>
      <w:r w:rsidR="00626D37">
        <w:t xml:space="preserve">Kopējie ceļotāju izdevumi Latvijā 2020. gadā salīdzinot ar 2019. gadu samazinājās par 70% un veidoja tikai 240 milj. </w:t>
      </w:r>
      <w:r w:rsidR="00626D37" w:rsidRPr="00626D37">
        <w:rPr>
          <w:i/>
          <w:iCs/>
        </w:rPr>
        <w:t>euro</w:t>
      </w:r>
      <w:r w:rsidR="0069564E">
        <w:rPr>
          <w:i/>
          <w:iCs/>
        </w:rPr>
        <w:t xml:space="preserve"> </w:t>
      </w:r>
      <w:r w:rsidR="00626D37" w:rsidRPr="00CD73AB">
        <w:t>(</w:t>
      </w:r>
      <w:r w:rsidR="00626D37" w:rsidRPr="00CD73AB">
        <w:rPr>
          <w:rFonts w:eastAsia="Times New Roman" w:cs="Times New Roman"/>
          <w:szCs w:val="24"/>
        </w:rPr>
        <w:t>2019. gadā tie sasniedza 806,3 milj. </w:t>
      </w:r>
      <w:r w:rsidR="00626D37" w:rsidRPr="00CD73AB">
        <w:rPr>
          <w:rFonts w:eastAsia="Times New Roman" w:cs="Times New Roman"/>
          <w:i/>
          <w:iCs/>
          <w:szCs w:val="24"/>
        </w:rPr>
        <w:t>euro</w:t>
      </w:r>
      <w:r w:rsidR="00CD73AB" w:rsidRPr="00CD73AB">
        <w:rPr>
          <w:rFonts w:eastAsia="Times New Roman" w:cs="Times New Roman"/>
          <w:szCs w:val="24"/>
        </w:rPr>
        <w:t>)</w:t>
      </w:r>
      <w:r w:rsidR="00626D37" w:rsidRPr="00CD73AB">
        <w:t>.</w:t>
      </w:r>
    </w:p>
    <w:p w14:paraId="509FD368" w14:textId="07ED2688" w:rsidR="00626D37" w:rsidRDefault="00DB3B71" w:rsidP="00CD73AB">
      <w:pPr>
        <w:spacing w:before="60" w:after="60" w:line="240" w:lineRule="auto"/>
        <w:jc w:val="both"/>
        <w:rPr>
          <w:rFonts w:cs="Times New Roman"/>
          <w:szCs w:val="24"/>
        </w:rPr>
      </w:pPr>
      <w:r>
        <w:rPr>
          <w:rFonts w:eastAsia="Times New Roman" w:cs="Times New Roman"/>
          <w:szCs w:val="24"/>
        </w:rPr>
        <w:t xml:space="preserve">2020.gadā </w:t>
      </w:r>
      <w:r w:rsidR="00A26250">
        <w:rPr>
          <w:rFonts w:eastAsia="Times New Roman" w:cs="Times New Roman"/>
          <w:szCs w:val="24"/>
        </w:rPr>
        <w:t xml:space="preserve">pamatojoties uz </w:t>
      </w:r>
      <w:hyperlink r:id="rId53" w:tgtFrame="_blank" w:history="1">
        <w:r w:rsidR="00A26250" w:rsidRPr="00A26250">
          <w:rPr>
            <w:rStyle w:val="Hyperlink"/>
            <w:i/>
            <w:iCs/>
            <w:color w:val="00859B"/>
          </w:rPr>
          <w:t>Covid-19 infekcijas izplatības</w:t>
        </w:r>
        <w:r w:rsidR="00381F89">
          <w:rPr>
            <w:rStyle w:val="Hyperlink"/>
            <w:i/>
            <w:iCs/>
            <w:color w:val="00859B"/>
          </w:rPr>
          <w:t xml:space="preserve"> </w:t>
        </w:r>
        <w:r w:rsidR="00A26250" w:rsidRPr="00A26250">
          <w:rPr>
            <w:rStyle w:val="Hyperlink"/>
            <w:i/>
            <w:iCs/>
            <w:color w:val="00859B"/>
          </w:rPr>
          <w:t>seku pārvarēšanas likuma</w:t>
        </w:r>
      </w:hyperlink>
      <w:r w:rsidR="00A26250">
        <w:t xml:space="preserve"> noteikto deleģējumu EM </w:t>
      </w:r>
      <w:r>
        <w:rPr>
          <w:rFonts w:eastAsia="Times New Roman" w:cs="Times New Roman"/>
          <w:szCs w:val="24"/>
        </w:rPr>
        <w:t>intensīvi ve</w:t>
      </w:r>
      <w:r w:rsidR="00A26250">
        <w:rPr>
          <w:rFonts w:eastAsia="Times New Roman" w:cs="Times New Roman"/>
          <w:szCs w:val="24"/>
        </w:rPr>
        <w:t>ica</w:t>
      </w:r>
      <w:r>
        <w:rPr>
          <w:rFonts w:eastAsia="Times New Roman" w:cs="Times New Roman"/>
          <w:szCs w:val="24"/>
        </w:rPr>
        <w:t xml:space="preserve"> darb</w:t>
      </w:r>
      <w:r w:rsidR="00CA4847">
        <w:rPr>
          <w:rFonts w:eastAsia="Times New Roman" w:cs="Times New Roman"/>
          <w:szCs w:val="24"/>
        </w:rPr>
        <w:t>u</w:t>
      </w:r>
      <w:r>
        <w:rPr>
          <w:rFonts w:eastAsia="Times New Roman" w:cs="Times New Roman"/>
          <w:szCs w:val="24"/>
        </w:rPr>
        <w:t xml:space="preserve"> pie vairākiem atbalsta pasākumiem</w:t>
      </w:r>
      <w:r w:rsidR="0069564E">
        <w:rPr>
          <w:rFonts w:eastAsia="Times New Roman" w:cs="Times New Roman"/>
          <w:szCs w:val="24"/>
        </w:rPr>
        <w:t xml:space="preserve"> </w:t>
      </w:r>
      <w:r>
        <w:rPr>
          <w:rFonts w:cs="Times New Roman"/>
          <w:szCs w:val="24"/>
        </w:rPr>
        <w:t>un i</w:t>
      </w:r>
      <w:r w:rsidRPr="00DB3B71">
        <w:rPr>
          <w:rFonts w:cs="Times New Roman"/>
          <w:szCs w:val="24"/>
        </w:rPr>
        <w:t>zstrādā</w:t>
      </w:r>
      <w:r>
        <w:rPr>
          <w:rFonts w:cs="Times New Roman"/>
          <w:szCs w:val="24"/>
        </w:rPr>
        <w:t>j</w:t>
      </w:r>
      <w:r w:rsidR="00A26250">
        <w:rPr>
          <w:rFonts w:cs="Times New Roman"/>
          <w:szCs w:val="24"/>
        </w:rPr>
        <w:t>a</w:t>
      </w:r>
      <w:r>
        <w:rPr>
          <w:rFonts w:cs="Times New Roman"/>
          <w:szCs w:val="24"/>
        </w:rPr>
        <w:t xml:space="preserve"> atbalsta nosacījumus </w:t>
      </w:r>
      <w:r w:rsidRPr="00CF1739">
        <w:rPr>
          <w:rFonts w:cs="Times New Roman"/>
          <w:szCs w:val="24"/>
        </w:rPr>
        <w:t>Covid-19 krīzē cietušajai tūrisma nozarei</w:t>
      </w:r>
      <w:r>
        <w:rPr>
          <w:rFonts w:cs="Times New Roman"/>
          <w:szCs w:val="24"/>
        </w:rPr>
        <w:t>.</w:t>
      </w:r>
    </w:p>
    <w:p w14:paraId="1E7E125A" w14:textId="1CB9A131" w:rsidR="00A26250" w:rsidRPr="00626D37" w:rsidRDefault="000862DE" w:rsidP="00CD73AB">
      <w:pPr>
        <w:spacing w:before="60" w:after="60" w:line="240" w:lineRule="auto"/>
        <w:jc w:val="both"/>
        <w:rPr>
          <w:rFonts w:cs="Times New Roman"/>
          <w:szCs w:val="24"/>
        </w:rPr>
      </w:pPr>
      <w:r>
        <w:t>A</w:t>
      </w:r>
      <w:r w:rsidRPr="003D126E">
        <w:t xml:space="preserve">tbilstoši </w:t>
      </w:r>
      <w:hyperlink r:id="rId54" w:history="1">
        <w:r w:rsidR="00570328" w:rsidRPr="00626D37">
          <w:t xml:space="preserve">MK 2020. gada 11. augusta rīkojumam Nr.415 </w:t>
        </w:r>
        <w:r w:rsidR="00570328" w:rsidRPr="00570328">
          <w:rPr>
            <w:rStyle w:val="Hyperlink"/>
            <w:i/>
            <w:iCs/>
            <w:color w:val="00859B"/>
          </w:rPr>
          <w:t>Par finanšu līdzekļu piešķiršanu no valsts budžeta programmas “Līdzekļi neparedzētiem gadījumiem</w:t>
        </w:r>
      </w:hyperlink>
      <w:r w:rsidR="00570328" w:rsidRPr="00570328">
        <w:rPr>
          <w:i/>
          <w:iCs/>
          <w:color w:val="00859B"/>
          <w:u w:val="single"/>
        </w:rPr>
        <w:t>”</w:t>
      </w:r>
      <w:r w:rsidR="0069564E">
        <w:rPr>
          <w:i/>
          <w:iCs/>
          <w:color w:val="00859B"/>
          <w:u w:val="single"/>
        </w:rPr>
        <w:t xml:space="preserve"> </w:t>
      </w:r>
      <w:r>
        <w:t xml:space="preserve">EM </w:t>
      </w:r>
      <w:r w:rsidR="00570328">
        <w:t xml:space="preserve">tika </w:t>
      </w:r>
      <w:r w:rsidRPr="003D126E">
        <w:t>piešķirti 19,2</w:t>
      </w:r>
      <w:r w:rsidR="006E1D30">
        <w:t> </w:t>
      </w:r>
      <w:r w:rsidRPr="003D126E">
        <w:t>milj.</w:t>
      </w:r>
      <w:r w:rsidR="006E1D30">
        <w:t> </w:t>
      </w:r>
      <w:r w:rsidR="00570328" w:rsidRPr="00570328">
        <w:rPr>
          <w:i/>
          <w:iCs/>
        </w:rPr>
        <w:t>euro</w:t>
      </w:r>
      <w:r w:rsidR="0069564E">
        <w:rPr>
          <w:i/>
          <w:iCs/>
        </w:rPr>
        <w:t xml:space="preserve"> </w:t>
      </w:r>
      <w:r w:rsidRPr="003D126E">
        <w:t>tūrisma nozares saimnieciskās darbības veicēju</w:t>
      </w:r>
      <w:r>
        <w:t xml:space="preserve"> atbalstam</w:t>
      </w:r>
      <w:r w:rsidRPr="003D126E">
        <w:t>, kuru darbību ietekmējusi Covid-19 izplatība</w:t>
      </w:r>
      <w:r w:rsidR="00570328">
        <w:t>. Saskaņā ar</w:t>
      </w:r>
      <w:r w:rsidR="0069564E">
        <w:t xml:space="preserve"> </w:t>
      </w:r>
      <w:hyperlink r:id="rId55" w:history="1">
        <w:r w:rsidR="00570328" w:rsidRPr="00626D37">
          <w:rPr>
            <w:rStyle w:val="Hyperlink"/>
            <w:color w:val="auto"/>
            <w:u w:val="none"/>
          </w:rPr>
          <w:t>MK 2020. gada 14.</w:t>
        </w:r>
        <w:r w:rsidR="00A26250" w:rsidRPr="00626D37">
          <w:rPr>
            <w:rStyle w:val="Hyperlink"/>
            <w:color w:val="auto"/>
            <w:u w:val="none"/>
          </w:rPr>
          <w:t> </w:t>
        </w:r>
        <w:r w:rsidR="00570328" w:rsidRPr="00626D37">
          <w:rPr>
            <w:rStyle w:val="Hyperlink"/>
            <w:color w:val="auto"/>
            <w:u w:val="none"/>
          </w:rPr>
          <w:t xml:space="preserve">jūlija noteikumu Nr.455 </w:t>
        </w:r>
        <w:r w:rsidR="00570328" w:rsidRPr="00A26250">
          <w:rPr>
            <w:rStyle w:val="Hyperlink"/>
            <w:i/>
            <w:iCs/>
            <w:color w:val="00859B"/>
          </w:rPr>
          <w:t>Covid-19 skarto</w:t>
        </w:r>
        <w:r w:rsidR="0069564E">
          <w:rPr>
            <w:rStyle w:val="Hyperlink"/>
            <w:i/>
            <w:iCs/>
            <w:color w:val="00859B"/>
          </w:rPr>
          <w:t xml:space="preserve"> </w:t>
        </w:r>
        <w:r w:rsidR="00570328" w:rsidRPr="00A26250">
          <w:rPr>
            <w:rStyle w:val="Hyperlink"/>
            <w:i/>
            <w:iCs/>
            <w:color w:val="00859B"/>
          </w:rPr>
          <w:t>t</w:t>
        </w:r>
        <w:r w:rsidR="00A26250" w:rsidRPr="00A26250">
          <w:rPr>
            <w:rStyle w:val="Hyperlink"/>
            <w:i/>
            <w:iCs/>
            <w:color w:val="00859B"/>
          </w:rPr>
          <w:t>ū</w:t>
        </w:r>
        <w:r w:rsidR="00570328" w:rsidRPr="00A26250">
          <w:rPr>
            <w:rStyle w:val="Hyperlink"/>
            <w:i/>
            <w:iCs/>
            <w:color w:val="00859B"/>
          </w:rPr>
          <w:t>risma</w:t>
        </w:r>
        <w:r w:rsidR="0069564E">
          <w:rPr>
            <w:rStyle w:val="Hyperlink"/>
            <w:i/>
            <w:iCs/>
            <w:color w:val="00859B"/>
          </w:rPr>
          <w:t xml:space="preserve"> </w:t>
        </w:r>
        <w:r w:rsidR="00570328" w:rsidRPr="00A26250">
          <w:rPr>
            <w:rStyle w:val="Hyperlink"/>
            <w:i/>
            <w:iCs/>
            <w:color w:val="00859B"/>
          </w:rPr>
          <w:t>nozares</w:t>
        </w:r>
        <w:r w:rsidR="0069564E">
          <w:rPr>
            <w:rStyle w:val="Hyperlink"/>
            <w:i/>
            <w:iCs/>
            <w:color w:val="00859B"/>
          </w:rPr>
          <w:t xml:space="preserve"> </w:t>
        </w:r>
        <w:r w:rsidR="00570328" w:rsidRPr="00A26250">
          <w:rPr>
            <w:rStyle w:val="Hyperlink"/>
            <w:i/>
            <w:iCs/>
            <w:color w:val="00859B"/>
          </w:rPr>
          <w:t>saimniecisk</w:t>
        </w:r>
        <w:r w:rsidR="00A26250" w:rsidRPr="00A26250">
          <w:rPr>
            <w:rStyle w:val="Hyperlink"/>
            <w:i/>
            <w:iCs/>
            <w:color w:val="00859B"/>
          </w:rPr>
          <w:t>ā</w:t>
        </w:r>
        <w:r w:rsidR="00570328" w:rsidRPr="00A26250">
          <w:rPr>
            <w:rStyle w:val="Hyperlink"/>
            <w:i/>
            <w:iCs/>
            <w:color w:val="00859B"/>
          </w:rPr>
          <w:t>s</w:t>
        </w:r>
        <w:r w:rsidR="0069564E">
          <w:rPr>
            <w:rStyle w:val="Hyperlink"/>
            <w:i/>
            <w:iCs/>
            <w:color w:val="00859B"/>
          </w:rPr>
          <w:t xml:space="preserve"> </w:t>
        </w:r>
        <w:r w:rsidR="00570328" w:rsidRPr="00A26250">
          <w:rPr>
            <w:rStyle w:val="Hyperlink"/>
            <w:i/>
            <w:iCs/>
            <w:color w:val="00859B"/>
          </w:rPr>
          <w:t>darb</w:t>
        </w:r>
        <w:r w:rsidR="00A26250" w:rsidRPr="00A26250">
          <w:rPr>
            <w:rStyle w:val="Hyperlink"/>
            <w:i/>
            <w:iCs/>
            <w:color w:val="00859B"/>
          </w:rPr>
          <w:t>ī</w:t>
        </w:r>
        <w:r w:rsidR="00570328" w:rsidRPr="00A26250">
          <w:rPr>
            <w:rStyle w:val="Hyperlink"/>
            <w:i/>
            <w:iCs/>
            <w:color w:val="00859B"/>
          </w:rPr>
          <w:t>bas</w:t>
        </w:r>
        <w:r w:rsidR="0069564E">
          <w:rPr>
            <w:rStyle w:val="Hyperlink"/>
            <w:i/>
            <w:iCs/>
            <w:color w:val="00859B"/>
          </w:rPr>
          <w:t xml:space="preserve"> </w:t>
        </w:r>
        <w:r w:rsidR="00570328" w:rsidRPr="00A26250">
          <w:rPr>
            <w:rStyle w:val="Hyperlink"/>
            <w:i/>
            <w:iCs/>
            <w:color w:val="00859B"/>
          </w:rPr>
          <w:t>veic</w:t>
        </w:r>
        <w:r w:rsidR="00A26250" w:rsidRPr="00A26250">
          <w:rPr>
            <w:rStyle w:val="Hyperlink"/>
            <w:i/>
            <w:iCs/>
            <w:color w:val="00859B"/>
          </w:rPr>
          <w:t>ē</w:t>
        </w:r>
        <w:r w:rsidR="00570328" w:rsidRPr="00A26250">
          <w:rPr>
            <w:rStyle w:val="Hyperlink"/>
            <w:i/>
            <w:iCs/>
            <w:color w:val="00859B"/>
          </w:rPr>
          <w:t>ju</w:t>
        </w:r>
        <w:r w:rsidR="0069564E">
          <w:rPr>
            <w:rStyle w:val="Hyperlink"/>
            <w:i/>
            <w:iCs/>
            <w:color w:val="00859B"/>
          </w:rPr>
          <w:t xml:space="preserve"> </w:t>
        </w:r>
        <w:r w:rsidR="00570328" w:rsidRPr="00A26250">
          <w:rPr>
            <w:rStyle w:val="Hyperlink"/>
            <w:i/>
            <w:iCs/>
            <w:color w:val="00859B"/>
          </w:rPr>
          <w:t>atbalsta</w:t>
        </w:r>
        <w:r w:rsidR="0069564E">
          <w:rPr>
            <w:rStyle w:val="Hyperlink"/>
            <w:i/>
            <w:iCs/>
            <w:color w:val="00859B"/>
          </w:rPr>
          <w:t xml:space="preserve"> </w:t>
        </w:r>
        <w:r w:rsidR="00570328" w:rsidRPr="00A26250">
          <w:rPr>
            <w:rStyle w:val="Hyperlink"/>
            <w:i/>
            <w:iCs/>
            <w:color w:val="00859B"/>
          </w:rPr>
          <w:t>pie</w:t>
        </w:r>
        <w:r w:rsidR="00A26250" w:rsidRPr="00A26250">
          <w:rPr>
            <w:rStyle w:val="Hyperlink"/>
            <w:i/>
            <w:iCs/>
            <w:color w:val="00859B"/>
          </w:rPr>
          <w:t>šķ</w:t>
        </w:r>
        <w:r w:rsidR="00570328" w:rsidRPr="00A26250">
          <w:rPr>
            <w:rStyle w:val="Hyperlink"/>
            <w:i/>
            <w:iCs/>
            <w:color w:val="00859B"/>
          </w:rPr>
          <w:t>ir</w:t>
        </w:r>
        <w:r w:rsidR="00A26250" w:rsidRPr="00A26250">
          <w:rPr>
            <w:rStyle w:val="Hyperlink"/>
            <w:i/>
            <w:iCs/>
            <w:color w:val="00859B"/>
          </w:rPr>
          <w:t>š</w:t>
        </w:r>
        <w:r w:rsidR="00570328" w:rsidRPr="00A26250">
          <w:rPr>
            <w:rStyle w:val="Hyperlink"/>
            <w:i/>
            <w:iCs/>
            <w:color w:val="00859B"/>
          </w:rPr>
          <w:t>anas</w:t>
        </w:r>
        <w:r w:rsidR="0069564E">
          <w:rPr>
            <w:rStyle w:val="Hyperlink"/>
            <w:i/>
            <w:iCs/>
            <w:color w:val="00859B"/>
          </w:rPr>
          <w:t xml:space="preserve"> </w:t>
        </w:r>
        <w:r w:rsidR="00570328" w:rsidRPr="00A26250">
          <w:rPr>
            <w:rStyle w:val="Hyperlink"/>
            <w:i/>
            <w:iCs/>
            <w:color w:val="00859B"/>
          </w:rPr>
          <w:t>k</w:t>
        </w:r>
        <w:r w:rsidR="00A26250" w:rsidRPr="00A26250">
          <w:rPr>
            <w:rStyle w:val="Hyperlink"/>
            <w:i/>
            <w:iCs/>
            <w:color w:val="00859B"/>
          </w:rPr>
          <w:t>ā</w:t>
        </w:r>
        <w:r w:rsidR="00570328" w:rsidRPr="00A26250">
          <w:rPr>
            <w:rStyle w:val="Hyperlink"/>
            <w:i/>
            <w:iCs/>
            <w:color w:val="00859B"/>
          </w:rPr>
          <w:t>rt</w:t>
        </w:r>
        <w:r w:rsidR="00A26250" w:rsidRPr="00A26250">
          <w:rPr>
            <w:rStyle w:val="Hyperlink"/>
            <w:i/>
            <w:iCs/>
            <w:color w:val="00859B"/>
          </w:rPr>
          <w:t>ī</w:t>
        </w:r>
        <w:r w:rsidR="00570328" w:rsidRPr="00A26250">
          <w:rPr>
            <w:rStyle w:val="Hyperlink"/>
            <w:i/>
            <w:iCs/>
            <w:color w:val="00859B"/>
          </w:rPr>
          <w:t>ba</w:t>
        </w:r>
      </w:hyperlink>
      <w:r w:rsidR="00570328">
        <w:t xml:space="preserve"> nosacījumiem</w:t>
      </w:r>
      <w:r w:rsidR="0069564E">
        <w:t>,</w:t>
      </w:r>
      <w:r w:rsidR="00570328">
        <w:t xml:space="preserve"> </w:t>
      </w:r>
      <w:r w:rsidR="0069564E">
        <w:t xml:space="preserve">atbalsta </w:t>
      </w:r>
      <w:r w:rsidR="00570328">
        <w:t>programmu administrēja LIAA</w:t>
      </w:r>
      <w:r w:rsidR="0069564E">
        <w:t xml:space="preserve">. Līdz </w:t>
      </w:r>
      <w:r w:rsidRPr="003D126E">
        <w:t>2020.</w:t>
      </w:r>
      <w:r w:rsidR="00570328">
        <w:t> </w:t>
      </w:r>
      <w:r w:rsidRPr="003D126E">
        <w:t>gada 18.</w:t>
      </w:r>
      <w:r w:rsidR="00570328">
        <w:t> </w:t>
      </w:r>
      <w:r w:rsidR="0069564E" w:rsidRPr="003D126E">
        <w:t>decembr</w:t>
      </w:r>
      <w:r w:rsidR="0069564E">
        <w:t>im</w:t>
      </w:r>
      <w:r w:rsidR="0069564E" w:rsidRPr="003D126E">
        <w:t xml:space="preserve"> </w:t>
      </w:r>
      <w:r w:rsidR="0069564E">
        <w:t xml:space="preserve">atbalsta programmas ietvaros </w:t>
      </w:r>
      <w:r w:rsidRPr="003D126E">
        <w:t>noslē</w:t>
      </w:r>
      <w:r>
        <w:t>dzās</w:t>
      </w:r>
      <w:r w:rsidRPr="003D126E">
        <w:t xml:space="preserve"> pieteikumu iesniegšana</w:t>
      </w:r>
      <w:r>
        <w:t>.</w:t>
      </w:r>
      <w:r w:rsidR="00570328">
        <w:t xml:space="preserve"> Kopumā </w:t>
      </w:r>
      <w:r w:rsidR="00570328" w:rsidRPr="003D126E">
        <w:t>2020.</w:t>
      </w:r>
      <w:r w:rsidR="00570328">
        <w:t> </w:t>
      </w:r>
      <w:r w:rsidR="00570328" w:rsidRPr="003D126E">
        <w:t xml:space="preserve">gadā atbalsts </w:t>
      </w:r>
      <w:r w:rsidR="00570328">
        <w:t xml:space="preserve">tika sniegts </w:t>
      </w:r>
      <w:r w:rsidR="00570328" w:rsidRPr="003D126E">
        <w:t>907 komersantiem 14,9</w:t>
      </w:r>
      <w:r w:rsidR="006E1D30">
        <w:t> </w:t>
      </w:r>
      <w:r w:rsidR="00570328" w:rsidRPr="003D126E">
        <w:t>milj.</w:t>
      </w:r>
      <w:r w:rsidR="006E1D30">
        <w:t> </w:t>
      </w:r>
      <w:r w:rsidR="00570328" w:rsidRPr="00570328">
        <w:rPr>
          <w:i/>
          <w:iCs/>
        </w:rPr>
        <w:t>euro</w:t>
      </w:r>
      <w:r w:rsidR="0069564E">
        <w:rPr>
          <w:i/>
          <w:iCs/>
        </w:rPr>
        <w:t xml:space="preserve"> </w:t>
      </w:r>
      <w:r w:rsidR="00570328" w:rsidRPr="003D126E">
        <w:t>apmērā</w:t>
      </w:r>
      <w:r w:rsidR="00085260" w:rsidRPr="00085260">
        <w:t xml:space="preserve">, sekmējot tūrisma nozarē un ar to saistīto pakalpojumu sniegšanas uzņēmumu </w:t>
      </w:r>
      <w:r w:rsidR="00085260" w:rsidRPr="00085260">
        <w:rPr>
          <w:rStyle w:val="Emphasis"/>
          <w:i w:val="0"/>
          <w:iCs w:val="0"/>
        </w:rPr>
        <w:t>esošo darbinieku noturēšanu un darba vietu saglabāšanu</w:t>
      </w:r>
      <w:r w:rsidR="00085260">
        <w:rPr>
          <w:rStyle w:val="Emphasis"/>
          <w:i w:val="0"/>
          <w:iCs w:val="0"/>
        </w:rPr>
        <w:t>.</w:t>
      </w:r>
    </w:p>
    <w:p w14:paraId="6592CACE" w14:textId="34492115" w:rsidR="00A26250" w:rsidRDefault="000862DE" w:rsidP="00A26250">
      <w:pPr>
        <w:spacing w:before="60" w:after="60" w:line="240" w:lineRule="auto"/>
        <w:jc w:val="both"/>
        <w:rPr>
          <w:rFonts w:eastAsia="Times New Roman" w:cs="Times New Roman"/>
          <w:szCs w:val="24"/>
        </w:rPr>
      </w:pPr>
      <w:r>
        <w:t xml:space="preserve">Atbilstoši </w:t>
      </w:r>
      <w:hyperlink r:id="rId56" w:history="1">
        <w:r w:rsidR="00990221" w:rsidRPr="00626D37">
          <w:rPr>
            <w:rStyle w:val="Hyperlink"/>
            <w:color w:val="auto"/>
            <w:u w:val="none"/>
          </w:rPr>
          <w:t xml:space="preserve">MK 2020. gada 16. jūnija noteikumu Nr.400 </w:t>
        </w:r>
        <w:r w:rsidR="00990221" w:rsidRPr="00990221">
          <w:rPr>
            <w:rStyle w:val="Hyperlink"/>
            <w:i/>
            <w:iCs/>
            <w:color w:val="00859B"/>
          </w:rPr>
          <w:t>N</w:t>
        </w:r>
        <w:r w:rsidR="00A26250" w:rsidRPr="00990221">
          <w:rPr>
            <w:rStyle w:val="Hyperlink"/>
            <w:i/>
            <w:iCs/>
            <w:color w:val="00859B"/>
          </w:rPr>
          <w:t>oteikumi</w:t>
        </w:r>
        <w:r w:rsidR="0069564E">
          <w:rPr>
            <w:rStyle w:val="Hyperlink"/>
            <w:i/>
            <w:iCs/>
            <w:color w:val="00859B"/>
          </w:rPr>
          <w:t xml:space="preserve"> </w:t>
        </w:r>
        <w:r w:rsidR="00A26250" w:rsidRPr="00990221">
          <w:rPr>
            <w:rStyle w:val="Hyperlink"/>
            <w:i/>
            <w:iCs/>
            <w:color w:val="00859B"/>
          </w:rPr>
          <w:t>par</w:t>
        </w:r>
        <w:r w:rsidR="00990221" w:rsidRPr="00990221">
          <w:rPr>
            <w:rStyle w:val="Hyperlink"/>
            <w:i/>
            <w:iCs/>
            <w:color w:val="00859B"/>
          </w:rPr>
          <w:t xml:space="preserve"> ī</w:t>
        </w:r>
        <w:r w:rsidR="00A26250" w:rsidRPr="00990221">
          <w:rPr>
            <w:rStyle w:val="Hyperlink"/>
            <w:i/>
            <w:iCs/>
            <w:color w:val="00859B"/>
          </w:rPr>
          <w:t>pa</w:t>
        </w:r>
        <w:r w:rsidR="00990221" w:rsidRPr="00990221">
          <w:rPr>
            <w:rStyle w:val="Hyperlink"/>
            <w:i/>
            <w:iCs/>
            <w:color w:val="00859B"/>
          </w:rPr>
          <w:t>š</w:t>
        </w:r>
        <w:r w:rsidR="00A26250" w:rsidRPr="00990221">
          <w:rPr>
            <w:rStyle w:val="Hyperlink"/>
            <w:i/>
            <w:iCs/>
            <w:color w:val="00859B"/>
          </w:rPr>
          <w:t>a</w:t>
        </w:r>
        <w:r w:rsidR="0069564E">
          <w:rPr>
            <w:rStyle w:val="Hyperlink"/>
            <w:i/>
            <w:iCs/>
            <w:color w:val="00859B"/>
          </w:rPr>
          <w:t xml:space="preserve"> </w:t>
        </w:r>
        <w:r w:rsidR="00A26250" w:rsidRPr="00990221">
          <w:rPr>
            <w:rStyle w:val="Hyperlink"/>
            <w:i/>
            <w:iCs/>
            <w:color w:val="00859B"/>
          </w:rPr>
          <w:t>atbalsta</w:t>
        </w:r>
        <w:r w:rsidR="0069564E">
          <w:rPr>
            <w:rStyle w:val="Hyperlink"/>
            <w:i/>
            <w:iCs/>
            <w:color w:val="00859B"/>
          </w:rPr>
          <w:t xml:space="preserve"> </w:t>
        </w:r>
        <w:r w:rsidR="00A26250" w:rsidRPr="00990221">
          <w:rPr>
            <w:rStyle w:val="Hyperlink"/>
            <w:i/>
            <w:iCs/>
            <w:color w:val="00859B"/>
          </w:rPr>
          <w:t>meh</w:t>
        </w:r>
        <w:r w:rsidR="00990221" w:rsidRPr="00990221">
          <w:rPr>
            <w:rStyle w:val="Hyperlink"/>
            <w:i/>
            <w:iCs/>
            <w:color w:val="00859B"/>
          </w:rPr>
          <w:t>ā</w:t>
        </w:r>
        <w:r w:rsidR="00A26250" w:rsidRPr="00990221">
          <w:rPr>
            <w:rStyle w:val="Hyperlink"/>
            <w:i/>
            <w:iCs/>
            <w:color w:val="00859B"/>
          </w:rPr>
          <w:t>nismu</w:t>
        </w:r>
        <w:r w:rsidR="0069564E">
          <w:rPr>
            <w:rStyle w:val="Hyperlink"/>
            <w:i/>
            <w:iCs/>
            <w:color w:val="00859B"/>
          </w:rPr>
          <w:t xml:space="preserve"> </w:t>
        </w:r>
        <w:r w:rsidR="00A26250" w:rsidRPr="00990221">
          <w:rPr>
            <w:rStyle w:val="Hyperlink"/>
            <w:i/>
            <w:iCs/>
            <w:color w:val="00859B"/>
          </w:rPr>
          <w:t>repatri</w:t>
        </w:r>
        <w:r w:rsidR="00990221" w:rsidRPr="00990221">
          <w:rPr>
            <w:rStyle w:val="Hyperlink"/>
            <w:i/>
            <w:iCs/>
            <w:color w:val="00859B"/>
          </w:rPr>
          <w:t>ā</w:t>
        </w:r>
        <w:r w:rsidR="00A26250" w:rsidRPr="00990221">
          <w:rPr>
            <w:rStyle w:val="Hyperlink"/>
            <w:i/>
            <w:iCs/>
            <w:color w:val="00859B"/>
          </w:rPr>
          <w:t>cijas</w:t>
        </w:r>
        <w:r w:rsidR="0069564E">
          <w:rPr>
            <w:rStyle w:val="Hyperlink"/>
            <w:i/>
            <w:iCs/>
            <w:color w:val="00859B"/>
          </w:rPr>
          <w:t xml:space="preserve"> </w:t>
        </w:r>
        <w:r w:rsidR="00A26250" w:rsidRPr="00990221">
          <w:rPr>
            <w:rStyle w:val="Hyperlink"/>
            <w:i/>
            <w:iCs/>
            <w:color w:val="00859B"/>
          </w:rPr>
          <w:t>izmaksu</w:t>
        </w:r>
        <w:r w:rsidR="0069564E">
          <w:rPr>
            <w:rStyle w:val="Hyperlink"/>
            <w:i/>
            <w:iCs/>
            <w:color w:val="00859B"/>
          </w:rPr>
          <w:t xml:space="preserve"> </w:t>
        </w:r>
        <w:r w:rsidR="00A26250" w:rsidRPr="00990221">
          <w:rPr>
            <w:rStyle w:val="Hyperlink"/>
            <w:i/>
            <w:iCs/>
            <w:color w:val="00859B"/>
          </w:rPr>
          <w:t>seg</w:t>
        </w:r>
        <w:r w:rsidR="00990221" w:rsidRPr="00990221">
          <w:rPr>
            <w:rStyle w:val="Hyperlink"/>
            <w:i/>
            <w:iCs/>
            <w:color w:val="00859B"/>
          </w:rPr>
          <w:t>š</w:t>
        </w:r>
        <w:r w:rsidR="00A26250" w:rsidRPr="00990221">
          <w:rPr>
            <w:rStyle w:val="Hyperlink"/>
            <w:i/>
            <w:iCs/>
            <w:color w:val="00859B"/>
          </w:rPr>
          <w:t>anai</w:t>
        </w:r>
        <w:r w:rsidR="0069564E">
          <w:rPr>
            <w:rStyle w:val="Hyperlink"/>
            <w:i/>
            <w:iCs/>
            <w:color w:val="00859B"/>
          </w:rPr>
          <w:t xml:space="preserve"> </w:t>
        </w:r>
        <w:r w:rsidR="00A26250" w:rsidRPr="00990221">
          <w:rPr>
            <w:rStyle w:val="Hyperlink"/>
            <w:i/>
            <w:iCs/>
            <w:color w:val="00859B"/>
          </w:rPr>
          <w:t>t</w:t>
        </w:r>
        <w:r w:rsidR="00990221" w:rsidRPr="00990221">
          <w:rPr>
            <w:rStyle w:val="Hyperlink"/>
            <w:i/>
            <w:iCs/>
            <w:color w:val="00859B"/>
          </w:rPr>
          <w:t>ū</w:t>
        </w:r>
        <w:r w:rsidR="00A26250" w:rsidRPr="00990221">
          <w:rPr>
            <w:rStyle w:val="Hyperlink"/>
            <w:i/>
            <w:iCs/>
            <w:color w:val="00859B"/>
          </w:rPr>
          <w:t>risma</w:t>
        </w:r>
        <w:r w:rsidR="0069564E">
          <w:rPr>
            <w:rStyle w:val="Hyperlink"/>
            <w:i/>
            <w:iCs/>
            <w:color w:val="00859B"/>
          </w:rPr>
          <w:t xml:space="preserve"> </w:t>
        </w:r>
        <w:r w:rsidR="00A26250" w:rsidRPr="00990221">
          <w:rPr>
            <w:rStyle w:val="Hyperlink"/>
            <w:i/>
            <w:iCs/>
            <w:color w:val="00859B"/>
          </w:rPr>
          <w:t>operatoriem</w:t>
        </w:r>
      </w:hyperlink>
      <w:r w:rsidR="0069564E">
        <w:rPr>
          <w:i/>
          <w:iCs/>
          <w:color w:val="00859B"/>
        </w:rPr>
        <w:t xml:space="preserve"> </w:t>
      </w:r>
      <w:r w:rsidR="00990221">
        <w:t xml:space="preserve">nosacījumiem, tika </w:t>
      </w:r>
      <w:r>
        <w:t>piešķirts atbalsts 0,8</w:t>
      </w:r>
      <w:r w:rsidR="00990221">
        <w:t> </w:t>
      </w:r>
      <w:r>
        <w:t>milj.</w:t>
      </w:r>
      <w:r w:rsidR="00990221">
        <w:t> </w:t>
      </w:r>
      <w:r w:rsidR="00990221" w:rsidRPr="00990221">
        <w:rPr>
          <w:i/>
          <w:iCs/>
        </w:rPr>
        <w:t>euro</w:t>
      </w:r>
      <w:r>
        <w:t xml:space="preserve"> apmērā, p</w:t>
      </w:r>
      <w:r w:rsidRPr="00936934">
        <w:t>aredzot, k</w:t>
      </w:r>
      <w:r>
        <w:t xml:space="preserve">a </w:t>
      </w:r>
      <w:r w:rsidRPr="00936934">
        <w:t xml:space="preserve">Latvijā reģistrēti un licencēti tūrisma operatori var iesniegt pieteikumus </w:t>
      </w:r>
      <w:r w:rsidR="00990221">
        <w:t>PTAC</w:t>
      </w:r>
      <w:r w:rsidR="0069564E">
        <w:t xml:space="preserve"> </w:t>
      </w:r>
      <w:r w:rsidRPr="00936934">
        <w:t xml:space="preserve">granta saņemšanai, lai kompensētu Covid-19 izplatības rezultātā radušās </w:t>
      </w:r>
      <w:r w:rsidR="00990221">
        <w:t xml:space="preserve">Latvijas tūristu </w:t>
      </w:r>
      <w:r w:rsidRPr="00936934">
        <w:t xml:space="preserve">repatriācijas izmaksas. </w:t>
      </w:r>
      <w:r>
        <w:t>P</w:t>
      </w:r>
      <w:r w:rsidRPr="00936934">
        <w:t>ieteikum</w:t>
      </w:r>
      <w:r>
        <w:t xml:space="preserve">u iesniegšana </w:t>
      </w:r>
      <w:r w:rsidR="0069564E">
        <w:t xml:space="preserve">minētās programmas ietvaros </w:t>
      </w:r>
      <w:r>
        <w:t xml:space="preserve">noslēdzās </w:t>
      </w:r>
      <w:r w:rsidRPr="00936934">
        <w:t>2020.</w:t>
      </w:r>
      <w:r w:rsidR="00563C2E">
        <w:t> </w:t>
      </w:r>
      <w:r w:rsidRPr="00936934">
        <w:t>gada 1.</w:t>
      </w:r>
      <w:r w:rsidR="00563C2E">
        <w:t> </w:t>
      </w:r>
      <w:r w:rsidRPr="00936934">
        <w:t>oktobr</w:t>
      </w:r>
      <w:r>
        <w:t>ī</w:t>
      </w:r>
      <w:r w:rsidR="0069564E">
        <w:t>. Kopumā</w:t>
      </w:r>
      <w:r w:rsidR="0069564E" w:rsidRPr="00936934">
        <w:t xml:space="preserve"> </w:t>
      </w:r>
      <w:r w:rsidRPr="00936934">
        <w:t>2020.</w:t>
      </w:r>
      <w:r w:rsidR="00563C2E">
        <w:t> </w:t>
      </w:r>
      <w:r w:rsidRPr="00936934">
        <w:t xml:space="preserve">gadā atbalsts tika izmaksāts </w:t>
      </w:r>
      <w:r>
        <w:t>trīs</w:t>
      </w:r>
      <w:r w:rsidR="0069564E">
        <w:t xml:space="preserve"> </w:t>
      </w:r>
      <w:r w:rsidR="00085260">
        <w:t xml:space="preserve">licencētiem </w:t>
      </w:r>
      <w:r w:rsidRPr="00936934">
        <w:t>tūr</w:t>
      </w:r>
      <w:r w:rsidR="00085260">
        <w:t xml:space="preserve">isma </w:t>
      </w:r>
      <w:r w:rsidRPr="00936934">
        <w:t xml:space="preserve">operatoriem </w:t>
      </w:r>
      <w:r>
        <w:t>0,</w:t>
      </w:r>
      <w:r w:rsidRPr="00936934">
        <w:t>4</w:t>
      </w:r>
      <w:r w:rsidR="006E1D30">
        <w:t> </w:t>
      </w:r>
      <w:r>
        <w:t>milj.</w:t>
      </w:r>
      <w:r w:rsidR="006E1D30">
        <w:t> </w:t>
      </w:r>
      <w:r w:rsidR="00563C2E" w:rsidRPr="00563C2E">
        <w:rPr>
          <w:i/>
          <w:iCs/>
        </w:rPr>
        <w:t>euro</w:t>
      </w:r>
      <w:r w:rsidRPr="00936934">
        <w:t xml:space="preserve"> apmērā, </w:t>
      </w:r>
      <w:r w:rsidR="00563C2E">
        <w:t xml:space="preserve">nodrošinot </w:t>
      </w:r>
      <w:r w:rsidR="00CA4847">
        <w:t xml:space="preserve">līdzekļus, lai </w:t>
      </w:r>
      <w:r w:rsidR="00563C2E">
        <w:t>kompensēt</w:t>
      </w:r>
      <w:r w:rsidR="00CA4847">
        <w:t>u</w:t>
      </w:r>
      <w:r w:rsidR="00563C2E">
        <w:t xml:space="preserve"> izmaksas par 1 391 </w:t>
      </w:r>
      <w:r w:rsidRPr="00936934">
        <w:t>repatriēt</w:t>
      </w:r>
      <w:r w:rsidR="00085260">
        <w:t>u</w:t>
      </w:r>
      <w:r w:rsidRPr="00936934">
        <w:t xml:space="preserve"> person</w:t>
      </w:r>
      <w:r w:rsidR="00085260">
        <w:t>u</w:t>
      </w:r>
      <w:r w:rsidRPr="00936934">
        <w:t>.</w:t>
      </w:r>
    </w:p>
    <w:p w14:paraId="4B7B1EF2" w14:textId="7486E157" w:rsidR="00CA4847" w:rsidRDefault="00A26250" w:rsidP="00CA4847">
      <w:pPr>
        <w:spacing w:before="60" w:after="60" w:line="240" w:lineRule="auto"/>
        <w:jc w:val="both"/>
        <w:rPr>
          <w:rFonts w:eastAsia="Times New Roman" w:cs="Times New Roman"/>
          <w:szCs w:val="24"/>
        </w:rPr>
      </w:pPr>
      <w:r>
        <w:rPr>
          <w:rFonts w:eastAsia="Times New Roman" w:cs="Times New Roman"/>
          <w:szCs w:val="24"/>
        </w:rPr>
        <w:t xml:space="preserve">Pārskata periodā tika </w:t>
      </w:r>
      <w:r>
        <w:t>i</w:t>
      </w:r>
      <w:r w:rsidR="000862DE" w:rsidRPr="00EC2963">
        <w:t>zstrādāt</w:t>
      </w:r>
      <w:r w:rsidR="000862DE">
        <w:t xml:space="preserve">s </w:t>
      </w:r>
      <w:r>
        <w:t xml:space="preserve">arī </w:t>
      </w:r>
      <w:r w:rsidR="000862DE" w:rsidRPr="00EC2963">
        <w:t>atbalsta mehānism</w:t>
      </w:r>
      <w:r w:rsidR="000862DE">
        <w:t>s</w:t>
      </w:r>
      <w:r w:rsidR="0069564E">
        <w:t xml:space="preserve"> </w:t>
      </w:r>
      <w:hyperlink r:id="rId57" w:history="1">
        <w:r w:rsidR="00563C2E" w:rsidRPr="00563C2E">
          <w:rPr>
            <w:rStyle w:val="Hyperlink"/>
            <w:i/>
            <w:iCs/>
            <w:color w:val="00859B"/>
          </w:rPr>
          <w:t>Atbalsts pašizolācijai tūristu mītnēs</w:t>
        </w:r>
      </w:hyperlink>
      <w:r w:rsidR="000862DE">
        <w:t xml:space="preserve">, paredzot atbalstu </w:t>
      </w:r>
      <w:r w:rsidR="000862DE" w:rsidRPr="00065AE3">
        <w:t>personām, kurām apstiprināta Covid-19 infekcija un to kontaktpersonām</w:t>
      </w:r>
      <w:r w:rsidR="000862DE">
        <w:t>. A</w:t>
      </w:r>
      <w:r w:rsidR="000862DE" w:rsidRPr="00A70326">
        <w:t>tbalst</w:t>
      </w:r>
      <w:r w:rsidR="00563C2E">
        <w:t>s</w:t>
      </w:r>
      <w:r w:rsidR="00770B29">
        <w:t xml:space="preserve"> kļuva</w:t>
      </w:r>
      <w:r w:rsidR="00A47B1A">
        <w:t xml:space="preserve"> </w:t>
      </w:r>
      <w:r w:rsidR="000862DE">
        <w:t xml:space="preserve">pieejams </w:t>
      </w:r>
      <w:r w:rsidR="00770B29">
        <w:t xml:space="preserve">sākot </w:t>
      </w:r>
      <w:r w:rsidR="000862DE">
        <w:t>ar 2020.</w:t>
      </w:r>
      <w:r w:rsidR="00770B29">
        <w:t> </w:t>
      </w:r>
      <w:r w:rsidR="000862DE">
        <w:t>gada 23.</w:t>
      </w:r>
      <w:r w:rsidR="00770B29">
        <w:t> </w:t>
      </w:r>
      <w:r w:rsidR="000862DE">
        <w:t>decembri</w:t>
      </w:r>
      <w:r w:rsidR="00A47B1A">
        <w:t>. P</w:t>
      </w:r>
      <w:r w:rsidR="00A47B1A" w:rsidRPr="00A70326">
        <w:t xml:space="preserve">rogrammu </w:t>
      </w:r>
      <w:r w:rsidR="000862DE" w:rsidRPr="00A70326">
        <w:t>administrē LIAA</w:t>
      </w:r>
      <w:r w:rsidR="00770B29">
        <w:t xml:space="preserve"> un tās kopējais</w:t>
      </w:r>
      <w:r w:rsidR="000862DE">
        <w:t xml:space="preserve"> finansējums</w:t>
      </w:r>
      <w:r w:rsidR="00770B29">
        <w:t xml:space="preserve"> </w:t>
      </w:r>
      <w:r w:rsidR="00A47B1A">
        <w:t xml:space="preserve">veido </w:t>
      </w:r>
      <w:r w:rsidR="000862DE">
        <w:t>2,1</w:t>
      </w:r>
      <w:r w:rsidR="00770B29">
        <w:t> </w:t>
      </w:r>
      <w:r w:rsidR="000862DE">
        <w:t>milj.</w:t>
      </w:r>
      <w:r w:rsidR="00770B29">
        <w:t> </w:t>
      </w:r>
      <w:r w:rsidR="00770B29" w:rsidRPr="00770B29">
        <w:rPr>
          <w:i/>
          <w:iCs/>
        </w:rPr>
        <w:t>euro</w:t>
      </w:r>
      <w:r w:rsidR="000862DE" w:rsidRPr="00A70326">
        <w:t xml:space="preserve">. </w:t>
      </w:r>
      <w:r w:rsidR="00770B29">
        <w:t>A</w:t>
      </w:r>
      <w:r w:rsidR="000862DE" w:rsidRPr="00A70326">
        <w:t>tbalst</w:t>
      </w:r>
      <w:r w:rsidR="00770B29">
        <w:t>s tiek sniegts</w:t>
      </w:r>
      <w:r w:rsidR="000862DE" w:rsidRPr="00A70326">
        <w:t xml:space="preserve"> uzturēšanās un ēdināšanas pakalpojumu izmaksu segšanai tūristu mītnē, kura ir iekļauta LIAA administrētajā tūristu mītņu sarakstā</w:t>
      </w:r>
      <w:r w:rsidR="00770B29">
        <w:rPr>
          <w:rStyle w:val="FootnoteReference"/>
        </w:rPr>
        <w:footnoteReference w:id="18"/>
      </w:r>
      <w:r w:rsidR="000862DE">
        <w:t>,</w:t>
      </w:r>
      <w:r w:rsidR="000862DE" w:rsidRPr="00A70326">
        <w:t xml:space="preserve"> personām, kurām nav iespējas ievērot izolāciju savā dzīvesvietā, nepakļaujot inficēšanās riskam citus mājsaimniecības locekļus</w:t>
      </w:r>
      <w:r w:rsidR="000862DE">
        <w:t xml:space="preserve">. </w:t>
      </w:r>
      <w:r w:rsidR="000862DE" w:rsidRPr="00E17022">
        <w:t xml:space="preserve">Atbalstu </w:t>
      </w:r>
      <w:r w:rsidR="000862DE">
        <w:t xml:space="preserve">sniedz </w:t>
      </w:r>
      <w:r w:rsidR="000862DE" w:rsidRPr="00E17022">
        <w:t>80 % apmērā no kopējās izmitināšanas pakalpojuma summas, bet ne vairāk kā 35</w:t>
      </w:r>
      <w:r w:rsidR="00832F67">
        <w:t> </w:t>
      </w:r>
      <w:r w:rsidR="00832F67" w:rsidRPr="00832F67">
        <w:rPr>
          <w:i/>
          <w:iCs/>
        </w:rPr>
        <w:t>euro</w:t>
      </w:r>
      <w:r w:rsidR="000862DE" w:rsidRPr="00E17022">
        <w:t xml:space="preserve"> diennaktī Covid-19 slimnieku kontaktperson</w:t>
      </w:r>
      <w:r w:rsidR="000862DE">
        <w:t>ām</w:t>
      </w:r>
      <w:r w:rsidR="000862DE" w:rsidRPr="00E17022">
        <w:t>, Covid-19 pacienti</w:t>
      </w:r>
      <w:r w:rsidR="000862DE">
        <w:t>em</w:t>
      </w:r>
      <w:r w:rsidR="000862DE" w:rsidRPr="00E17022">
        <w:t xml:space="preserve"> ar viegliem slimības simptomiem, kā arī Covid-19 pacienti</w:t>
      </w:r>
      <w:r w:rsidR="000862DE">
        <w:t>em</w:t>
      </w:r>
      <w:r w:rsidR="00770B29">
        <w:t>,</w:t>
      </w:r>
      <w:r w:rsidR="00A47B1A">
        <w:t xml:space="preserve"> </w:t>
      </w:r>
      <w:r w:rsidR="00770B29" w:rsidRPr="00E17022">
        <w:t xml:space="preserve">kam vēl saglabājas simptomi </w:t>
      </w:r>
      <w:r w:rsidR="000862DE" w:rsidRPr="00E17022">
        <w:t>pēc ārstēšanās stacionārā. Atbalsta saņēmējam jāveic līdzmaksājums 20</w:t>
      </w:r>
      <w:r w:rsidR="00770B29">
        <w:t> </w:t>
      </w:r>
      <w:r w:rsidR="000862DE" w:rsidRPr="00E17022">
        <w:t>% apmērā.</w:t>
      </w:r>
      <w:r w:rsidR="00A47B1A">
        <w:t xml:space="preserve"> </w:t>
      </w:r>
      <w:r w:rsidR="000862DE" w:rsidRPr="00E17022">
        <w:t>Savukārt</w:t>
      </w:r>
      <w:r w:rsidR="00832F67">
        <w:t>,</w:t>
      </w:r>
      <w:r w:rsidR="000862DE" w:rsidRPr="00E17022">
        <w:t xml:space="preserve"> personām, kuras atgriezušās Latvijā no Lielbritānijas valsts noteiktajā repatriācijas kārtībā, valsts se</w:t>
      </w:r>
      <w:r w:rsidR="000862DE">
        <w:t>dz</w:t>
      </w:r>
      <w:r w:rsidR="000862DE" w:rsidRPr="00E17022">
        <w:t xml:space="preserve"> 100</w:t>
      </w:r>
      <w:r w:rsidR="00770B29">
        <w:t> </w:t>
      </w:r>
      <w:r w:rsidR="000862DE" w:rsidRPr="00E17022">
        <w:t>% no kopējās izmitināšanas un ēdināšanas pakalpojuma summas, bet ne vairāk kā 45</w:t>
      </w:r>
      <w:r w:rsidR="00832F67">
        <w:t> </w:t>
      </w:r>
      <w:r w:rsidR="00832F67" w:rsidRPr="00832F67">
        <w:rPr>
          <w:i/>
          <w:iCs/>
        </w:rPr>
        <w:t>euro</w:t>
      </w:r>
      <w:r w:rsidR="000862DE" w:rsidRPr="00E17022">
        <w:t xml:space="preserve"> diennaktī</w:t>
      </w:r>
      <w:r w:rsidR="000862DE">
        <w:t xml:space="preserve"> (</w:t>
      </w:r>
      <w:r w:rsidR="000862DE" w:rsidRPr="00E17022">
        <w:t>35</w:t>
      </w:r>
      <w:r w:rsidR="00770B29">
        <w:t> </w:t>
      </w:r>
      <w:r w:rsidR="00832F67" w:rsidRPr="00832F67">
        <w:rPr>
          <w:i/>
          <w:iCs/>
        </w:rPr>
        <w:t>euro</w:t>
      </w:r>
      <w:r w:rsidR="000862DE" w:rsidRPr="00E17022">
        <w:t xml:space="preserve"> izmitināšana</w:t>
      </w:r>
      <w:r w:rsidR="000862DE">
        <w:t xml:space="preserve">i un </w:t>
      </w:r>
      <w:r w:rsidR="000862DE" w:rsidRPr="00E17022">
        <w:t>10</w:t>
      </w:r>
      <w:r w:rsidR="00770B29">
        <w:t> </w:t>
      </w:r>
      <w:r w:rsidR="00832F67" w:rsidRPr="00832F67">
        <w:rPr>
          <w:i/>
          <w:iCs/>
        </w:rPr>
        <w:t>euro</w:t>
      </w:r>
      <w:r w:rsidR="000862DE" w:rsidRPr="00AE66AF">
        <w:t xml:space="preserve"> </w:t>
      </w:r>
      <w:r w:rsidR="000862DE" w:rsidRPr="00E17022">
        <w:t>ēdināšanai</w:t>
      </w:r>
      <w:r w:rsidR="000862DE">
        <w:t>)</w:t>
      </w:r>
      <w:r w:rsidR="000862DE" w:rsidRPr="00E17022">
        <w:t>. Izmitināšanas ilgums ir 14 dienas vai ārsta izziņā noteiktais</w:t>
      </w:r>
      <w:r w:rsidR="000862DE">
        <w:t xml:space="preserve"> termiņš</w:t>
      </w:r>
      <w:r w:rsidR="000862DE" w:rsidRPr="00E17022">
        <w:t xml:space="preserve">. </w:t>
      </w:r>
      <w:r w:rsidR="000862DE">
        <w:t>2021.</w:t>
      </w:r>
      <w:r w:rsidR="00770B29">
        <w:t> </w:t>
      </w:r>
      <w:r w:rsidR="000862DE">
        <w:t>gad</w:t>
      </w:r>
      <w:r w:rsidR="00770B29">
        <w:t>a sākum</w:t>
      </w:r>
      <w:r w:rsidR="000862DE">
        <w:t xml:space="preserve">ā atbalsta mehānismā </w:t>
      </w:r>
      <w:r w:rsidR="00770B29">
        <w:t>tika veikti precizējumi</w:t>
      </w:r>
      <w:r w:rsidR="00770B29">
        <w:rPr>
          <w:rStyle w:val="FootnoteReference"/>
        </w:rPr>
        <w:footnoteReference w:id="19"/>
      </w:r>
      <w:r w:rsidR="003045D6">
        <w:t xml:space="preserve"> </w:t>
      </w:r>
      <w:r w:rsidR="000862DE">
        <w:t xml:space="preserve">un </w:t>
      </w:r>
      <w:r w:rsidR="00770B29">
        <w:t xml:space="preserve">tā </w:t>
      </w:r>
      <w:r w:rsidR="000862DE">
        <w:t xml:space="preserve">īstenošanas termiņš </w:t>
      </w:r>
      <w:r w:rsidR="00770B29">
        <w:t>pagarināts</w:t>
      </w:r>
      <w:r w:rsidR="00A47B1A">
        <w:t xml:space="preserve"> </w:t>
      </w:r>
      <w:r w:rsidR="000862DE" w:rsidRPr="00E17022">
        <w:t>līdz 2021.</w:t>
      </w:r>
      <w:r w:rsidR="00770B29">
        <w:t> </w:t>
      </w:r>
      <w:r w:rsidR="000862DE" w:rsidRPr="00E17022">
        <w:t>gada 30.</w:t>
      </w:r>
      <w:r w:rsidR="00770B29">
        <w:t> </w:t>
      </w:r>
      <w:r w:rsidR="000862DE" w:rsidRPr="00E17022">
        <w:t xml:space="preserve">jūnijam. </w:t>
      </w:r>
    </w:p>
    <w:p w14:paraId="4D5F0926" w14:textId="694547D4" w:rsidR="000862DE" w:rsidRPr="00CA4847" w:rsidRDefault="00832F67" w:rsidP="00CA4847">
      <w:pPr>
        <w:spacing w:before="60" w:after="60" w:line="240" w:lineRule="auto"/>
        <w:jc w:val="both"/>
        <w:rPr>
          <w:rFonts w:eastAsia="Times New Roman" w:cs="Times New Roman"/>
          <w:szCs w:val="24"/>
        </w:rPr>
      </w:pPr>
      <w:r>
        <w:t xml:space="preserve">EM tūrisma nozares intereses pārstāvēja arī ministru prezidenta izveidotajā </w:t>
      </w:r>
      <w:r w:rsidRPr="00914993">
        <w:t xml:space="preserve">Starpinstitūciju koordinācijas vadības </w:t>
      </w:r>
      <w:r>
        <w:t>grupā, kurā tika skatīti Covid-19 pandēmijas noteiktie ierobežojušie pasākumi un iespējas tos atvieglot.</w:t>
      </w:r>
      <w:r>
        <w:rPr>
          <w:rFonts w:eastAsia="Times New Roman" w:cs="Times New Roman"/>
          <w:szCs w:val="24"/>
        </w:rPr>
        <w:t xml:space="preserve"> </w:t>
      </w:r>
      <w:r w:rsidR="00CA4847">
        <w:rPr>
          <w:rFonts w:eastAsia="Times New Roman" w:cs="Times New Roman"/>
          <w:szCs w:val="24"/>
        </w:rPr>
        <w:t xml:space="preserve">Pārskata periodā, </w:t>
      </w:r>
      <w:r w:rsidR="00CA4847">
        <w:t>a</w:t>
      </w:r>
      <w:r w:rsidR="000862DE" w:rsidRPr="003D126E">
        <w:t>tbilstoši epidemioloģiskajai situācijai</w:t>
      </w:r>
      <w:r w:rsidR="00CA4847">
        <w:t>, tika</w:t>
      </w:r>
      <w:r w:rsidR="00A47B1A">
        <w:t xml:space="preserve"> </w:t>
      </w:r>
      <w:r w:rsidR="00CA4847">
        <w:t xml:space="preserve">izstrādāti arī </w:t>
      </w:r>
      <w:r w:rsidR="000862DE" w:rsidRPr="003D126E">
        <w:t>grozījumi</w:t>
      </w:r>
      <w:r w:rsidR="00A47B1A">
        <w:t xml:space="preserve"> </w:t>
      </w:r>
      <w:hyperlink r:id="rId58" w:history="1">
        <w:r w:rsidR="00CA4847" w:rsidRPr="00CD73AB">
          <w:rPr>
            <w:rStyle w:val="Hyperlink"/>
            <w:color w:val="auto"/>
            <w:u w:val="none"/>
          </w:rPr>
          <w:t>MK 2020.</w:t>
        </w:r>
        <w:r w:rsidR="00FC4725">
          <w:rPr>
            <w:rStyle w:val="Hyperlink"/>
            <w:color w:val="auto"/>
            <w:u w:val="none"/>
          </w:rPr>
          <w:t> </w:t>
        </w:r>
        <w:r w:rsidR="00CA4847" w:rsidRPr="00CD73AB">
          <w:rPr>
            <w:rStyle w:val="Hyperlink"/>
            <w:color w:val="auto"/>
            <w:u w:val="none"/>
          </w:rPr>
          <w:t>gada 9.</w:t>
        </w:r>
        <w:r w:rsidR="003F3E98" w:rsidRPr="00CD73AB">
          <w:rPr>
            <w:rStyle w:val="Hyperlink"/>
            <w:color w:val="auto"/>
            <w:u w:val="none"/>
          </w:rPr>
          <w:t> </w:t>
        </w:r>
        <w:r w:rsidR="00CA4847" w:rsidRPr="00CD73AB">
          <w:rPr>
            <w:rStyle w:val="Hyperlink"/>
            <w:color w:val="auto"/>
            <w:u w:val="none"/>
          </w:rPr>
          <w:t xml:space="preserve">jūnija noteikumos Nr.360 </w:t>
        </w:r>
        <w:r w:rsidR="00CA4847" w:rsidRPr="003F3E98">
          <w:rPr>
            <w:rStyle w:val="Hyperlink"/>
            <w:i/>
            <w:iCs/>
            <w:color w:val="00859B"/>
          </w:rPr>
          <w:t>“Epidemioloģisk</w:t>
        </w:r>
        <w:r w:rsidR="003F3E98" w:rsidRPr="003F3E98">
          <w:rPr>
            <w:rStyle w:val="Hyperlink"/>
            <w:i/>
            <w:iCs/>
            <w:color w:val="00859B"/>
          </w:rPr>
          <w:t>ā</w:t>
        </w:r>
        <w:r w:rsidR="00CA4847" w:rsidRPr="003F3E98">
          <w:rPr>
            <w:rStyle w:val="Hyperlink"/>
            <w:i/>
            <w:iCs/>
            <w:color w:val="00859B"/>
          </w:rPr>
          <w:t>s</w:t>
        </w:r>
        <w:r w:rsidR="00A47B1A">
          <w:rPr>
            <w:rStyle w:val="Hyperlink"/>
            <w:i/>
            <w:iCs/>
            <w:color w:val="00859B"/>
          </w:rPr>
          <w:t xml:space="preserve"> </w:t>
        </w:r>
        <w:r w:rsidR="00CA4847" w:rsidRPr="003F3E98">
          <w:rPr>
            <w:rStyle w:val="Hyperlink"/>
            <w:i/>
            <w:iCs/>
            <w:color w:val="00859B"/>
          </w:rPr>
          <w:t>dro</w:t>
        </w:r>
        <w:r w:rsidR="003F3E98" w:rsidRPr="003F3E98">
          <w:rPr>
            <w:rStyle w:val="Hyperlink"/>
            <w:i/>
            <w:iCs/>
            <w:color w:val="00859B"/>
          </w:rPr>
          <w:t>šī</w:t>
        </w:r>
        <w:r w:rsidR="00CA4847" w:rsidRPr="003F3E98">
          <w:rPr>
            <w:rStyle w:val="Hyperlink"/>
            <w:i/>
            <w:iCs/>
            <w:color w:val="00859B"/>
          </w:rPr>
          <w:t>bas</w:t>
        </w:r>
        <w:r w:rsidR="00A47B1A">
          <w:rPr>
            <w:rStyle w:val="Hyperlink"/>
            <w:i/>
            <w:iCs/>
            <w:color w:val="00859B"/>
          </w:rPr>
          <w:t xml:space="preserve"> </w:t>
        </w:r>
        <w:r w:rsidR="00CA4847" w:rsidRPr="003F3E98">
          <w:rPr>
            <w:rStyle w:val="Hyperlink"/>
            <w:i/>
            <w:iCs/>
            <w:color w:val="00859B"/>
          </w:rPr>
          <w:t>pas</w:t>
        </w:r>
        <w:r w:rsidR="003F3E98" w:rsidRPr="003F3E98">
          <w:rPr>
            <w:rStyle w:val="Hyperlink"/>
            <w:i/>
            <w:iCs/>
            <w:color w:val="00859B"/>
          </w:rPr>
          <w:t>ā</w:t>
        </w:r>
        <w:r w:rsidR="00CA4847" w:rsidRPr="003F3E98">
          <w:rPr>
            <w:rStyle w:val="Hyperlink"/>
            <w:i/>
            <w:iCs/>
            <w:color w:val="00859B"/>
          </w:rPr>
          <w:t>kumi</w:t>
        </w:r>
        <w:r w:rsidR="003F3E98" w:rsidRPr="003F3E98">
          <w:rPr>
            <w:rStyle w:val="Hyperlink"/>
            <w:i/>
            <w:iCs/>
            <w:color w:val="00859B"/>
          </w:rPr>
          <w:t xml:space="preserve"> C</w:t>
        </w:r>
        <w:r w:rsidR="00CA4847" w:rsidRPr="003F3E98">
          <w:rPr>
            <w:rStyle w:val="Hyperlink"/>
            <w:i/>
            <w:iCs/>
            <w:color w:val="00859B"/>
          </w:rPr>
          <w:t>ovid-19</w:t>
        </w:r>
        <w:r w:rsidR="00A47B1A">
          <w:rPr>
            <w:rStyle w:val="Hyperlink"/>
            <w:i/>
            <w:iCs/>
            <w:color w:val="00859B"/>
          </w:rPr>
          <w:t xml:space="preserve"> </w:t>
        </w:r>
        <w:r w:rsidR="00CA4847" w:rsidRPr="003F3E98">
          <w:rPr>
            <w:rStyle w:val="Hyperlink"/>
            <w:i/>
            <w:iCs/>
            <w:color w:val="00859B"/>
          </w:rPr>
          <w:t>infekcijas</w:t>
        </w:r>
        <w:r w:rsidR="00A47B1A">
          <w:rPr>
            <w:rStyle w:val="Hyperlink"/>
            <w:i/>
            <w:iCs/>
            <w:color w:val="00859B"/>
          </w:rPr>
          <w:t xml:space="preserve"> </w:t>
        </w:r>
        <w:r w:rsidR="00CA4847" w:rsidRPr="003F3E98">
          <w:rPr>
            <w:rStyle w:val="Hyperlink"/>
            <w:i/>
            <w:iCs/>
            <w:color w:val="00859B"/>
          </w:rPr>
          <w:t>izplat</w:t>
        </w:r>
        <w:r w:rsidR="003F3E98" w:rsidRPr="003F3E98">
          <w:rPr>
            <w:rStyle w:val="Hyperlink"/>
            <w:i/>
            <w:iCs/>
            <w:color w:val="00859B"/>
          </w:rPr>
          <w:t>ī</w:t>
        </w:r>
        <w:r w:rsidR="00CA4847" w:rsidRPr="003F3E98">
          <w:rPr>
            <w:rStyle w:val="Hyperlink"/>
            <w:i/>
            <w:iCs/>
            <w:color w:val="00859B"/>
          </w:rPr>
          <w:t>bas</w:t>
        </w:r>
        <w:r w:rsidR="00A47B1A">
          <w:rPr>
            <w:rStyle w:val="Hyperlink"/>
            <w:i/>
            <w:iCs/>
            <w:color w:val="00859B"/>
          </w:rPr>
          <w:t xml:space="preserve"> </w:t>
        </w:r>
        <w:r w:rsidR="00CA4847" w:rsidRPr="003F3E98">
          <w:rPr>
            <w:rStyle w:val="Hyperlink"/>
            <w:i/>
            <w:iCs/>
            <w:color w:val="00859B"/>
          </w:rPr>
          <w:t>ierobe</w:t>
        </w:r>
        <w:r w:rsidR="003F3E98" w:rsidRPr="003F3E98">
          <w:rPr>
            <w:rStyle w:val="Hyperlink"/>
            <w:i/>
            <w:iCs/>
            <w:color w:val="00859B"/>
          </w:rPr>
          <w:t>ž</w:t>
        </w:r>
        <w:r w:rsidR="00CA4847" w:rsidRPr="003F3E98">
          <w:rPr>
            <w:rStyle w:val="Hyperlink"/>
            <w:i/>
            <w:iCs/>
            <w:color w:val="00859B"/>
          </w:rPr>
          <w:t>o</w:t>
        </w:r>
        <w:r w:rsidR="003F3E98" w:rsidRPr="003F3E98">
          <w:rPr>
            <w:rStyle w:val="Hyperlink"/>
            <w:i/>
            <w:iCs/>
            <w:color w:val="00859B"/>
          </w:rPr>
          <w:t>š</w:t>
        </w:r>
        <w:r w:rsidR="00CA4847" w:rsidRPr="003F3E98">
          <w:rPr>
            <w:rStyle w:val="Hyperlink"/>
            <w:i/>
            <w:iCs/>
            <w:color w:val="00859B"/>
          </w:rPr>
          <w:t>anai</w:t>
        </w:r>
      </w:hyperlink>
      <w:r w:rsidR="003F3E98" w:rsidRPr="003F3E98">
        <w:rPr>
          <w:i/>
          <w:iCs/>
          <w:color w:val="00859B"/>
        </w:rPr>
        <w:t>”</w:t>
      </w:r>
      <w:r w:rsidR="00CA4847">
        <w:t xml:space="preserve">. </w:t>
      </w:r>
    </w:p>
    <w:p w14:paraId="51EECB79" w14:textId="77777777" w:rsidR="00CA4DFE" w:rsidRPr="00F5511B" w:rsidRDefault="00CA4DFE" w:rsidP="003D746D">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3D746D" w:rsidRPr="00F5511B" w14:paraId="2580A4F9" w14:textId="77777777" w:rsidTr="00332293">
        <w:tc>
          <w:tcPr>
            <w:tcW w:w="9628" w:type="dxa"/>
            <w:tcBorders>
              <w:top w:val="nil"/>
              <w:left w:val="nil"/>
              <w:bottom w:val="nil"/>
              <w:right w:val="nil"/>
            </w:tcBorders>
            <w:shd w:val="clear" w:color="auto" w:fill="31849B" w:themeFill="accent5" w:themeFillShade="BF"/>
          </w:tcPr>
          <w:p w14:paraId="5100C489" w14:textId="07AA5BEE" w:rsidR="003D746D" w:rsidRPr="00E94B7B" w:rsidRDefault="00E94B7B" w:rsidP="00BE6C4B">
            <w:pPr>
              <w:pStyle w:val="Heading2"/>
              <w:numPr>
                <w:ilvl w:val="1"/>
                <w:numId w:val="16"/>
              </w:numPr>
              <w:spacing w:before="120" w:after="120"/>
              <w:ind w:left="357" w:hanging="357"/>
              <w:rPr>
                <w:szCs w:val="24"/>
                <w:lang w:val="lv-LV"/>
              </w:rPr>
            </w:pPr>
            <w:bookmarkStart w:id="37" w:name="_Toc78874602"/>
            <w:r w:rsidRPr="00E94B7B">
              <w:rPr>
                <w:lang w:val="lv-LV"/>
              </w:rPr>
              <w:t>Nozaru attīstība</w:t>
            </w:r>
            <w:r w:rsidR="00B74211">
              <w:rPr>
                <w:lang w:val="lv-LV"/>
              </w:rPr>
              <w:t xml:space="preserve"> un</w:t>
            </w:r>
            <w:r w:rsidRPr="00E94B7B">
              <w:rPr>
                <w:lang w:val="lv-LV"/>
              </w:rPr>
              <w:t xml:space="preserve"> uzņēmējdarbības vides uzlabošana</w:t>
            </w:r>
            <w:bookmarkEnd w:id="37"/>
          </w:p>
        </w:tc>
      </w:tr>
    </w:tbl>
    <w:p w14:paraId="534598D5" w14:textId="2B987D11" w:rsidR="00E1505F" w:rsidRDefault="00E94B7B" w:rsidP="00E1505F">
      <w:pPr>
        <w:spacing w:before="120" w:after="60" w:line="240" w:lineRule="auto"/>
        <w:jc w:val="both"/>
        <w:rPr>
          <w:rFonts w:cs="Times New Roman"/>
          <w:szCs w:val="24"/>
        </w:rPr>
      </w:pPr>
      <w:r>
        <w:rPr>
          <w:rFonts w:cs="Times New Roman"/>
          <w:szCs w:val="24"/>
        </w:rPr>
        <w:t>L</w:t>
      </w:r>
      <w:r w:rsidRPr="00AC3E8F">
        <w:rPr>
          <w:rFonts w:cs="Times New Roman"/>
          <w:szCs w:val="24"/>
        </w:rPr>
        <w:t xml:space="preserve">ai veicinātu komersantu konkurētspējas paaugstināšanu, pētniecības un rūpniecības sektoru sadarbību rūpniecisko pētījumu, jaunu produktu un tehnoloģiju attīstības projektu īstenošanā, EM </w:t>
      </w:r>
      <w:r>
        <w:rPr>
          <w:rFonts w:cs="Times New Roman"/>
          <w:szCs w:val="24"/>
        </w:rPr>
        <w:t>2020. gadā</w:t>
      </w:r>
      <w:r w:rsidR="00A9678C">
        <w:rPr>
          <w:rFonts w:cs="Times New Roman"/>
          <w:szCs w:val="24"/>
        </w:rPr>
        <w:t xml:space="preserve"> </w:t>
      </w:r>
      <w:r w:rsidRPr="00160DEA">
        <w:rPr>
          <w:rFonts w:cs="Times New Roman"/>
          <w:szCs w:val="24"/>
        </w:rPr>
        <w:t>turpināja</w:t>
      </w:r>
      <w:r w:rsidR="00160DEA" w:rsidRPr="00160DEA">
        <w:rPr>
          <w:rFonts w:eastAsia="Times New Roman" w:cs="Times New Roman"/>
          <w:szCs w:val="24"/>
        </w:rPr>
        <w:t xml:space="preserve"> iepriekš uzsākto </w:t>
      </w:r>
      <w:r w:rsidR="00160DEA" w:rsidRPr="00381F89">
        <w:rPr>
          <w:rFonts w:eastAsia="Times New Roman" w:cs="Times New Roman"/>
          <w:szCs w:val="24"/>
        </w:rPr>
        <w:t xml:space="preserve">ar ES fondu atbalstu </w:t>
      </w:r>
      <w:r w:rsidR="00B74211">
        <w:rPr>
          <w:rFonts w:cs="Times New Roman"/>
          <w:szCs w:val="24"/>
        </w:rPr>
        <w:t xml:space="preserve">īstenojamo </w:t>
      </w:r>
      <w:hyperlink r:id="rId59" w:history="1">
        <w:r w:rsidR="003045D6" w:rsidRPr="003045D6">
          <w:rPr>
            <w:rStyle w:val="Hyperlink"/>
            <w:rFonts w:cs="Times New Roman"/>
            <w:i/>
            <w:iCs/>
            <w:color w:val="00859B"/>
            <w:szCs w:val="24"/>
          </w:rPr>
          <w:t>Kompetences centru programmu</w:t>
        </w:r>
      </w:hyperlink>
      <w:r w:rsidR="003045D6" w:rsidRPr="003045D6">
        <w:rPr>
          <w:rFonts w:cs="Times New Roman"/>
          <w:szCs w:val="24"/>
        </w:rPr>
        <w:t xml:space="preserve"> </w:t>
      </w:r>
      <w:r w:rsidR="00381F89" w:rsidRPr="00BF79D1">
        <w:rPr>
          <w:rFonts w:cs="Times New Roman"/>
          <w:szCs w:val="24"/>
        </w:rPr>
        <w:t xml:space="preserve">(skat. </w:t>
      </w:r>
      <w:hyperlink w:anchor="_Pielikums._EM_īstenojamo" w:history="1">
        <w:r w:rsidR="00381F89" w:rsidRPr="00BF79D1">
          <w:rPr>
            <w:rStyle w:val="Hyperlink"/>
            <w:color w:val="00859B"/>
            <w:szCs w:val="24"/>
          </w:rPr>
          <w:t>8.pielikumu</w:t>
        </w:r>
      </w:hyperlink>
      <w:r w:rsidR="00381F89" w:rsidRPr="00472217">
        <w:rPr>
          <w:rStyle w:val="Hyperlink"/>
          <w:color w:val="auto"/>
          <w:szCs w:val="24"/>
          <w:u w:val="none"/>
        </w:rPr>
        <w:t xml:space="preserve">, </w:t>
      </w:r>
      <w:r w:rsidR="00381F89">
        <w:rPr>
          <w:rFonts w:eastAsia="Times New Roman"/>
          <w:color w:val="000000" w:themeColor="text1"/>
          <w:szCs w:val="24"/>
        </w:rPr>
        <w:t>1.2.1.1.</w:t>
      </w:r>
      <w:r w:rsidR="00B95866">
        <w:rPr>
          <w:rFonts w:eastAsia="Times New Roman"/>
          <w:color w:val="000000" w:themeColor="text1"/>
          <w:szCs w:val="24"/>
        </w:rPr>
        <w:t>pasākumu</w:t>
      </w:r>
      <w:r w:rsidR="00381F89" w:rsidRPr="00BF79D1">
        <w:rPr>
          <w:szCs w:val="24"/>
        </w:rPr>
        <w:t>)</w:t>
      </w:r>
      <w:r w:rsidR="00381F89">
        <w:rPr>
          <w:rFonts w:cs="Times New Roman"/>
          <w:szCs w:val="24"/>
        </w:rPr>
        <w:t xml:space="preserve">. </w:t>
      </w:r>
      <w:r>
        <w:rPr>
          <w:rFonts w:cs="Times New Roman"/>
          <w:szCs w:val="24"/>
        </w:rPr>
        <w:t xml:space="preserve">Ceturtās kārtas ietvaros </w:t>
      </w:r>
      <w:r w:rsidRPr="005A6171">
        <w:rPr>
          <w:rFonts w:cs="Times New Roman"/>
          <w:szCs w:val="24"/>
        </w:rPr>
        <w:t>8 kompetences centros</w:t>
      </w:r>
      <w:r w:rsidR="00E22E00" w:rsidRPr="00AC3E8F">
        <w:rPr>
          <w:rFonts w:cs="Times New Roman"/>
          <w:szCs w:val="24"/>
          <w:vertAlign w:val="superscript"/>
          <w:lang w:val="en-US"/>
        </w:rPr>
        <w:footnoteReference w:id="20"/>
      </w:r>
      <w:r w:rsidRPr="005A6171">
        <w:rPr>
          <w:rFonts w:cs="Times New Roman"/>
          <w:szCs w:val="24"/>
        </w:rPr>
        <w:t xml:space="preserve"> uzsākt</w:t>
      </w:r>
      <w:r>
        <w:rPr>
          <w:rFonts w:cs="Times New Roman"/>
          <w:szCs w:val="24"/>
        </w:rPr>
        <w:t>os</w:t>
      </w:r>
      <w:r w:rsidR="00A9678C">
        <w:rPr>
          <w:rFonts w:cs="Times New Roman"/>
          <w:szCs w:val="24"/>
        </w:rPr>
        <w:t xml:space="preserve"> </w:t>
      </w:r>
      <w:r w:rsidR="00F12B18">
        <w:rPr>
          <w:rFonts w:cs="Times New Roman"/>
          <w:szCs w:val="24"/>
        </w:rPr>
        <w:t xml:space="preserve">143 </w:t>
      </w:r>
      <w:r w:rsidRPr="005A6171">
        <w:rPr>
          <w:rFonts w:cs="Times New Roman"/>
          <w:szCs w:val="24"/>
        </w:rPr>
        <w:t>pētniecības projekt</w:t>
      </w:r>
      <w:r>
        <w:rPr>
          <w:rFonts w:cs="Times New Roman"/>
          <w:szCs w:val="24"/>
        </w:rPr>
        <w:t>us</w:t>
      </w:r>
      <w:r w:rsidRPr="005A6171">
        <w:rPr>
          <w:rFonts w:cs="Times New Roman"/>
          <w:szCs w:val="24"/>
        </w:rPr>
        <w:t xml:space="preserve"> īsteno</w:t>
      </w:r>
      <w:r w:rsidR="00A9678C">
        <w:rPr>
          <w:rFonts w:cs="Times New Roman"/>
          <w:szCs w:val="24"/>
        </w:rPr>
        <w:t>ja</w:t>
      </w:r>
      <w:r w:rsidRPr="005A6171">
        <w:rPr>
          <w:rFonts w:cs="Times New Roman"/>
          <w:szCs w:val="24"/>
        </w:rPr>
        <w:t xml:space="preserve"> komersanti un</w:t>
      </w:r>
      <w:r w:rsidR="00A47B1A">
        <w:rPr>
          <w:rFonts w:cs="Times New Roman"/>
          <w:szCs w:val="24"/>
        </w:rPr>
        <w:t xml:space="preserve"> </w:t>
      </w:r>
      <w:r w:rsidRPr="005A6171">
        <w:rPr>
          <w:rFonts w:cs="Times New Roman"/>
          <w:szCs w:val="24"/>
        </w:rPr>
        <w:t xml:space="preserve">zinātniskās institūcijas. </w:t>
      </w:r>
      <w:r>
        <w:rPr>
          <w:rFonts w:cs="Times New Roman"/>
          <w:szCs w:val="24"/>
        </w:rPr>
        <w:t>Kopējās p</w:t>
      </w:r>
      <w:r w:rsidRPr="0031702D">
        <w:rPr>
          <w:rFonts w:cs="Times New Roman"/>
          <w:szCs w:val="24"/>
        </w:rPr>
        <w:t>rivātās investīcijas, kas papildina valsts atbalstu inovācijām vai pētniecības un izstrādes projektiem</w:t>
      </w:r>
      <w:r>
        <w:rPr>
          <w:rFonts w:cs="Times New Roman"/>
          <w:szCs w:val="24"/>
        </w:rPr>
        <w:t xml:space="preserve">, </w:t>
      </w:r>
      <w:r w:rsidR="00E22E00">
        <w:rPr>
          <w:rFonts w:cs="Times New Roman"/>
          <w:szCs w:val="24"/>
        </w:rPr>
        <w:t xml:space="preserve">pārskata periodā īstenotās </w:t>
      </w:r>
      <w:r>
        <w:rPr>
          <w:rFonts w:cs="Times New Roman"/>
          <w:szCs w:val="24"/>
        </w:rPr>
        <w:t xml:space="preserve">otrās un ceturtās kārtas ietvaros </w:t>
      </w:r>
      <w:r w:rsidR="00E22E00" w:rsidRPr="00D8712B">
        <w:rPr>
          <w:rFonts w:cs="Times New Roman"/>
          <w:szCs w:val="24"/>
        </w:rPr>
        <w:t xml:space="preserve">2020.gadā sasniedza </w:t>
      </w:r>
      <w:r w:rsidRPr="00D8712B">
        <w:rPr>
          <w:rFonts w:cs="Times New Roman"/>
          <w:szCs w:val="24"/>
        </w:rPr>
        <w:t xml:space="preserve">35 milj. </w:t>
      </w:r>
      <w:r w:rsidR="00E1505F" w:rsidRPr="00D8712B">
        <w:rPr>
          <w:rFonts w:cs="Times New Roman"/>
          <w:i/>
          <w:iCs/>
          <w:szCs w:val="24"/>
        </w:rPr>
        <w:t>euro</w:t>
      </w:r>
      <w:r w:rsidRPr="00D8712B">
        <w:rPr>
          <w:rFonts w:cs="Times New Roman"/>
          <w:szCs w:val="24"/>
        </w:rPr>
        <w:t>.</w:t>
      </w:r>
      <w:r>
        <w:rPr>
          <w:rFonts w:cs="Times New Roman"/>
          <w:szCs w:val="24"/>
        </w:rPr>
        <w:t xml:space="preserve"> </w:t>
      </w:r>
      <w:r w:rsidRPr="005A6171">
        <w:rPr>
          <w:rFonts w:cs="Times New Roman"/>
          <w:szCs w:val="24"/>
        </w:rPr>
        <w:t xml:space="preserve">Pēc veiktajiem komersantu ieguldījumiem inovāciju ražošanā, rezultātā </w:t>
      </w:r>
      <w:r w:rsidR="003045D6" w:rsidRPr="005A6171">
        <w:rPr>
          <w:rFonts w:cs="Times New Roman"/>
          <w:szCs w:val="24"/>
        </w:rPr>
        <w:t>sagaid</w:t>
      </w:r>
      <w:r w:rsidR="003045D6">
        <w:rPr>
          <w:rFonts w:cs="Times New Roman"/>
          <w:szCs w:val="24"/>
        </w:rPr>
        <w:t>āms</w:t>
      </w:r>
      <w:r w:rsidR="003045D6" w:rsidRPr="005A6171">
        <w:rPr>
          <w:rFonts w:cs="Times New Roman"/>
          <w:szCs w:val="24"/>
        </w:rPr>
        <w:t xml:space="preserve"> </w:t>
      </w:r>
      <w:r w:rsidRPr="005A6171">
        <w:rPr>
          <w:rFonts w:cs="Times New Roman"/>
          <w:szCs w:val="24"/>
        </w:rPr>
        <w:t xml:space="preserve">komersantu apgrozījuma </w:t>
      </w:r>
      <w:r w:rsidR="003045D6" w:rsidRPr="005A6171">
        <w:rPr>
          <w:rFonts w:cs="Times New Roman"/>
          <w:szCs w:val="24"/>
        </w:rPr>
        <w:t>pieaugum</w:t>
      </w:r>
      <w:r w:rsidR="003045D6">
        <w:rPr>
          <w:rFonts w:cs="Times New Roman"/>
          <w:szCs w:val="24"/>
        </w:rPr>
        <w:t>s</w:t>
      </w:r>
      <w:r w:rsidR="003045D6" w:rsidRPr="005A6171">
        <w:rPr>
          <w:rFonts w:cs="Times New Roman"/>
          <w:szCs w:val="24"/>
        </w:rPr>
        <w:t xml:space="preserve"> </w:t>
      </w:r>
      <w:r w:rsidRPr="005A6171">
        <w:rPr>
          <w:rFonts w:cs="Times New Roman"/>
          <w:szCs w:val="24"/>
        </w:rPr>
        <w:t>par vairāk kā 100</w:t>
      </w:r>
      <w:r w:rsidR="00E22E00">
        <w:rPr>
          <w:rFonts w:cs="Times New Roman"/>
          <w:szCs w:val="24"/>
        </w:rPr>
        <w:t> </w:t>
      </w:r>
      <w:r w:rsidRPr="005A6171">
        <w:rPr>
          <w:rFonts w:cs="Times New Roman"/>
          <w:szCs w:val="24"/>
        </w:rPr>
        <w:t xml:space="preserve">milj. </w:t>
      </w:r>
      <w:r w:rsidR="00E1505F" w:rsidRPr="00E1505F">
        <w:rPr>
          <w:rFonts w:cs="Times New Roman"/>
          <w:i/>
          <w:iCs/>
          <w:szCs w:val="24"/>
        </w:rPr>
        <w:t>euro</w:t>
      </w:r>
      <w:r w:rsidRPr="005A6171">
        <w:rPr>
          <w:rFonts w:cs="Times New Roman"/>
          <w:i/>
          <w:iCs/>
          <w:szCs w:val="24"/>
        </w:rPr>
        <w:t xml:space="preserve">. </w:t>
      </w:r>
      <w:r w:rsidR="00E22E00">
        <w:rPr>
          <w:rFonts w:cs="Times New Roman"/>
          <w:szCs w:val="24"/>
        </w:rPr>
        <w:t>K</w:t>
      </w:r>
      <w:r w:rsidRPr="005A6171">
        <w:rPr>
          <w:rFonts w:cs="Times New Roman"/>
          <w:szCs w:val="24"/>
        </w:rPr>
        <w:t>ompetences centru</w:t>
      </w:r>
      <w:r w:rsidRPr="00AC3E8F">
        <w:rPr>
          <w:rFonts w:cs="Times New Roman"/>
          <w:szCs w:val="24"/>
        </w:rPr>
        <w:t xml:space="preserve"> ietvaros </w:t>
      </w:r>
      <w:r w:rsidR="00E22E00">
        <w:rPr>
          <w:rFonts w:cs="Times New Roman"/>
          <w:szCs w:val="24"/>
        </w:rPr>
        <w:t xml:space="preserve">pārskata periodā </w:t>
      </w:r>
      <w:r w:rsidRPr="00AC3E8F">
        <w:rPr>
          <w:rFonts w:cs="Times New Roman"/>
          <w:szCs w:val="24"/>
        </w:rPr>
        <w:t>turpin</w:t>
      </w:r>
      <w:r w:rsidR="00E22E00">
        <w:rPr>
          <w:rFonts w:cs="Times New Roman"/>
          <w:szCs w:val="24"/>
        </w:rPr>
        <w:t>ā</w:t>
      </w:r>
      <w:r w:rsidR="00A9678C">
        <w:rPr>
          <w:rFonts w:cs="Times New Roman"/>
          <w:szCs w:val="24"/>
        </w:rPr>
        <w:t>j</w:t>
      </w:r>
      <w:r w:rsidRPr="00AC3E8F">
        <w:rPr>
          <w:rFonts w:cs="Times New Roman"/>
          <w:szCs w:val="24"/>
        </w:rPr>
        <w:t>a veidoties jauna sadarbība starp zinātniskajām institūcijām un industriju komersantiem, paaugstinot komersantu konkurētspēj</w:t>
      </w:r>
      <w:r w:rsidR="00F12B18">
        <w:rPr>
          <w:rFonts w:cs="Times New Roman"/>
          <w:szCs w:val="24"/>
        </w:rPr>
        <w:t>u</w:t>
      </w:r>
      <w:r w:rsidRPr="00AC3E8F">
        <w:rPr>
          <w:rFonts w:cs="Times New Roman"/>
          <w:szCs w:val="24"/>
        </w:rPr>
        <w:t xml:space="preserve">, </w:t>
      </w:r>
      <w:r w:rsidR="003045D6">
        <w:rPr>
          <w:rFonts w:cs="Times New Roman"/>
          <w:szCs w:val="24"/>
        </w:rPr>
        <w:t xml:space="preserve">un dodot iespēju </w:t>
      </w:r>
      <w:r w:rsidRPr="00AC3E8F">
        <w:rPr>
          <w:rFonts w:cs="Times New Roman"/>
          <w:szCs w:val="24"/>
        </w:rPr>
        <w:t xml:space="preserve">īstenojot projektus, kas attīsta jaunus produktus un tehnoloģijas un ievieš tās ražošanā. </w:t>
      </w:r>
    </w:p>
    <w:p w14:paraId="3004FBF2" w14:textId="0571BA21" w:rsidR="00E1505F" w:rsidRDefault="00E94B7B" w:rsidP="00E1505F">
      <w:pPr>
        <w:spacing w:before="60" w:after="60" w:line="240" w:lineRule="auto"/>
        <w:jc w:val="both"/>
        <w:rPr>
          <w:rFonts w:cs="Times New Roman"/>
          <w:szCs w:val="24"/>
        </w:rPr>
      </w:pPr>
      <w:r w:rsidRPr="000E076C">
        <w:rPr>
          <w:rFonts w:cs="Times New Roman"/>
          <w:szCs w:val="24"/>
        </w:rPr>
        <w:t xml:space="preserve">Lai </w:t>
      </w:r>
      <w:r w:rsidR="00DA12B9">
        <w:rPr>
          <w:rFonts w:cs="Times New Roman"/>
          <w:szCs w:val="24"/>
        </w:rPr>
        <w:t>palielinātu</w:t>
      </w:r>
      <w:r w:rsidR="00DA12B9" w:rsidRPr="000E076C">
        <w:rPr>
          <w:rFonts w:cs="Times New Roman"/>
          <w:szCs w:val="24"/>
        </w:rPr>
        <w:t xml:space="preserve"> </w:t>
      </w:r>
      <w:r w:rsidRPr="000E076C">
        <w:rPr>
          <w:rFonts w:cs="Times New Roman"/>
          <w:szCs w:val="24"/>
        </w:rPr>
        <w:t>Latvijas komersantu produktu un pakalpojumu īpatsvaru eksportā, kā arī inovācijas un jaunu produktu veidošanos, 20</w:t>
      </w:r>
      <w:r>
        <w:rPr>
          <w:rFonts w:cs="Times New Roman"/>
          <w:szCs w:val="24"/>
        </w:rPr>
        <w:t>20</w:t>
      </w:r>
      <w:r w:rsidRPr="000E076C">
        <w:rPr>
          <w:rFonts w:cs="Times New Roman"/>
          <w:szCs w:val="24"/>
        </w:rPr>
        <w:t>.</w:t>
      </w:r>
      <w:r w:rsidR="00E1505F">
        <w:rPr>
          <w:rFonts w:cs="Times New Roman"/>
          <w:szCs w:val="24"/>
        </w:rPr>
        <w:t> </w:t>
      </w:r>
      <w:r w:rsidRPr="000E076C">
        <w:rPr>
          <w:rFonts w:cs="Times New Roman"/>
          <w:szCs w:val="24"/>
        </w:rPr>
        <w:t xml:space="preserve">gadā EM turpināja īstenot </w:t>
      </w:r>
      <w:hyperlink r:id="rId60" w:history="1">
        <w:r w:rsidR="00733CED" w:rsidRPr="00733CED">
          <w:rPr>
            <w:rStyle w:val="Hyperlink"/>
            <w:rFonts w:cs="Times New Roman"/>
            <w:i/>
            <w:iCs/>
            <w:color w:val="00859B"/>
            <w:szCs w:val="24"/>
          </w:rPr>
          <w:t>Klasteru programmu</w:t>
        </w:r>
      </w:hyperlink>
      <w:r w:rsidR="00733CED">
        <w:rPr>
          <w:rFonts w:cs="Times New Roman"/>
          <w:szCs w:val="24"/>
        </w:rPr>
        <w:t xml:space="preserve"> </w:t>
      </w:r>
      <w:r w:rsidR="00E22E00" w:rsidRPr="00BF79D1">
        <w:rPr>
          <w:rFonts w:cs="Times New Roman"/>
          <w:szCs w:val="24"/>
        </w:rPr>
        <w:t xml:space="preserve">(skat. </w:t>
      </w:r>
      <w:hyperlink w:anchor="_Pielikums._EM_īstenojamo" w:history="1">
        <w:r w:rsidR="00E22E00" w:rsidRPr="00BF79D1">
          <w:rPr>
            <w:rStyle w:val="Hyperlink"/>
            <w:color w:val="00859B"/>
            <w:szCs w:val="24"/>
          </w:rPr>
          <w:t>8.pielikumu</w:t>
        </w:r>
      </w:hyperlink>
      <w:r w:rsidR="00E22E00" w:rsidRPr="00472217">
        <w:rPr>
          <w:rStyle w:val="Hyperlink"/>
          <w:color w:val="auto"/>
          <w:szCs w:val="24"/>
          <w:u w:val="none"/>
        </w:rPr>
        <w:t xml:space="preserve">, </w:t>
      </w:r>
      <w:r w:rsidR="00E22E00">
        <w:rPr>
          <w:rFonts w:eastAsia="Times New Roman"/>
          <w:color w:val="000000" w:themeColor="text1"/>
          <w:szCs w:val="24"/>
        </w:rPr>
        <w:t>3.2.1.1.</w:t>
      </w:r>
      <w:r w:rsidR="00B95866">
        <w:rPr>
          <w:rFonts w:eastAsia="Times New Roman"/>
          <w:color w:val="000000" w:themeColor="text1"/>
          <w:szCs w:val="24"/>
        </w:rPr>
        <w:t>pasākumu</w:t>
      </w:r>
      <w:r w:rsidR="00E22E00" w:rsidRPr="00BF79D1">
        <w:rPr>
          <w:szCs w:val="24"/>
        </w:rPr>
        <w:t>)</w:t>
      </w:r>
      <w:r w:rsidR="00E22E00">
        <w:rPr>
          <w:rFonts w:cs="Times New Roman"/>
          <w:szCs w:val="24"/>
        </w:rPr>
        <w:t xml:space="preserve">, </w:t>
      </w:r>
      <w:r w:rsidR="007F4A95" w:rsidRPr="007F4A95">
        <w:rPr>
          <w:rFonts w:cs="Times New Roman"/>
          <w:color w:val="000000" w:themeColor="text1"/>
          <w:szCs w:val="24"/>
        </w:rPr>
        <w:t xml:space="preserve">kuras ietvaros </w:t>
      </w:r>
      <w:r w:rsidRPr="000E076C">
        <w:rPr>
          <w:rFonts w:cs="Times New Roman"/>
          <w:szCs w:val="24"/>
        </w:rPr>
        <w:t>14 Latvijas klasteri</w:t>
      </w:r>
      <w:r w:rsidR="00E22E00" w:rsidRPr="00E1505F">
        <w:rPr>
          <w:rStyle w:val="FootnoteReference"/>
          <w:rFonts w:cs="Times New Roman"/>
          <w:szCs w:val="24"/>
        </w:rPr>
        <w:footnoteReference w:id="21"/>
      </w:r>
      <w:r w:rsidRPr="000E076C">
        <w:rPr>
          <w:rFonts w:cs="Times New Roman"/>
          <w:szCs w:val="24"/>
        </w:rPr>
        <w:t xml:space="preserve"> īstenoja dažādas aktivitātes (mārketinga aktivitātes, tīklošanās, darbnīcas, pieredzes apmaiņas pasākumi u.c.), veicin</w:t>
      </w:r>
      <w:r w:rsidR="007F4A95">
        <w:rPr>
          <w:rFonts w:cs="Times New Roman"/>
          <w:szCs w:val="24"/>
        </w:rPr>
        <w:t>o</w:t>
      </w:r>
      <w:r w:rsidRPr="000E076C">
        <w:rPr>
          <w:rFonts w:cs="Times New Roman"/>
          <w:szCs w:val="24"/>
        </w:rPr>
        <w:t xml:space="preserve">t to biedru konkurētspēju kopumā. </w:t>
      </w:r>
      <w:r w:rsidR="00E1505F">
        <w:rPr>
          <w:rFonts w:cs="Times New Roman"/>
          <w:szCs w:val="24"/>
        </w:rPr>
        <w:t>Pārskata periodā</w:t>
      </w:r>
      <w:r w:rsidR="00A47B1A">
        <w:rPr>
          <w:rFonts w:cs="Times New Roman"/>
          <w:szCs w:val="24"/>
        </w:rPr>
        <w:t xml:space="preserve"> </w:t>
      </w:r>
      <w:r>
        <w:rPr>
          <w:rFonts w:cs="Times New Roman"/>
          <w:szCs w:val="24"/>
        </w:rPr>
        <w:t>tika piešķirts papildus finansējums un pagarināts projektu ieviešanas termiņš par vienu gadu līdz 2021.</w:t>
      </w:r>
      <w:r w:rsidR="00E1505F">
        <w:rPr>
          <w:rFonts w:cs="Times New Roman"/>
          <w:szCs w:val="24"/>
        </w:rPr>
        <w:t> </w:t>
      </w:r>
      <w:r>
        <w:rPr>
          <w:rFonts w:cs="Times New Roman"/>
          <w:szCs w:val="24"/>
        </w:rPr>
        <w:t>gada 31.</w:t>
      </w:r>
      <w:r w:rsidR="00E1505F">
        <w:rPr>
          <w:rFonts w:cs="Times New Roman"/>
          <w:szCs w:val="24"/>
        </w:rPr>
        <w:t> </w:t>
      </w:r>
      <w:r>
        <w:rPr>
          <w:rFonts w:cs="Times New Roman"/>
          <w:szCs w:val="24"/>
        </w:rPr>
        <w:t xml:space="preserve">decembrim, lai </w:t>
      </w:r>
      <w:r w:rsidR="00E1505F">
        <w:rPr>
          <w:rFonts w:cs="Times New Roman"/>
          <w:szCs w:val="24"/>
        </w:rPr>
        <w:t xml:space="preserve">turpinātu </w:t>
      </w:r>
      <w:r w:rsidRPr="000F14C0">
        <w:rPr>
          <w:rFonts w:cs="Times New Roman"/>
          <w:szCs w:val="24"/>
        </w:rPr>
        <w:t>veicinā</w:t>
      </w:r>
      <w:r w:rsidR="00E1505F">
        <w:rPr>
          <w:rFonts w:cs="Times New Roman"/>
          <w:szCs w:val="24"/>
        </w:rPr>
        <w:t>t</w:t>
      </w:r>
      <w:r w:rsidRPr="000F14C0">
        <w:rPr>
          <w:rFonts w:cs="Times New Roman"/>
          <w:szCs w:val="24"/>
        </w:rPr>
        <w:t xml:space="preserve"> komersantu konkurētspējas celšanu, palielinot eksporta apjomu un augstas pievienotās vērtības produktu un pakalpojumu īpatsvaru eksportā, kā arī inovācijas un jaunu produktu veidošanos arī pēc 2020.</w:t>
      </w:r>
      <w:r w:rsidR="00E1505F">
        <w:rPr>
          <w:rFonts w:cs="Times New Roman"/>
          <w:szCs w:val="24"/>
        </w:rPr>
        <w:t> </w:t>
      </w:r>
      <w:r w:rsidRPr="000F14C0">
        <w:rPr>
          <w:rFonts w:cs="Times New Roman"/>
          <w:szCs w:val="24"/>
        </w:rPr>
        <w:t>gada</w:t>
      </w:r>
      <w:r>
        <w:rPr>
          <w:rFonts w:cs="Times New Roman"/>
          <w:szCs w:val="24"/>
        </w:rPr>
        <w:t>.</w:t>
      </w:r>
    </w:p>
    <w:p w14:paraId="49309A3F" w14:textId="7903A8B4" w:rsidR="00E94B7B" w:rsidRDefault="00E94B7B" w:rsidP="00E1505F">
      <w:pPr>
        <w:spacing w:before="60" w:after="60" w:line="240" w:lineRule="auto"/>
        <w:jc w:val="both"/>
        <w:rPr>
          <w:rFonts w:cs="Times New Roman"/>
          <w:szCs w:val="24"/>
        </w:rPr>
      </w:pPr>
      <w:r w:rsidRPr="00FE22A6">
        <w:rPr>
          <w:rFonts w:cs="Times New Roman"/>
          <w:szCs w:val="24"/>
        </w:rPr>
        <w:t>20</w:t>
      </w:r>
      <w:r>
        <w:rPr>
          <w:rFonts w:cs="Times New Roman"/>
          <w:szCs w:val="24"/>
        </w:rPr>
        <w:t>20</w:t>
      </w:r>
      <w:r w:rsidRPr="00FE22A6">
        <w:rPr>
          <w:rFonts w:cs="Times New Roman"/>
          <w:szCs w:val="24"/>
        </w:rPr>
        <w:t>.</w:t>
      </w:r>
      <w:r w:rsidR="00E1505F">
        <w:rPr>
          <w:rFonts w:cs="Times New Roman"/>
          <w:szCs w:val="24"/>
        </w:rPr>
        <w:t> </w:t>
      </w:r>
      <w:r w:rsidRPr="00FE22A6">
        <w:rPr>
          <w:rFonts w:cs="Times New Roman"/>
          <w:szCs w:val="24"/>
        </w:rPr>
        <w:t>gadā t</w:t>
      </w:r>
      <w:r w:rsidR="00E1505F">
        <w:rPr>
          <w:rFonts w:cs="Times New Roman"/>
          <w:szCs w:val="24"/>
        </w:rPr>
        <w:t>ika t</w:t>
      </w:r>
      <w:r w:rsidRPr="00FE22A6">
        <w:rPr>
          <w:rFonts w:cs="Times New Roman"/>
          <w:szCs w:val="24"/>
        </w:rPr>
        <w:t>urpinātas ar ES fondu atbalstu īstenotās programmas uzņēmumu nodarbināto apmācībām un prasmju pilnveidošanai gan tehnoloģisk</w:t>
      </w:r>
      <w:r w:rsidR="00D20B1C">
        <w:rPr>
          <w:rFonts w:cs="Times New Roman"/>
          <w:szCs w:val="24"/>
        </w:rPr>
        <w:t>ā</w:t>
      </w:r>
      <w:r w:rsidR="00D8712B">
        <w:rPr>
          <w:rFonts w:cs="Times New Roman"/>
          <w:szCs w:val="24"/>
        </w:rPr>
        <w:t>,</w:t>
      </w:r>
      <w:r w:rsidRPr="00FE22A6">
        <w:rPr>
          <w:rFonts w:cs="Times New Roman"/>
          <w:szCs w:val="24"/>
        </w:rPr>
        <w:t xml:space="preserve"> gan </w:t>
      </w:r>
      <w:r w:rsidR="00D20B1C" w:rsidRPr="00FE22A6">
        <w:rPr>
          <w:rFonts w:cs="Times New Roman"/>
          <w:szCs w:val="24"/>
        </w:rPr>
        <w:t>netehnoloģisk</w:t>
      </w:r>
      <w:r w:rsidR="00D20B1C">
        <w:rPr>
          <w:rFonts w:cs="Times New Roman"/>
          <w:szCs w:val="24"/>
        </w:rPr>
        <w:t>ā jomā</w:t>
      </w:r>
      <w:r w:rsidR="00D20B1C" w:rsidRPr="00FE22A6">
        <w:rPr>
          <w:rFonts w:cs="Times New Roman"/>
          <w:szCs w:val="24"/>
        </w:rPr>
        <w:t xml:space="preserve"> </w:t>
      </w:r>
      <w:r>
        <w:rPr>
          <w:rFonts w:cs="Times New Roman"/>
          <w:szCs w:val="24"/>
        </w:rPr>
        <w:t>(</w:t>
      </w:r>
      <w:r w:rsidRPr="00EC5419">
        <w:rPr>
          <w:rFonts w:cs="Times New Roman"/>
          <w:szCs w:val="24"/>
        </w:rPr>
        <w:t xml:space="preserve">IKT un </w:t>
      </w:r>
      <w:r w:rsidR="00D20B1C" w:rsidRPr="00EC5419">
        <w:rPr>
          <w:rFonts w:cs="Times New Roman"/>
          <w:szCs w:val="24"/>
        </w:rPr>
        <w:t>netehnoloģiskā</w:t>
      </w:r>
      <w:r w:rsidR="00D20B1C">
        <w:rPr>
          <w:rFonts w:cs="Times New Roman"/>
          <w:szCs w:val="24"/>
        </w:rPr>
        <w:t>s</w:t>
      </w:r>
      <w:r w:rsidR="00D20B1C" w:rsidRPr="00EC5419">
        <w:rPr>
          <w:rFonts w:cs="Times New Roman"/>
          <w:szCs w:val="24"/>
        </w:rPr>
        <w:t xml:space="preserve"> apmācīb</w:t>
      </w:r>
      <w:r w:rsidR="00D20B1C">
        <w:rPr>
          <w:rFonts w:cs="Times New Roman"/>
          <w:szCs w:val="24"/>
        </w:rPr>
        <w:t>as</w:t>
      </w:r>
      <w:r w:rsidRPr="00EC5419">
        <w:rPr>
          <w:rFonts w:cs="Times New Roman"/>
          <w:szCs w:val="24"/>
        </w:rPr>
        <w:t xml:space="preserve">, kā arī </w:t>
      </w:r>
      <w:r w:rsidR="00D20B1C" w:rsidRPr="00EC5419">
        <w:rPr>
          <w:rFonts w:cs="Times New Roman"/>
          <w:szCs w:val="24"/>
        </w:rPr>
        <w:t>apmācīb</w:t>
      </w:r>
      <w:r w:rsidR="00D20B1C">
        <w:rPr>
          <w:rFonts w:cs="Times New Roman"/>
          <w:szCs w:val="24"/>
        </w:rPr>
        <w:t>as</w:t>
      </w:r>
      <w:r w:rsidRPr="00EC5419">
        <w:rPr>
          <w:rFonts w:cs="Times New Roman"/>
          <w:szCs w:val="24"/>
        </w:rPr>
        <w:t>, lai sekmētu investoru piesaisti</w:t>
      </w:r>
      <w:r>
        <w:rPr>
          <w:rFonts w:cs="Times New Roman"/>
          <w:szCs w:val="24"/>
        </w:rPr>
        <w:t xml:space="preserve">) </w:t>
      </w:r>
      <w:r w:rsidRPr="00FE22A6">
        <w:rPr>
          <w:rFonts w:cs="Times New Roman"/>
          <w:szCs w:val="24"/>
        </w:rPr>
        <w:t>inovāciju ieviešanai.</w:t>
      </w:r>
      <w:r w:rsidR="00D8712B" w:rsidRPr="00D20B1C">
        <w:rPr>
          <w:rFonts w:cs="Times New Roman"/>
          <w:color w:val="00859B"/>
          <w:szCs w:val="24"/>
        </w:rPr>
        <w:t xml:space="preserve"> </w:t>
      </w:r>
      <w:hyperlink r:id="rId61" w:history="1">
        <w:r w:rsidR="00733CED" w:rsidRPr="00733CED">
          <w:rPr>
            <w:rStyle w:val="Hyperlink"/>
            <w:rFonts w:cs="Times New Roman"/>
            <w:i/>
            <w:iCs/>
            <w:color w:val="00859B"/>
            <w:szCs w:val="24"/>
          </w:rPr>
          <w:t>Tehnoloģisko apmācību programmas</w:t>
        </w:r>
      </w:hyperlink>
      <w:r w:rsidR="00733CED" w:rsidRPr="00733CED">
        <w:rPr>
          <w:rFonts w:cs="Times New Roman"/>
          <w:szCs w:val="24"/>
        </w:rPr>
        <w:t xml:space="preserve"> </w:t>
      </w:r>
      <w:r w:rsidR="00D8712B" w:rsidRPr="00BF79D1">
        <w:rPr>
          <w:rFonts w:cs="Times New Roman"/>
          <w:szCs w:val="24"/>
        </w:rPr>
        <w:t xml:space="preserve">(skat. </w:t>
      </w:r>
      <w:hyperlink w:anchor="_Pielikums._EM_īstenojamo" w:history="1">
        <w:r w:rsidR="00D8712B" w:rsidRPr="00BF79D1">
          <w:rPr>
            <w:rStyle w:val="Hyperlink"/>
            <w:color w:val="00859B"/>
            <w:szCs w:val="24"/>
          </w:rPr>
          <w:t>8.pielikumu</w:t>
        </w:r>
      </w:hyperlink>
      <w:r w:rsidR="00D8712B" w:rsidRPr="00472217">
        <w:rPr>
          <w:rStyle w:val="Hyperlink"/>
          <w:color w:val="auto"/>
          <w:szCs w:val="24"/>
          <w:u w:val="none"/>
        </w:rPr>
        <w:t xml:space="preserve">, </w:t>
      </w:r>
      <w:r w:rsidR="00D8712B">
        <w:rPr>
          <w:rFonts w:eastAsia="Times New Roman"/>
          <w:color w:val="000000" w:themeColor="text1"/>
          <w:szCs w:val="24"/>
        </w:rPr>
        <w:t>1.2.2.1.</w:t>
      </w:r>
      <w:r w:rsidR="00B95866">
        <w:rPr>
          <w:rFonts w:eastAsia="Times New Roman"/>
          <w:color w:val="000000" w:themeColor="text1"/>
          <w:szCs w:val="24"/>
        </w:rPr>
        <w:t>pasākumu</w:t>
      </w:r>
      <w:r w:rsidR="00D8712B" w:rsidRPr="00BF79D1">
        <w:rPr>
          <w:szCs w:val="24"/>
        </w:rPr>
        <w:t>)</w:t>
      </w:r>
      <w:r w:rsidR="00D8712B">
        <w:rPr>
          <w:szCs w:val="24"/>
        </w:rPr>
        <w:t xml:space="preserve"> </w:t>
      </w:r>
      <w:r w:rsidRPr="00FE22A6">
        <w:rPr>
          <w:rFonts w:cs="Times New Roman"/>
          <w:szCs w:val="24"/>
        </w:rPr>
        <w:t xml:space="preserve">projektu atlases </w:t>
      </w:r>
      <w:r w:rsidR="00E1505F">
        <w:rPr>
          <w:rFonts w:cs="Times New Roman"/>
          <w:szCs w:val="24"/>
        </w:rPr>
        <w:t>pirmās</w:t>
      </w:r>
      <w:r w:rsidRPr="00FE22A6">
        <w:rPr>
          <w:rFonts w:cs="Times New Roman"/>
          <w:szCs w:val="24"/>
        </w:rPr>
        <w:t xml:space="preserve"> kārtas ietvaros tiek turpināti </w:t>
      </w:r>
      <w:r w:rsidR="00041B97">
        <w:rPr>
          <w:rFonts w:cs="Times New Roman"/>
          <w:szCs w:val="24"/>
        </w:rPr>
        <w:t>8 </w:t>
      </w:r>
      <w:r w:rsidRPr="00FE22A6">
        <w:rPr>
          <w:rFonts w:cs="Times New Roman"/>
          <w:szCs w:val="24"/>
        </w:rPr>
        <w:t xml:space="preserve">projekti. Kopumā </w:t>
      </w:r>
      <w:r w:rsidR="00E1505F">
        <w:rPr>
          <w:rFonts w:cs="Times New Roman"/>
          <w:szCs w:val="24"/>
        </w:rPr>
        <w:t>pirmā</w:t>
      </w:r>
      <w:r w:rsidRPr="00FE22A6">
        <w:rPr>
          <w:rFonts w:cs="Times New Roman"/>
          <w:szCs w:val="24"/>
        </w:rPr>
        <w:t xml:space="preserve"> kārtā jau apmācītas 12</w:t>
      </w:r>
      <w:r w:rsidR="00E1505F">
        <w:rPr>
          <w:rFonts w:cs="Times New Roman"/>
          <w:szCs w:val="24"/>
        </w:rPr>
        <w:t> </w:t>
      </w:r>
      <w:r w:rsidRPr="00FE22A6">
        <w:rPr>
          <w:rFonts w:cs="Times New Roman"/>
          <w:szCs w:val="24"/>
        </w:rPr>
        <w:t>138 nodarbinātās personas 649 komersantiem.</w:t>
      </w:r>
      <w:r>
        <w:rPr>
          <w:rFonts w:cs="Times New Roman"/>
          <w:szCs w:val="24"/>
        </w:rPr>
        <w:t xml:space="preserve"> Projektu atlases </w:t>
      </w:r>
      <w:r w:rsidR="00E1505F">
        <w:rPr>
          <w:rFonts w:cs="Times New Roman"/>
          <w:szCs w:val="24"/>
        </w:rPr>
        <w:t>otrās</w:t>
      </w:r>
      <w:r>
        <w:rPr>
          <w:rFonts w:cs="Times New Roman"/>
          <w:szCs w:val="24"/>
        </w:rPr>
        <w:t xml:space="preserve"> kārtas ietvaros tika apstiprināti pieci projekti</w:t>
      </w:r>
      <w:r>
        <w:t xml:space="preserve">, </w:t>
      </w:r>
      <w:r w:rsidRPr="00A94C17">
        <w:rPr>
          <w:rFonts w:cs="Times New Roman"/>
          <w:szCs w:val="24"/>
        </w:rPr>
        <w:t xml:space="preserve">jau apmācītas </w:t>
      </w:r>
      <w:r>
        <w:rPr>
          <w:rFonts w:cs="Times New Roman"/>
          <w:szCs w:val="24"/>
        </w:rPr>
        <w:t xml:space="preserve">337 </w:t>
      </w:r>
      <w:r w:rsidRPr="00A94C17">
        <w:rPr>
          <w:rFonts w:cs="Times New Roman"/>
          <w:szCs w:val="24"/>
        </w:rPr>
        <w:t>nodarbinātās personas</w:t>
      </w:r>
      <w:r>
        <w:rPr>
          <w:rFonts w:cs="Times New Roman"/>
          <w:szCs w:val="24"/>
        </w:rPr>
        <w:t xml:space="preserve"> 10</w:t>
      </w:r>
      <w:r w:rsidRPr="00A94C17">
        <w:rPr>
          <w:rFonts w:cs="Times New Roman"/>
          <w:szCs w:val="24"/>
        </w:rPr>
        <w:t xml:space="preserve"> komersantiem</w:t>
      </w:r>
      <w:r>
        <w:rPr>
          <w:rFonts w:cs="Times New Roman"/>
          <w:szCs w:val="24"/>
        </w:rPr>
        <w:t xml:space="preserve">. </w:t>
      </w:r>
      <w:r w:rsidRPr="006A457D">
        <w:rPr>
          <w:rFonts w:cs="Times New Roman"/>
          <w:szCs w:val="24"/>
        </w:rPr>
        <w:t>Ņemot vērā Covid-19 noteiktos ierobežojumus, apmācību temps samazinājās, jo apmācības ar 2020.</w:t>
      </w:r>
      <w:r w:rsidR="00E1505F">
        <w:rPr>
          <w:rFonts w:cs="Times New Roman"/>
          <w:szCs w:val="24"/>
        </w:rPr>
        <w:t> </w:t>
      </w:r>
      <w:r w:rsidRPr="006A457D">
        <w:rPr>
          <w:rFonts w:cs="Times New Roman"/>
          <w:szCs w:val="24"/>
        </w:rPr>
        <w:t>gada martu varēja īstenot tikai attālināti</w:t>
      </w:r>
      <w:r>
        <w:rPr>
          <w:rFonts w:cs="Times New Roman"/>
          <w:szCs w:val="24"/>
        </w:rPr>
        <w:t xml:space="preserve">. </w:t>
      </w:r>
      <w:r w:rsidRPr="00FE22A6">
        <w:rPr>
          <w:rFonts w:cs="Times New Roman"/>
          <w:szCs w:val="24"/>
        </w:rPr>
        <w:t>Apmācīto nodarbināto jauniegūtās/pilnveidotās zināšanas ir veicinājuši nozaru uzņēmumu konkurētspēju, sekmējot tehnoloģisko inovāciju ieviešanu un produktivitātes paaugstināšanu</w:t>
      </w:r>
      <w:r>
        <w:rPr>
          <w:rFonts w:cs="Times New Roman"/>
          <w:szCs w:val="24"/>
        </w:rPr>
        <w:t>.</w:t>
      </w:r>
      <w:r w:rsidR="00D20B1C" w:rsidRPr="00D20B1C">
        <w:rPr>
          <w:rFonts w:cs="Times New Roman"/>
          <w:color w:val="00859B"/>
          <w:szCs w:val="24"/>
        </w:rPr>
        <w:t xml:space="preserve"> </w:t>
      </w:r>
      <w:hyperlink r:id="rId62" w:history="1">
        <w:r w:rsidR="001A3F7D" w:rsidRPr="001A3F7D">
          <w:rPr>
            <w:rStyle w:val="Hyperlink"/>
            <w:rFonts w:cs="Times New Roman"/>
            <w:i/>
            <w:iCs/>
            <w:color w:val="00859B"/>
            <w:szCs w:val="24"/>
          </w:rPr>
          <w:t>Netehnoloģisko apmācību programmas</w:t>
        </w:r>
      </w:hyperlink>
      <w:r w:rsidR="001A3F7D" w:rsidRPr="001A3F7D">
        <w:rPr>
          <w:rFonts w:cs="Times New Roman"/>
          <w:szCs w:val="24"/>
        </w:rPr>
        <w:t xml:space="preserve"> </w:t>
      </w:r>
      <w:r w:rsidR="00D20B1C" w:rsidRPr="00BF79D1">
        <w:rPr>
          <w:rFonts w:cs="Times New Roman"/>
          <w:szCs w:val="24"/>
        </w:rPr>
        <w:t xml:space="preserve">(skat. </w:t>
      </w:r>
      <w:hyperlink w:anchor="_Pielikums._EM_īstenojamo" w:history="1">
        <w:r w:rsidR="00D20B1C" w:rsidRPr="00BF79D1">
          <w:rPr>
            <w:rStyle w:val="Hyperlink"/>
            <w:color w:val="00859B"/>
            <w:szCs w:val="24"/>
          </w:rPr>
          <w:t>8.pielikumu</w:t>
        </w:r>
      </w:hyperlink>
      <w:r w:rsidR="00D20B1C" w:rsidRPr="00472217">
        <w:rPr>
          <w:rStyle w:val="Hyperlink"/>
          <w:color w:val="auto"/>
          <w:szCs w:val="24"/>
          <w:u w:val="none"/>
        </w:rPr>
        <w:t xml:space="preserve">, </w:t>
      </w:r>
      <w:r w:rsidR="00D20B1C">
        <w:rPr>
          <w:rFonts w:eastAsia="Times New Roman"/>
          <w:color w:val="000000" w:themeColor="text1"/>
          <w:szCs w:val="24"/>
        </w:rPr>
        <w:t>1.2.2.3.</w:t>
      </w:r>
      <w:r w:rsidR="00B95866">
        <w:rPr>
          <w:rFonts w:eastAsia="Times New Roman"/>
          <w:color w:val="000000" w:themeColor="text1"/>
          <w:szCs w:val="24"/>
        </w:rPr>
        <w:t>pasākumu</w:t>
      </w:r>
      <w:r w:rsidR="00D20B1C" w:rsidRPr="00BF79D1">
        <w:rPr>
          <w:szCs w:val="24"/>
        </w:rPr>
        <w:t>)</w:t>
      </w:r>
      <w:r w:rsidR="00D20B1C">
        <w:rPr>
          <w:szCs w:val="24"/>
        </w:rPr>
        <w:t xml:space="preserve"> </w:t>
      </w:r>
      <w:r w:rsidRPr="00FE22A6">
        <w:rPr>
          <w:rFonts w:cs="Times New Roman"/>
          <w:szCs w:val="24"/>
        </w:rPr>
        <w:t>ietvaros ti</w:t>
      </w:r>
      <w:r>
        <w:rPr>
          <w:rFonts w:cs="Times New Roman"/>
          <w:szCs w:val="24"/>
        </w:rPr>
        <w:t>ka</w:t>
      </w:r>
      <w:r w:rsidRPr="00FE22A6">
        <w:rPr>
          <w:rFonts w:cs="Times New Roman"/>
          <w:szCs w:val="24"/>
        </w:rPr>
        <w:t xml:space="preserve"> turpināta apstiprināto projektu īstenošana</w:t>
      </w:r>
      <w:r>
        <w:rPr>
          <w:rFonts w:cs="Times New Roman"/>
          <w:szCs w:val="24"/>
        </w:rPr>
        <w:t>. A</w:t>
      </w:r>
      <w:r w:rsidRPr="00FE22A6">
        <w:rPr>
          <w:rFonts w:cs="Times New Roman"/>
          <w:szCs w:val="24"/>
        </w:rPr>
        <w:t xml:space="preserve">tbalsts sniegts apmācībām, kas nepieciešamas produktu, procesu, mārketinga vai organizācijas inovāciju ieviešanai komersantā. </w:t>
      </w:r>
      <w:r>
        <w:rPr>
          <w:rFonts w:cs="Times New Roman"/>
          <w:szCs w:val="24"/>
        </w:rPr>
        <w:t>Ņemot vērā Covid-19 noteiktos ierobežojumus, a</w:t>
      </w:r>
      <w:r w:rsidRPr="00FE22A6">
        <w:rPr>
          <w:rFonts w:cs="Times New Roman"/>
          <w:szCs w:val="24"/>
        </w:rPr>
        <w:t>pmācīb</w:t>
      </w:r>
      <w:r>
        <w:rPr>
          <w:rFonts w:cs="Times New Roman"/>
          <w:szCs w:val="24"/>
        </w:rPr>
        <w:t>u</w:t>
      </w:r>
      <w:r w:rsidR="005A35C0">
        <w:rPr>
          <w:rFonts w:cs="Times New Roman"/>
          <w:szCs w:val="24"/>
        </w:rPr>
        <w:t xml:space="preserve"> </w:t>
      </w:r>
      <w:r>
        <w:rPr>
          <w:rFonts w:cs="Times New Roman"/>
          <w:szCs w:val="24"/>
        </w:rPr>
        <w:t xml:space="preserve">temps </w:t>
      </w:r>
      <w:r w:rsidR="00E1505F">
        <w:rPr>
          <w:rFonts w:cs="Times New Roman"/>
          <w:szCs w:val="24"/>
        </w:rPr>
        <w:t xml:space="preserve">arī šajā programma </w:t>
      </w:r>
      <w:r>
        <w:rPr>
          <w:rFonts w:cs="Times New Roman"/>
          <w:szCs w:val="24"/>
        </w:rPr>
        <w:t>samazinājās, jo apmācības ar 2020.</w:t>
      </w:r>
      <w:r w:rsidR="00DD3312">
        <w:rPr>
          <w:rFonts w:cs="Times New Roman"/>
          <w:szCs w:val="24"/>
        </w:rPr>
        <w:t> </w:t>
      </w:r>
      <w:r>
        <w:rPr>
          <w:rFonts w:cs="Times New Roman"/>
          <w:szCs w:val="24"/>
        </w:rPr>
        <w:t>gada martu varēja īstenot tikai attālināti</w:t>
      </w:r>
      <w:r w:rsidRPr="00FE22A6">
        <w:rPr>
          <w:rFonts w:cs="Times New Roman"/>
          <w:szCs w:val="24"/>
        </w:rPr>
        <w:t xml:space="preserve">. Kopumā </w:t>
      </w:r>
      <w:r w:rsidR="00D8712B">
        <w:rPr>
          <w:rFonts w:cs="Times New Roman"/>
          <w:szCs w:val="24"/>
        </w:rPr>
        <w:t xml:space="preserve">līdz </w:t>
      </w:r>
      <w:r w:rsidR="005A35C0">
        <w:rPr>
          <w:rFonts w:cs="Times New Roman"/>
          <w:szCs w:val="24"/>
        </w:rPr>
        <w:t>2020.gad</w:t>
      </w:r>
      <w:r w:rsidR="00D8712B">
        <w:rPr>
          <w:rFonts w:cs="Times New Roman"/>
          <w:szCs w:val="24"/>
        </w:rPr>
        <w:t>a</w:t>
      </w:r>
      <w:r w:rsidR="005A35C0">
        <w:rPr>
          <w:rFonts w:cs="Times New Roman"/>
          <w:szCs w:val="24"/>
        </w:rPr>
        <w:t xml:space="preserve"> </w:t>
      </w:r>
      <w:r w:rsidR="00D8712B">
        <w:rPr>
          <w:rFonts w:cs="Times New Roman"/>
          <w:szCs w:val="24"/>
        </w:rPr>
        <w:t>beigām</w:t>
      </w:r>
      <w:r w:rsidR="005A35C0">
        <w:rPr>
          <w:rFonts w:cs="Times New Roman"/>
          <w:szCs w:val="24"/>
        </w:rPr>
        <w:t xml:space="preserve"> </w:t>
      </w:r>
      <w:r w:rsidRPr="00FE22A6">
        <w:rPr>
          <w:rFonts w:cs="Times New Roman"/>
          <w:szCs w:val="24"/>
        </w:rPr>
        <w:t xml:space="preserve">apmācītas </w:t>
      </w:r>
      <w:r>
        <w:rPr>
          <w:rFonts w:cs="Times New Roman"/>
          <w:szCs w:val="24"/>
        </w:rPr>
        <w:t>6</w:t>
      </w:r>
      <w:r w:rsidR="00041B97">
        <w:rPr>
          <w:rFonts w:cs="Times New Roman"/>
          <w:szCs w:val="24"/>
        </w:rPr>
        <w:t> </w:t>
      </w:r>
      <w:r>
        <w:rPr>
          <w:rFonts w:cs="Times New Roman"/>
          <w:szCs w:val="24"/>
        </w:rPr>
        <w:t>510</w:t>
      </w:r>
      <w:r w:rsidRPr="00FE22A6">
        <w:rPr>
          <w:rFonts w:cs="Times New Roman"/>
          <w:szCs w:val="24"/>
        </w:rPr>
        <w:t xml:space="preserve"> nodarbinātās personas </w:t>
      </w:r>
      <w:r>
        <w:rPr>
          <w:rFonts w:cs="Times New Roman"/>
          <w:szCs w:val="24"/>
        </w:rPr>
        <w:t>526</w:t>
      </w:r>
      <w:r w:rsidRPr="00FE22A6">
        <w:rPr>
          <w:rFonts w:cs="Times New Roman"/>
          <w:szCs w:val="24"/>
        </w:rPr>
        <w:t xml:space="preserve"> komersantiem</w:t>
      </w:r>
      <w:r>
        <w:rPr>
          <w:rFonts w:cs="Times New Roman"/>
          <w:szCs w:val="24"/>
        </w:rPr>
        <w:t>.</w:t>
      </w:r>
    </w:p>
    <w:p w14:paraId="689A4437" w14:textId="06DE2C5B" w:rsidR="00E94B7B" w:rsidRDefault="00E94B7B" w:rsidP="00160DEA">
      <w:pPr>
        <w:spacing w:before="60" w:after="60" w:line="240" w:lineRule="auto"/>
        <w:jc w:val="both"/>
        <w:rPr>
          <w:rFonts w:cs="Times New Roman"/>
          <w:szCs w:val="24"/>
        </w:rPr>
      </w:pPr>
      <w:r w:rsidRPr="00090419">
        <w:rPr>
          <w:rFonts w:cs="Times New Roman"/>
          <w:szCs w:val="24"/>
        </w:rPr>
        <w:t xml:space="preserve">Lai izpildītu </w:t>
      </w:r>
      <w:hyperlink r:id="rId63" w:history="1">
        <w:r w:rsidR="00D20B1C" w:rsidRPr="00D20B1C">
          <w:rPr>
            <w:rStyle w:val="Hyperlink"/>
            <w:rFonts w:cs="Times New Roman"/>
            <w:i/>
            <w:iCs/>
            <w:color w:val="00859B"/>
            <w:szCs w:val="24"/>
          </w:rPr>
          <w:t>Viedās specializācijas stratēģijas</w:t>
        </w:r>
      </w:hyperlink>
      <w:r w:rsidR="00D20B1C">
        <w:rPr>
          <w:rFonts w:cs="Times New Roman"/>
          <w:szCs w:val="24"/>
        </w:rPr>
        <w:t xml:space="preserve"> (RIS3) </w:t>
      </w:r>
      <w:r w:rsidRPr="00090419">
        <w:rPr>
          <w:rFonts w:cs="Times New Roman"/>
          <w:szCs w:val="24"/>
        </w:rPr>
        <w:t xml:space="preserve">uzdevumu transformēt tautsaimniecību uz augstāku pievienoto vērtību, produktivitāti un efektīvāku resursu izmantošanu, panākot izmaiņas un izaugsmi tradicionālo nozaru ražošanas un eksporta struktūrā, kā arī nozarēs, kas uzrāda augstas pievienotās vērtības produktu un pakalpojumu potenciālu, </w:t>
      </w:r>
      <w:r w:rsidR="00041B97">
        <w:rPr>
          <w:rFonts w:cs="Times New Roman"/>
          <w:szCs w:val="24"/>
        </w:rPr>
        <w:t>EM turpināja</w:t>
      </w:r>
      <w:r w:rsidRPr="00090419">
        <w:rPr>
          <w:rFonts w:cs="Times New Roman"/>
          <w:szCs w:val="24"/>
        </w:rPr>
        <w:t xml:space="preserve"> mērķtiecīg</w:t>
      </w:r>
      <w:r w:rsidR="00041B97">
        <w:rPr>
          <w:rFonts w:cs="Times New Roman"/>
          <w:szCs w:val="24"/>
        </w:rPr>
        <w:t>u</w:t>
      </w:r>
      <w:r w:rsidRPr="00090419">
        <w:rPr>
          <w:rFonts w:cs="Times New Roman"/>
          <w:szCs w:val="24"/>
        </w:rPr>
        <w:t xml:space="preserve"> visu iesaistīto pušu sadarbība</w:t>
      </w:r>
      <w:r w:rsidR="00041B97">
        <w:rPr>
          <w:rFonts w:cs="Times New Roman"/>
          <w:szCs w:val="24"/>
        </w:rPr>
        <w:t>s veicināšanu</w:t>
      </w:r>
      <w:r w:rsidRPr="00090419">
        <w:rPr>
          <w:rFonts w:cs="Times New Roman"/>
          <w:szCs w:val="24"/>
        </w:rPr>
        <w:t xml:space="preserve">. Privātā, akadēmiskā un publiskā sektora apvienošana vienotu mērķu identificēšanai un sasniegšanai ir galvenais veiksmīgas RIS3 stratēģijas ieviešanas priekšnosacījums. </w:t>
      </w:r>
      <w:r w:rsidR="00041B97">
        <w:rPr>
          <w:rFonts w:cs="Times New Roman"/>
          <w:szCs w:val="24"/>
        </w:rPr>
        <w:lastRenderedPageBreak/>
        <w:t>Pārskata periodā EM turpināja iesākto darbu, i</w:t>
      </w:r>
      <w:r w:rsidRPr="00090419">
        <w:rPr>
          <w:rFonts w:cs="Times New Roman"/>
          <w:szCs w:val="24"/>
        </w:rPr>
        <w:t>dentificē</w:t>
      </w:r>
      <w:r w:rsidR="00041B97">
        <w:rPr>
          <w:rFonts w:cs="Times New Roman"/>
          <w:szCs w:val="24"/>
        </w:rPr>
        <w:t>jot</w:t>
      </w:r>
      <w:r w:rsidRPr="00090419">
        <w:rPr>
          <w:rFonts w:cs="Times New Roman"/>
          <w:szCs w:val="24"/>
        </w:rPr>
        <w:t xml:space="preserve"> un mobilizē</w:t>
      </w:r>
      <w:r w:rsidR="00041B97">
        <w:rPr>
          <w:rFonts w:cs="Times New Roman"/>
          <w:szCs w:val="24"/>
        </w:rPr>
        <w:t>jot</w:t>
      </w:r>
      <w:r w:rsidRPr="00090419">
        <w:rPr>
          <w:rFonts w:cs="Times New Roman"/>
          <w:szCs w:val="24"/>
        </w:rPr>
        <w:t xml:space="preserve"> vietējās vērtību ķēdes ar augstu pievienoto vērtību vai izaugsmes potenciālu un to uzņēmējdarbības ekosistēm</w:t>
      </w:r>
      <w:r w:rsidR="0080126B">
        <w:rPr>
          <w:rFonts w:cs="Times New Roman"/>
          <w:szCs w:val="24"/>
        </w:rPr>
        <w:t>u</w:t>
      </w:r>
      <w:r w:rsidRPr="00090419">
        <w:rPr>
          <w:rFonts w:cs="Times New Roman"/>
          <w:szCs w:val="24"/>
        </w:rPr>
        <w:t xml:space="preserve">, </w:t>
      </w:r>
      <w:r w:rsidR="0080126B">
        <w:rPr>
          <w:rFonts w:cs="Times New Roman"/>
          <w:szCs w:val="24"/>
        </w:rPr>
        <w:t>veicot</w:t>
      </w:r>
      <w:r w:rsidRPr="00090419">
        <w:rPr>
          <w:rFonts w:cs="Times New Roman"/>
          <w:szCs w:val="24"/>
        </w:rPr>
        <w:t xml:space="preserve"> to stratēģisk</w:t>
      </w:r>
      <w:r w:rsidR="0080126B">
        <w:rPr>
          <w:rFonts w:cs="Times New Roman"/>
          <w:szCs w:val="24"/>
        </w:rPr>
        <w:t>o</w:t>
      </w:r>
      <w:r w:rsidRPr="00090419">
        <w:rPr>
          <w:rFonts w:cs="Times New Roman"/>
          <w:szCs w:val="24"/>
        </w:rPr>
        <w:t xml:space="preserve"> koordinācij</w:t>
      </w:r>
      <w:r w:rsidR="0080126B">
        <w:rPr>
          <w:rFonts w:cs="Times New Roman"/>
          <w:szCs w:val="24"/>
        </w:rPr>
        <w:t>u</w:t>
      </w:r>
      <w:r w:rsidRPr="00090419">
        <w:rPr>
          <w:rFonts w:cs="Times New Roman"/>
          <w:szCs w:val="24"/>
        </w:rPr>
        <w:t>. Lai izstrādātu pilnvērtīgu sistēmu identificēto mērķu sasniegšanā, E</w:t>
      </w:r>
      <w:r>
        <w:rPr>
          <w:rFonts w:cs="Times New Roman"/>
          <w:szCs w:val="24"/>
        </w:rPr>
        <w:t>M</w:t>
      </w:r>
      <w:r w:rsidR="005A35C0">
        <w:rPr>
          <w:rFonts w:cs="Times New Roman"/>
          <w:szCs w:val="24"/>
        </w:rPr>
        <w:t xml:space="preserve"> </w:t>
      </w:r>
      <w:r w:rsidR="0080126B">
        <w:rPr>
          <w:rFonts w:cs="Times New Roman"/>
          <w:szCs w:val="24"/>
        </w:rPr>
        <w:t xml:space="preserve">turpināja </w:t>
      </w:r>
      <w:r w:rsidRPr="00090419">
        <w:rPr>
          <w:rFonts w:cs="Times New Roman"/>
          <w:szCs w:val="24"/>
        </w:rPr>
        <w:t>praksē ievie</w:t>
      </w:r>
      <w:r w:rsidR="0080126B">
        <w:rPr>
          <w:rFonts w:cs="Times New Roman"/>
          <w:szCs w:val="24"/>
        </w:rPr>
        <w:t>st</w:t>
      </w:r>
      <w:r w:rsidRPr="00090419">
        <w:rPr>
          <w:rFonts w:cs="Times New Roman"/>
          <w:szCs w:val="24"/>
        </w:rPr>
        <w:t xml:space="preserve"> Stratēģisku vērtību ķēžu attīstības iniciatīvu. </w:t>
      </w:r>
      <w:r w:rsidR="00160DEA" w:rsidRPr="0069732D">
        <w:rPr>
          <w:rFonts w:cs="Times New Roman"/>
          <w:szCs w:val="24"/>
        </w:rPr>
        <w:t>I</w:t>
      </w:r>
      <w:r w:rsidRPr="0069732D">
        <w:rPr>
          <w:rFonts w:cs="Times New Roman"/>
          <w:szCs w:val="24"/>
        </w:rPr>
        <w:t xml:space="preserve">r </w:t>
      </w:r>
      <w:r w:rsidRPr="0080126B">
        <w:rPr>
          <w:rFonts w:cs="Times New Roman"/>
          <w:szCs w:val="24"/>
        </w:rPr>
        <w:t xml:space="preserve">izveidotas trīs </w:t>
      </w:r>
      <w:r w:rsidR="0080126B">
        <w:rPr>
          <w:rFonts w:cs="Times New Roman"/>
          <w:szCs w:val="24"/>
        </w:rPr>
        <w:t>–</w:t>
      </w:r>
      <w:r w:rsidR="005A35C0">
        <w:rPr>
          <w:rFonts w:cs="Times New Roman"/>
          <w:szCs w:val="24"/>
        </w:rPr>
        <w:t xml:space="preserve"> </w:t>
      </w:r>
      <w:r w:rsidRPr="005304EE">
        <w:rPr>
          <w:rFonts w:cs="Times New Roman"/>
          <w:szCs w:val="24"/>
        </w:rPr>
        <w:t>Precīzijas</w:t>
      </w:r>
      <w:r w:rsidR="005A35C0" w:rsidRPr="005304EE">
        <w:rPr>
          <w:rFonts w:cs="Times New Roman"/>
          <w:szCs w:val="24"/>
        </w:rPr>
        <w:t xml:space="preserve"> </w:t>
      </w:r>
      <w:r w:rsidRPr="005304EE">
        <w:rPr>
          <w:rFonts w:cs="Times New Roman"/>
          <w:szCs w:val="24"/>
        </w:rPr>
        <w:t>medicīnas, Viedās mobilitātes un Fotonikas</w:t>
      </w:r>
      <w:r w:rsidR="0080126B" w:rsidRPr="005304EE">
        <w:rPr>
          <w:rFonts w:cs="Times New Roman"/>
          <w:szCs w:val="24"/>
        </w:rPr>
        <w:t xml:space="preserve"> vērtību ķēdes</w:t>
      </w:r>
      <w:r w:rsidR="0080126B" w:rsidRPr="0080126B">
        <w:rPr>
          <w:rFonts w:cs="Times New Roman"/>
          <w:szCs w:val="24"/>
        </w:rPr>
        <w:t>.</w:t>
      </w:r>
      <w:r w:rsidR="005A35C0">
        <w:rPr>
          <w:rFonts w:cs="Times New Roman"/>
          <w:szCs w:val="24"/>
        </w:rPr>
        <w:t xml:space="preserve"> </w:t>
      </w:r>
      <w:r>
        <w:rPr>
          <w:rFonts w:cs="Times New Roman"/>
          <w:szCs w:val="24"/>
        </w:rPr>
        <w:t>2020</w:t>
      </w:r>
      <w:r w:rsidRPr="004700A1">
        <w:rPr>
          <w:rFonts w:cs="Times New Roman"/>
          <w:szCs w:val="24"/>
        </w:rPr>
        <w:t>.</w:t>
      </w:r>
      <w:r w:rsidR="00B52423">
        <w:rPr>
          <w:rFonts w:cs="Times New Roman"/>
          <w:szCs w:val="24"/>
        </w:rPr>
        <w:t> </w:t>
      </w:r>
      <w:r w:rsidRPr="004700A1">
        <w:rPr>
          <w:rFonts w:cs="Times New Roman"/>
          <w:szCs w:val="24"/>
        </w:rPr>
        <w:t>gad</w:t>
      </w:r>
      <w:r w:rsidR="00160DEA">
        <w:rPr>
          <w:rFonts w:cs="Times New Roman"/>
          <w:szCs w:val="24"/>
        </w:rPr>
        <w:t>ā</w:t>
      </w:r>
      <w:r w:rsidR="005A35C0">
        <w:rPr>
          <w:rFonts w:cs="Times New Roman"/>
          <w:szCs w:val="24"/>
        </w:rPr>
        <w:t xml:space="preserve"> </w:t>
      </w:r>
      <w:r w:rsidR="00160DEA">
        <w:rPr>
          <w:rFonts w:cs="Times New Roman"/>
          <w:szCs w:val="24"/>
        </w:rPr>
        <w:t xml:space="preserve">tika </w:t>
      </w:r>
      <w:r>
        <w:rPr>
          <w:rFonts w:cs="Times New Roman"/>
          <w:szCs w:val="24"/>
        </w:rPr>
        <w:t>pabeigts</w:t>
      </w:r>
      <w:r w:rsidRPr="004700A1">
        <w:rPr>
          <w:rFonts w:cs="Times New Roman"/>
          <w:szCs w:val="24"/>
        </w:rPr>
        <w:t xml:space="preserve"> darbs pie </w:t>
      </w:r>
      <w:r>
        <w:rPr>
          <w:rFonts w:cs="Times New Roman"/>
          <w:szCs w:val="24"/>
        </w:rPr>
        <w:t xml:space="preserve">vērtību ķēžu </w:t>
      </w:r>
      <w:r w:rsidRPr="004700A1">
        <w:rPr>
          <w:rFonts w:cs="Times New Roman"/>
          <w:szCs w:val="24"/>
        </w:rPr>
        <w:t>ilgtermiņa stratēģij</w:t>
      </w:r>
      <w:r>
        <w:rPr>
          <w:rFonts w:cs="Times New Roman"/>
          <w:szCs w:val="24"/>
        </w:rPr>
        <w:t>ām</w:t>
      </w:r>
      <w:r w:rsidRPr="004700A1">
        <w:rPr>
          <w:rFonts w:cs="Times New Roman"/>
          <w:szCs w:val="24"/>
        </w:rPr>
        <w:t xml:space="preserve"> 2021.-2027.</w:t>
      </w:r>
      <w:r w:rsidR="00160DEA">
        <w:rPr>
          <w:rFonts w:cs="Times New Roman"/>
          <w:szCs w:val="24"/>
        </w:rPr>
        <w:t> </w:t>
      </w:r>
      <w:r w:rsidRPr="004700A1">
        <w:rPr>
          <w:rFonts w:cs="Times New Roman"/>
          <w:szCs w:val="24"/>
        </w:rPr>
        <w:t>gadam. Stratēģijas sevī ietver rīcības plānu ar identificētiem sasniedzamajiem rādītājiem, termiņiem, iesaistītajām pusēm u.c. būtisku informāciju privātajam, publiskajam un akadēmiskais sektoram. 2020.</w:t>
      </w:r>
      <w:r w:rsidR="00160DEA">
        <w:rPr>
          <w:rFonts w:cs="Times New Roman"/>
          <w:szCs w:val="24"/>
        </w:rPr>
        <w:t> </w:t>
      </w:r>
      <w:r w:rsidRPr="004700A1">
        <w:rPr>
          <w:rFonts w:cs="Times New Roman"/>
          <w:szCs w:val="24"/>
        </w:rPr>
        <w:t xml:space="preserve">gadā </w:t>
      </w:r>
      <w:r>
        <w:rPr>
          <w:rFonts w:cs="Times New Roman"/>
          <w:szCs w:val="24"/>
        </w:rPr>
        <w:t>nogalē izstrādātās</w:t>
      </w:r>
      <w:r w:rsidRPr="004700A1">
        <w:rPr>
          <w:rFonts w:cs="Times New Roman"/>
          <w:szCs w:val="24"/>
        </w:rPr>
        <w:t xml:space="preserve"> stratēģijas nodotas koordinēšanai L</w:t>
      </w:r>
      <w:r>
        <w:rPr>
          <w:rFonts w:cs="Times New Roman"/>
          <w:szCs w:val="24"/>
        </w:rPr>
        <w:t>IAA</w:t>
      </w:r>
      <w:r w:rsidRPr="004700A1">
        <w:rPr>
          <w:rFonts w:cs="Times New Roman"/>
          <w:szCs w:val="24"/>
        </w:rPr>
        <w:t xml:space="preserve">, kas nodrošinās vērtību ķēžu attīstību turpmāk. Papildus esošajām </w:t>
      </w:r>
      <w:r>
        <w:rPr>
          <w:rFonts w:cs="Times New Roman"/>
          <w:szCs w:val="24"/>
        </w:rPr>
        <w:t>trīs</w:t>
      </w:r>
      <w:r w:rsidRPr="004700A1">
        <w:rPr>
          <w:rFonts w:cs="Times New Roman"/>
          <w:szCs w:val="24"/>
        </w:rPr>
        <w:t xml:space="preserve"> vērtību ķēdēm, </w:t>
      </w:r>
      <w:r w:rsidR="009C2231">
        <w:rPr>
          <w:rFonts w:cs="Times New Roman"/>
          <w:szCs w:val="24"/>
        </w:rPr>
        <w:t xml:space="preserve">turpmāk </w:t>
      </w:r>
      <w:r w:rsidRPr="004700A1">
        <w:rPr>
          <w:rFonts w:cs="Times New Roman"/>
          <w:szCs w:val="24"/>
        </w:rPr>
        <w:t>ir paredzēts identificē</w:t>
      </w:r>
      <w:r>
        <w:rPr>
          <w:rFonts w:cs="Times New Roman"/>
          <w:szCs w:val="24"/>
        </w:rPr>
        <w:t>t</w:t>
      </w:r>
      <w:r w:rsidRPr="004700A1">
        <w:rPr>
          <w:rFonts w:cs="Times New Roman"/>
          <w:szCs w:val="24"/>
        </w:rPr>
        <w:t xml:space="preserve"> vēl vairākas vērtību ķēdes </w:t>
      </w:r>
      <w:r>
        <w:rPr>
          <w:rFonts w:cs="Times New Roman"/>
          <w:szCs w:val="24"/>
        </w:rPr>
        <w:t xml:space="preserve">katrā no </w:t>
      </w:r>
      <w:r w:rsidRPr="004700A1">
        <w:rPr>
          <w:rFonts w:cs="Times New Roman"/>
          <w:szCs w:val="24"/>
        </w:rPr>
        <w:t>RIS3 jom</w:t>
      </w:r>
      <w:r>
        <w:rPr>
          <w:rFonts w:cs="Times New Roman"/>
          <w:szCs w:val="24"/>
        </w:rPr>
        <w:t xml:space="preserve">ām. </w:t>
      </w:r>
    </w:p>
    <w:p w14:paraId="1B5CF7B9" w14:textId="440D2F71" w:rsidR="00C143A9" w:rsidRDefault="005304EE" w:rsidP="00C143A9">
      <w:pPr>
        <w:spacing w:before="60" w:after="60" w:line="240" w:lineRule="auto"/>
        <w:jc w:val="both"/>
        <w:rPr>
          <w:rFonts w:eastAsia="Times" w:cs="Times New Roman"/>
        </w:rPr>
      </w:pPr>
      <w:r>
        <w:rPr>
          <w:rFonts w:eastAsia="Times New Roman" w:cs="Times New Roman"/>
        </w:rPr>
        <w:t>Būtiski ir uzsvērt</w:t>
      </w:r>
      <w:r w:rsidR="004042AC">
        <w:rPr>
          <w:rFonts w:cs="Times New Roman"/>
          <w:szCs w:val="24"/>
        </w:rPr>
        <w:t xml:space="preserve">, ka minētās vērtību ķēžu stratēģijas ir iekļautas </w:t>
      </w:r>
      <w:r>
        <w:rPr>
          <w:rFonts w:eastAsia="Times New Roman" w:cs="Times New Roman"/>
        </w:rPr>
        <w:t xml:space="preserve">pārskata periodā </w:t>
      </w:r>
      <w:r w:rsidR="00C143A9">
        <w:rPr>
          <w:rFonts w:eastAsia="Times New Roman" w:cs="Times New Roman"/>
        </w:rPr>
        <w:t xml:space="preserve">EM </w:t>
      </w:r>
      <w:r w:rsidR="004042AC" w:rsidRPr="00E017CC">
        <w:rPr>
          <w:rFonts w:eastAsia="Times New Roman" w:cs="Times New Roman"/>
        </w:rPr>
        <w:t>izstrādā</w:t>
      </w:r>
      <w:r w:rsidR="004042AC">
        <w:rPr>
          <w:rFonts w:eastAsia="Times New Roman" w:cs="Times New Roman"/>
        </w:rPr>
        <w:t>tajās</w:t>
      </w:r>
      <w:r w:rsidR="004042AC" w:rsidRPr="00E017CC">
        <w:rPr>
          <w:rFonts w:eastAsia="Times New Roman" w:cs="Times New Roman"/>
        </w:rPr>
        <w:t xml:space="preserve"> </w:t>
      </w:r>
      <w:r w:rsidR="00C143A9" w:rsidRPr="00E017CC">
        <w:rPr>
          <w:rFonts w:eastAsia="Times New Roman" w:cs="Times New Roman"/>
        </w:rPr>
        <w:t xml:space="preserve">un </w:t>
      </w:r>
      <w:r w:rsidR="00C143A9">
        <w:rPr>
          <w:rFonts w:eastAsia="Times New Roman" w:cs="Times New Roman"/>
        </w:rPr>
        <w:t>MK</w:t>
      </w:r>
      <w:r w:rsidR="00C143A9" w:rsidRPr="00E017CC">
        <w:rPr>
          <w:rFonts w:eastAsia="Times New Roman" w:cs="Times New Roman"/>
        </w:rPr>
        <w:t xml:space="preserve"> 2021.</w:t>
      </w:r>
      <w:r w:rsidR="00C143A9">
        <w:rPr>
          <w:rFonts w:eastAsia="Times New Roman" w:cs="Times New Roman"/>
        </w:rPr>
        <w:t> </w:t>
      </w:r>
      <w:r w:rsidR="00C143A9" w:rsidRPr="00E017CC">
        <w:rPr>
          <w:rFonts w:eastAsia="Times New Roman" w:cs="Times New Roman"/>
        </w:rPr>
        <w:t>gada 11.</w:t>
      </w:r>
      <w:r w:rsidR="00C143A9">
        <w:rPr>
          <w:rFonts w:eastAsia="Times New Roman" w:cs="Times New Roman"/>
        </w:rPr>
        <w:t> </w:t>
      </w:r>
      <w:r w:rsidR="00C143A9" w:rsidRPr="00E017CC">
        <w:rPr>
          <w:rFonts w:eastAsia="Times New Roman" w:cs="Times New Roman"/>
        </w:rPr>
        <w:t>februārī apstiprināta</w:t>
      </w:r>
      <w:r w:rsidR="004042AC">
        <w:rPr>
          <w:rFonts w:eastAsia="Times New Roman" w:cs="Times New Roman"/>
        </w:rPr>
        <w:t>jā</w:t>
      </w:r>
      <w:r w:rsidR="00C143A9" w:rsidRPr="00E017CC">
        <w:rPr>
          <w:rFonts w:eastAsia="Times New Roman" w:cs="Times New Roman"/>
        </w:rPr>
        <w:t xml:space="preserve">s </w:t>
      </w:r>
      <w:hyperlink r:id="rId64">
        <w:r w:rsidR="00C143A9" w:rsidRPr="002371DB">
          <w:rPr>
            <w:rStyle w:val="Hyperlink"/>
            <w:rFonts w:cs="Times New Roman"/>
            <w:i/>
            <w:iCs/>
            <w:color w:val="00859B"/>
          </w:rPr>
          <w:t xml:space="preserve">Nacionālās industriālās politikas </w:t>
        </w:r>
        <w:r w:rsidR="004042AC" w:rsidRPr="002371DB">
          <w:rPr>
            <w:rStyle w:val="Hyperlink"/>
            <w:rFonts w:cs="Times New Roman"/>
            <w:i/>
            <w:iCs/>
            <w:color w:val="00859B"/>
          </w:rPr>
          <w:t>pamatnostādn</w:t>
        </w:r>
        <w:r w:rsidR="004042AC">
          <w:rPr>
            <w:rStyle w:val="Hyperlink"/>
            <w:rFonts w:cs="Times New Roman"/>
            <w:i/>
            <w:iCs/>
            <w:color w:val="00859B"/>
          </w:rPr>
          <w:t>ē</w:t>
        </w:r>
        <w:r w:rsidR="004042AC" w:rsidRPr="002371DB">
          <w:rPr>
            <w:rStyle w:val="Hyperlink"/>
            <w:rFonts w:cs="Times New Roman"/>
            <w:i/>
            <w:iCs/>
            <w:color w:val="00859B"/>
          </w:rPr>
          <w:t xml:space="preserve">s </w:t>
        </w:r>
        <w:r w:rsidR="00C143A9" w:rsidRPr="002371DB">
          <w:rPr>
            <w:rStyle w:val="Hyperlink"/>
            <w:rFonts w:cs="Times New Roman"/>
            <w:i/>
            <w:iCs/>
            <w:color w:val="00859B"/>
          </w:rPr>
          <w:t>2021.-2027.gadam</w:t>
        </w:r>
      </w:hyperlink>
      <w:r w:rsidR="00C143A9" w:rsidRPr="00E017CC">
        <w:rPr>
          <w:rFonts w:eastAsia="Times New Roman" w:cs="Times New Roman"/>
        </w:rPr>
        <w:t xml:space="preserve">, </w:t>
      </w:r>
      <w:r w:rsidR="00C143A9" w:rsidRPr="00E017CC">
        <w:rPr>
          <w:rFonts w:eastAsia="Times" w:cs="Times New Roman"/>
        </w:rPr>
        <w:t xml:space="preserve">kas aptver visas tautsaimniecības nozares un nosaka ekonomikas izaugsmes veicināšanas mērķus un rīcības virzienus </w:t>
      </w:r>
      <w:r w:rsidR="00C143A9" w:rsidRPr="00E017CC">
        <w:rPr>
          <w:rFonts w:eastAsia="Times" w:cs="Times New Roman"/>
          <w:color w:val="000000" w:themeColor="text1"/>
        </w:rPr>
        <w:t xml:space="preserve">turpmākajiem septiņiem gadiem gan vietējā, gan starptautiskā mērogā. </w:t>
      </w:r>
      <w:r w:rsidR="00C143A9">
        <w:rPr>
          <w:rFonts w:eastAsia="Times" w:cs="Times New Roman"/>
          <w:color w:val="000000" w:themeColor="text1"/>
        </w:rPr>
        <w:t>P</w:t>
      </w:r>
      <w:r w:rsidR="00C143A9" w:rsidRPr="00E017CC">
        <w:rPr>
          <w:rFonts w:eastAsia="Times" w:cs="Times New Roman"/>
          <w:color w:val="000000" w:themeColor="text1"/>
        </w:rPr>
        <w:t>amatnostādņu mērķis ir eksporta apjomu palielināt līdz 22</w:t>
      </w:r>
      <w:r w:rsidR="00C143A9">
        <w:rPr>
          <w:rFonts w:eastAsia="Times" w:cs="Times New Roman"/>
          <w:color w:val="000000" w:themeColor="text1"/>
        </w:rPr>
        <w:t> </w:t>
      </w:r>
      <w:r w:rsidR="00C143A9" w:rsidRPr="00E017CC">
        <w:rPr>
          <w:rFonts w:eastAsia="Times" w:cs="Times New Roman"/>
          <w:color w:val="000000" w:themeColor="text1"/>
        </w:rPr>
        <w:t xml:space="preserve">miljardiem </w:t>
      </w:r>
      <w:r w:rsidR="00C143A9" w:rsidRPr="002371DB">
        <w:rPr>
          <w:rFonts w:eastAsia="Times" w:cs="Times New Roman"/>
          <w:i/>
          <w:iCs/>
          <w:color w:val="000000" w:themeColor="text1"/>
        </w:rPr>
        <w:t>euro</w:t>
      </w:r>
      <w:r w:rsidR="00C143A9" w:rsidRPr="00E017CC">
        <w:rPr>
          <w:rFonts w:eastAsia="Times" w:cs="Times New Roman"/>
          <w:color w:val="000000" w:themeColor="text1"/>
        </w:rPr>
        <w:t xml:space="preserve"> 2023.</w:t>
      </w:r>
      <w:r w:rsidR="00C143A9">
        <w:rPr>
          <w:rFonts w:eastAsia="Times" w:cs="Times New Roman"/>
          <w:color w:val="000000" w:themeColor="text1"/>
        </w:rPr>
        <w:t> </w:t>
      </w:r>
      <w:r w:rsidR="00C143A9" w:rsidRPr="00E017CC">
        <w:rPr>
          <w:rFonts w:eastAsia="Times" w:cs="Times New Roman"/>
          <w:color w:val="000000" w:themeColor="text1"/>
        </w:rPr>
        <w:t>gadā un līdz 27</w:t>
      </w:r>
      <w:r w:rsidR="00C143A9">
        <w:rPr>
          <w:rFonts w:eastAsia="Times" w:cs="Times New Roman"/>
          <w:color w:val="000000" w:themeColor="text1"/>
        </w:rPr>
        <w:t> </w:t>
      </w:r>
      <w:r w:rsidR="00C143A9" w:rsidRPr="00E017CC">
        <w:rPr>
          <w:rFonts w:eastAsia="Times" w:cs="Times New Roman"/>
          <w:color w:val="000000" w:themeColor="text1"/>
        </w:rPr>
        <w:t xml:space="preserve">miljardiem </w:t>
      </w:r>
      <w:r w:rsidR="00C143A9" w:rsidRPr="002371DB">
        <w:rPr>
          <w:rFonts w:eastAsia="Times" w:cs="Times New Roman"/>
          <w:i/>
          <w:iCs/>
          <w:color w:val="000000" w:themeColor="text1"/>
        </w:rPr>
        <w:t>euro</w:t>
      </w:r>
      <w:r w:rsidR="00C143A9" w:rsidRPr="00E017CC">
        <w:rPr>
          <w:rFonts w:eastAsia="Times" w:cs="Times New Roman"/>
          <w:color w:val="000000" w:themeColor="text1"/>
        </w:rPr>
        <w:t xml:space="preserve"> 2027.</w:t>
      </w:r>
      <w:r w:rsidR="00C143A9">
        <w:rPr>
          <w:rFonts w:eastAsia="Times" w:cs="Times New Roman"/>
          <w:color w:val="000000" w:themeColor="text1"/>
        </w:rPr>
        <w:t> </w:t>
      </w:r>
      <w:r w:rsidR="00C143A9" w:rsidRPr="00E017CC">
        <w:rPr>
          <w:rFonts w:eastAsia="Times" w:cs="Times New Roman"/>
          <w:color w:val="000000" w:themeColor="text1"/>
        </w:rPr>
        <w:t>gadā</w:t>
      </w:r>
      <w:r w:rsidR="0099459F">
        <w:rPr>
          <w:rFonts w:eastAsia="Times" w:cs="Times New Roman"/>
          <w:color w:val="000000" w:themeColor="text1"/>
        </w:rPr>
        <w:t>,</w:t>
      </w:r>
      <w:r w:rsidR="0099459F" w:rsidRPr="00E017CC">
        <w:rPr>
          <w:rFonts w:eastAsia="Times" w:cs="Times New Roman"/>
          <w:color w:val="000000" w:themeColor="text1"/>
        </w:rPr>
        <w:t xml:space="preserve"> </w:t>
      </w:r>
      <w:r w:rsidR="00C143A9" w:rsidRPr="00E017CC">
        <w:rPr>
          <w:rFonts w:eastAsia="Times" w:cs="Times New Roman"/>
          <w:color w:val="000000" w:themeColor="text1"/>
        </w:rPr>
        <w:t xml:space="preserve">apakšmērķis ir izdevumu </w:t>
      </w:r>
      <w:r w:rsidR="0099459F" w:rsidRPr="00E017CC">
        <w:rPr>
          <w:rFonts w:eastAsia="Times" w:cs="Times New Roman"/>
          <w:color w:val="000000" w:themeColor="text1"/>
        </w:rPr>
        <w:t>apjom</w:t>
      </w:r>
      <w:r w:rsidR="0099459F">
        <w:rPr>
          <w:rFonts w:eastAsia="Times" w:cs="Times New Roman"/>
          <w:color w:val="000000" w:themeColor="text1"/>
        </w:rPr>
        <w:t>u</w:t>
      </w:r>
      <w:r w:rsidR="0099459F" w:rsidRPr="00E017CC">
        <w:rPr>
          <w:rFonts w:eastAsia="Times" w:cs="Times New Roman"/>
          <w:color w:val="000000" w:themeColor="text1"/>
        </w:rPr>
        <w:t xml:space="preserve"> </w:t>
      </w:r>
      <w:r w:rsidR="00C143A9" w:rsidRPr="00E017CC">
        <w:rPr>
          <w:rFonts w:eastAsia="Times" w:cs="Times New Roman"/>
          <w:color w:val="000000" w:themeColor="text1"/>
        </w:rPr>
        <w:t>pētniecības un attīstības darbībām palielināt līdz 300</w:t>
      </w:r>
      <w:r w:rsidR="00C143A9">
        <w:rPr>
          <w:rFonts w:eastAsia="Times" w:cs="Times New Roman"/>
          <w:color w:val="000000" w:themeColor="text1"/>
        </w:rPr>
        <w:t> </w:t>
      </w:r>
      <w:r w:rsidR="00C143A9" w:rsidRPr="00E017CC">
        <w:rPr>
          <w:rFonts w:eastAsia="Times" w:cs="Times New Roman"/>
          <w:color w:val="000000" w:themeColor="text1"/>
        </w:rPr>
        <w:t>milj</w:t>
      </w:r>
      <w:r w:rsidR="00C143A9">
        <w:rPr>
          <w:rFonts w:eastAsia="Times" w:cs="Times New Roman"/>
          <w:color w:val="000000" w:themeColor="text1"/>
        </w:rPr>
        <w:t>. </w:t>
      </w:r>
      <w:r w:rsidR="00C143A9" w:rsidRPr="002371DB">
        <w:rPr>
          <w:rFonts w:eastAsia="Times" w:cs="Times New Roman"/>
          <w:i/>
          <w:iCs/>
          <w:color w:val="000000" w:themeColor="text1"/>
        </w:rPr>
        <w:t>euro</w:t>
      </w:r>
      <w:r w:rsidR="00C143A9" w:rsidRPr="00E017CC">
        <w:rPr>
          <w:rFonts w:eastAsia="Times" w:cs="Times New Roman"/>
          <w:color w:val="000000" w:themeColor="text1"/>
        </w:rPr>
        <w:t xml:space="preserve"> 2023.</w:t>
      </w:r>
      <w:r w:rsidR="00C143A9">
        <w:rPr>
          <w:rFonts w:eastAsia="Times" w:cs="Times New Roman"/>
          <w:color w:val="000000" w:themeColor="text1"/>
        </w:rPr>
        <w:t> </w:t>
      </w:r>
      <w:r w:rsidR="00C143A9" w:rsidRPr="00E017CC">
        <w:rPr>
          <w:rFonts w:eastAsia="Times" w:cs="Times New Roman"/>
          <w:color w:val="000000" w:themeColor="text1"/>
        </w:rPr>
        <w:t>gadā un līdz 600</w:t>
      </w:r>
      <w:r w:rsidR="00C143A9">
        <w:rPr>
          <w:rFonts w:eastAsia="Times" w:cs="Times New Roman"/>
          <w:color w:val="000000" w:themeColor="text1"/>
        </w:rPr>
        <w:t> </w:t>
      </w:r>
      <w:r w:rsidR="00C143A9" w:rsidRPr="00E017CC">
        <w:rPr>
          <w:rFonts w:eastAsia="Times" w:cs="Times New Roman"/>
          <w:color w:val="000000" w:themeColor="text1"/>
        </w:rPr>
        <w:t>milj</w:t>
      </w:r>
      <w:r w:rsidR="00C143A9">
        <w:rPr>
          <w:rFonts w:eastAsia="Times" w:cs="Times New Roman"/>
          <w:color w:val="000000" w:themeColor="text1"/>
        </w:rPr>
        <w:t>. </w:t>
      </w:r>
      <w:r w:rsidR="00C143A9" w:rsidRPr="002371DB">
        <w:rPr>
          <w:rFonts w:eastAsia="Times" w:cs="Times New Roman"/>
          <w:i/>
          <w:iCs/>
          <w:color w:val="000000" w:themeColor="text1"/>
        </w:rPr>
        <w:t>euro</w:t>
      </w:r>
      <w:r w:rsidR="00C143A9" w:rsidRPr="00E017CC">
        <w:rPr>
          <w:rFonts w:eastAsia="Times" w:cs="Times New Roman"/>
          <w:color w:val="000000" w:themeColor="text1"/>
        </w:rPr>
        <w:t xml:space="preserve"> 2027.</w:t>
      </w:r>
      <w:r w:rsidR="00C143A9">
        <w:rPr>
          <w:rFonts w:eastAsia="Times" w:cs="Times New Roman"/>
          <w:color w:val="000000" w:themeColor="text1"/>
        </w:rPr>
        <w:t> </w:t>
      </w:r>
      <w:r w:rsidR="00C143A9" w:rsidRPr="00E017CC">
        <w:rPr>
          <w:rFonts w:eastAsia="Times" w:cs="Times New Roman"/>
          <w:color w:val="000000" w:themeColor="text1"/>
        </w:rPr>
        <w:t xml:space="preserve">gadā. </w:t>
      </w:r>
      <w:r w:rsidR="00C143A9" w:rsidRPr="00E017CC">
        <w:rPr>
          <w:rFonts w:eastAsia="Times" w:cs="Times New Roman"/>
        </w:rPr>
        <w:t xml:space="preserve">Attiecīgi produktivitātes paaugstināšanu koncentrējot šādos galvenajos virzienos </w:t>
      </w:r>
      <w:r w:rsidR="00C143A9">
        <w:rPr>
          <w:rFonts w:eastAsia="Times" w:cs="Times New Roman"/>
        </w:rPr>
        <w:t>–</w:t>
      </w:r>
      <w:r w:rsidR="0099459F">
        <w:rPr>
          <w:rFonts w:eastAsia="Times" w:cs="Times New Roman"/>
        </w:rPr>
        <w:t xml:space="preserve"> </w:t>
      </w:r>
      <w:r w:rsidR="00C143A9" w:rsidRPr="00E017CC">
        <w:rPr>
          <w:rFonts w:eastAsia="Times" w:cs="Times New Roman"/>
        </w:rPr>
        <w:t>cilvēkkapitālā, biznesa vidē (eksportspējā), tehnoloģijās, inovācijās un investīcijās, jeb finanšu pieejamībā.</w:t>
      </w:r>
    </w:p>
    <w:p w14:paraId="5B178DF3" w14:textId="3A302E94" w:rsidR="00F613B9" w:rsidRDefault="009B1C0E" w:rsidP="009B1C0E">
      <w:pPr>
        <w:spacing w:before="60" w:after="60" w:line="240" w:lineRule="auto"/>
        <w:jc w:val="both"/>
        <w:rPr>
          <w:szCs w:val="24"/>
          <w:lang w:eastAsia="lv-LV"/>
        </w:rPr>
      </w:pPr>
      <w:r w:rsidRPr="007E08A9">
        <w:rPr>
          <w:rFonts w:eastAsia="Times New Roman"/>
          <w:color w:val="000000" w:themeColor="text1"/>
          <w:szCs w:val="24"/>
        </w:rPr>
        <w:t xml:space="preserve">Mērķtiecīgas reformas un cieša sadarbība ar uzņēmējiem ļāvusi Latvijai sasniegt </w:t>
      </w:r>
      <w:r>
        <w:rPr>
          <w:rFonts w:eastAsia="Times New Roman"/>
          <w:color w:val="000000" w:themeColor="text1"/>
          <w:szCs w:val="24"/>
        </w:rPr>
        <w:t>arī labus</w:t>
      </w:r>
      <w:r w:rsidRPr="007E08A9">
        <w:rPr>
          <w:rFonts w:eastAsia="Times New Roman"/>
          <w:color w:val="000000" w:themeColor="text1"/>
          <w:szCs w:val="24"/>
        </w:rPr>
        <w:t xml:space="preserve"> rezultātus </w:t>
      </w:r>
      <w:r>
        <w:rPr>
          <w:rFonts w:eastAsia="Times New Roman"/>
          <w:color w:val="000000" w:themeColor="text1"/>
          <w:szCs w:val="24"/>
        </w:rPr>
        <w:t>uzlabojot uzņēmējdarbības vidi</w:t>
      </w:r>
      <w:r w:rsidRPr="002C7B1A">
        <w:rPr>
          <w:rFonts w:eastAsia="Times New Roman"/>
          <w:color w:val="000000" w:themeColor="text1"/>
          <w:szCs w:val="24"/>
        </w:rPr>
        <w:t xml:space="preserve">. </w:t>
      </w:r>
      <w:r>
        <w:rPr>
          <w:rFonts w:eastAsia="Times New Roman"/>
          <w:color w:val="000000" w:themeColor="text1"/>
          <w:szCs w:val="24"/>
        </w:rPr>
        <w:t xml:space="preserve">Pārskata periodā </w:t>
      </w:r>
      <w:r w:rsidRPr="002C7B1A">
        <w:rPr>
          <w:rFonts w:eastAsia="Times New Roman"/>
          <w:color w:val="000000" w:themeColor="text1"/>
          <w:szCs w:val="24"/>
        </w:rPr>
        <w:t>MK</w:t>
      </w:r>
      <w:r w:rsidRPr="007E08A9">
        <w:rPr>
          <w:rFonts w:eastAsia="Times New Roman"/>
          <w:color w:val="000000" w:themeColor="text1"/>
          <w:szCs w:val="24"/>
        </w:rPr>
        <w:t xml:space="preserve"> tika izskatīts</w:t>
      </w:r>
      <w:r>
        <w:rPr>
          <w:rFonts w:eastAsia="Times New Roman"/>
          <w:color w:val="000000" w:themeColor="text1"/>
          <w:szCs w:val="24"/>
        </w:rPr>
        <w:t xml:space="preserve"> EM sagatavotais </w:t>
      </w:r>
      <w:hyperlink r:id="rId65">
        <w:r w:rsidRPr="007E08A9">
          <w:rPr>
            <w:rStyle w:val="Hyperlink"/>
            <w:i/>
            <w:iCs/>
            <w:color w:val="00859B"/>
          </w:rPr>
          <w:t>Uzņēmējdarbības vides pilnveidošanas pasākumu plāna 2019.-2022. gadam</w:t>
        </w:r>
      </w:hyperlink>
      <w:r w:rsidRPr="007E08A9">
        <w:rPr>
          <w:rFonts w:eastAsia="Times New Roman"/>
          <w:color w:val="000000" w:themeColor="text1"/>
          <w:szCs w:val="24"/>
        </w:rPr>
        <w:t xml:space="preserve"> izpildes ziņojums</w:t>
      </w:r>
      <w:r>
        <w:rPr>
          <w:rStyle w:val="FootnoteReference"/>
          <w:rFonts w:eastAsia="Times New Roman"/>
          <w:color w:val="000000" w:themeColor="text1"/>
          <w:szCs w:val="24"/>
        </w:rPr>
        <w:footnoteReference w:id="22"/>
      </w:r>
      <w:r w:rsidRPr="007E08A9">
        <w:rPr>
          <w:rFonts w:eastAsia="Times New Roman"/>
          <w:color w:val="000000" w:themeColor="text1"/>
          <w:szCs w:val="24"/>
        </w:rPr>
        <w:t>, kurā norādīts plānā</w:t>
      </w:r>
      <w:r>
        <w:rPr>
          <w:rFonts w:eastAsia="Times New Roman"/>
          <w:color w:val="000000" w:themeColor="text1"/>
          <w:szCs w:val="24"/>
        </w:rPr>
        <w:t xml:space="preserve"> </w:t>
      </w:r>
      <w:r w:rsidRPr="007E08A9">
        <w:rPr>
          <w:szCs w:val="24"/>
          <w:lang w:eastAsia="lv-LV"/>
        </w:rPr>
        <w:t>iekļauto pasākumu izpildes progress, kā arī informācija par pasākumiem, kas veikti ārpus tā noteiktajiem pasākumiem laika periodā no 2019. gada 22. maija līdz 2020. gada 29. februārim. Kopā no 2019.-2022.</w:t>
      </w:r>
      <w:r w:rsidR="00ED7DE7">
        <w:rPr>
          <w:szCs w:val="24"/>
          <w:lang w:eastAsia="lv-LV"/>
        </w:rPr>
        <w:t> </w:t>
      </w:r>
      <w:r w:rsidRPr="007E08A9">
        <w:rPr>
          <w:szCs w:val="24"/>
          <w:lang w:eastAsia="lv-LV"/>
        </w:rPr>
        <w:t>gada periodam paredzētajiem 40 uzdevumiem ir izpildīti 17, bet 23 uzdevumu izpilde turpinās.</w:t>
      </w:r>
      <w:r>
        <w:rPr>
          <w:szCs w:val="24"/>
          <w:lang w:eastAsia="lv-LV"/>
        </w:rPr>
        <w:t xml:space="preserve"> </w:t>
      </w:r>
      <w:r w:rsidR="00F613B9">
        <w:rPr>
          <w:szCs w:val="24"/>
          <w:lang w:eastAsia="lv-LV"/>
        </w:rPr>
        <w:t xml:space="preserve">Kā viens no nozīmīgākajiem paveiktajiem pasākumiem </w:t>
      </w:r>
      <w:r w:rsidR="001A7310">
        <w:rPr>
          <w:szCs w:val="24"/>
          <w:lang w:eastAsia="lv-LV"/>
        </w:rPr>
        <w:t xml:space="preserve">EM kompetences jomā </w:t>
      </w:r>
      <w:r w:rsidR="00F613B9">
        <w:rPr>
          <w:szCs w:val="24"/>
          <w:lang w:eastAsia="lv-LV"/>
        </w:rPr>
        <w:t xml:space="preserve">šajā periodā plāna ietvaros jāuzsver </w:t>
      </w:r>
      <w:r w:rsidR="00F613B9" w:rsidRPr="00E71513">
        <w:rPr>
          <w:szCs w:val="24"/>
          <w:lang w:eastAsia="lv-LV"/>
        </w:rPr>
        <w:t>izstrādāti</w:t>
      </w:r>
      <w:r w:rsidR="00F613B9">
        <w:rPr>
          <w:szCs w:val="24"/>
          <w:lang w:eastAsia="lv-LV"/>
        </w:rPr>
        <w:t>e</w:t>
      </w:r>
      <w:r w:rsidR="00F613B9" w:rsidRPr="00E71513">
        <w:rPr>
          <w:szCs w:val="24"/>
          <w:lang w:eastAsia="lv-LV"/>
        </w:rPr>
        <w:t xml:space="preserve"> un </w:t>
      </w:r>
      <w:r w:rsidR="001A7310">
        <w:rPr>
          <w:szCs w:val="24"/>
          <w:lang w:eastAsia="lv-LV"/>
        </w:rPr>
        <w:t>MK</w:t>
      </w:r>
      <w:r w:rsidR="00F613B9" w:rsidRPr="00E71513">
        <w:rPr>
          <w:szCs w:val="24"/>
          <w:lang w:eastAsia="lv-LV"/>
        </w:rPr>
        <w:t xml:space="preserve"> iesniegti</w:t>
      </w:r>
      <w:r w:rsidR="00F613B9">
        <w:rPr>
          <w:szCs w:val="24"/>
          <w:lang w:eastAsia="lv-LV"/>
        </w:rPr>
        <w:t>e</w:t>
      </w:r>
      <w:r w:rsidR="00F613B9" w:rsidRPr="00E71513">
        <w:rPr>
          <w:szCs w:val="24"/>
          <w:lang w:eastAsia="lv-LV"/>
        </w:rPr>
        <w:t xml:space="preserve"> grozījum</w:t>
      </w:r>
      <w:r w:rsidR="00F613B9">
        <w:rPr>
          <w:szCs w:val="24"/>
          <w:lang w:eastAsia="lv-LV"/>
        </w:rPr>
        <w:t>i</w:t>
      </w:r>
      <w:r w:rsidR="00F613B9" w:rsidRPr="00E71513">
        <w:rPr>
          <w:szCs w:val="24"/>
          <w:lang w:eastAsia="lv-LV"/>
        </w:rPr>
        <w:t xml:space="preserve"> normatīvajos aktos, kas paredz konkrētu atbildību visām būvniecības procesā iesaistītajām pusēm.</w:t>
      </w:r>
    </w:p>
    <w:p w14:paraId="3B42DE46" w14:textId="18CD4705" w:rsidR="001A7310" w:rsidRPr="004761E2" w:rsidRDefault="009B1C0E" w:rsidP="001A7310">
      <w:pPr>
        <w:spacing w:before="60" w:after="60" w:line="240" w:lineRule="auto"/>
        <w:jc w:val="both"/>
      </w:pPr>
      <w:r>
        <w:rPr>
          <w:szCs w:val="24"/>
          <w:lang w:eastAsia="lv-LV"/>
        </w:rPr>
        <w:t xml:space="preserve">Lai turpmāk veidotu vēl efektīvāku </w:t>
      </w:r>
      <w:r w:rsidR="001A7310">
        <w:rPr>
          <w:szCs w:val="24"/>
          <w:lang w:eastAsia="lv-LV"/>
        </w:rPr>
        <w:t xml:space="preserve">procesu </w:t>
      </w:r>
      <w:r>
        <w:rPr>
          <w:szCs w:val="24"/>
          <w:lang w:eastAsia="lv-LV"/>
        </w:rPr>
        <w:t xml:space="preserve">un labāk risinātu pilnveidošanas pasākumus, pārskata periodā EM </w:t>
      </w:r>
      <w:r w:rsidRPr="00D1403B">
        <w:rPr>
          <w:szCs w:val="24"/>
          <w:lang w:eastAsia="lv-LV"/>
        </w:rPr>
        <w:t>sagatavoja</w:t>
      </w:r>
      <w:r w:rsidRPr="00D1403B">
        <w:rPr>
          <w:szCs w:val="24"/>
        </w:rPr>
        <w:t xml:space="preserve"> priekšlikumus </w:t>
      </w:r>
      <w:r>
        <w:rPr>
          <w:szCs w:val="24"/>
        </w:rPr>
        <w:t>p</w:t>
      </w:r>
      <w:r w:rsidRPr="00D1403B">
        <w:rPr>
          <w:szCs w:val="24"/>
        </w:rPr>
        <w:t>lāna izstrādes un administrēšanas procesa pilnveidošanai</w:t>
      </w:r>
      <w:r>
        <w:rPr>
          <w:szCs w:val="24"/>
        </w:rPr>
        <w:t>, kas tika iekļauti 2020. gada 24. septembrī izsludināta</w:t>
      </w:r>
      <w:r w:rsidRPr="00E368AF">
        <w:rPr>
          <w:szCs w:val="24"/>
        </w:rPr>
        <w:t>jā</w:t>
      </w:r>
      <w:r>
        <w:rPr>
          <w:szCs w:val="24"/>
        </w:rPr>
        <w:t xml:space="preserve"> </w:t>
      </w:r>
      <w:hyperlink r:id="rId66" w:history="1">
        <w:r w:rsidRPr="00E368AF">
          <w:rPr>
            <w:rStyle w:val="Hyperlink"/>
            <w:i/>
            <w:iCs/>
            <w:color w:val="00859B"/>
          </w:rPr>
          <w:t>informatīvajā ziņojumā “Par uzņēmējdarbības vides pilnveidošanas pasākumu plāna jaunas sistēmas izveidi”</w:t>
        </w:r>
      </w:hyperlink>
      <w:r>
        <w:t>.</w:t>
      </w:r>
      <w:r w:rsidR="001A7310">
        <w:t xml:space="preserve"> </w:t>
      </w:r>
      <w:r w:rsidR="001A7310" w:rsidRPr="00E71513">
        <w:rPr>
          <w:szCs w:val="24"/>
          <w:lang w:eastAsia="lv-LV"/>
        </w:rPr>
        <w:t xml:space="preserve">Ņemot vērā, ka esošā </w:t>
      </w:r>
      <w:r w:rsidR="001A7310">
        <w:rPr>
          <w:szCs w:val="24"/>
          <w:lang w:eastAsia="lv-LV"/>
        </w:rPr>
        <w:t>plāna</w:t>
      </w:r>
      <w:r w:rsidR="001A7310" w:rsidRPr="00E71513">
        <w:rPr>
          <w:szCs w:val="24"/>
          <w:lang w:eastAsia="lv-LV"/>
        </w:rPr>
        <w:t xml:space="preserve"> </w:t>
      </w:r>
      <w:r w:rsidR="001A7310">
        <w:rPr>
          <w:szCs w:val="24"/>
          <w:lang w:eastAsia="lv-LV"/>
        </w:rPr>
        <w:t xml:space="preserve">sagatavošanas </w:t>
      </w:r>
      <w:r w:rsidR="001A7310" w:rsidRPr="00E71513">
        <w:rPr>
          <w:szCs w:val="24"/>
          <w:lang w:eastAsia="lv-LV"/>
        </w:rPr>
        <w:t>process ir resursu un laika ietilpīgs, nepieciešams veidot daudz efektīvāku modeli uzņēmējdarbības vides pilnveidošanas pasākumu identificēšanai un administrēšanai.</w:t>
      </w:r>
      <w:r w:rsidR="001A7310">
        <w:rPr>
          <w:szCs w:val="24"/>
          <w:lang w:eastAsia="lv-LV"/>
        </w:rPr>
        <w:t xml:space="preserve"> </w:t>
      </w:r>
      <w:r w:rsidR="001A7310" w:rsidRPr="0003779C">
        <w:rPr>
          <w:szCs w:val="24"/>
        </w:rPr>
        <w:t>EM sagatavoja priekšlikumus plāna izstrādes un administrēšanas procesa pilnveidošanai,</w:t>
      </w:r>
      <w:r w:rsidR="001A7310">
        <w:rPr>
          <w:szCs w:val="24"/>
        </w:rPr>
        <w:t xml:space="preserve"> uzsverot, ka j</w:t>
      </w:r>
      <w:r w:rsidR="001A7310" w:rsidRPr="00E71513">
        <w:rPr>
          <w:szCs w:val="24"/>
          <w:lang w:eastAsia="lv-LV"/>
        </w:rPr>
        <w:t>auno procesu ir nepieciešams veidot kā administratīvā sloga mazināšanas rīku arī uzņēmējdarbības vides pilnveidošanas pasākumu izstrādes un administrēšanas procesa gaitā</w:t>
      </w:r>
      <w:r w:rsidR="001A7310">
        <w:rPr>
          <w:szCs w:val="24"/>
          <w:lang w:eastAsia="lv-LV"/>
        </w:rPr>
        <w:t>,</w:t>
      </w:r>
      <w:r w:rsidR="001A7310" w:rsidRPr="00E71513">
        <w:rPr>
          <w:szCs w:val="24"/>
          <w:lang w:eastAsia="lv-LV"/>
        </w:rPr>
        <w:t xml:space="preserve"> ar mērķi iespējami efektīvi un ātri izstrādāt risinājumus identificētajām problēmsituācijām un veicināt iesaistīto pušu (institūciju) savstarpēju sadarbību. Jaunajam uzņēmējdarbības vides pilnveidošanas pasākumu identificēšanas un administrēšanas procesam ir jābūt </w:t>
      </w:r>
      <w:r w:rsidR="004761E2" w:rsidRPr="00E71513">
        <w:rPr>
          <w:szCs w:val="24"/>
          <w:lang w:eastAsia="lv-LV"/>
        </w:rPr>
        <w:t>ātr</w:t>
      </w:r>
      <w:r w:rsidR="004761E2">
        <w:rPr>
          <w:szCs w:val="24"/>
          <w:lang w:eastAsia="lv-LV"/>
        </w:rPr>
        <w:t>āka</w:t>
      </w:r>
      <w:r w:rsidR="004761E2" w:rsidRPr="00E71513">
        <w:rPr>
          <w:szCs w:val="24"/>
          <w:lang w:eastAsia="lv-LV"/>
        </w:rPr>
        <w:t xml:space="preserve">m </w:t>
      </w:r>
      <w:r w:rsidR="001A7310" w:rsidRPr="00E71513">
        <w:rPr>
          <w:szCs w:val="24"/>
          <w:lang w:eastAsia="lv-LV"/>
        </w:rPr>
        <w:t>un uz mērķi vērstam.</w:t>
      </w:r>
      <w:r w:rsidR="001A7310">
        <w:rPr>
          <w:szCs w:val="24"/>
          <w:lang w:eastAsia="lv-LV"/>
        </w:rPr>
        <w:t xml:space="preserve"> </w:t>
      </w:r>
      <w:r w:rsidR="004761E2">
        <w:rPr>
          <w:szCs w:val="24"/>
          <w:lang w:eastAsia="lv-LV"/>
        </w:rPr>
        <w:t>Plāna</w:t>
      </w:r>
      <w:r w:rsidR="004761E2" w:rsidRPr="00E71513">
        <w:rPr>
          <w:szCs w:val="24"/>
          <w:lang w:eastAsia="lv-LV"/>
        </w:rPr>
        <w:t xml:space="preserve"> </w:t>
      </w:r>
      <w:r w:rsidR="001A7310" w:rsidRPr="00E71513">
        <w:rPr>
          <w:szCs w:val="24"/>
          <w:lang w:eastAsia="lv-LV"/>
        </w:rPr>
        <w:t xml:space="preserve">pamatfunkcijas netiks mainītas, </w:t>
      </w:r>
      <w:r w:rsidR="004761E2">
        <w:rPr>
          <w:szCs w:val="24"/>
          <w:lang w:eastAsia="lv-LV"/>
        </w:rPr>
        <w:t xml:space="preserve">taču </w:t>
      </w:r>
      <w:r w:rsidR="001A7310" w:rsidRPr="00E71513">
        <w:rPr>
          <w:szCs w:val="24"/>
          <w:lang w:eastAsia="lv-LV"/>
        </w:rPr>
        <w:t xml:space="preserve">tas tiks aizvietots ar efektīvāku procesu (pasākumu identificēšanas un administrēšanas procesu), aizstājot līdzšinējo politikas plānošanas dokumentu ar digitālu vidi (piemēram, kā vienu no sadaļām </w:t>
      </w:r>
      <w:r w:rsidR="004761E2">
        <w:rPr>
          <w:szCs w:val="24"/>
          <w:lang w:eastAsia="lv-LV"/>
        </w:rPr>
        <w:t>EM</w:t>
      </w:r>
      <w:r w:rsidR="001A7310" w:rsidRPr="00E71513">
        <w:rPr>
          <w:szCs w:val="24"/>
          <w:lang w:eastAsia="lv-LV"/>
        </w:rPr>
        <w:t xml:space="preserve"> tīmekļa vietnē), veidojot atgriezenisko saiti un ļaujot pastāvīgi sekot pasākumu ieviešanas progresam</w:t>
      </w:r>
      <w:r w:rsidR="00F7507C">
        <w:rPr>
          <w:rStyle w:val="FootnoteReference"/>
          <w:szCs w:val="24"/>
          <w:lang w:eastAsia="lv-LV"/>
        </w:rPr>
        <w:footnoteReference w:id="23"/>
      </w:r>
      <w:r w:rsidR="001A7310" w:rsidRPr="00E71513">
        <w:rPr>
          <w:szCs w:val="24"/>
          <w:lang w:eastAsia="lv-LV"/>
        </w:rPr>
        <w:t>.</w:t>
      </w:r>
      <w:r w:rsidR="001A7310">
        <w:rPr>
          <w:szCs w:val="24"/>
          <w:lang w:eastAsia="lv-LV"/>
        </w:rPr>
        <w:t xml:space="preserve"> </w:t>
      </w:r>
    </w:p>
    <w:p w14:paraId="57FF0F5F" w14:textId="1F1750C1" w:rsidR="00123FFE" w:rsidRPr="00DC783B" w:rsidRDefault="008D6471" w:rsidP="008D6471">
      <w:pPr>
        <w:spacing w:before="60" w:after="60" w:line="240" w:lineRule="auto"/>
        <w:jc w:val="both"/>
        <w:rPr>
          <w:rFonts w:eastAsia="Times New Roman"/>
          <w:szCs w:val="24"/>
        </w:rPr>
      </w:pPr>
      <w:r>
        <w:rPr>
          <w:rFonts w:eastAsia="Times New Roman"/>
          <w:szCs w:val="24"/>
        </w:rPr>
        <w:lastRenderedPageBreak/>
        <w:t xml:space="preserve">Zināmu priekšnosacījumu minēto pamatnostādņu īstenošanai </w:t>
      </w:r>
      <w:r w:rsidR="009B1C0E">
        <w:rPr>
          <w:rFonts w:eastAsia="Times New Roman"/>
          <w:szCs w:val="24"/>
        </w:rPr>
        <w:t xml:space="preserve">un </w:t>
      </w:r>
      <w:r w:rsidR="009B1C0E">
        <w:rPr>
          <w:rFonts w:eastAsia="Times New Roman"/>
          <w:color w:val="000000" w:themeColor="text1"/>
          <w:szCs w:val="24"/>
        </w:rPr>
        <w:t>uzņēmējdarbības vides pilnveidošanai</w:t>
      </w:r>
      <w:r w:rsidR="009B1C0E">
        <w:rPr>
          <w:rFonts w:eastAsia="Times New Roman"/>
          <w:szCs w:val="24"/>
        </w:rPr>
        <w:t xml:space="preserve"> </w:t>
      </w:r>
      <w:r>
        <w:rPr>
          <w:rFonts w:eastAsia="Times New Roman"/>
          <w:szCs w:val="24"/>
        </w:rPr>
        <w:t xml:space="preserve">veido </w:t>
      </w:r>
      <w:r w:rsidR="00B95866">
        <w:rPr>
          <w:rFonts w:eastAsia="Times New Roman"/>
          <w:szCs w:val="24"/>
        </w:rPr>
        <w:t xml:space="preserve">vairāki </w:t>
      </w:r>
      <w:r>
        <w:rPr>
          <w:rFonts w:eastAsia="Times New Roman"/>
          <w:szCs w:val="24"/>
        </w:rPr>
        <w:t>iepriekšējā ES fondu (2014.-202</w:t>
      </w:r>
      <w:r w:rsidR="00D64C8A">
        <w:rPr>
          <w:rFonts w:eastAsia="Times New Roman"/>
          <w:szCs w:val="24"/>
        </w:rPr>
        <w:t>0</w:t>
      </w:r>
      <w:r>
        <w:rPr>
          <w:rFonts w:eastAsia="Times New Roman"/>
          <w:szCs w:val="24"/>
        </w:rPr>
        <w:t xml:space="preserve">.gada) plānošanas periodā </w:t>
      </w:r>
      <w:r w:rsidR="00B95866" w:rsidRPr="00A52C82">
        <w:rPr>
          <w:rFonts w:eastAsia="Times New Roman"/>
          <w:szCs w:val="24"/>
        </w:rPr>
        <w:t>finansēt</w:t>
      </w:r>
      <w:r w:rsidR="00B95866">
        <w:rPr>
          <w:rFonts w:eastAsia="Times New Roman"/>
          <w:szCs w:val="24"/>
        </w:rPr>
        <w:t>ie</w:t>
      </w:r>
      <w:r>
        <w:rPr>
          <w:rFonts w:eastAsia="Times New Roman"/>
          <w:szCs w:val="24"/>
        </w:rPr>
        <w:t xml:space="preserve"> atbalsta pasākumi, kas tika</w:t>
      </w:r>
      <w:r w:rsidR="00B95866">
        <w:rPr>
          <w:rFonts w:eastAsia="Times New Roman"/>
          <w:szCs w:val="24"/>
        </w:rPr>
        <w:t xml:space="preserve"> turpināti</w:t>
      </w:r>
      <w:r>
        <w:rPr>
          <w:rFonts w:eastAsia="Times New Roman"/>
          <w:szCs w:val="24"/>
        </w:rPr>
        <w:t xml:space="preserve"> </w:t>
      </w:r>
      <w:r w:rsidR="00B95866">
        <w:rPr>
          <w:rFonts w:eastAsia="Times New Roman"/>
          <w:szCs w:val="24"/>
        </w:rPr>
        <w:t>p</w:t>
      </w:r>
      <w:r w:rsidR="00B95866" w:rsidRPr="6D25BF40">
        <w:rPr>
          <w:rFonts w:eastAsia="Times New Roman"/>
          <w:szCs w:val="24"/>
        </w:rPr>
        <w:t xml:space="preserve">ārskata </w:t>
      </w:r>
      <w:r w:rsidRPr="6D25BF40">
        <w:rPr>
          <w:rFonts w:eastAsia="Times New Roman"/>
          <w:szCs w:val="24"/>
        </w:rPr>
        <w:t>periodā</w:t>
      </w:r>
      <w:r w:rsidR="00B95866">
        <w:rPr>
          <w:rFonts w:eastAsia="Times New Roman"/>
          <w:szCs w:val="24"/>
        </w:rPr>
        <w:t>,</w:t>
      </w:r>
      <w:r w:rsidRPr="6D25BF40">
        <w:rPr>
          <w:rFonts w:eastAsia="Times New Roman"/>
          <w:szCs w:val="24"/>
        </w:rPr>
        <w:t xml:space="preserve"> </w:t>
      </w:r>
      <w:r w:rsidR="00B95866">
        <w:rPr>
          <w:rFonts w:eastAsia="Times New Roman"/>
          <w:szCs w:val="24"/>
        </w:rPr>
        <w:t>lai sekmētu</w:t>
      </w:r>
      <w:r w:rsidRPr="00A52C82">
        <w:rPr>
          <w:rFonts w:eastAsia="Times New Roman"/>
          <w:szCs w:val="24"/>
        </w:rPr>
        <w:t xml:space="preserve"> uzņēmējdarbības infrastruktūras </w:t>
      </w:r>
      <w:r w:rsidR="00B95866" w:rsidRPr="00A52C82">
        <w:rPr>
          <w:rFonts w:eastAsia="Times New Roman"/>
          <w:szCs w:val="24"/>
        </w:rPr>
        <w:t>attīstīb</w:t>
      </w:r>
      <w:r w:rsidR="00B95866">
        <w:rPr>
          <w:rFonts w:eastAsia="Times New Roman"/>
          <w:szCs w:val="24"/>
        </w:rPr>
        <w:t>u</w:t>
      </w:r>
      <w:r w:rsidRPr="00A52C82">
        <w:rPr>
          <w:rFonts w:eastAsia="Times New Roman"/>
          <w:szCs w:val="24"/>
        </w:rPr>
        <w:t>.</w:t>
      </w:r>
      <w:r w:rsidR="00B95866">
        <w:rPr>
          <w:rFonts w:eastAsia="Times New Roman"/>
          <w:szCs w:val="24"/>
        </w:rPr>
        <w:t xml:space="preserve"> </w:t>
      </w:r>
      <w:r w:rsidRPr="6D25BF40">
        <w:rPr>
          <w:rFonts w:eastAsia="Times New Roman"/>
          <w:szCs w:val="24"/>
        </w:rPr>
        <w:t xml:space="preserve">ES fondu pasākuma </w:t>
      </w:r>
      <w:hyperlink r:id="rId67">
        <w:r w:rsidRPr="004C542A">
          <w:rPr>
            <w:rStyle w:val="Hyperlink"/>
            <w:i/>
            <w:iCs/>
            <w:color w:val="00859B"/>
          </w:rPr>
          <w:t>Reģionālie biznesa inkubatori un radošo industriju inkubators</w:t>
        </w:r>
      </w:hyperlink>
      <w:r>
        <w:rPr>
          <w:rStyle w:val="Hyperlink"/>
          <w:i/>
          <w:iCs/>
          <w:color w:val="00859B"/>
        </w:rPr>
        <w:t xml:space="preserve"> </w:t>
      </w:r>
      <w:r w:rsidRPr="6D25BF40">
        <w:rPr>
          <w:rFonts w:eastAsia="Times New Roman"/>
          <w:szCs w:val="24"/>
        </w:rPr>
        <w:t xml:space="preserve">ietvaros </w:t>
      </w:r>
      <w:r>
        <w:rPr>
          <w:rFonts w:eastAsia="Times New Roman"/>
          <w:szCs w:val="24"/>
        </w:rPr>
        <w:t>(</w:t>
      </w:r>
      <w:r w:rsidRPr="00BF79D1">
        <w:rPr>
          <w:rFonts w:cs="Times New Roman"/>
          <w:szCs w:val="24"/>
        </w:rPr>
        <w:t xml:space="preserve">skat. </w:t>
      </w:r>
      <w:hyperlink w:anchor="_Pielikums._EM_īstenojamo" w:history="1">
        <w:r w:rsidRPr="00BF79D1">
          <w:rPr>
            <w:rStyle w:val="Hyperlink"/>
            <w:color w:val="00859B"/>
            <w:szCs w:val="24"/>
          </w:rPr>
          <w:t>8.pielikumu</w:t>
        </w:r>
      </w:hyperlink>
      <w:r w:rsidRPr="00BF79D1">
        <w:rPr>
          <w:rStyle w:val="Hyperlink"/>
          <w:color w:val="auto"/>
          <w:szCs w:val="24"/>
          <w:u w:val="none"/>
        </w:rPr>
        <w:t xml:space="preserve">, </w:t>
      </w:r>
      <w:r w:rsidRPr="00BF79D1">
        <w:rPr>
          <w:rFonts w:eastAsia="Times New Roman"/>
          <w:color w:val="000000" w:themeColor="text1"/>
          <w:szCs w:val="24"/>
        </w:rPr>
        <w:t>3.</w:t>
      </w:r>
      <w:r>
        <w:rPr>
          <w:rFonts w:eastAsia="Times New Roman"/>
          <w:color w:val="000000" w:themeColor="text1"/>
          <w:szCs w:val="24"/>
        </w:rPr>
        <w:t>1</w:t>
      </w:r>
      <w:r w:rsidRPr="00BF79D1">
        <w:rPr>
          <w:rFonts w:eastAsia="Times New Roman"/>
          <w:color w:val="000000" w:themeColor="text1"/>
          <w:szCs w:val="24"/>
        </w:rPr>
        <w:t>.1.</w:t>
      </w:r>
      <w:r>
        <w:rPr>
          <w:rFonts w:eastAsia="Times New Roman"/>
          <w:color w:val="000000" w:themeColor="text1"/>
          <w:szCs w:val="24"/>
        </w:rPr>
        <w:t>6</w:t>
      </w:r>
      <w:r w:rsidRPr="00BF79D1">
        <w:rPr>
          <w:rFonts w:eastAsia="Times New Roman"/>
          <w:color w:val="000000" w:themeColor="text1"/>
          <w:szCs w:val="24"/>
        </w:rPr>
        <w:t>.</w:t>
      </w:r>
      <w:r w:rsidR="00B95866">
        <w:rPr>
          <w:rFonts w:eastAsia="Times New Roman"/>
          <w:color w:val="000000" w:themeColor="text1"/>
          <w:szCs w:val="24"/>
        </w:rPr>
        <w:t>pasākumu</w:t>
      </w:r>
      <w:r w:rsidR="00BC3D16" w:rsidRPr="00BF79D1">
        <w:rPr>
          <w:rFonts w:eastAsia="Times New Roman"/>
          <w:color w:val="000000" w:themeColor="text1"/>
          <w:szCs w:val="24"/>
        </w:rPr>
        <w:t>)</w:t>
      </w:r>
      <w:r w:rsidR="00BC3D16">
        <w:rPr>
          <w:rFonts w:eastAsia="Times New Roman"/>
          <w:szCs w:val="24"/>
        </w:rPr>
        <w:t xml:space="preserve">. </w:t>
      </w:r>
      <w:r w:rsidRPr="6D25BF40">
        <w:rPr>
          <w:rFonts w:eastAsia="Times New Roman"/>
          <w:szCs w:val="24"/>
        </w:rPr>
        <w:t>2020.</w:t>
      </w:r>
      <w:r>
        <w:rPr>
          <w:rFonts w:eastAsia="Times New Roman"/>
          <w:szCs w:val="24"/>
        </w:rPr>
        <w:t> </w:t>
      </w:r>
      <w:r w:rsidRPr="6D25BF40">
        <w:rPr>
          <w:rFonts w:eastAsia="Times New Roman"/>
          <w:szCs w:val="24"/>
        </w:rPr>
        <w:t>gadā 13 biznesa inkubatori un 5 to atbalsta vienības visā Latvijā kopumā sekmēj</w:t>
      </w:r>
      <w:r>
        <w:rPr>
          <w:rFonts w:eastAsia="Times New Roman"/>
          <w:szCs w:val="24"/>
        </w:rPr>
        <w:t>a</w:t>
      </w:r>
      <w:r w:rsidRPr="6D25BF40">
        <w:rPr>
          <w:rFonts w:eastAsia="Times New Roman"/>
          <w:szCs w:val="24"/>
        </w:rPr>
        <w:t xml:space="preserve"> 162 jaunu komersantu izveidi. Līdz pārskata perioda beigām noslēgti 154 inkubācijas </w:t>
      </w:r>
      <w:r w:rsidR="00123FFE">
        <w:rPr>
          <w:rFonts w:eastAsia="Times New Roman"/>
          <w:szCs w:val="24"/>
        </w:rPr>
        <w:t>līgumi (</w:t>
      </w:r>
      <w:r w:rsidRPr="6D25BF40">
        <w:rPr>
          <w:rFonts w:eastAsia="Times New Roman"/>
          <w:szCs w:val="24"/>
        </w:rPr>
        <w:t>ar 144 jauniem komersantiem</w:t>
      </w:r>
      <w:r w:rsidR="00123FFE">
        <w:rPr>
          <w:rFonts w:eastAsia="Times New Roman"/>
          <w:szCs w:val="24"/>
        </w:rPr>
        <w:t>)</w:t>
      </w:r>
      <w:r w:rsidRPr="6D25BF40">
        <w:rPr>
          <w:rFonts w:eastAsia="Times New Roman"/>
          <w:szCs w:val="24"/>
        </w:rPr>
        <w:t xml:space="preserve"> un </w:t>
      </w:r>
      <w:r w:rsidR="00123FFE">
        <w:rPr>
          <w:rFonts w:eastAsia="Times New Roman"/>
          <w:szCs w:val="24"/>
        </w:rPr>
        <w:t>413</w:t>
      </w:r>
      <w:r w:rsidR="00123FFE" w:rsidRPr="6D25BF40">
        <w:rPr>
          <w:rFonts w:eastAsia="Times New Roman"/>
          <w:szCs w:val="24"/>
        </w:rPr>
        <w:t xml:space="preserve"> </w:t>
      </w:r>
      <w:r w:rsidRPr="6D25BF40">
        <w:rPr>
          <w:rFonts w:eastAsia="Times New Roman"/>
          <w:szCs w:val="24"/>
        </w:rPr>
        <w:t xml:space="preserve">pirmsinkubācijas līgumi </w:t>
      </w:r>
      <w:r w:rsidR="00123FFE">
        <w:rPr>
          <w:rFonts w:eastAsia="Times New Roman"/>
          <w:szCs w:val="24"/>
        </w:rPr>
        <w:t>(</w:t>
      </w:r>
      <w:r w:rsidRPr="6D25BF40">
        <w:rPr>
          <w:rFonts w:eastAsia="Times New Roman"/>
          <w:szCs w:val="24"/>
        </w:rPr>
        <w:t>ar 496 jauniem atbalsta saņēmējiem</w:t>
      </w:r>
      <w:r w:rsidR="00BC3D16">
        <w:rPr>
          <w:rFonts w:eastAsia="Times New Roman"/>
          <w:szCs w:val="24"/>
        </w:rPr>
        <w:t>)</w:t>
      </w:r>
      <w:r w:rsidRPr="6D25BF40">
        <w:rPr>
          <w:rFonts w:eastAsia="Times New Roman"/>
          <w:szCs w:val="24"/>
        </w:rPr>
        <w:t xml:space="preserve"> par atbalsta saņemšanu 2020.</w:t>
      </w:r>
      <w:r>
        <w:rPr>
          <w:rFonts w:eastAsia="Times New Roman"/>
          <w:szCs w:val="24"/>
        </w:rPr>
        <w:t> </w:t>
      </w:r>
      <w:r w:rsidRPr="6D25BF40">
        <w:rPr>
          <w:rFonts w:eastAsia="Times New Roman"/>
          <w:szCs w:val="24"/>
        </w:rPr>
        <w:t>gadā. Uzņēmējdarbības infrastruktūras attīstībai piešķirti 1</w:t>
      </w:r>
      <w:r>
        <w:rPr>
          <w:rFonts w:eastAsia="Times New Roman"/>
          <w:szCs w:val="24"/>
        </w:rPr>
        <w:t> </w:t>
      </w:r>
      <w:r w:rsidR="00BC3D16" w:rsidRPr="6D25BF40">
        <w:rPr>
          <w:rFonts w:eastAsia="Times New Roman"/>
          <w:szCs w:val="24"/>
        </w:rPr>
        <w:t>02</w:t>
      </w:r>
      <w:r w:rsidR="00BC3D16">
        <w:rPr>
          <w:rFonts w:eastAsia="Times New Roman"/>
          <w:szCs w:val="24"/>
        </w:rPr>
        <w:t>9</w:t>
      </w:r>
      <w:r w:rsidR="00BC3D16" w:rsidRPr="6D25BF40">
        <w:rPr>
          <w:rFonts w:eastAsia="Times New Roman"/>
          <w:szCs w:val="24"/>
        </w:rPr>
        <w:t xml:space="preserve"> </w:t>
      </w:r>
      <w:r w:rsidRPr="6D25BF40">
        <w:rPr>
          <w:rFonts w:eastAsia="Times New Roman"/>
          <w:szCs w:val="24"/>
        </w:rPr>
        <w:t xml:space="preserve">granti biznesa inkubatoru dalībniekiem iekārtu vai izejmateriālu iegādei. </w:t>
      </w:r>
      <w:r w:rsidRPr="6D25BF40">
        <w:rPr>
          <w:rFonts w:eastAsia="Times New Roman"/>
          <w:color w:val="000000" w:themeColor="text1"/>
          <w:szCs w:val="24"/>
        </w:rPr>
        <w:t>Biznesa inkubatoros regulāri tik</w:t>
      </w:r>
      <w:r>
        <w:rPr>
          <w:rFonts w:eastAsia="Times New Roman"/>
          <w:color w:val="000000" w:themeColor="text1"/>
          <w:szCs w:val="24"/>
        </w:rPr>
        <w:t>a</w:t>
      </w:r>
      <w:r w:rsidRPr="6D25BF40">
        <w:rPr>
          <w:rFonts w:eastAsia="Times New Roman"/>
          <w:color w:val="000000" w:themeColor="text1"/>
          <w:szCs w:val="24"/>
        </w:rPr>
        <w:t xml:space="preserve"> organizēti pasākumi, kas nodrošina gan jaunu komersantu piesaisti, gan veicina atbalsta saņēmēju zināšanu pilnveidošanu uzņēmējdarbības jautājumos (t.sk. organizētas meistarklases, lekcijas, semināri u.c.), komersantiem nodrošināta mentoru piesaiste, kā arī katram komersantam individuāli noteikti atbalsta periodā sasniedzamie mērķi. </w:t>
      </w:r>
    </w:p>
    <w:p w14:paraId="3154D364" w14:textId="37726BB4" w:rsidR="008D6471" w:rsidRDefault="008D6471" w:rsidP="008D6471">
      <w:pPr>
        <w:spacing w:before="60" w:after="60" w:line="240" w:lineRule="auto"/>
        <w:jc w:val="both"/>
        <w:rPr>
          <w:rFonts w:eastAsia="Times New Roman"/>
          <w:szCs w:val="24"/>
        </w:rPr>
      </w:pPr>
      <w:r w:rsidRPr="6D25BF40">
        <w:rPr>
          <w:rFonts w:eastAsia="Times New Roman"/>
          <w:szCs w:val="24"/>
        </w:rPr>
        <w:t xml:space="preserve">Savukārt, lai veicinātu uzņēmējdarbības infrastruktūru, sekmējot esošo apstrādes rūpniecības komersantu paplašināšanos un jaunu komersantu veidošanos, saskaņā ar noteikumu par ES fondu pasākuma </w:t>
      </w:r>
      <w:hyperlink r:id="rId68">
        <w:r w:rsidRPr="004C542A">
          <w:rPr>
            <w:rStyle w:val="Hyperlink"/>
            <w:i/>
            <w:iCs/>
            <w:color w:val="00859B"/>
          </w:rPr>
          <w:t>Atbalsts ieguldījumiem ražošanas telpu un infrastruktūras izveidei vai rekonstrukcijai</w:t>
        </w:r>
      </w:hyperlink>
      <w:r>
        <w:rPr>
          <w:rFonts w:eastAsia="Times New Roman"/>
          <w:i/>
          <w:iCs/>
          <w:color w:val="00859B"/>
          <w:szCs w:val="24"/>
        </w:rPr>
        <w:t xml:space="preserve"> </w:t>
      </w:r>
      <w:r w:rsidRPr="6D25BF40">
        <w:rPr>
          <w:rFonts w:eastAsia="Times New Roman"/>
          <w:szCs w:val="24"/>
        </w:rPr>
        <w:t>nosacījumiem</w:t>
      </w:r>
      <w:r>
        <w:rPr>
          <w:rFonts w:eastAsia="Times New Roman"/>
          <w:szCs w:val="24"/>
        </w:rPr>
        <w:t xml:space="preserve"> (</w:t>
      </w:r>
      <w:r w:rsidRPr="00BF79D1">
        <w:rPr>
          <w:rFonts w:cs="Times New Roman"/>
          <w:szCs w:val="24"/>
        </w:rPr>
        <w:t xml:space="preserve">skat. </w:t>
      </w:r>
      <w:hyperlink w:anchor="_Pielikums._EM_īstenojamo" w:history="1">
        <w:r w:rsidRPr="00BF79D1">
          <w:rPr>
            <w:rStyle w:val="Hyperlink"/>
            <w:color w:val="00859B"/>
            <w:szCs w:val="24"/>
          </w:rPr>
          <w:t>8.pielikumu</w:t>
        </w:r>
      </w:hyperlink>
      <w:r w:rsidRPr="00BF79D1">
        <w:rPr>
          <w:rStyle w:val="Hyperlink"/>
          <w:color w:val="auto"/>
          <w:szCs w:val="24"/>
          <w:u w:val="none"/>
        </w:rPr>
        <w:t xml:space="preserve">, </w:t>
      </w:r>
      <w:r w:rsidRPr="00BF79D1">
        <w:rPr>
          <w:rFonts w:eastAsia="Times New Roman"/>
          <w:color w:val="000000" w:themeColor="text1"/>
          <w:szCs w:val="24"/>
        </w:rPr>
        <w:t>3.</w:t>
      </w:r>
      <w:r>
        <w:rPr>
          <w:rFonts w:eastAsia="Times New Roman"/>
          <w:color w:val="000000" w:themeColor="text1"/>
          <w:szCs w:val="24"/>
        </w:rPr>
        <w:t>1</w:t>
      </w:r>
      <w:r w:rsidRPr="00BF79D1">
        <w:rPr>
          <w:rFonts w:eastAsia="Times New Roman"/>
          <w:color w:val="000000" w:themeColor="text1"/>
          <w:szCs w:val="24"/>
        </w:rPr>
        <w:t>.1.</w:t>
      </w:r>
      <w:r>
        <w:rPr>
          <w:rFonts w:eastAsia="Times New Roman"/>
          <w:color w:val="000000" w:themeColor="text1"/>
          <w:szCs w:val="24"/>
        </w:rPr>
        <w:t>5</w:t>
      </w:r>
      <w:r w:rsidRPr="00BF79D1">
        <w:rPr>
          <w:rFonts w:eastAsia="Times New Roman"/>
          <w:color w:val="000000" w:themeColor="text1"/>
          <w:szCs w:val="24"/>
        </w:rPr>
        <w:t>.</w:t>
      </w:r>
      <w:r w:rsidR="00B95866">
        <w:rPr>
          <w:rFonts w:eastAsia="Times New Roman"/>
          <w:color w:val="000000" w:themeColor="text1"/>
          <w:szCs w:val="24"/>
        </w:rPr>
        <w:t>pasākumu</w:t>
      </w:r>
      <w:r w:rsidRPr="00BF79D1">
        <w:rPr>
          <w:rFonts w:eastAsia="Times New Roman"/>
          <w:color w:val="000000" w:themeColor="text1"/>
          <w:szCs w:val="24"/>
        </w:rPr>
        <w:t>)</w:t>
      </w:r>
      <w:r w:rsidRPr="6D25BF40">
        <w:rPr>
          <w:rFonts w:eastAsia="Times New Roman"/>
          <w:szCs w:val="24"/>
        </w:rPr>
        <w:t xml:space="preserve">, </w:t>
      </w:r>
      <w:r w:rsidRPr="6D25BF40">
        <w:rPr>
          <w:rFonts w:eastAsia="Times New Roman"/>
          <w:color w:val="000000" w:themeColor="text1"/>
          <w:szCs w:val="24"/>
        </w:rPr>
        <w:t>2020.</w:t>
      </w:r>
      <w:r>
        <w:rPr>
          <w:rFonts w:eastAsia="Times New Roman"/>
          <w:color w:val="000000" w:themeColor="text1"/>
          <w:szCs w:val="24"/>
        </w:rPr>
        <w:t> </w:t>
      </w:r>
      <w:r w:rsidRPr="6D25BF40">
        <w:rPr>
          <w:rFonts w:eastAsia="Times New Roman"/>
          <w:color w:val="000000" w:themeColor="text1"/>
          <w:szCs w:val="24"/>
        </w:rPr>
        <w:t xml:space="preserve">gadā turpinājās otrā kārta iesniegto projektu vērtēšanai un līgumu slēgšanai kā rezultātā </w:t>
      </w:r>
      <w:r w:rsidRPr="6D25BF40">
        <w:rPr>
          <w:rFonts w:eastAsia="Times New Roman"/>
          <w:szCs w:val="24"/>
        </w:rPr>
        <w:t>ar 11 projekta iesniedzējiem noslēgti līgumi par kopējo investīciju summu 20</w:t>
      </w:r>
      <w:r>
        <w:rPr>
          <w:rFonts w:eastAsia="Times New Roman"/>
          <w:szCs w:val="24"/>
        </w:rPr>
        <w:t> </w:t>
      </w:r>
      <w:r w:rsidRPr="6D25BF40">
        <w:rPr>
          <w:rFonts w:eastAsia="Times New Roman"/>
          <w:szCs w:val="24"/>
        </w:rPr>
        <w:t>milj.</w:t>
      </w:r>
      <w:r>
        <w:rPr>
          <w:rFonts w:eastAsia="Times New Roman"/>
          <w:szCs w:val="24"/>
        </w:rPr>
        <w:t> </w:t>
      </w:r>
      <w:r w:rsidRPr="6D25BF40">
        <w:rPr>
          <w:rFonts w:eastAsia="Times New Roman"/>
          <w:szCs w:val="24"/>
        </w:rPr>
        <w:t>e</w:t>
      </w:r>
      <w:r w:rsidRPr="6D25BF40">
        <w:rPr>
          <w:rFonts w:eastAsia="Times New Roman"/>
          <w:i/>
          <w:iCs/>
          <w:szCs w:val="24"/>
        </w:rPr>
        <w:t>uro</w:t>
      </w:r>
      <w:r>
        <w:rPr>
          <w:rFonts w:eastAsia="Times New Roman"/>
          <w:i/>
          <w:iCs/>
          <w:szCs w:val="24"/>
        </w:rPr>
        <w:t xml:space="preserve"> </w:t>
      </w:r>
      <w:r w:rsidRPr="6D25BF40">
        <w:rPr>
          <w:rFonts w:eastAsia="Times New Roman"/>
          <w:szCs w:val="24"/>
        </w:rPr>
        <w:t>apmērā</w:t>
      </w:r>
      <w:r w:rsidRPr="6D25BF40">
        <w:rPr>
          <w:rFonts w:eastAsia="Times New Roman"/>
          <w:color w:val="000000" w:themeColor="text1"/>
          <w:szCs w:val="24"/>
        </w:rPr>
        <w:t>. 2020.</w:t>
      </w:r>
      <w:r>
        <w:rPr>
          <w:rFonts w:eastAsia="Times New Roman"/>
          <w:color w:val="000000" w:themeColor="text1"/>
          <w:szCs w:val="24"/>
        </w:rPr>
        <w:t> </w:t>
      </w:r>
      <w:r w:rsidRPr="6D25BF40">
        <w:rPr>
          <w:rFonts w:eastAsia="Times New Roman"/>
          <w:color w:val="000000" w:themeColor="text1"/>
          <w:szCs w:val="24"/>
        </w:rPr>
        <w:t>gada tika palielināts otrās projektu iesniegumu atlases kārtas ietvaros pieejamais ERAF finansējums līdz 28,9</w:t>
      </w:r>
      <w:r>
        <w:rPr>
          <w:rFonts w:eastAsia="Times New Roman"/>
          <w:color w:val="000000" w:themeColor="text1"/>
          <w:szCs w:val="24"/>
        </w:rPr>
        <w:t> </w:t>
      </w:r>
      <w:r w:rsidRPr="6D25BF40">
        <w:rPr>
          <w:rFonts w:eastAsia="Times New Roman"/>
          <w:color w:val="000000" w:themeColor="text1"/>
          <w:szCs w:val="24"/>
        </w:rPr>
        <w:t>milj.</w:t>
      </w:r>
      <w:r>
        <w:rPr>
          <w:rFonts w:eastAsia="Times New Roman"/>
          <w:color w:val="000000" w:themeColor="text1"/>
          <w:szCs w:val="24"/>
        </w:rPr>
        <w:t> </w:t>
      </w:r>
      <w:r w:rsidRPr="6D25BF40">
        <w:rPr>
          <w:rFonts w:eastAsia="Times New Roman"/>
          <w:i/>
          <w:iCs/>
          <w:color w:val="000000" w:themeColor="text1"/>
          <w:szCs w:val="24"/>
        </w:rPr>
        <w:t>e</w:t>
      </w:r>
      <w:r>
        <w:rPr>
          <w:rFonts w:eastAsia="Times New Roman"/>
          <w:i/>
          <w:iCs/>
          <w:color w:val="000000" w:themeColor="text1"/>
          <w:szCs w:val="24"/>
        </w:rPr>
        <w:t>u</w:t>
      </w:r>
      <w:r w:rsidRPr="6D25BF40">
        <w:rPr>
          <w:rFonts w:eastAsia="Times New Roman"/>
          <w:i/>
          <w:iCs/>
          <w:color w:val="000000" w:themeColor="text1"/>
          <w:szCs w:val="24"/>
        </w:rPr>
        <w:t>ro</w:t>
      </w:r>
      <w:r w:rsidRPr="6D25BF40">
        <w:rPr>
          <w:rFonts w:eastAsia="Times New Roman"/>
          <w:color w:val="000000" w:themeColor="text1"/>
          <w:szCs w:val="24"/>
        </w:rPr>
        <w:t>, kam plānots piesaistīt privāto līdzfinansējumu ne mazāk kā 21,7</w:t>
      </w:r>
      <w:r>
        <w:rPr>
          <w:rFonts w:eastAsia="Times New Roman"/>
          <w:color w:val="000000" w:themeColor="text1"/>
          <w:szCs w:val="24"/>
        </w:rPr>
        <w:t> </w:t>
      </w:r>
      <w:r w:rsidRPr="6D25BF40">
        <w:rPr>
          <w:rFonts w:eastAsia="Times New Roman"/>
          <w:color w:val="000000" w:themeColor="text1"/>
          <w:szCs w:val="24"/>
        </w:rPr>
        <w:t>milj.</w:t>
      </w:r>
      <w:r>
        <w:rPr>
          <w:rFonts w:eastAsia="Times New Roman"/>
          <w:color w:val="000000" w:themeColor="text1"/>
          <w:szCs w:val="24"/>
        </w:rPr>
        <w:t> </w:t>
      </w:r>
      <w:r w:rsidRPr="6D25BF40">
        <w:rPr>
          <w:rFonts w:eastAsia="Times New Roman"/>
          <w:i/>
          <w:iCs/>
          <w:color w:val="000000" w:themeColor="text1"/>
          <w:szCs w:val="24"/>
        </w:rPr>
        <w:t>e</w:t>
      </w:r>
      <w:r>
        <w:rPr>
          <w:rFonts w:eastAsia="Times New Roman"/>
          <w:i/>
          <w:iCs/>
          <w:color w:val="000000" w:themeColor="text1"/>
          <w:szCs w:val="24"/>
        </w:rPr>
        <w:t>u</w:t>
      </w:r>
      <w:r w:rsidRPr="6D25BF40">
        <w:rPr>
          <w:rFonts w:eastAsia="Times New Roman"/>
          <w:i/>
          <w:iCs/>
          <w:color w:val="000000" w:themeColor="text1"/>
          <w:szCs w:val="24"/>
        </w:rPr>
        <w:t>ro</w:t>
      </w:r>
      <w:r w:rsidRPr="6D25BF40">
        <w:rPr>
          <w:rFonts w:eastAsia="Times New Roman"/>
          <w:color w:val="000000" w:themeColor="text1"/>
          <w:szCs w:val="24"/>
        </w:rPr>
        <w:t xml:space="preserve">. </w:t>
      </w:r>
    </w:p>
    <w:p w14:paraId="1E3E80D7" w14:textId="6A6EDD50" w:rsidR="008D6471" w:rsidRDefault="008D6471" w:rsidP="008D6471">
      <w:pPr>
        <w:spacing w:before="60" w:after="60" w:line="240" w:lineRule="auto"/>
        <w:jc w:val="both"/>
        <w:rPr>
          <w:rFonts w:eastAsia="Times New Roman"/>
          <w:szCs w:val="24"/>
        </w:rPr>
      </w:pPr>
      <w:r w:rsidRPr="73E99EF3">
        <w:rPr>
          <w:rFonts w:eastAsia="Times New Roman"/>
          <w:szCs w:val="24"/>
        </w:rPr>
        <w:t xml:space="preserve">Lai veicinātu Latvijas MVU straujāku izaugsmi, īpaši apstrādes rūpniecībā un RIS3 prioritārajās nozarēs, </w:t>
      </w:r>
      <w:r>
        <w:rPr>
          <w:rFonts w:eastAsia="Times New Roman"/>
          <w:szCs w:val="24"/>
        </w:rPr>
        <w:t xml:space="preserve">MK </w:t>
      </w:r>
      <w:r w:rsidRPr="73E99EF3">
        <w:rPr>
          <w:rFonts w:eastAsia="Times New Roman"/>
          <w:szCs w:val="24"/>
        </w:rPr>
        <w:t>2020.</w:t>
      </w:r>
      <w:r>
        <w:rPr>
          <w:rFonts w:eastAsia="Times New Roman"/>
          <w:szCs w:val="24"/>
        </w:rPr>
        <w:t> g</w:t>
      </w:r>
      <w:r w:rsidRPr="73E99EF3">
        <w:rPr>
          <w:rFonts w:eastAsia="Times New Roman"/>
          <w:szCs w:val="24"/>
        </w:rPr>
        <w:t>ada 21.</w:t>
      </w:r>
      <w:r>
        <w:rPr>
          <w:rFonts w:eastAsia="Times New Roman"/>
          <w:szCs w:val="24"/>
        </w:rPr>
        <w:t> </w:t>
      </w:r>
      <w:r w:rsidRPr="73E99EF3">
        <w:rPr>
          <w:rFonts w:eastAsia="Times New Roman"/>
          <w:szCs w:val="24"/>
        </w:rPr>
        <w:t xml:space="preserve">janvārī tika </w:t>
      </w:r>
      <w:r w:rsidR="00A2427E" w:rsidRPr="73E99EF3">
        <w:rPr>
          <w:rFonts w:eastAsia="Times New Roman"/>
          <w:szCs w:val="24"/>
        </w:rPr>
        <w:t>apstiprināt</w:t>
      </w:r>
      <w:r w:rsidR="00A2427E">
        <w:rPr>
          <w:rFonts w:eastAsia="Times New Roman"/>
          <w:szCs w:val="24"/>
        </w:rPr>
        <w:t>s</w:t>
      </w:r>
      <w:r w:rsidR="00A2427E" w:rsidRPr="73E99EF3">
        <w:rPr>
          <w:rFonts w:eastAsia="Times New Roman"/>
          <w:szCs w:val="24"/>
        </w:rPr>
        <w:t xml:space="preserve"> jaun</w:t>
      </w:r>
      <w:r w:rsidR="00A2427E">
        <w:rPr>
          <w:rFonts w:eastAsia="Times New Roman"/>
          <w:szCs w:val="24"/>
        </w:rPr>
        <w:t>s</w:t>
      </w:r>
      <w:r w:rsidR="00A2427E" w:rsidRPr="73E99EF3">
        <w:rPr>
          <w:rFonts w:eastAsia="Times New Roman"/>
          <w:szCs w:val="24"/>
        </w:rPr>
        <w:t xml:space="preserve"> </w:t>
      </w:r>
      <w:r w:rsidRPr="73E99EF3">
        <w:rPr>
          <w:rFonts w:eastAsia="Times New Roman"/>
          <w:szCs w:val="24"/>
        </w:rPr>
        <w:t xml:space="preserve">ES fondu atbalsta </w:t>
      </w:r>
      <w:r w:rsidR="00A2427E">
        <w:rPr>
          <w:rFonts w:eastAsia="Times New Roman"/>
          <w:szCs w:val="24"/>
        </w:rPr>
        <w:t>pasākums</w:t>
      </w:r>
      <w:r w:rsidR="00A2427E" w:rsidRPr="73E99EF3">
        <w:rPr>
          <w:rFonts w:eastAsia="Times New Roman"/>
          <w:szCs w:val="24"/>
        </w:rPr>
        <w:t xml:space="preserve"> </w:t>
      </w:r>
      <w:hyperlink r:id="rId69">
        <w:r w:rsidRPr="00B52423">
          <w:rPr>
            <w:rStyle w:val="Hyperlink"/>
            <w:i/>
            <w:iCs/>
            <w:color w:val="00859B"/>
          </w:rPr>
          <w:t>Atbalsts mazo, vidējo komersantu finansējuma piesaistei kapitāla tirgos</w:t>
        </w:r>
      </w:hyperlink>
      <w:r w:rsidRPr="73E99EF3">
        <w:rPr>
          <w:rFonts w:eastAsia="Times New Roman"/>
          <w:szCs w:val="24"/>
        </w:rPr>
        <w:t xml:space="preserve"> </w:t>
      </w:r>
      <w:r w:rsidRPr="00BF79D1">
        <w:rPr>
          <w:rFonts w:eastAsia="Times New Roman"/>
          <w:color w:val="000000" w:themeColor="text1"/>
          <w:szCs w:val="24"/>
        </w:rPr>
        <w:t>(</w:t>
      </w:r>
      <w:r w:rsidRPr="00BF79D1">
        <w:rPr>
          <w:rFonts w:cs="Times New Roman"/>
          <w:szCs w:val="24"/>
        </w:rPr>
        <w:t xml:space="preserve">skat. </w:t>
      </w:r>
      <w:hyperlink w:anchor="_Pielikums._EM_īstenojamo" w:history="1">
        <w:r w:rsidRPr="00BF79D1">
          <w:rPr>
            <w:rStyle w:val="Hyperlink"/>
            <w:color w:val="00859B"/>
            <w:szCs w:val="24"/>
          </w:rPr>
          <w:t>8.pielikumu</w:t>
        </w:r>
      </w:hyperlink>
      <w:r w:rsidRPr="00BF79D1">
        <w:rPr>
          <w:rStyle w:val="Hyperlink"/>
          <w:color w:val="auto"/>
          <w:szCs w:val="24"/>
          <w:u w:val="none"/>
        </w:rPr>
        <w:t xml:space="preserve">, </w:t>
      </w:r>
      <w:r w:rsidRPr="00BF79D1">
        <w:rPr>
          <w:rFonts w:eastAsia="Times New Roman"/>
          <w:color w:val="000000" w:themeColor="text1"/>
          <w:szCs w:val="24"/>
        </w:rPr>
        <w:t>3.</w:t>
      </w:r>
      <w:r>
        <w:rPr>
          <w:rFonts w:eastAsia="Times New Roman"/>
          <w:color w:val="000000" w:themeColor="text1"/>
          <w:szCs w:val="24"/>
        </w:rPr>
        <w:t>1</w:t>
      </w:r>
      <w:r w:rsidRPr="00BF79D1">
        <w:rPr>
          <w:rFonts w:eastAsia="Times New Roman"/>
          <w:color w:val="000000" w:themeColor="text1"/>
          <w:szCs w:val="24"/>
        </w:rPr>
        <w:t>.1.</w:t>
      </w:r>
      <w:r>
        <w:rPr>
          <w:rFonts w:eastAsia="Times New Roman"/>
          <w:color w:val="000000" w:themeColor="text1"/>
          <w:szCs w:val="24"/>
        </w:rPr>
        <w:t>3</w:t>
      </w:r>
      <w:r w:rsidRPr="00BF79D1">
        <w:rPr>
          <w:rFonts w:eastAsia="Times New Roman"/>
          <w:color w:val="000000" w:themeColor="text1"/>
          <w:szCs w:val="24"/>
        </w:rPr>
        <w:t>.</w:t>
      </w:r>
      <w:r w:rsidR="00B95866">
        <w:rPr>
          <w:rFonts w:eastAsia="Times New Roman"/>
          <w:color w:val="000000" w:themeColor="text1"/>
          <w:szCs w:val="24"/>
        </w:rPr>
        <w:t>pasākumu</w:t>
      </w:r>
      <w:r w:rsidRPr="00BF79D1">
        <w:rPr>
          <w:rFonts w:eastAsia="Times New Roman"/>
          <w:color w:val="000000" w:themeColor="text1"/>
          <w:szCs w:val="24"/>
        </w:rPr>
        <w:t>)</w:t>
      </w:r>
      <w:r>
        <w:rPr>
          <w:rFonts w:eastAsia="Times New Roman"/>
          <w:szCs w:val="24"/>
        </w:rPr>
        <w:t xml:space="preserve">, </w:t>
      </w:r>
      <w:r w:rsidRPr="73E99EF3">
        <w:rPr>
          <w:rFonts w:eastAsia="Times New Roman"/>
          <w:szCs w:val="24"/>
        </w:rPr>
        <w:t>kas ļauj uzņēmumiem sekmīgai akciju vai parāda vērstpapīru emisijai biržā saņemt līdzfinansējumu līdz 50% apjomā no kopējām sagatavošanās izmaksām. Jaunā ES fondu atbalsta programma paredz nodrošināt atbalstu gan akciju, gan parāda vērstpapīru (obligāciju) emisijai. 2020.</w:t>
      </w:r>
      <w:r>
        <w:rPr>
          <w:rFonts w:eastAsia="Times New Roman"/>
          <w:szCs w:val="24"/>
        </w:rPr>
        <w:t> </w:t>
      </w:r>
      <w:r w:rsidRPr="73E99EF3">
        <w:rPr>
          <w:rFonts w:eastAsia="Times New Roman"/>
          <w:szCs w:val="24"/>
        </w:rPr>
        <w:t xml:space="preserve">gadā </w:t>
      </w:r>
      <w:r>
        <w:rPr>
          <w:rFonts w:eastAsia="Times New Roman"/>
          <w:szCs w:val="24"/>
        </w:rPr>
        <w:t xml:space="preserve">tika </w:t>
      </w:r>
      <w:r w:rsidRPr="73E99EF3">
        <w:rPr>
          <w:rFonts w:eastAsia="Times New Roman"/>
          <w:szCs w:val="24"/>
        </w:rPr>
        <w:t>izsludinātas divas projektu iesniegumu atlases kārtas</w:t>
      </w:r>
      <w:r>
        <w:rPr>
          <w:rFonts w:eastAsia="Times New Roman"/>
          <w:szCs w:val="24"/>
        </w:rPr>
        <w:t xml:space="preserve">, kurās atbalstīti 3 projekti par 263 tūkst. </w:t>
      </w:r>
      <w:r w:rsidRPr="0076395F">
        <w:rPr>
          <w:rFonts w:eastAsia="Times New Roman"/>
          <w:i/>
          <w:iCs/>
          <w:szCs w:val="24"/>
        </w:rPr>
        <w:t>euro</w:t>
      </w:r>
      <w:r>
        <w:rPr>
          <w:rFonts w:eastAsia="Times New Roman"/>
          <w:szCs w:val="24"/>
        </w:rPr>
        <w:t xml:space="preserve"> (no saņemtajiem 7 projektiem 495 tūkst </w:t>
      </w:r>
      <w:r w:rsidRPr="0076395F">
        <w:rPr>
          <w:rFonts w:eastAsia="Times New Roman"/>
          <w:i/>
          <w:iCs/>
          <w:szCs w:val="24"/>
        </w:rPr>
        <w:t>euro</w:t>
      </w:r>
      <w:r>
        <w:rPr>
          <w:rFonts w:eastAsia="Times New Roman"/>
          <w:szCs w:val="24"/>
        </w:rPr>
        <w:t xml:space="preserve"> apmērā)</w:t>
      </w:r>
      <w:r w:rsidRPr="73E99EF3">
        <w:rPr>
          <w:rFonts w:eastAsia="Times New Roman"/>
          <w:szCs w:val="24"/>
        </w:rPr>
        <w:t>.</w:t>
      </w:r>
    </w:p>
    <w:p w14:paraId="6FBF0F82" w14:textId="77777777" w:rsidR="0069732D" w:rsidRPr="0001568E" w:rsidRDefault="0069732D" w:rsidP="0001568E">
      <w:pPr>
        <w:spacing w:before="60" w:after="60" w:line="240" w:lineRule="auto"/>
        <w:jc w:val="both"/>
      </w:pPr>
      <w:r w:rsidRPr="0001568E">
        <w:rPr>
          <w:rFonts w:eastAsia="Times New Roman"/>
          <w:szCs w:val="24"/>
        </w:rPr>
        <w:t xml:space="preserve">Lai uzlabotu uzņēmējdarbības vidi, </w:t>
      </w:r>
      <w:r w:rsidR="0001568E">
        <w:rPr>
          <w:rFonts w:eastAsia="Times New Roman"/>
          <w:szCs w:val="24"/>
        </w:rPr>
        <w:t xml:space="preserve">EM </w:t>
      </w:r>
      <w:r w:rsidRPr="0001568E">
        <w:rPr>
          <w:rFonts w:eastAsia="Times New Roman"/>
          <w:szCs w:val="24"/>
        </w:rPr>
        <w:t>2020.</w:t>
      </w:r>
      <w:r w:rsidR="0001568E">
        <w:rPr>
          <w:rFonts w:eastAsia="Times New Roman"/>
          <w:szCs w:val="24"/>
        </w:rPr>
        <w:t> </w:t>
      </w:r>
      <w:r w:rsidRPr="0001568E">
        <w:rPr>
          <w:rFonts w:eastAsia="Times New Roman"/>
          <w:szCs w:val="24"/>
        </w:rPr>
        <w:t>gadā jau otro reizi sadarbībā ar L</w:t>
      </w:r>
      <w:r w:rsidR="00A204CD">
        <w:rPr>
          <w:rFonts w:eastAsia="Times New Roman"/>
          <w:szCs w:val="24"/>
        </w:rPr>
        <w:t>TRK</w:t>
      </w:r>
      <w:r w:rsidRPr="0001568E">
        <w:rPr>
          <w:rFonts w:eastAsia="Times New Roman"/>
          <w:szCs w:val="24"/>
        </w:rPr>
        <w:t>, L</w:t>
      </w:r>
      <w:r w:rsidR="00A204CD">
        <w:rPr>
          <w:rFonts w:eastAsia="Times New Roman"/>
          <w:szCs w:val="24"/>
        </w:rPr>
        <w:t xml:space="preserve">DDK </w:t>
      </w:r>
      <w:r w:rsidRPr="0001568E">
        <w:rPr>
          <w:rFonts w:eastAsia="Times New Roman"/>
          <w:szCs w:val="24"/>
        </w:rPr>
        <w:t xml:space="preserve">un </w:t>
      </w:r>
      <w:r w:rsidRPr="0001568E">
        <w:rPr>
          <w:rFonts w:eastAsia="Times New Roman"/>
          <w:i/>
          <w:iCs/>
          <w:szCs w:val="24"/>
        </w:rPr>
        <w:t>Junior Achievement Latvia</w:t>
      </w:r>
      <w:r w:rsidRPr="0001568E">
        <w:rPr>
          <w:rFonts w:eastAsia="Times New Roman"/>
          <w:szCs w:val="24"/>
        </w:rPr>
        <w:t xml:space="preserve"> organizēja iniciatīvu “</w:t>
      </w:r>
      <w:r w:rsidRPr="009C43B7">
        <w:rPr>
          <w:rFonts w:eastAsia="Times New Roman"/>
          <w:szCs w:val="24"/>
        </w:rPr>
        <w:t>Ierēdnis ēno uzņēmēju</w:t>
      </w:r>
      <w:r w:rsidRPr="0001568E">
        <w:rPr>
          <w:rFonts w:eastAsia="Times New Roman"/>
          <w:szCs w:val="24"/>
        </w:rPr>
        <w:t>”. Iniciatīva ļauj ierēdnim gūt jaunu pieredzi, paplašināt savu redzes loku, “iekāpt uzņēmēja kurpēs” un novērtēt, kā attiecīgais regulējums tiek piemērots praksē un ko nepieciešams pilnveidot turpmākajā darbā. Savukārt</w:t>
      </w:r>
      <w:r w:rsidR="0001568E">
        <w:rPr>
          <w:rFonts w:eastAsia="Times New Roman"/>
          <w:szCs w:val="24"/>
        </w:rPr>
        <w:t>,</w:t>
      </w:r>
      <w:r w:rsidRPr="0001568E">
        <w:rPr>
          <w:rFonts w:eastAsia="Times New Roman"/>
          <w:szCs w:val="24"/>
        </w:rPr>
        <w:t xml:space="preserve"> uzņēmējam iniciatīvas ietvaros ir iespēja pieteikt gan savu ideju, gan sasniegumu, gan arī problēmu, nepastarpināti piedalīties tās izvērtēšanā un sākt risināšanu ar atbildīgo valsts pārvaldes darbinieku. 2020.</w:t>
      </w:r>
      <w:r w:rsidR="0001568E">
        <w:rPr>
          <w:rFonts w:eastAsia="Times New Roman"/>
          <w:szCs w:val="24"/>
        </w:rPr>
        <w:t> </w:t>
      </w:r>
      <w:r w:rsidRPr="0001568E">
        <w:rPr>
          <w:rFonts w:eastAsia="Times New Roman"/>
          <w:szCs w:val="24"/>
        </w:rPr>
        <w:t>gada 16.</w:t>
      </w:r>
      <w:r w:rsidR="0001568E">
        <w:rPr>
          <w:rFonts w:eastAsia="Times New Roman"/>
          <w:szCs w:val="24"/>
        </w:rPr>
        <w:t> </w:t>
      </w:r>
      <w:r w:rsidRPr="0001568E">
        <w:rPr>
          <w:rFonts w:eastAsia="Times New Roman"/>
          <w:szCs w:val="24"/>
        </w:rPr>
        <w:t>septembrī vairāk kā 40 uzņēmumos viesojās 105 pārstāvji no 25 valsts iestādēm</w:t>
      </w:r>
    </w:p>
    <w:p w14:paraId="0FC2E4EB" w14:textId="2772D845" w:rsidR="0069732D" w:rsidRDefault="0069732D" w:rsidP="0001568E">
      <w:pPr>
        <w:spacing w:before="60" w:after="60" w:line="240" w:lineRule="auto"/>
        <w:jc w:val="both"/>
        <w:rPr>
          <w:rFonts w:eastAsia="Times New Roman"/>
          <w:szCs w:val="24"/>
        </w:rPr>
      </w:pPr>
      <w:r w:rsidRPr="6D25BF40">
        <w:rPr>
          <w:rFonts w:eastAsia="Times New Roman"/>
          <w:szCs w:val="24"/>
        </w:rPr>
        <w:t>Uzņēmējdarbības vides digitalizācijai</w:t>
      </w:r>
      <w:r w:rsidR="00CC2F0C">
        <w:rPr>
          <w:rFonts w:eastAsia="Times New Roman"/>
          <w:szCs w:val="24"/>
        </w:rPr>
        <w:t xml:space="preserve"> </w:t>
      </w:r>
      <w:r w:rsidR="0001568E">
        <w:rPr>
          <w:rFonts w:eastAsia="Times New Roman"/>
          <w:szCs w:val="24"/>
        </w:rPr>
        <w:t xml:space="preserve">tika turpināta jau </w:t>
      </w:r>
      <w:r w:rsidRPr="6D25BF40">
        <w:rPr>
          <w:rFonts w:eastAsia="Times New Roman"/>
          <w:szCs w:val="24"/>
        </w:rPr>
        <w:t>2019.</w:t>
      </w:r>
      <w:r w:rsidR="0001568E">
        <w:rPr>
          <w:rFonts w:eastAsia="Times New Roman"/>
          <w:szCs w:val="24"/>
        </w:rPr>
        <w:t> </w:t>
      </w:r>
      <w:r w:rsidRPr="6D25BF40">
        <w:rPr>
          <w:rFonts w:eastAsia="Times New Roman"/>
          <w:szCs w:val="24"/>
        </w:rPr>
        <w:t xml:space="preserve">gadā </w:t>
      </w:r>
      <w:r w:rsidR="00F7507C" w:rsidRPr="6D25BF40">
        <w:rPr>
          <w:rFonts w:eastAsia="Times New Roman"/>
          <w:szCs w:val="24"/>
        </w:rPr>
        <w:t>uzsākt</w:t>
      </w:r>
      <w:r w:rsidR="00F7507C">
        <w:rPr>
          <w:rFonts w:eastAsia="Times New Roman"/>
          <w:szCs w:val="24"/>
        </w:rPr>
        <w:t>ā</w:t>
      </w:r>
      <w:r w:rsidR="00F7507C" w:rsidRPr="6D25BF40">
        <w:rPr>
          <w:rFonts w:eastAsia="Times New Roman"/>
          <w:szCs w:val="24"/>
        </w:rPr>
        <w:t xml:space="preserve"> </w:t>
      </w:r>
      <w:r w:rsidRPr="6D25BF40">
        <w:rPr>
          <w:rFonts w:eastAsia="Times New Roman"/>
          <w:szCs w:val="24"/>
        </w:rPr>
        <w:t>portāla</w:t>
      </w:r>
      <w:r w:rsidRPr="6D25BF40">
        <w:rPr>
          <w:rFonts w:eastAsia="Times New Roman"/>
          <w:i/>
          <w:iCs/>
          <w:szCs w:val="24"/>
        </w:rPr>
        <w:t xml:space="preserve"> Latvija.lv</w:t>
      </w:r>
      <w:r w:rsidRPr="6D25BF40">
        <w:rPr>
          <w:rFonts w:eastAsia="Times New Roman"/>
          <w:szCs w:val="24"/>
        </w:rPr>
        <w:t xml:space="preserve"> sadaļas "Uzņēmējiem" pilnveide, ņemot vērā </w:t>
      </w:r>
      <w:hyperlink r:id="rId70">
        <w:r w:rsidRPr="0001568E">
          <w:rPr>
            <w:rStyle w:val="Hyperlink"/>
            <w:i/>
            <w:iCs/>
            <w:color w:val="00859B"/>
          </w:rPr>
          <w:t>Valsts pārvaldes pakalpojumu portāla noteikumus</w:t>
        </w:r>
      </w:hyperlink>
      <w:r w:rsidRPr="6D25BF40">
        <w:rPr>
          <w:rFonts w:eastAsia="Times New Roman"/>
          <w:szCs w:val="24"/>
        </w:rPr>
        <w:t xml:space="preserve">, kas paredz, ka uzņēmējdarbības jautājumos EM nosaka portāla uzņēmējdarbības sadaļas attīstības virzienus. Portāls tika papildināts ar </w:t>
      </w:r>
      <w:r w:rsidR="00C81F77" w:rsidRPr="6D25BF40">
        <w:rPr>
          <w:rFonts w:eastAsia="Times New Roman"/>
          <w:szCs w:val="24"/>
        </w:rPr>
        <w:t>jaun</w:t>
      </w:r>
      <w:r w:rsidR="00C81F77">
        <w:rPr>
          <w:rFonts w:eastAsia="Times New Roman"/>
          <w:szCs w:val="24"/>
        </w:rPr>
        <w:t>u</w:t>
      </w:r>
      <w:r w:rsidR="00C81F77" w:rsidRPr="6D25BF40">
        <w:rPr>
          <w:rFonts w:eastAsia="Times New Roman"/>
          <w:szCs w:val="24"/>
        </w:rPr>
        <w:t xml:space="preserve"> sadaļ</w:t>
      </w:r>
      <w:r w:rsidR="00C81F77">
        <w:rPr>
          <w:rFonts w:eastAsia="Times New Roman"/>
          <w:szCs w:val="24"/>
        </w:rPr>
        <w:t>u</w:t>
      </w:r>
      <w:r w:rsidR="00C81F77" w:rsidRPr="6D25BF40">
        <w:rPr>
          <w:rFonts w:eastAsia="Times New Roman"/>
          <w:szCs w:val="24"/>
        </w:rPr>
        <w:t xml:space="preserve"> </w:t>
      </w:r>
      <w:r w:rsidRPr="6D25BF40">
        <w:rPr>
          <w:rFonts w:eastAsia="Times New Roman"/>
          <w:szCs w:val="24"/>
        </w:rPr>
        <w:t>–</w:t>
      </w:r>
      <w:r w:rsidR="00C81F77" w:rsidRPr="00F7507C">
        <w:rPr>
          <w:rStyle w:val="Hyperlink"/>
          <w:color w:val="00859B"/>
          <w:u w:val="none"/>
        </w:rPr>
        <w:t xml:space="preserve"> </w:t>
      </w:r>
      <w:hyperlink r:id="rId71">
        <w:r w:rsidRPr="0001568E">
          <w:rPr>
            <w:rStyle w:val="Hyperlink"/>
            <w:i/>
            <w:iCs/>
            <w:color w:val="00859B"/>
          </w:rPr>
          <w:t>“Prasības produktiem</w:t>
        </w:r>
      </w:hyperlink>
      <w:r w:rsidRPr="0001568E">
        <w:rPr>
          <w:rFonts w:eastAsia="Times New Roman"/>
          <w:i/>
          <w:iCs/>
          <w:color w:val="00859B"/>
          <w:szCs w:val="24"/>
        </w:rPr>
        <w:t>”</w:t>
      </w:r>
      <w:r w:rsidRPr="6D25BF40">
        <w:rPr>
          <w:rFonts w:eastAsia="Times New Roman"/>
          <w:szCs w:val="24"/>
        </w:rPr>
        <w:t xml:space="preserve">. Lai nodrošinātu </w:t>
      </w:r>
      <w:r w:rsidRPr="0001568E">
        <w:rPr>
          <w:rFonts w:eastAsia="Times New Roman"/>
          <w:i/>
          <w:iCs/>
          <w:szCs w:val="24"/>
        </w:rPr>
        <w:t>Regulas (ES) 2018/1724, ar ko izveido vienotu digitālo vārteju</w:t>
      </w:r>
      <w:r w:rsidR="0005005D">
        <w:rPr>
          <w:rStyle w:val="FootnoteReference"/>
          <w:rFonts w:eastAsia="Times New Roman"/>
          <w:i/>
          <w:iCs/>
          <w:szCs w:val="24"/>
        </w:rPr>
        <w:footnoteReference w:id="24"/>
      </w:r>
      <w:r w:rsidRPr="6D25BF40">
        <w:rPr>
          <w:rFonts w:eastAsia="Times New Roman"/>
          <w:szCs w:val="24"/>
        </w:rPr>
        <w:t>, 2020.</w:t>
      </w:r>
      <w:r w:rsidR="0001568E">
        <w:rPr>
          <w:rFonts w:eastAsia="Times New Roman"/>
          <w:szCs w:val="24"/>
        </w:rPr>
        <w:t> </w:t>
      </w:r>
      <w:r w:rsidRPr="6D25BF40">
        <w:rPr>
          <w:rFonts w:eastAsia="Times New Roman"/>
          <w:szCs w:val="24"/>
        </w:rPr>
        <w:t xml:space="preserve">gadā </w:t>
      </w:r>
      <w:r w:rsidR="0001568E">
        <w:rPr>
          <w:rFonts w:eastAsia="Times New Roman"/>
          <w:szCs w:val="24"/>
        </w:rPr>
        <w:t>EM</w:t>
      </w:r>
      <w:r w:rsidRPr="6D25BF40">
        <w:rPr>
          <w:rFonts w:eastAsia="Times New Roman"/>
          <w:szCs w:val="24"/>
        </w:rPr>
        <w:t xml:space="preserve"> sadarbībā ar iesaistītajām institūcijām izstrādāja vairākas dzīves situācijas, kas tika publicētas portālā </w:t>
      </w:r>
      <w:r w:rsidRPr="6D25BF40">
        <w:rPr>
          <w:rFonts w:eastAsia="Times New Roman"/>
          <w:i/>
          <w:iCs/>
          <w:szCs w:val="24"/>
        </w:rPr>
        <w:t xml:space="preserve">Latvija.lv, </w:t>
      </w:r>
      <w:r w:rsidRPr="6D25BF40">
        <w:rPr>
          <w:rFonts w:eastAsia="Times New Roman"/>
          <w:szCs w:val="24"/>
        </w:rPr>
        <w:t>tādējādi veicinot informācijas pieejamību vienkopus par vairākām ar uzņēmējdarbības uzsākšanu, īstenošanu</w:t>
      </w:r>
      <w:r w:rsidR="00A35A4E">
        <w:rPr>
          <w:rFonts w:eastAsia="Times New Roman"/>
          <w:szCs w:val="24"/>
        </w:rPr>
        <w:t xml:space="preserve"> un</w:t>
      </w:r>
      <w:r w:rsidRPr="6D25BF40">
        <w:rPr>
          <w:rFonts w:eastAsia="Times New Roman"/>
          <w:szCs w:val="24"/>
        </w:rPr>
        <w:t xml:space="preserve"> izbeigšanu saistītām tēmām. Tāpat tika pārskatīts portāla saturs, izveidojot atsevišķu sadaļu: </w:t>
      </w:r>
      <w:hyperlink r:id="rId72">
        <w:r w:rsidRPr="0001568E">
          <w:rPr>
            <w:rStyle w:val="Hyperlink"/>
            <w:i/>
            <w:iCs/>
            <w:color w:val="00859B"/>
          </w:rPr>
          <w:t>Atļaujas, licences, reģistrācijas, saskaņojumi</w:t>
        </w:r>
      </w:hyperlink>
      <w:r w:rsidRPr="6D25BF40">
        <w:rPr>
          <w:rFonts w:eastAsia="Times New Roman"/>
          <w:szCs w:val="24"/>
        </w:rPr>
        <w:t xml:space="preserve"> vienkopus sniedzot informāciju par visiem ar uzņēmējdarbības uzsākšanu un īstenošanu saistītajiem procesiem un to ietvaros nepieciešamajiem dokumentiem atsevišķu uzņēmējdarbības nozaru tvērumā. Iesāktais darbs turpināsies arī 2021.</w:t>
      </w:r>
      <w:r w:rsidR="0001568E">
        <w:rPr>
          <w:rFonts w:eastAsia="Times New Roman"/>
          <w:szCs w:val="24"/>
        </w:rPr>
        <w:t> </w:t>
      </w:r>
      <w:r w:rsidRPr="6D25BF40">
        <w:rPr>
          <w:rFonts w:eastAsia="Times New Roman"/>
          <w:szCs w:val="24"/>
        </w:rPr>
        <w:t xml:space="preserve">gadā, </w:t>
      </w:r>
      <w:r w:rsidRPr="6D25BF40">
        <w:rPr>
          <w:rFonts w:eastAsia="Times New Roman"/>
          <w:szCs w:val="24"/>
        </w:rPr>
        <w:lastRenderedPageBreak/>
        <w:t xml:space="preserve">ar mērķi pilnveidot portālā esošās informācijas kvalitāti, saturu pilnveidojot un veidojot portālu </w:t>
      </w:r>
      <w:r w:rsidRPr="6D25BF40">
        <w:rPr>
          <w:rFonts w:eastAsia="Times New Roman"/>
          <w:i/>
          <w:iCs/>
          <w:szCs w:val="24"/>
        </w:rPr>
        <w:t>Latvija.lv</w:t>
      </w:r>
      <w:r w:rsidRPr="6D25BF40">
        <w:rPr>
          <w:rFonts w:eastAsia="Times New Roman"/>
          <w:szCs w:val="24"/>
        </w:rPr>
        <w:t xml:space="preserve"> par proaktīvu un draudzīgu lietotni Latvijas iedzīvotājiem un uzņēmējiem.</w:t>
      </w:r>
    </w:p>
    <w:p w14:paraId="750C6F20" w14:textId="1081DD0A" w:rsidR="0069732D" w:rsidRDefault="00D64C8A" w:rsidP="0001568E">
      <w:pPr>
        <w:spacing w:before="60" w:after="60" w:line="240" w:lineRule="auto"/>
        <w:jc w:val="both"/>
        <w:rPr>
          <w:rFonts w:eastAsia="Times New Roman"/>
          <w:szCs w:val="24"/>
        </w:rPr>
      </w:pPr>
      <w:r>
        <w:rPr>
          <w:rFonts w:eastAsia="Times New Roman"/>
          <w:szCs w:val="24"/>
        </w:rPr>
        <w:t xml:space="preserve">Pārskata periodā </w:t>
      </w:r>
      <w:r w:rsidR="004C542A">
        <w:rPr>
          <w:rFonts w:eastAsia="Times New Roman"/>
          <w:szCs w:val="24"/>
        </w:rPr>
        <w:t xml:space="preserve">EM turpināja arī </w:t>
      </w:r>
      <w:r w:rsidR="0069732D" w:rsidRPr="1CABFF10">
        <w:rPr>
          <w:rFonts w:eastAsia="Times New Roman"/>
          <w:szCs w:val="24"/>
        </w:rPr>
        <w:t>2019.</w:t>
      </w:r>
      <w:r w:rsidR="004C542A">
        <w:rPr>
          <w:rFonts w:eastAsia="Times New Roman"/>
          <w:szCs w:val="24"/>
        </w:rPr>
        <w:t> </w:t>
      </w:r>
      <w:r w:rsidR="0069732D" w:rsidRPr="1CABFF10">
        <w:rPr>
          <w:rFonts w:eastAsia="Times New Roman"/>
          <w:szCs w:val="24"/>
        </w:rPr>
        <w:t xml:space="preserve">gada </w:t>
      </w:r>
      <w:r w:rsidR="0069732D">
        <w:rPr>
          <w:rFonts w:eastAsia="Times New Roman"/>
          <w:szCs w:val="24"/>
        </w:rPr>
        <w:t>noslēgumā</w:t>
      </w:r>
      <w:r w:rsidR="0069732D" w:rsidRPr="1CABFF10">
        <w:rPr>
          <w:rFonts w:eastAsia="Times New Roman"/>
          <w:szCs w:val="24"/>
        </w:rPr>
        <w:t xml:space="preserve"> uzsāk</w:t>
      </w:r>
      <w:r w:rsidR="004C542A">
        <w:rPr>
          <w:rFonts w:eastAsia="Times New Roman"/>
          <w:szCs w:val="24"/>
        </w:rPr>
        <w:t>to</w:t>
      </w:r>
      <w:r w:rsidR="00307007">
        <w:rPr>
          <w:rFonts w:eastAsia="Times New Roman"/>
          <w:szCs w:val="24"/>
        </w:rPr>
        <w:t xml:space="preserve"> </w:t>
      </w:r>
      <w:r w:rsidR="0069732D" w:rsidRPr="1CABFF10">
        <w:rPr>
          <w:rFonts w:eastAsia="Times New Roman"/>
          <w:szCs w:val="24"/>
        </w:rPr>
        <w:t>Interreg</w:t>
      </w:r>
      <w:r w:rsidR="00D74BFF">
        <w:rPr>
          <w:rFonts w:eastAsia="Times New Roman"/>
          <w:szCs w:val="24"/>
        </w:rPr>
        <w:t>BJR</w:t>
      </w:r>
      <w:r w:rsidR="0069732D" w:rsidRPr="1CABFF10">
        <w:rPr>
          <w:rFonts w:eastAsia="Times New Roman"/>
          <w:szCs w:val="24"/>
        </w:rPr>
        <w:t xml:space="preserve"> transnacionālās sadarbības programmas projektu “</w:t>
      </w:r>
      <w:r w:rsidR="0069732D">
        <w:rPr>
          <w:rFonts w:eastAsia="Times New Roman"/>
          <w:szCs w:val="24"/>
        </w:rPr>
        <w:t>Start-Easy</w:t>
      </w:r>
      <w:r w:rsidR="0069732D" w:rsidRPr="1CABFF10">
        <w:rPr>
          <w:rFonts w:eastAsia="Times New Roman"/>
          <w:szCs w:val="24"/>
        </w:rPr>
        <w:t>” (</w:t>
      </w:r>
      <w:r w:rsidR="0069732D" w:rsidRPr="004C542A">
        <w:rPr>
          <w:rFonts w:eastAsia="Times New Roman"/>
          <w:i/>
          <w:iCs/>
          <w:szCs w:val="24"/>
        </w:rPr>
        <w:t>Smart</w:t>
      </w:r>
      <w:r w:rsidR="001A3F7D">
        <w:rPr>
          <w:rFonts w:eastAsia="Times New Roman"/>
          <w:i/>
          <w:iCs/>
          <w:szCs w:val="24"/>
        </w:rPr>
        <w:t xml:space="preserve"> </w:t>
      </w:r>
      <w:r w:rsidR="0069732D" w:rsidRPr="004C542A">
        <w:rPr>
          <w:rFonts w:eastAsia="Times New Roman"/>
          <w:i/>
          <w:iCs/>
          <w:szCs w:val="24"/>
        </w:rPr>
        <w:t>tools</w:t>
      </w:r>
      <w:r w:rsidR="001A3F7D">
        <w:rPr>
          <w:rFonts w:eastAsia="Times New Roman"/>
          <w:i/>
          <w:iCs/>
          <w:szCs w:val="24"/>
        </w:rPr>
        <w:t xml:space="preserve"> </w:t>
      </w:r>
      <w:r w:rsidR="0069732D" w:rsidRPr="004C542A">
        <w:rPr>
          <w:rFonts w:eastAsia="Times New Roman"/>
          <w:i/>
          <w:iCs/>
          <w:szCs w:val="24"/>
        </w:rPr>
        <w:t>for</w:t>
      </w:r>
      <w:r w:rsidR="001A3F7D">
        <w:rPr>
          <w:rFonts w:eastAsia="Times New Roman"/>
          <w:i/>
          <w:iCs/>
          <w:szCs w:val="24"/>
        </w:rPr>
        <w:t xml:space="preserve"> </w:t>
      </w:r>
      <w:r w:rsidR="0069732D" w:rsidRPr="004C542A">
        <w:rPr>
          <w:rFonts w:eastAsia="Times New Roman"/>
          <w:i/>
          <w:iCs/>
          <w:szCs w:val="24"/>
        </w:rPr>
        <w:t>quick</w:t>
      </w:r>
      <w:r w:rsidR="001A3F7D">
        <w:rPr>
          <w:rFonts w:eastAsia="Times New Roman"/>
          <w:i/>
          <w:iCs/>
          <w:szCs w:val="24"/>
        </w:rPr>
        <w:t xml:space="preserve"> </w:t>
      </w:r>
      <w:r w:rsidR="0069732D" w:rsidRPr="004C542A">
        <w:rPr>
          <w:rFonts w:eastAsia="Times New Roman"/>
          <w:i/>
          <w:iCs/>
          <w:szCs w:val="24"/>
        </w:rPr>
        <w:t>and</w:t>
      </w:r>
      <w:r w:rsidR="001A3F7D">
        <w:rPr>
          <w:rFonts w:eastAsia="Times New Roman"/>
          <w:i/>
          <w:iCs/>
          <w:szCs w:val="24"/>
        </w:rPr>
        <w:t xml:space="preserve"> </w:t>
      </w:r>
      <w:r w:rsidR="0069732D" w:rsidRPr="004C542A">
        <w:rPr>
          <w:rFonts w:eastAsia="Times New Roman"/>
          <w:i/>
          <w:iCs/>
          <w:szCs w:val="24"/>
        </w:rPr>
        <w:t>easy</w:t>
      </w:r>
      <w:r w:rsidR="001A3F7D">
        <w:rPr>
          <w:rFonts w:eastAsia="Times New Roman"/>
          <w:i/>
          <w:iCs/>
          <w:szCs w:val="24"/>
        </w:rPr>
        <w:t xml:space="preserve"> </w:t>
      </w:r>
      <w:r w:rsidR="0069732D" w:rsidRPr="004C542A">
        <w:rPr>
          <w:rFonts w:eastAsia="Times New Roman"/>
          <w:i/>
          <w:iCs/>
          <w:szCs w:val="24"/>
        </w:rPr>
        <w:t>business start-up in Europe</w:t>
      </w:r>
      <w:r w:rsidR="0069732D" w:rsidRPr="1CABFF10">
        <w:rPr>
          <w:rFonts w:eastAsia="Times New Roman"/>
          <w:szCs w:val="24"/>
        </w:rPr>
        <w:t>)</w:t>
      </w:r>
      <w:r w:rsidR="004C542A">
        <w:rPr>
          <w:rFonts w:eastAsia="Times New Roman"/>
          <w:szCs w:val="24"/>
        </w:rPr>
        <w:t>.</w:t>
      </w:r>
      <w:r w:rsidR="00307007">
        <w:rPr>
          <w:rFonts w:eastAsia="Times New Roman"/>
          <w:szCs w:val="24"/>
        </w:rPr>
        <w:t xml:space="preserve"> </w:t>
      </w:r>
      <w:r w:rsidR="004C542A">
        <w:rPr>
          <w:rFonts w:eastAsia="Times New Roman"/>
          <w:szCs w:val="24"/>
        </w:rPr>
        <w:t>Projekta</w:t>
      </w:r>
      <w:r w:rsidR="00307007">
        <w:rPr>
          <w:rFonts w:eastAsia="Times New Roman"/>
          <w:szCs w:val="24"/>
        </w:rPr>
        <w:t xml:space="preserve"> </w:t>
      </w:r>
      <w:r w:rsidR="0069732D">
        <w:rPr>
          <w:rFonts w:eastAsia="Times New Roman"/>
          <w:szCs w:val="24"/>
        </w:rPr>
        <w:t>mērķis ir sekmēt</w:t>
      </w:r>
      <w:r w:rsidR="0069732D" w:rsidRPr="008E2C64">
        <w:rPr>
          <w:rFonts w:eastAsia="Times New Roman"/>
          <w:szCs w:val="24"/>
        </w:rPr>
        <w:t xml:space="preserve"> reģionālās attīstības politiku un valsts atbalsta programmu īstenošanu, īpaši attiecībā uz atbalsta instrumentiem, kas rada uzņēmējdarbības videi labvēlīgus apstākļus un veicina jaunuzņēmumu izaugsmi, apvienojot un integrējot “</w:t>
      </w:r>
      <w:r w:rsidR="0069732D" w:rsidRPr="004C542A">
        <w:rPr>
          <w:rFonts w:eastAsia="Times New Roman"/>
          <w:i/>
          <w:iCs/>
          <w:szCs w:val="24"/>
        </w:rPr>
        <w:t>ThinkSmall First</w:t>
      </w:r>
      <w:r w:rsidR="0069732D" w:rsidRPr="008E2C64">
        <w:rPr>
          <w:rFonts w:eastAsia="Times New Roman"/>
          <w:szCs w:val="24"/>
        </w:rPr>
        <w:t>” principus.</w:t>
      </w:r>
      <w:r w:rsidR="0069732D">
        <w:rPr>
          <w:rFonts w:eastAsia="Times New Roman"/>
          <w:szCs w:val="24"/>
        </w:rPr>
        <w:t xml:space="preserve"> Projekta ietvaros 2020.</w:t>
      </w:r>
      <w:r w:rsidR="004C542A">
        <w:rPr>
          <w:rFonts w:eastAsia="Times New Roman"/>
          <w:szCs w:val="24"/>
        </w:rPr>
        <w:t> </w:t>
      </w:r>
      <w:r w:rsidR="0069732D">
        <w:rPr>
          <w:rFonts w:eastAsia="Times New Roman"/>
          <w:szCs w:val="24"/>
        </w:rPr>
        <w:t>gadā</w:t>
      </w:r>
      <w:r w:rsidR="00307007">
        <w:rPr>
          <w:rFonts w:eastAsia="Times New Roman"/>
          <w:szCs w:val="24"/>
        </w:rPr>
        <w:t xml:space="preserve"> </w:t>
      </w:r>
      <w:r w:rsidR="009C43B7">
        <w:rPr>
          <w:rFonts w:eastAsia="Times New Roman"/>
          <w:szCs w:val="24"/>
        </w:rPr>
        <w:t>j</w:t>
      </w:r>
      <w:r w:rsidR="009C43B7" w:rsidRPr="00220DDE">
        <w:rPr>
          <w:rFonts w:eastAsia="Times New Roman"/>
          <w:szCs w:val="24"/>
        </w:rPr>
        <w:t xml:space="preserve">aunuzņēmumu </w:t>
      </w:r>
      <w:r w:rsidR="0069732D" w:rsidRPr="00220DDE">
        <w:rPr>
          <w:rFonts w:eastAsia="Times New Roman"/>
          <w:szCs w:val="24"/>
        </w:rPr>
        <w:t xml:space="preserve">atbalsta rīku darbības pilnveidošanai un jaunu risinājumu radīšanai </w:t>
      </w:r>
      <w:r w:rsidR="004C542A">
        <w:rPr>
          <w:rFonts w:eastAsia="Times New Roman"/>
          <w:szCs w:val="24"/>
        </w:rPr>
        <w:t>tika</w:t>
      </w:r>
      <w:r w:rsidR="0069732D" w:rsidRPr="00220DDE">
        <w:rPr>
          <w:rFonts w:eastAsia="Times New Roman"/>
          <w:szCs w:val="24"/>
        </w:rPr>
        <w:t xml:space="preserve"> organizētas reģionālās</w:t>
      </w:r>
      <w:r w:rsidR="00307007">
        <w:rPr>
          <w:rFonts w:eastAsia="Times New Roman"/>
          <w:szCs w:val="24"/>
        </w:rPr>
        <w:t xml:space="preserve"> </w:t>
      </w:r>
      <w:r w:rsidR="0069732D" w:rsidRPr="00220DDE">
        <w:rPr>
          <w:rFonts w:eastAsia="Times New Roman"/>
          <w:szCs w:val="24"/>
        </w:rPr>
        <w:t>sanāksmes</w:t>
      </w:r>
      <w:r w:rsidR="0069732D">
        <w:rPr>
          <w:rFonts w:eastAsia="Times New Roman"/>
          <w:szCs w:val="24"/>
        </w:rPr>
        <w:t xml:space="preserve">, kurās identificēta nepieciešamā rīcība </w:t>
      </w:r>
      <w:hyperlink r:id="rId73" w:history="1">
        <w:r w:rsidR="00781204" w:rsidRPr="00781204">
          <w:rPr>
            <w:rStyle w:val="Hyperlink"/>
            <w:rFonts w:eastAsia="Times New Roman"/>
            <w:i/>
            <w:iCs/>
            <w:color w:val="00859B"/>
            <w:szCs w:val="24"/>
          </w:rPr>
          <w:t>Jaunuzņēmumu darbības atbalsta likum</w:t>
        </w:r>
        <w:r w:rsidR="00781204">
          <w:rPr>
            <w:rStyle w:val="Hyperlink"/>
            <w:rFonts w:eastAsia="Times New Roman"/>
            <w:i/>
            <w:iCs/>
            <w:color w:val="00859B"/>
            <w:szCs w:val="24"/>
          </w:rPr>
          <w:t>a</w:t>
        </w:r>
      </w:hyperlink>
      <w:r w:rsidR="00307007">
        <w:rPr>
          <w:rStyle w:val="Hyperlink"/>
          <w:rFonts w:eastAsia="Times New Roman"/>
          <w:i/>
          <w:iCs/>
          <w:color w:val="00859B"/>
          <w:szCs w:val="24"/>
        </w:rPr>
        <w:t xml:space="preserve"> </w:t>
      </w:r>
      <w:r w:rsidR="0069732D">
        <w:rPr>
          <w:rFonts w:eastAsia="Times New Roman"/>
          <w:szCs w:val="24"/>
        </w:rPr>
        <w:t>turpmākai uzlabošanai, sniegtas rekomendācijas komunikācijas uzlabošanai starp visām iesaistītajām pusēm</w:t>
      </w:r>
      <w:r w:rsidR="009C43B7">
        <w:rPr>
          <w:rFonts w:eastAsia="Times New Roman"/>
          <w:szCs w:val="24"/>
        </w:rPr>
        <w:t>, kā arī</w:t>
      </w:r>
      <w:r w:rsidR="0069732D">
        <w:rPr>
          <w:rFonts w:eastAsia="Times New Roman"/>
          <w:szCs w:val="24"/>
        </w:rPr>
        <w:t xml:space="preserve"> </w:t>
      </w:r>
      <w:r w:rsidR="009C43B7">
        <w:rPr>
          <w:rFonts w:eastAsia="Times New Roman"/>
          <w:szCs w:val="24"/>
        </w:rPr>
        <w:t>iezīmēti</w:t>
      </w:r>
      <w:r w:rsidR="0069732D">
        <w:rPr>
          <w:rFonts w:eastAsia="Times New Roman"/>
          <w:szCs w:val="24"/>
        </w:rPr>
        <w:t xml:space="preserve"> nepieciešamie pakalpojumi un rīki</w:t>
      </w:r>
      <w:r w:rsidR="0069732D" w:rsidDel="00AB460F">
        <w:rPr>
          <w:rFonts w:eastAsia="Times New Roman"/>
          <w:szCs w:val="24"/>
        </w:rPr>
        <w:t>.</w:t>
      </w:r>
    </w:p>
    <w:p w14:paraId="791009FE" w14:textId="6C99CC77" w:rsidR="007F4A95" w:rsidRDefault="007F4A95" w:rsidP="007F4A95">
      <w:pPr>
        <w:spacing w:before="60" w:after="60" w:line="240" w:lineRule="auto"/>
        <w:jc w:val="both"/>
        <w:rPr>
          <w:rFonts w:eastAsia="Times New Roman"/>
          <w:szCs w:val="24"/>
        </w:rPr>
      </w:pPr>
      <w:r w:rsidRPr="471FFAD5">
        <w:rPr>
          <w:rFonts w:eastAsia="Times New Roman"/>
          <w:szCs w:val="24"/>
        </w:rPr>
        <w:t>Atbalsts jaunuzņēmumu ekosistēmas attīstībai ir būtisks produktivitātes paaugstināšanas faktors. 2020.</w:t>
      </w:r>
      <w:r>
        <w:rPr>
          <w:rFonts w:eastAsia="Times New Roman"/>
          <w:szCs w:val="24"/>
        </w:rPr>
        <w:t> </w:t>
      </w:r>
      <w:r w:rsidRPr="471FFAD5">
        <w:rPr>
          <w:rFonts w:eastAsia="Times New Roman"/>
          <w:szCs w:val="24"/>
        </w:rPr>
        <w:t xml:space="preserve">gadā turpinājās </w:t>
      </w:r>
      <w:r w:rsidRPr="471FFAD5">
        <w:rPr>
          <w:rFonts w:eastAsia="Times New Roman"/>
          <w:color w:val="000000" w:themeColor="text1"/>
          <w:szCs w:val="24"/>
        </w:rPr>
        <w:t xml:space="preserve">aktivitātes, kas izriet no starp </w:t>
      </w:r>
      <w:r>
        <w:rPr>
          <w:rFonts w:eastAsia="Times New Roman"/>
          <w:color w:val="000000" w:themeColor="text1"/>
          <w:szCs w:val="24"/>
        </w:rPr>
        <w:t>EM</w:t>
      </w:r>
      <w:r w:rsidRPr="471FFAD5">
        <w:rPr>
          <w:rFonts w:eastAsia="Times New Roman"/>
          <w:color w:val="000000" w:themeColor="text1"/>
          <w:szCs w:val="24"/>
        </w:rPr>
        <w:t xml:space="preserve"> un Latvijas </w:t>
      </w:r>
      <w:r w:rsidRPr="471FFAD5">
        <w:rPr>
          <w:rFonts w:eastAsia="Times New Roman"/>
          <w:szCs w:val="24"/>
        </w:rPr>
        <w:t xml:space="preserve">Jaunuzņēmumu asociāciju, Latvijas Privātā un riska kapitāla asociāciju un Latvijas Biznesa </w:t>
      </w:r>
      <w:r w:rsidR="00781204">
        <w:rPr>
          <w:rFonts w:eastAsia="Times New Roman"/>
          <w:szCs w:val="24"/>
        </w:rPr>
        <w:t>e</w:t>
      </w:r>
      <w:r w:rsidRPr="471FFAD5">
        <w:rPr>
          <w:rFonts w:eastAsia="Times New Roman"/>
          <w:szCs w:val="24"/>
        </w:rPr>
        <w:t xml:space="preserve">ņģeļu </w:t>
      </w:r>
      <w:r w:rsidR="00781204">
        <w:rPr>
          <w:rFonts w:eastAsia="Times New Roman"/>
          <w:szCs w:val="24"/>
        </w:rPr>
        <w:t>t</w:t>
      </w:r>
      <w:r w:rsidRPr="471FFAD5">
        <w:rPr>
          <w:rFonts w:eastAsia="Times New Roman"/>
          <w:szCs w:val="24"/>
        </w:rPr>
        <w:t>īklu noslēgtā sadarbības līguma</w:t>
      </w:r>
      <w:r w:rsidR="00781204">
        <w:rPr>
          <w:rFonts w:eastAsia="Times New Roman"/>
          <w:szCs w:val="24"/>
        </w:rPr>
        <w:t>.</w:t>
      </w:r>
      <w:r w:rsidR="00307007">
        <w:rPr>
          <w:rFonts w:eastAsia="Times New Roman"/>
          <w:szCs w:val="24"/>
        </w:rPr>
        <w:t xml:space="preserve"> </w:t>
      </w:r>
      <w:r w:rsidR="00781204">
        <w:rPr>
          <w:rFonts w:eastAsia="Times New Roman"/>
          <w:szCs w:val="24"/>
        </w:rPr>
        <w:t>Minētās NVO</w:t>
      </w:r>
      <w:r w:rsidRPr="471FFAD5">
        <w:rPr>
          <w:rFonts w:eastAsia="Times New Roman"/>
          <w:szCs w:val="24"/>
        </w:rPr>
        <w:t xml:space="preserve"> </w:t>
      </w:r>
      <w:r w:rsidR="00D64C8A">
        <w:rPr>
          <w:rFonts w:eastAsia="Times New Roman"/>
          <w:szCs w:val="24"/>
        </w:rPr>
        <w:t xml:space="preserve">pārskata periodā </w:t>
      </w:r>
      <w:r w:rsidRPr="471FFAD5">
        <w:rPr>
          <w:rFonts w:eastAsia="Times New Roman"/>
          <w:szCs w:val="24"/>
        </w:rPr>
        <w:t xml:space="preserve">organizēja darba grupas, aktivitātes, pasākumus, konsultācijas, kā arī apkopoja statistiku un sniedza priekšlikumus, lai veicinātu jaunuzņēmumu ekosistēmas attīstību. </w:t>
      </w:r>
    </w:p>
    <w:p w14:paraId="775C60B6" w14:textId="3BA94DD6" w:rsidR="007F4A95" w:rsidRPr="00D64C8A" w:rsidRDefault="007F4A95" w:rsidP="007F4A95">
      <w:pPr>
        <w:spacing w:before="60" w:after="60" w:line="240" w:lineRule="auto"/>
        <w:jc w:val="both"/>
        <w:rPr>
          <w:rFonts w:eastAsia="Times New Roman"/>
          <w:szCs w:val="24"/>
        </w:rPr>
      </w:pPr>
      <w:r w:rsidRPr="07348819">
        <w:rPr>
          <w:rFonts w:eastAsia="Times New Roman"/>
          <w:szCs w:val="24"/>
        </w:rPr>
        <w:t>Pārskata periodā turpinā</w:t>
      </w:r>
      <w:r>
        <w:rPr>
          <w:rFonts w:eastAsia="Times New Roman"/>
          <w:szCs w:val="24"/>
        </w:rPr>
        <w:t>jā</w:t>
      </w:r>
      <w:r w:rsidRPr="07348819">
        <w:rPr>
          <w:rFonts w:eastAsia="Times New Roman"/>
          <w:szCs w:val="24"/>
        </w:rPr>
        <w:t xml:space="preserve">s darbs pie tiesiskā regulējuma pilnveides jaunuzņēmumu darbības atbalstam. </w:t>
      </w:r>
      <w:r w:rsidRPr="07348819">
        <w:rPr>
          <w:rFonts w:eastAsia="Times New Roman"/>
          <w:color w:val="000000" w:themeColor="text1"/>
          <w:szCs w:val="24"/>
        </w:rPr>
        <w:t>2020.</w:t>
      </w:r>
      <w:r>
        <w:rPr>
          <w:rFonts w:eastAsia="Times New Roman"/>
          <w:color w:val="000000" w:themeColor="text1"/>
          <w:szCs w:val="24"/>
        </w:rPr>
        <w:t> </w:t>
      </w:r>
      <w:r w:rsidRPr="07348819">
        <w:rPr>
          <w:rFonts w:eastAsia="Times New Roman"/>
          <w:color w:val="000000" w:themeColor="text1"/>
          <w:szCs w:val="24"/>
        </w:rPr>
        <w:t xml:space="preserve">gada 3. septembrī Saeima pieņēma </w:t>
      </w:r>
      <w:hyperlink r:id="rId74" w:history="1">
        <w:r w:rsidRPr="007F4A95">
          <w:rPr>
            <w:rStyle w:val="Hyperlink"/>
            <w:i/>
            <w:iCs/>
            <w:color w:val="00859B"/>
          </w:rPr>
          <w:t>Grozījumus Jaunuzņēmumu darbības atbalsta likumā</w:t>
        </w:r>
      </w:hyperlink>
      <w:r w:rsidRPr="07348819">
        <w:rPr>
          <w:rFonts w:eastAsia="Times New Roman"/>
          <w:color w:val="000000" w:themeColor="text1"/>
          <w:szCs w:val="24"/>
        </w:rPr>
        <w:t xml:space="preserve">, kas atvieglo jaunuzņēmumu kvalifikācijas prasības un </w:t>
      </w:r>
      <w:r w:rsidRPr="13B3CE6D">
        <w:rPr>
          <w:rFonts w:eastAsia="Times New Roman"/>
          <w:color w:val="000000" w:themeColor="text1"/>
          <w:szCs w:val="24"/>
        </w:rPr>
        <w:t>vienkāršo</w:t>
      </w:r>
      <w:r w:rsidRPr="07348819">
        <w:rPr>
          <w:rFonts w:eastAsia="Times New Roman"/>
          <w:color w:val="000000" w:themeColor="text1"/>
          <w:szCs w:val="24"/>
        </w:rPr>
        <w:t xml:space="preserve"> programmā noteiktos </w:t>
      </w:r>
      <w:r w:rsidRPr="00374792">
        <w:rPr>
          <w:rFonts w:eastAsia="Times New Roman"/>
          <w:szCs w:val="24"/>
        </w:rPr>
        <w:t>ierobežojumus. Ekosistēmas attīstībai nozīmīgi grozījumi pieņemti likumā “</w:t>
      </w:r>
      <w:r w:rsidRPr="007F4A95">
        <w:rPr>
          <w:rFonts w:eastAsia="Times New Roman"/>
          <w:i/>
          <w:iCs/>
          <w:szCs w:val="24"/>
        </w:rPr>
        <w:t>Par iedzīvotāju ienākuma nodokli</w:t>
      </w:r>
      <w:r w:rsidRPr="00374792">
        <w:rPr>
          <w:rFonts w:eastAsia="Times New Roman"/>
          <w:szCs w:val="24"/>
        </w:rPr>
        <w:t xml:space="preserve">” un </w:t>
      </w:r>
      <w:r w:rsidRPr="007F4A95">
        <w:rPr>
          <w:rFonts w:eastAsia="Times New Roman"/>
          <w:i/>
          <w:iCs/>
          <w:szCs w:val="24"/>
        </w:rPr>
        <w:t>Komerclikumā</w:t>
      </w:r>
      <w:r w:rsidRPr="00374792">
        <w:rPr>
          <w:rFonts w:eastAsia="Times New Roman"/>
          <w:szCs w:val="24"/>
        </w:rPr>
        <w:t xml:space="preserve"> ar mērķi ieviest konkurētspējīgu daļu opciju regulējumu. </w:t>
      </w:r>
      <w:r w:rsidR="00D64C8A">
        <w:rPr>
          <w:rFonts w:eastAsia="Times New Roman"/>
          <w:szCs w:val="24"/>
        </w:rPr>
        <w:t>Pieņemto g</w:t>
      </w:r>
      <w:r w:rsidR="00D64C8A" w:rsidRPr="00374792">
        <w:rPr>
          <w:rFonts w:eastAsia="Times New Roman"/>
          <w:szCs w:val="24"/>
        </w:rPr>
        <w:t xml:space="preserve">rozījumu </w:t>
      </w:r>
      <w:r w:rsidRPr="00374792">
        <w:rPr>
          <w:rFonts w:eastAsia="Times New Roman"/>
          <w:szCs w:val="24"/>
        </w:rPr>
        <w:t>rezultātā</w:t>
      </w:r>
      <w:r w:rsidR="00D64C8A">
        <w:rPr>
          <w:rFonts w:eastAsia="Times New Roman"/>
          <w:szCs w:val="24"/>
        </w:rPr>
        <w:t>,</w:t>
      </w:r>
      <w:r w:rsidRPr="00374792">
        <w:rPr>
          <w:rFonts w:eastAsia="Times New Roman"/>
          <w:szCs w:val="24"/>
        </w:rPr>
        <w:t xml:space="preserve"> </w:t>
      </w:r>
      <w:r w:rsidR="00D64C8A" w:rsidRPr="00374792">
        <w:rPr>
          <w:rFonts w:eastAsia="Times New Roman"/>
          <w:szCs w:val="24"/>
        </w:rPr>
        <w:t>2021.</w:t>
      </w:r>
      <w:r w:rsidR="00D64C8A">
        <w:rPr>
          <w:rFonts w:eastAsia="Times New Roman"/>
          <w:szCs w:val="24"/>
        </w:rPr>
        <w:t> </w:t>
      </w:r>
      <w:r w:rsidR="00D64C8A" w:rsidRPr="00374792">
        <w:rPr>
          <w:rFonts w:eastAsia="Times New Roman"/>
          <w:szCs w:val="24"/>
        </w:rPr>
        <w:t>gada sākumā</w:t>
      </w:r>
      <w:r w:rsidR="00D64C8A">
        <w:rPr>
          <w:rFonts w:eastAsia="Times New Roman"/>
          <w:szCs w:val="24"/>
        </w:rPr>
        <w:t xml:space="preserve"> starptautiskais </w:t>
      </w:r>
      <w:r w:rsidRPr="00374792">
        <w:rPr>
          <w:rFonts w:eastAsia="Times New Roman"/>
          <w:szCs w:val="24"/>
        </w:rPr>
        <w:t>riska kapitāla uzņēmums “</w:t>
      </w:r>
      <w:r w:rsidRPr="007F4A95">
        <w:rPr>
          <w:rFonts w:eastAsia="Times New Roman"/>
          <w:i/>
          <w:iCs/>
          <w:szCs w:val="24"/>
        </w:rPr>
        <w:t>IndexVentures</w:t>
      </w:r>
      <w:r w:rsidRPr="00374792">
        <w:rPr>
          <w:rFonts w:eastAsia="Times New Roman"/>
          <w:szCs w:val="24"/>
        </w:rPr>
        <w:t xml:space="preserve">” </w:t>
      </w:r>
      <w:r w:rsidR="00D64C8A" w:rsidRPr="00D64C8A">
        <w:rPr>
          <w:rFonts w:eastAsia="Times New Roman"/>
          <w:szCs w:val="24"/>
        </w:rPr>
        <w:t xml:space="preserve">atzina </w:t>
      </w:r>
      <w:r w:rsidRPr="00D64C8A">
        <w:rPr>
          <w:rFonts w:eastAsia="Times New Roman"/>
          <w:szCs w:val="24"/>
        </w:rPr>
        <w:t xml:space="preserve">Latviju par jaunuzņēmumiem draudzīgāko vidi Eiropā. </w:t>
      </w:r>
    </w:p>
    <w:p w14:paraId="35610A7D" w14:textId="77777777" w:rsidR="005476F9" w:rsidRDefault="005476F9"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116448" w:rsidRPr="00F5511B" w14:paraId="288E2BF1" w14:textId="77777777" w:rsidTr="00116448">
        <w:tc>
          <w:tcPr>
            <w:tcW w:w="9628" w:type="dxa"/>
            <w:tcBorders>
              <w:top w:val="nil"/>
              <w:left w:val="nil"/>
              <w:bottom w:val="nil"/>
              <w:right w:val="nil"/>
            </w:tcBorders>
            <w:shd w:val="clear" w:color="auto" w:fill="31849B" w:themeFill="accent5" w:themeFillShade="BF"/>
          </w:tcPr>
          <w:p w14:paraId="66DC329A" w14:textId="624CF4CD" w:rsidR="00116448" w:rsidRPr="00B74211" w:rsidRDefault="00116448" w:rsidP="00BE6C4B">
            <w:pPr>
              <w:pStyle w:val="Heading2"/>
              <w:numPr>
                <w:ilvl w:val="1"/>
                <w:numId w:val="16"/>
              </w:numPr>
              <w:spacing w:before="120" w:after="120"/>
              <w:ind w:left="357" w:hanging="357"/>
              <w:rPr>
                <w:szCs w:val="24"/>
                <w:lang w:val="lv-LV"/>
              </w:rPr>
            </w:pPr>
            <w:bookmarkStart w:id="38" w:name="_Toc78874603"/>
            <w:r w:rsidRPr="00B74211">
              <w:rPr>
                <w:lang w:val="lv-LV"/>
              </w:rPr>
              <w:t xml:space="preserve">Inovācijas </w:t>
            </w:r>
            <w:r w:rsidR="00B74211" w:rsidRPr="00B74211">
              <w:rPr>
                <w:lang w:val="lv-LV"/>
              </w:rPr>
              <w:t>un investīciju veicināšana</w:t>
            </w:r>
            <w:bookmarkEnd w:id="38"/>
          </w:p>
        </w:tc>
      </w:tr>
    </w:tbl>
    <w:p w14:paraId="713888E6" w14:textId="151D3379" w:rsidR="00B74211" w:rsidRPr="009C1141" w:rsidRDefault="00B74211" w:rsidP="00B74211">
      <w:pPr>
        <w:spacing w:before="120" w:after="60" w:line="240" w:lineRule="auto"/>
        <w:ind w:right="11"/>
        <w:jc w:val="both"/>
        <w:rPr>
          <w:rFonts w:cs="Times New Roman"/>
          <w:szCs w:val="24"/>
        </w:rPr>
      </w:pPr>
      <w:r w:rsidRPr="00B74211">
        <w:rPr>
          <w:rFonts w:cs="Times New Roman"/>
          <w:szCs w:val="24"/>
        </w:rPr>
        <w:t>Pārskata periodā</w:t>
      </w:r>
      <w:r w:rsidR="003C05CF">
        <w:rPr>
          <w:rFonts w:cs="Times New Roman"/>
          <w:szCs w:val="24"/>
        </w:rPr>
        <w:t xml:space="preserve"> </w:t>
      </w:r>
      <w:r w:rsidRPr="009C1141">
        <w:rPr>
          <w:rFonts w:cs="Times New Roman"/>
          <w:szCs w:val="24"/>
        </w:rPr>
        <w:t>tik</w:t>
      </w:r>
      <w:r>
        <w:rPr>
          <w:rFonts w:cs="Times New Roman"/>
          <w:szCs w:val="24"/>
        </w:rPr>
        <w:t>a</w:t>
      </w:r>
      <w:r w:rsidRPr="009C1141">
        <w:rPr>
          <w:rFonts w:cs="Times New Roman"/>
          <w:szCs w:val="24"/>
        </w:rPr>
        <w:t xml:space="preserve"> turpināts darbs</w:t>
      </w:r>
      <w:r w:rsidRPr="009525A2">
        <w:rPr>
          <w:rFonts w:cs="Times New Roman"/>
          <w:szCs w:val="24"/>
        </w:rPr>
        <w:t xml:space="preserve"> inovācijas sistēmas pilnveidošanai</w:t>
      </w:r>
      <w:r w:rsidRPr="009C1141">
        <w:rPr>
          <w:rFonts w:cs="Times New Roman"/>
          <w:szCs w:val="24"/>
        </w:rPr>
        <w:t xml:space="preserve">, lai paaugstinātu Latvijas uzņēmumu inovāciju spējas, uzsvaru liekot uz atbalsta </w:t>
      </w:r>
      <w:r>
        <w:rPr>
          <w:rFonts w:cs="Times New Roman"/>
          <w:szCs w:val="24"/>
        </w:rPr>
        <w:t>pasākumiem</w:t>
      </w:r>
      <w:r w:rsidRPr="009C1141">
        <w:rPr>
          <w:rFonts w:cs="Times New Roman"/>
          <w:szCs w:val="24"/>
        </w:rPr>
        <w:t xml:space="preserve">, kas motivē uzņēmumus iesaistīties inovāciju aktivitātēs, veicina uzņēmumu sadarbību ar pētniecības sektoru, attīsta zināšanu un tehnoloģiju pārnesi, palīdz uzņēmumiem modernizēt un digitalizēt ražošanas procesus, kā arī nodrošina uzņēmumu darbinieku kvalifikācijas celšanu, atbilstoši darba tirgus pieprasījumam. </w:t>
      </w:r>
    </w:p>
    <w:p w14:paraId="21640139" w14:textId="3F43712A" w:rsidR="00B74211" w:rsidRPr="009C1141" w:rsidRDefault="00A52C82" w:rsidP="00B74211">
      <w:pPr>
        <w:spacing w:before="60" w:after="60" w:line="240" w:lineRule="auto"/>
        <w:jc w:val="both"/>
        <w:rPr>
          <w:rFonts w:eastAsia="Times New Roman" w:cs="Times New Roman"/>
          <w:color w:val="000000" w:themeColor="text1"/>
          <w:szCs w:val="24"/>
        </w:rPr>
      </w:pPr>
      <w:r>
        <w:rPr>
          <w:rFonts w:cs="Times New Roman"/>
          <w:szCs w:val="24"/>
        </w:rPr>
        <w:t xml:space="preserve">Turpinot īstenot </w:t>
      </w:r>
      <w:r w:rsidR="00B74211">
        <w:rPr>
          <w:rFonts w:cs="Times New Roman"/>
          <w:szCs w:val="24"/>
        </w:rPr>
        <w:t xml:space="preserve">ES fondu </w:t>
      </w:r>
      <w:r w:rsidR="00B26ECF">
        <w:rPr>
          <w:rFonts w:cs="Times New Roman"/>
          <w:szCs w:val="24"/>
        </w:rPr>
        <w:t xml:space="preserve">pasākumu </w:t>
      </w:r>
      <w:hyperlink r:id="rId75" w:history="1">
        <w:r w:rsidR="00A2427E" w:rsidRPr="00A2427E">
          <w:rPr>
            <w:rStyle w:val="Hyperlink"/>
            <w:rFonts w:cs="Times New Roman"/>
            <w:i/>
            <w:iCs/>
            <w:color w:val="00859B"/>
            <w:szCs w:val="24"/>
          </w:rPr>
          <w:t>Atbalsts jaunu produktu ieviešanai ražošanā</w:t>
        </w:r>
      </w:hyperlink>
      <w:r w:rsidR="00A2427E">
        <w:rPr>
          <w:rFonts w:cs="Times New Roman"/>
          <w:szCs w:val="24"/>
        </w:rPr>
        <w:t xml:space="preserve"> </w:t>
      </w:r>
      <w:r w:rsidR="00F72E66">
        <w:rPr>
          <w:rFonts w:eastAsia="Times New Roman"/>
          <w:szCs w:val="24"/>
        </w:rPr>
        <w:t>(</w:t>
      </w:r>
      <w:r w:rsidR="00F72E66" w:rsidRPr="00BF79D1">
        <w:rPr>
          <w:rFonts w:cs="Times New Roman"/>
          <w:szCs w:val="24"/>
        </w:rPr>
        <w:t xml:space="preserve">skat. </w:t>
      </w:r>
      <w:hyperlink w:anchor="_Pielikums._EM_īstenojamo" w:history="1">
        <w:r w:rsidR="00F72E66" w:rsidRPr="00BF79D1">
          <w:rPr>
            <w:rStyle w:val="Hyperlink"/>
            <w:color w:val="00859B"/>
            <w:szCs w:val="24"/>
          </w:rPr>
          <w:t>8.pielikumu</w:t>
        </w:r>
      </w:hyperlink>
      <w:r w:rsidR="00F72E66" w:rsidRPr="00BF79D1">
        <w:rPr>
          <w:rStyle w:val="Hyperlink"/>
          <w:color w:val="auto"/>
          <w:szCs w:val="24"/>
          <w:u w:val="none"/>
        </w:rPr>
        <w:t xml:space="preserve">, </w:t>
      </w:r>
      <w:r w:rsidR="00F72E66">
        <w:rPr>
          <w:rFonts w:eastAsia="Times New Roman"/>
          <w:color w:val="000000" w:themeColor="text1"/>
          <w:szCs w:val="24"/>
        </w:rPr>
        <w:t>1</w:t>
      </w:r>
      <w:r w:rsidR="00F72E66" w:rsidRPr="00BF79D1">
        <w:rPr>
          <w:rFonts w:eastAsia="Times New Roman"/>
          <w:color w:val="000000" w:themeColor="text1"/>
          <w:szCs w:val="24"/>
        </w:rPr>
        <w:t>.</w:t>
      </w:r>
      <w:r w:rsidR="00F72E66">
        <w:rPr>
          <w:rFonts w:eastAsia="Times New Roman"/>
          <w:color w:val="000000" w:themeColor="text1"/>
          <w:szCs w:val="24"/>
        </w:rPr>
        <w:t>2</w:t>
      </w:r>
      <w:r w:rsidR="00F72E66" w:rsidRPr="00BF79D1">
        <w:rPr>
          <w:rFonts w:eastAsia="Times New Roman"/>
          <w:color w:val="000000" w:themeColor="text1"/>
          <w:szCs w:val="24"/>
        </w:rPr>
        <w:t>.1.</w:t>
      </w:r>
      <w:r w:rsidR="00F72E66">
        <w:rPr>
          <w:rFonts w:eastAsia="Times New Roman"/>
          <w:color w:val="000000" w:themeColor="text1"/>
          <w:szCs w:val="24"/>
        </w:rPr>
        <w:t>4</w:t>
      </w:r>
      <w:r w:rsidR="00F72E66" w:rsidRPr="00BF79D1">
        <w:rPr>
          <w:rFonts w:eastAsia="Times New Roman"/>
          <w:color w:val="000000" w:themeColor="text1"/>
          <w:szCs w:val="24"/>
        </w:rPr>
        <w:t>.</w:t>
      </w:r>
      <w:r w:rsidR="00F72E66">
        <w:rPr>
          <w:rFonts w:eastAsia="Times New Roman"/>
          <w:color w:val="000000" w:themeColor="text1"/>
          <w:szCs w:val="24"/>
        </w:rPr>
        <w:t>pasākumu</w:t>
      </w:r>
      <w:r w:rsidR="00F72E66" w:rsidRPr="00BF79D1">
        <w:rPr>
          <w:rFonts w:eastAsia="Times New Roman"/>
          <w:color w:val="000000" w:themeColor="text1"/>
          <w:szCs w:val="24"/>
        </w:rPr>
        <w:t>)</w:t>
      </w:r>
      <w:r w:rsidR="0005005D">
        <w:rPr>
          <w:rFonts w:cs="Times New Roman"/>
          <w:szCs w:val="24"/>
        </w:rPr>
        <w:t>,</w:t>
      </w:r>
      <w:r w:rsidR="00B74211" w:rsidRPr="009C1141">
        <w:rPr>
          <w:rFonts w:cs="Times New Roman"/>
          <w:szCs w:val="24"/>
        </w:rPr>
        <w:t xml:space="preserve"> uzņēmumiem atbalsts tik</w:t>
      </w:r>
      <w:r>
        <w:rPr>
          <w:rFonts w:cs="Times New Roman"/>
          <w:szCs w:val="24"/>
        </w:rPr>
        <w:t>a</w:t>
      </w:r>
      <w:r w:rsidR="00B74211" w:rsidRPr="009C1141">
        <w:rPr>
          <w:rFonts w:cs="Times New Roman"/>
          <w:szCs w:val="24"/>
        </w:rPr>
        <w:t xml:space="preserve"> sniegts </w:t>
      </w:r>
      <w:r w:rsidR="00B74211" w:rsidRPr="005A51D7">
        <w:rPr>
          <w:rFonts w:cs="Times New Roman"/>
          <w:bCs/>
          <w:szCs w:val="24"/>
        </w:rPr>
        <w:t>eksperimentālu ražošanas iekārtu izgatavošanai vai iegādei ar nolūku izstrādāt un ieviest ražošanā jaunus produktus.</w:t>
      </w:r>
      <w:r w:rsidR="00B74211" w:rsidRPr="009C1141">
        <w:rPr>
          <w:rFonts w:cs="Times New Roman"/>
          <w:szCs w:val="24"/>
        </w:rPr>
        <w:t xml:space="preserve"> 2020.</w:t>
      </w:r>
      <w:r w:rsidR="00B74211">
        <w:rPr>
          <w:rFonts w:cs="Times New Roman"/>
          <w:szCs w:val="24"/>
        </w:rPr>
        <w:t> </w:t>
      </w:r>
      <w:r w:rsidR="00B74211" w:rsidRPr="009C1141">
        <w:rPr>
          <w:rFonts w:cs="Times New Roman"/>
          <w:szCs w:val="24"/>
        </w:rPr>
        <w:t xml:space="preserve">gadā turpinājās projektu iesniegumu atlases pirmās un otrās projektu iesniegumu atlases kārtas ietvaros apstiprināto projektu īstenošana. </w:t>
      </w:r>
      <w:r w:rsidR="00B74211" w:rsidRPr="009C1141">
        <w:rPr>
          <w:rFonts w:eastAsia="Times New Roman" w:cs="Times New Roman"/>
          <w:color w:val="000000" w:themeColor="text1"/>
          <w:szCs w:val="24"/>
        </w:rPr>
        <w:t>Projektu iesniegumu atlases pirmās un otrās kārtas ietvaros kopumā tika saņemti 92 projekta iesniegumi par ERAF finansējumu 116,13 milj.</w:t>
      </w:r>
      <w:r w:rsidR="00B74211">
        <w:rPr>
          <w:rFonts w:eastAsia="Times New Roman" w:cs="Times New Roman"/>
          <w:color w:val="000000" w:themeColor="text1"/>
          <w:szCs w:val="24"/>
        </w:rPr>
        <w:t> </w:t>
      </w:r>
      <w:r w:rsidR="00B74211" w:rsidRPr="005A51D7">
        <w:rPr>
          <w:rFonts w:eastAsia="Times New Roman" w:cs="Times New Roman"/>
          <w:i/>
          <w:iCs/>
          <w:color w:val="000000" w:themeColor="text1"/>
          <w:szCs w:val="24"/>
        </w:rPr>
        <w:t>euro</w:t>
      </w:r>
      <w:r w:rsidR="00B74211" w:rsidRPr="009C1141">
        <w:rPr>
          <w:rFonts w:eastAsia="Times New Roman" w:cs="Times New Roman"/>
          <w:color w:val="000000" w:themeColor="text1"/>
          <w:szCs w:val="24"/>
        </w:rPr>
        <w:t>, no kuriem tika apstiprināti 46 projekti par ERAF finansējumu 60,05</w:t>
      </w:r>
      <w:r w:rsidR="00B74211">
        <w:rPr>
          <w:rFonts w:eastAsia="Times New Roman" w:cs="Times New Roman"/>
          <w:color w:val="000000" w:themeColor="text1"/>
          <w:szCs w:val="24"/>
        </w:rPr>
        <w:t> </w:t>
      </w:r>
      <w:r w:rsidR="00B74211" w:rsidRPr="009C1141">
        <w:rPr>
          <w:rFonts w:eastAsia="Times New Roman" w:cs="Times New Roman"/>
          <w:color w:val="000000" w:themeColor="text1"/>
          <w:szCs w:val="24"/>
        </w:rPr>
        <w:t>milj.</w:t>
      </w:r>
      <w:r w:rsidR="00B74211">
        <w:rPr>
          <w:rFonts w:eastAsia="Times New Roman" w:cs="Times New Roman"/>
          <w:color w:val="000000" w:themeColor="text1"/>
          <w:szCs w:val="24"/>
        </w:rPr>
        <w:t> </w:t>
      </w:r>
      <w:r w:rsidR="00B74211" w:rsidRPr="005A51D7">
        <w:rPr>
          <w:rFonts w:eastAsia="Times New Roman" w:cs="Times New Roman"/>
          <w:i/>
          <w:iCs/>
          <w:color w:val="000000" w:themeColor="text1"/>
          <w:szCs w:val="24"/>
        </w:rPr>
        <w:t>euro</w:t>
      </w:r>
      <w:r w:rsidR="00B74211" w:rsidRPr="009C1141">
        <w:rPr>
          <w:rFonts w:eastAsia="Times New Roman" w:cs="Times New Roman"/>
          <w:color w:val="000000" w:themeColor="text1"/>
          <w:szCs w:val="24"/>
        </w:rPr>
        <w:t>. No abās projektu iesniegumu atlases kārtas atbalstītajiem 46 projektiem līdz 2020.</w:t>
      </w:r>
      <w:r w:rsidR="00B74211">
        <w:rPr>
          <w:rFonts w:eastAsia="Times New Roman" w:cs="Times New Roman"/>
          <w:color w:val="000000" w:themeColor="text1"/>
          <w:szCs w:val="24"/>
        </w:rPr>
        <w:t> </w:t>
      </w:r>
      <w:r w:rsidR="00B74211" w:rsidRPr="009C1141">
        <w:rPr>
          <w:rFonts w:eastAsia="Times New Roman" w:cs="Times New Roman"/>
          <w:color w:val="000000" w:themeColor="text1"/>
          <w:szCs w:val="24"/>
        </w:rPr>
        <w:t>gada beigām tika pabeigti 15 projekti, 22 projektu īstenošana turpinās, bet 9 projektu īstenošana tika pārtraukta.</w:t>
      </w:r>
    </w:p>
    <w:p w14:paraId="148FA6CD" w14:textId="6B9E671A" w:rsidR="00B74211" w:rsidRPr="009C1141" w:rsidRDefault="00B74211" w:rsidP="00B74211">
      <w:pPr>
        <w:spacing w:before="60" w:after="60" w:line="240" w:lineRule="auto"/>
        <w:jc w:val="both"/>
        <w:rPr>
          <w:rFonts w:cs="Times New Roman"/>
          <w:szCs w:val="24"/>
        </w:rPr>
      </w:pPr>
      <w:r w:rsidRPr="005A51D7">
        <w:rPr>
          <w:rFonts w:cs="Times New Roman"/>
        </w:rPr>
        <w:t xml:space="preserve">Pārskata periodā tika turpināts atbalsts </w:t>
      </w:r>
      <w:hyperlink r:id="rId76" w:history="1">
        <w:r w:rsidR="004E2C62" w:rsidRPr="004E2C62">
          <w:rPr>
            <w:rStyle w:val="Hyperlink"/>
            <w:rFonts w:cs="Times New Roman"/>
            <w:i/>
            <w:iCs/>
            <w:color w:val="00859B"/>
          </w:rPr>
          <w:t>Tehnoloģiju pārneses programmas</w:t>
        </w:r>
      </w:hyperlink>
      <w:r w:rsidR="004E2C62">
        <w:rPr>
          <w:rFonts w:cs="Times New Roman"/>
        </w:rPr>
        <w:t xml:space="preserve"> </w:t>
      </w:r>
      <w:r w:rsidRPr="009C1141">
        <w:rPr>
          <w:rFonts w:cs="Times New Roman"/>
          <w:szCs w:val="24"/>
        </w:rPr>
        <w:t>ietvaros</w:t>
      </w:r>
      <w:r w:rsidR="00A2427E">
        <w:rPr>
          <w:rFonts w:cs="Times New Roman"/>
          <w:szCs w:val="24"/>
        </w:rPr>
        <w:t xml:space="preserve"> </w:t>
      </w:r>
      <w:r w:rsidR="00A2427E">
        <w:rPr>
          <w:rFonts w:eastAsia="Times New Roman"/>
          <w:szCs w:val="24"/>
        </w:rPr>
        <w:t>(</w:t>
      </w:r>
      <w:r w:rsidR="00A2427E" w:rsidRPr="00BF79D1">
        <w:rPr>
          <w:rFonts w:cs="Times New Roman"/>
          <w:szCs w:val="24"/>
        </w:rPr>
        <w:t xml:space="preserve">skat. </w:t>
      </w:r>
      <w:hyperlink w:anchor="_Pielikums._EM_īstenojamo" w:history="1">
        <w:r w:rsidR="00A2427E" w:rsidRPr="00BF79D1">
          <w:rPr>
            <w:rStyle w:val="Hyperlink"/>
            <w:color w:val="00859B"/>
            <w:szCs w:val="24"/>
          </w:rPr>
          <w:t>8.pielikumu</w:t>
        </w:r>
      </w:hyperlink>
      <w:r w:rsidR="00A2427E" w:rsidRPr="00BF79D1">
        <w:rPr>
          <w:rStyle w:val="Hyperlink"/>
          <w:color w:val="auto"/>
          <w:szCs w:val="24"/>
          <w:u w:val="none"/>
        </w:rPr>
        <w:t xml:space="preserve">, </w:t>
      </w:r>
      <w:r w:rsidR="00A2427E">
        <w:rPr>
          <w:rFonts w:eastAsia="Times New Roman"/>
          <w:color w:val="000000" w:themeColor="text1"/>
          <w:szCs w:val="24"/>
        </w:rPr>
        <w:t>1</w:t>
      </w:r>
      <w:r w:rsidR="00A2427E" w:rsidRPr="00BF79D1">
        <w:rPr>
          <w:rFonts w:eastAsia="Times New Roman"/>
          <w:color w:val="000000" w:themeColor="text1"/>
          <w:szCs w:val="24"/>
        </w:rPr>
        <w:t>.</w:t>
      </w:r>
      <w:r w:rsidR="00A2427E">
        <w:rPr>
          <w:rFonts w:eastAsia="Times New Roman"/>
          <w:color w:val="000000" w:themeColor="text1"/>
          <w:szCs w:val="24"/>
        </w:rPr>
        <w:t>2</w:t>
      </w:r>
      <w:r w:rsidR="00A2427E" w:rsidRPr="00BF79D1">
        <w:rPr>
          <w:rFonts w:eastAsia="Times New Roman"/>
          <w:color w:val="000000" w:themeColor="text1"/>
          <w:szCs w:val="24"/>
        </w:rPr>
        <w:t>.1.</w:t>
      </w:r>
      <w:r w:rsidR="00A2427E">
        <w:rPr>
          <w:rFonts w:eastAsia="Times New Roman"/>
          <w:color w:val="000000" w:themeColor="text1"/>
          <w:szCs w:val="24"/>
        </w:rPr>
        <w:t>2</w:t>
      </w:r>
      <w:r w:rsidR="00A2427E" w:rsidRPr="00BF79D1">
        <w:rPr>
          <w:rFonts w:eastAsia="Times New Roman"/>
          <w:color w:val="000000" w:themeColor="text1"/>
          <w:szCs w:val="24"/>
        </w:rPr>
        <w:t>.</w:t>
      </w:r>
      <w:r w:rsidR="00A2427E">
        <w:rPr>
          <w:rFonts w:eastAsia="Times New Roman"/>
          <w:color w:val="000000" w:themeColor="text1"/>
          <w:szCs w:val="24"/>
        </w:rPr>
        <w:t>pasākumu</w:t>
      </w:r>
      <w:r w:rsidR="00A2427E" w:rsidRPr="00BF79D1">
        <w:rPr>
          <w:rFonts w:eastAsia="Times New Roman"/>
          <w:color w:val="000000" w:themeColor="text1"/>
          <w:szCs w:val="24"/>
        </w:rPr>
        <w:t>)</w:t>
      </w:r>
      <w:r>
        <w:rPr>
          <w:rFonts w:cs="Times New Roman"/>
          <w:szCs w:val="24"/>
        </w:rPr>
        <w:t>, kas</w:t>
      </w:r>
      <w:r w:rsidRPr="009C1141">
        <w:rPr>
          <w:rFonts w:cs="Times New Roman"/>
          <w:szCs w:val="24"/>
        </w:rPr>
        <w:t xml:space="preserve"> tik</w:t>
      </w:r>
      <w:r>
        <w:rPr>
          <w:rFonts w:cs="Times New Roman"/>
          <w:szCs w:val="24"/>
        </w:rPr>
        <w:t>a</w:t>
      </w:r>
      <w:r w:rsidRPr="009C1141">
        <w:rPr>
          <w:rFonts w:cs="Times New Roman"/>
          <w:szCs w:val="24"/>
        </w:rPr>
        <w:t xml:space="preserve"> sniegts gan </w:t>
      </w:r>
      <w:r w:rsidRPr="005A51D7">
        <w:rPr>
          <w:rFonts w:cs="Times New Roman"/>
          <w:szCs w:val="24"/>
        </w:rPr>
        <w:t>pētniecības organizācijām pētniecības rezultātu komercializācijai, gan komersantiem inovatīvu ideju, produktu vai pakalpojumu izstrādei</w:t>
      </w:r>
      <w:r w:rsidRPr="009C1141">
        <w:rPr>
          <w:rFonts w:cs="Times New Roman"/>
          <w:szCs w:val="24"/>
        </w:rPr>
        <w:t>. Pārskata periodā apstiprināti 60 pētniecības projekti tehniski ekonomiskās priekšizpētes veikšanai un komercializācijas stratēģijas izstrādei. 2020.</w:t>
      </w:r>
      <w:r>
        <w:rPr>
          <w:rFonts w:cs="Times New Roman"/>
          <w:szCs w:val="24"/>
        </w:rPr>
        <w:t> </w:t>
      </w:r>
      <w:r w:rsidRPr="009C1141">
        <w:rPr>
          <w:rFonts w:cs="Times New Roman"/>
          <w:szCs w:val="24"/>
        </w:rPr>
        <w:t xml:space="preserve">gadā noslēgti arī 90 inovāciju vaučeru līgumi jaunu vai būtiski uzlabotu produktu vai tehnoloģiju radīšanai. </w:t>
      </w:r>
    </w:p>
    <w:p w14:paraId="65FEB7B3" w14:textId="0C5B2264" w:rsidR="00B74211" w:rsidRDefault="00B74211" w:rsidP="00B74211">
      <w:pPr>
        <w:spacing w:before="60" w:after="60" w:line="240" w:lineRule="auto"/>
        <w:jc w:val="both"/>
        <w:rPr>
          <w:rFonts w:cs="Times New Roman"/>
          <w:szCs w:val="24"/>
        </w:rPr>
      </w:pPr>
      <w:r w:rsidRPr="009C1141">
        <w:rPr>
          <w:rFonts w:cs="Times New Roman"/>
          <w:szCs w:val="24"/>
        </w:rPr>
        <w:t>Pārskata periodā aktīvi turpinā</w:t>
      </w:r>
      <w:r>
        <w:rPr>
          <w:rFonts w:cs="Times New Roman"/>
          <w:szCs w:val="24"/>
        </w:rPr>
        <w:t>jā</w:t>
      </w:r>
      <w:r w:rsidRPr="009C1141">
        <w:rPr>
          <w:rFonts w:cs="Times New Roman"/>
          <w:szCs w:val="24"/>
        </w:rPr>
        <w:t xml:space="preserve">s </w:t>
      </w:r>
      <w:r>
        <w:rPr>
          <w:rFonts w:cs="Times New Roman"/>
          <w:szCs w:val="24"/>
        </w:rPr>
        <w:t xml:space="preserve">arī </w:t>
      </w:r>
      <w:r w:rsidRPr="009C1141">
        <w:rPr>
          <w:rFonts w:cs="Times New Roman"/>
          <w:szCs w:val="24"/>
        </w:rPr>
        <w:t>darbs pie</w:t>
      </w:r>
      <w:r w:rsidR="004F08B3">
        <w:rPr>
          <w:rFonts w:cs="Times New Roman"/>
          <w:szCs w:val="24"/>
        </w:rPr>
        <w:t xml:space="preserve"> </w:t>
      </w:r>
      <w:hyperlink r:id="rId77" w:history="1">
        <w:r w:rsidR="004F08B3" w:rsidRPr="004F08B3">
          <w:rPr>
            <w:rStyle w:val="Hyperlink"/>
            <w:rFonts w:cs="Times New Roman"/>
            <w:i/>
            <w:iCs/>
            <w:color w:val="00859B"/>
            <w:szCs w:val="24"/>
          </w:rPr>
          <w:t>Inovāciju motivācijas programmas</w:t>
        </w:r>
      </w:hyperlink>
      <w:r w:rsidR="004F08B3">
        <w:rPr>
          <w:rFonts w:cs="Times New Roman"/>
          <w:szCs w:val="24"/>
        </w:rPr>
        <w:t xml:space="preserve"> </w:t>
      </w:r>
      <w:r w:rsidRPr="009C1141">
        <w:rPr>
          <w:rFonts w:cs="Times New Roman"/>
          <w:szCs w:val="24"/>
        </w:rPr>
        <w:t>īstenošanas</w:t>
      </w:r>
      <w:r w:rsidR="00B26ECF">
        <w:rPr>
          <w:rFonts w:cs="Times New Roman"/>
          <w:szCs w:val="24"/>
        </w:rPr>
        <w:t xml:space="preserve"> </w:t>
      </w:r>
      <w:r w:rsidR="00B26ECF">
        <w:rPr>
          <w:rFonts w:eastAsia="Times New Roman"/>
          <w:szCs w:val="24"/>
        </w:rPr>
        <w:t>(</w:t>
      </w:r>
      <w:r w:rsidR="00B26ECF" w:rsidRPr="00BF79D1">
        <w:rPr>
          <w:rFonts w:cs="Times New Roman"/>
          <w:szCs w:val="24"/>
        </w:rPr>
        <w:t xml:space="preserve">skat. </w:t>
      </w:r>
      <w:hyperlink w:anchor="_Pielikums._EM_īstenojamo" w:history="1">
        <w:r w:rsidR="00B26ECF" w:rsidRPr="00BF79D1">
          <w:rPr>
            <w:rStyle w:val="Hyperlink"/>
            <w:color w:val="00859B"/>
            <w:szCs w:val="24"/>
          </w:rPr>
          <w:t>8.pielikumu</w:t>
        </w:r>
      </w:hyperlink>
      <w:r w:rsidR="00B26ECF" w:rsidRPr="00BF79D1">
        <w:rPr>
          <w:rStyle w:val="Hyperlink"/>
          <w:color w:val="auto"/>
          <w:szCs w:val="24"/>
          <w:u w:val="none"/>
        </w:rPr>
        <w:t xml:space="preserve">, </w:t>
      </w:r>
      <w:r w:rsidR="00B26ECF">
        <w:rPr>
          <w:rFonts w:eastAsia="Times New Roman"/>
          <w:color w:val="000000" w:themeColor="text1"/>
          <w:szCs w:val="24"/>
        </w:rPr>
        <w:t>1</w:t>
      </w:r>
      <w:r w:rsidR="00B26ECF" w:rsidRPr="00BF79D1">
        <w:rPr>
          <w:rFonts w:eastAsia="Times New Roman"/>
          <w:color w:val="000000" w:themeColor="text1"/>
          <w:szCs w:val="24"/>
        </w:rPr>
        <w:t>.</w:t>
      </w:r>
      <w:r w:rsidR="00B26ECF">
        <w:rPr>
          <w:rFonts w:eastAsia="Times New Roman"/>
          <w:color w:val="000000" w:themeColor="text1"/>
          <w:szCs w:val="24"/>
        </w:rPr>
        <w:t>2</w:t>
      </w:r>
      <w:r w:rsidR="00B26ECF" w:rsidRPr="00BF79D1">
        <w:rPr>
          <w:rFonts w:eastAsia="Times New Roman"/>
          <w:color w:val="000000" w:themeColor="text1"/>
          <w:szCs w:val="24"/>
        </w:rPr>
        <w:t>.</w:t>
      </w:r>
      <w:r w:rsidR="00B26ECF">
        <w:rPr>
          <w:rFonts w:eastAsia="Times New Roman"/>
          <w:color w:val="000000" w:themeColor="text1"/>
          <w:szCs w:val="24"/>
        </w:rPr>
        <w:t>2</w:t>
      </w:r>
      <w:r w:rsidR="00B26ECF" w:rsidRPr="00BF79D1">
        <w:rPr>
          <w:rFonts w:eastAsia="Times New Roman"/>
          <w:color w:val="000000" w:themeColor="text1"/>
          <w:szCs w:val="24"/>
        </w:rPr>
        <w:t>.</w:t>
      </w:r>
      <w:r w:rsidR="00B26ECF">
        <w:rPr>
          <w:rFonts w:eastAsia="Times New Roman"/>
          <w:color w:val="000000" w:themeColor="text1"/>
          <w:szCs w:val="24"/>
        </w:rPr>
        <w:t>2</w:t>
      </w:r>
      <w:r w:rsidR="00B26ECF" w:rsidRPr="00BF79D1">
        <w:rPr>
          <w:rFonts w:eastAsia="Times New Roman"/>
          <w:color w:val="000000" w:themeColor="text1"/>
          <w:szCs w:val="24"/>
        </w:rPr>
        <w:t>.</w:t>
      </w:r>
      <w:r w:rsidR="00B26ECF">
        <w:rPr>
          <w:rFonts w:eastAsia="Times New Roman"/>
          <w:color w:val="000000" w:themeColor="text1"/>
          <w:szCs w:val="24"/>
        </w:rPr>
        <w:t>pasākumu</w:t>
      </w:r>
      <w:r w:rsidR="00B26ECF" w:rsidRPr="00BF79D1">
        <w:rPr>
          <w:rFonts w:eastAsia="Times New Roman"/>
          <w:color w:val="000000" w:themeColor="text1"/>
          <w:szCs w:val="24"/>
        </w:rPr>
        <w:t>)</w:t>
      </w:r>
      <w:r>
        <w:rPr>
          <w:rFonts w:cs="Times New Roman"/>
          <w:szCs w:val="24"/>
        </w:rPr>
        <w:t>, kuras</w:t>
      </w:r>
      <w:r w:rsidRPr="009C1141">
        <w:rPr>
          <w:rFonts w:cs="Times New Roman"/>
          <w:szCs w:val="24"/>
        </w:rPr>
        <w:t xml:space="preserve"> mērķis ir </w:t>
      </w:r>
      <w:r w:rsidRPr="00D40349">
        <w:rPr>
          <w:rFonts w:cs="Times New Roman"/>
          <w:bCs/>
          <w:szCs w:val="24"/>
        </w:rPr>
        <w:t xml:space="preserve">informēt un iedrošināt sabiedrību uzsākt inovatīvu </w:t>
      </w:r>
      <w:r w:rsidRPr="00D40349">
        <w:rPr>
          <w:rFonts w:cs="Times New Roman"/>
          <w:bCs/>
          <w:szCs w:val="24"/>
        </w:rPr>
        <w:lastRenderedPageBreak/>
        <w:t>uzņēmējdarbību, informēt sabiedrību par norisēm saistībā ar inovācijām un to potenciālu</w:t>
      </w:r>
      <w:r w:rsidRPr="00D40349">
        <w:rPr>
          <w:rFonts w:cs="Times New Roman"/>
          <w:szCs w:val="24"/>
        </w:rPr>
        <w:t xml:space="preserve">. </w:t>
      </w:r>
      <w:r w:rsidRPr="009C1141">
        <w:rPr>
          <w:rFonts w:cs="Times New Roman"/>
          <w:szCs w:val="24"/>
        </w:rPr>
        <w:t>Pielāgojoties 2020.</w:t>
      </w:r>
      <w:r>
        <w:rPr>
          <w:rFonts w:cs="Times New Roman"/>
          <w:szCs w:val="24"/>
        </w:rPr>
        <w:t> </w:t>
      </w:r>
      <w:r w:rsidRPr="009C1141">
        <w:rPr>
          <w:rFonts w:cs="Times New Roman"/>
          <w:szCs w:val="24"/>
        </w:rPr>
        <w:t>gada notikumiem, veiksmīgi aizvadīts pirmais starptautiskais hibrīdformāta un vairāki lieli pašmāju un starptautiski tiešsaistes pasākumi. 2020.</w:t>
      </w:r>
      <w:r>
        <w:rPr>
          <w:rFonts w:cs="Times New Roman"/>
          <w:szCs w:val="24"/>
        </w:rPr>
        <w:t> </w:t>
      </w:r>
      <w:r w:rsidRPr="009C1141">
        <w:rPr>
          <w:rFonts w:cs="Times New Roman"/>
          <w:szCs w:val="24"/>
        </w:rPr>
        <w:t>gada beigās noslēdzās biznesa mācības komersantiem inovācijas vadības spēju uzlabošanai un uzņēmumu izaugsmes paātrināšanai – Inovāciju Mini-MBA. Sadarbībā ar RTU Rīgas Biznesa skolu programmas ietvaros sertifikātus saņēmuši 100 komersanti. Programmā kopumā iesaistīti vairāk nekā 35</w:t>
      </w:r>
      <w:r w:rsidR="0005005D">
        <w:rPr>
          <w:rFonts w:cs="Times New Roman"/>
          <w:szCs w:val="24"/>
        </w:rPr>
        <w:t> 000</w:t>
      </w:r>
      <w:r w:rsidRPr="009C1141">
        <w:rPr>
          <w:rFonts w:cs="Times New Roman"/>
          <w:szCs w:val="24"/>
        </w:rPr>
        <w:t xml:space="preserve"> dalībnieku, </w:t>
      </w:r>
      <w:r>
        <w:rPr>
          <w:rFonts w:cs="Times New Roman"/>
          <w:szCs w:val="24"/>
        </w:rPr>
        <w:t>kuri piedalījās</w:t>
      </w:r>
      <w:r w:rsidRPr="009C1141">
        <w:rPr>
          <w:rFonts w:cs="Times New Roman"/>
          <w:szCs w:val="24"/>
        </w:rPr>
        <w:t xml:space="preserve"> Ideju kausā, Skolēnu mācību uzņēmumos, </w:t>
      </w:r>
      <w:r w:rsidRPr="00D40349">
        <w:rPr>
          <w:rFonts w:cs="Times New Roman"/>
          <w:i/>
          <w:iCs/>
          <w:szCs w:val="24"/>
        </w:rPr>
        <w:t>Deep Tech Atelier</w:t>
      </w:r>
      <w:r w:rsidRPr="009C1141">
        <w:rPr>
          <w:rFonts w:cs="Times New Roman"/>
          <w:szCs w:val="24"/>
        </w:rPr>
        <w:t xml:space="preserve">, </w:t>
      </w:r>
      <w:r w:rsidRPr="00D40349">
        <w:rPr>
          <w:rFonts w:cs="Times New Roman"/>
          <w:i/>
          <w:iCs/>
          <w:szCs w:val="24"/>
        </w:rPr>
        <w:t>iNovuss</w:t>
      </w:r>
      <w:r w:rsidRPr="009C1141">
        <w:rPr>
          <w:rFonts w:cs="Times New Roman"/>
          <w:szCs w:val="24"/>
        </w:rPr>
        <w:t xml:space="preserve"> u.c. pasākumos. </w:t>
      </w:r>
    </w:p>
    <w:p w14:paraId="30EF9DA0" w14:textId="68257941" w:rsidR="009525A2" w:rsidRPr="009C1141" w:rsidRDefault="004F08B3" w:rsidP="009525A2">
      <w:pPr>
        <w:spacing w:before="60" w:after="60" w:line="240" w:lineRule="auto"/>
        <w:ind w:right="11"/>
        <w:jc w:val="both"/>
        <w:rPr>
          <w:rFonts w:cs="Times New Roman"/>
          <w:szCs w:val="24"/>
        </w:rPr>
      </w:pPr>
      <w:r>
        <w:rPr>
          <w:rFonts w:cs="Times New Roman"/>
          <w:szCs w:val="24"/>
        </w:rPr>
        <w:t>Lai</w:t>
      </w:r>
      <w:r w:rsidR="009525A2" w:rsidRPr="009C1141">
        <w:rPr>
          <w:rFonts w:cs="Times New Roman"/>
          <w:szCs w:val="24"/>
        </w:rPr>
        <w:t xml:space="preserve"> sekmēt</w:t>
      </w:r>
      <w:r>
        <w:rPr>
          <w:rFonts w:cs="Times New Roman"/>
          <w:szCs w:val="24"/>
        </w:rPr>
        <w:t>u</w:t>
      </w:r>
      <w:r w:rsidR="009525A2" w:rsidRPr="009C1141">
        <w:rPr>
          <w:rFonts w:cs="Times New Roman"/>
          <w:szCs w:val="24"/>
        </w:rPr>
        <w:t xml:space="preserve"> inovatīvu uzņēmumu attīstību, jaunu produktu un tehnoloģiju izstrādi un ieviešanu ražošanā, 2020.</w:t>
      </w:r>
      <w:r w:rsidR="009525A2">
        <w:rPr>
          <w:rFonts w:cs="Times New Roman"/>
          <w:szCs w:val="24"/>
        </w:rPr>
        <w:t> </w:t>
      </w:r>
      <w:r w:rsidR="009525A2" w:rsidRPr="009C1141">
        <w:rPr>
          <w:rFonts w:cs="Times New Roman"/>
          <w:szCs w:val="24"/>
        </w:rPr>
        <w:t xml:space="preserve">gadā </w:t>
      </w:r>
      <w:r w:rsidRPr="009C1141">
        <w:rPr>
          <w:rFonts w:cs="Times New Roman"/>
          <w:szCs w:val="24"/>
        </w:rPr>
        <w:t>turpināt</w:t>
      </w:r>
      <w:r>
        <w:rPr>
          <w:rFonts w:cs="Times New Roman"/>
          <w:szCs w:val="24"/>
        </w:rPr>
        <w:t>a</w:t>
      </w:r>
      <w:r w:rsidRPr="009C1141">
        <w:rPr>
          <w:rFonts w:cs="Times New Roman"/>
          <w:szCs w:val="24"/>
        </w:rPr>
        <w:t xml:space="preserve"> </w:t>
      </w:r>
      <w:r w:rsidR="009525A2" w:rsidRPr="009C1141">
        <w:rPr>
          <w:rFonts w:cs="Times New Roman"/>
          <w:szCs w:val="24"/>
        </w:rPr>
        <w:t>Norvēģijas finanšu instrumenta (NFI) 2014.-2021.</w:t>
      </w:r>
      <w:r w:rsidR="009525A2">
        <w:rPr>
          <w:rFonts w:cs="Times New Roman"/>
          <w:szCs w:val="24"/>
        </w:rPr>
        <w:t> </w:t>
      </w:r>
      <w:r w:rsidR="009525A2" w:rsidRPr="009C1141">
        <w:rPr>
          <w:rFonts w:cs="Times New Roman"/>
          <w:szCs w:val="24"/>
        </w:rPr>
        <w:t xml:space="preserve">gadu plānošanas perioda programmas </w:t>
      </w:r>
      <w:r w:rsidR="009525A2" w:rsidRPr="009C1141">
        <w:rPr>
          <w:rFonts w:cs="Times New Roman"/>
          <w:i/>
          <w:iCs/>
          <w:szCs w:val="24"/>
        </w:rPr>
        <w:t>Uzņēmējdarbības attīstība, inovācijas un mazie un vidējie uzņēmumi</w:t>
      </w:r>
      <w:r w:rsidR="009525A2" w:rsidRPr="009C1141">
        <w:rPr>
          <w:rFonts w:cs="Times New Roman"/>
          <w:szCs w:val="24"/>
        </w:rPr>
        <w:t xml:space="preserve"> ieviešana. </w:t>
      </w:r>
    </w:p>
    <w:p w14:paraId="0E7C9BDA" w14:textId="002C6588" w:rsidR="00D64C8A" w:rsidRPr="009C1141" w:rsidRDefault="00D64C8A" w:rsidP="00B74211">
      <w:pPr>
        <w:spacing w:before="60" w:after="60" w:line="240" w:lineRule="auto"/>
        <w:jc w:val="both"/>
        <w:rPr>
          <w:rFonts w:cs="Times New Roman"/>
          <w:szCs w:val="24"/>
        </w:rPr>
      </w:pPr>
      <w:r>
        <w:rPr>
          <w:rFonts w:eastAsia="Times New Roman"/>
          <w:szCs w:val="24"/>
        </w:rPr>
        <w:t xml:space="preserve">Pārskata periodā EM turpināja arī </w:t>
      </w:r>
      <w:r w:rsidRPr="1CABFF10">
        <w:rPr>
          <w:rFonts w:eastAsia="Times New Roman"/>
          <w:szCs w:val="24"/>
        </w:rPr>
        <w:t>2019.</w:t>
      </w:r>
      <w:r>
        <w:rPr>
          <w:rFonts w:eastAsia="Times New Roman"/>
          <w:szCs w:val="24"/>
        </w:rPr>
        <w:t> </w:t>
      </w:r>
      <w:r w:rsidRPr="1CABFF10">
        <w:rPr>
          <w:rFonts w:eastAsia="Times New Roman"/>
          <w:szCs w:val="24"/>
        </w:rPr>
        <w:t>gad</w:t>
      </w:r>
      <w:r>
        <w:rPr>
          <w:rFonts w:eastAsia="Times New Roman"/>
          <w:szCs w:val="24"/>
        </w:rPr>
        <w:t>ā</w:t>
      </w:r>
      <w:r w:rsidRPr="1CABFF10">
        <w:rPr>
          <w:rFonts w:eastAsia="Times New Roman"/>
          <w:szCs w:val="24"/>
        </w:rPr>
        <w:t xml:space="preserve"> uzsāk</w:t>
      </w:r>
      <w:r>
        <w:rPr>
          <w:rFonts w:eastAsia="Times New Roman"/>
          <w:szCs w:val="24"/>
        </w:rPr>
        <w:t xml:space="preserve">to </w:t>
      </w:r>
      <w:r w:rsidRPr="1CABFF10">
        <w:rPr>
          <w:rFonts w:eastAsia="Times New Roman"/>
          <w:szCs w:val="24"/>
        </w:rPr>
        <w:t>Interreg</w:t>
      </w:r>
      <w:r>
        <w:rPr>
          <w:rFonts w:eastAsia="Times New Roman"/>
          <w:szCs w:val="24"/>
        </w:rPr>
        <w:t>BJR</w:t>
      </w:r>
      <w:r w:rsidRPr="1CABFF10">
        <w:rPr>
          <w:rFonts w:eastAsia="Times New Roman"/>
          <w:szCs w:val="24"/>
        </w:rPr>
        <w:t xml:space="preserve"> transnacionālās sadarbības programmas projektu “RestartBSR”</w:t>
      </w:r>
      <w:r>
        <w:rPr>
          <w:rFonts w:eastAsia="Times New Roman"/>
          <w:szCs w:val="24"/>
        </w:rPr>
        <w:t xml:space="preserve">, kura mērķis ir </w:t>
      </w:r>
      <w:r w:rsidRPr="1CABFF10">
        <w:rPr>
          <w:rFonts w:eastAsia="Times New Roman"/>
          <w:szCs w:val="24"/>
        </w:rPr>
        <w:t xml:space="preserve">veidot institucionālo kapacitāti inovāciju jomas pārstāvjiem, lai atbalstītu uzņēmumus, kas nonākuši finansiālās grūtībās. </w:t>
      </w:r>
      <w:r>
        <w:rPr>
          <w:rFonts w:eastAsia="Times New Roman"/>
          <w:szCs w:val="24"/>
        </w:rPr>
        <w:t xml:space="preserve">Projekta ietvaros notika </w:t>
      </w:r>
      <w:r w:rsidRPr="1CABFF10">
        <w:rPr>
          <w:rFonts w:eastAsia="Times New Roman"/>
          <w:szCs w:val="24"/>
        </w:rPr>
        <w:t xml:space="preserve">pirmā starptautiskā </w:t>
      </w:r>
      <w:r>
        <w:rPr>
          <w:rFonts w:eastAsia="Times New Roman"/>
          <w:szCs w:val="24"/>
        </w:rPr>
        <w:t>i</w:t>
      </w:r>
      <w:r w:rsidRPr="1CABFF10">
        <w:rPr>
          <w:rFonts w:eastAsia="Times New Roman"/>
          <w:szCs w:val="24"/>
        </w:rPr>
        <w:t xml:space="preserve">novāciju </w:t>
      </w:r>
      <w:r>
        <w:rPr>
          <w:rFonts w:eastAsia="Times New Roman"/>
          <w:szCs w:val="24"/>
        </w:rPr>
        <w:t>l</w:t>
      </w:r>
      <w:r w:rsidRPr="1CABFF10">
        <w:rPr>
          <w:rFonts w:eastAsia="Times New Roman"/>
          <w:szCs w:val="24"/>
        </w:rPr>
        <w:t xml:space="preserve">aboratorija </w:t>
      </w:r>
      <w:r>
        <w:rPr>
          <w:rFonts w:eastAsia="Times New Roman"/>
          <w:szCs w:val="24"/>
        </w:rPr>
        <w:t>“</w:t>
      </w:r>
      <w:r w:rsidRPr="1CABFF10">
        <w:rPr>
          <w:rFonts w:eastAsia="Times New Roman"/>
          <w:szCs w:val="24"/>
        </w:rPr>
        <w:t>Institucionālās ekosistēmas veidošana un stiprināšana, lai atbalstītu finanšu grūtībās nonākušus uzņēmumus Baltijas valstīs un Polijā</w:t>
      </w:r>
      <w:r>
        <w:rPr>
          <w:rFonts w:eastAsia="Times New Roman"/>
          <w:szCs w:val="24"/>
        </w:rPr>
        <w:t>”</w:t>
      </w:r>
      <w:r w:rsidRPr="1CABFF10">
        <w:rPr>
          <w:rFonts w:eastAsia="Times New Roman"/>
          <w:szCs w:val="24"/>
        </w:rPr>
        <w:t xml:space="preserve">. </w:t>
      </w:r>
      <w:r w:rsidRPr="001C5E6D">
        <w:rPr>
          <w:rFonts w:eastAsia="Times New Roman"/>
          <w:szCs w:val="24"/>
        </w:rPr>
        <w:t>Inovāciju laboratorijas laikā tika izstrādātas vairāk nekā 100 rekomendācijas politikas ieviesējiem Latvijā, Igaunijā, Lietuvā un Polijā par institucionālās kapacitātes izveidi vai tās stiprināšanu, lai atbalstītu uzņēmumus, kas nonākuši finansiālās grūtībās.</w:t>
      </w:r>
    </w:p>
    <w:p w14:paraId="77DA34D3" w14:textId="29DFE79D" w:rsidR="00B74211" w:rsidRPr="009C1141" w:rsidRDefault="00B74211" w:rsidP="00B74211">
      <w:pPr>
        <w:spacing w:before="60" w:after="60" w:line="240" w:lineRule="auto"/>
        <w:jc w:val="both"/>
        <w:rPr>
          <w:rFonts w:cs="Times New Roman"/>
          <w:szCs w:val="24"/>
        </w:rPr>
      </w:pPr>
      <w:r w:rsidRPr="009C1141">
        <w:rPr>
          <w:rFonts w:cs="Times New Roman"/>
          <w:szCs w:val="24"/>
        </w:rPr>
        <w:t xml:space="preserve">Pārskata periodā sadarbībā ar </w:t>
      </w:r>
      <w:r>
        <w:rPr>
          <w:rFonts w:cs="Times New Roman"/>
          <w:szCs w:val="24"/>
        </w:rPr>
        <w:t>CSP</w:t>
      </w:r>
      <w:r w:rsidRPr="009C1141">
        <w:rPr>
          <w:rFonts w:cs="Times New Roman"/>
          <w:szCs w:val="24"/>
        </w:rPr>
        <w:t xml:space="preserve"> tika sagatavotas </w:t>
      </w:r>
      <w:r w:rsidR="004F08B3">
        <w:rPr>
          <w:rFonts w:cs="Times New Roman"/>
          <w:szCs w:val="24"/>
        </w:rPr>
        <w:t xml:space="preserve">arī </w:t>
      </w:r>
      <w:r w:rsidRPr="009C1141">
        <w:rPr>
          <w:rFonts w:cs="Times New Roman"/>
          <w:szCs w:val="24"/>
        </w:rPr>
        <w:t xml:space="preserve">vadlīnijas pētniecības, attīstības un inovāciju pārskatu aizpildīšanai. Turklāt, lai palielinātu ievākto datu precizitāti un respondentu atsaucību informācijas sniegšanā, tika </w:t>
      </w:r>
      <w:r w:rsidRPr="004F08B3">
        <w:rPr>
          <w:rFonts w:cs="Times New Roman"/>
          <w:szCs w:val="24"/>
        </w:rPr>
        <w:t>izstrādāts metodiskais materiāls par</w:t>
      </w:r>
      <w:r w:rsidRPr="009C1141">
        <w:rPr>
          <w:rFonts w:cs="Times New Roman"/>
          <w:szCs w:val="24"/>
        </w:rPr>
        <w:t xml:space="preserve"> to, kas ir pētniecības un attīstības darbi un ko iegūst komersants sniedzot P&amp;A datus statistikā. </w:t>
      </w:r>
    </w:p>
    <w:p w14:paraId="09298AF3" w14:textId="67DEA9F9" w:rsidR="00B74211" w:rsidRPr="009C1141" w:rsidRDefault="00B74211" w:rsidP="00B74211">
      <w:pPr>
        <w:spacing w:before="60" w:after="60" w:line="240" w:lineRule="auto"/>
        <w:jc w:val="both"/>
        <w:rPr>
          <w:rFonts w:cs="Times New Roman"/>
          <w:szCs w:val="24"/>
        </w:rPr>
      </w:pPr>
      <w:r w:rsidRPr="009C1141">
        <w:rPr>
          <w:rFonts w:cs="Times New Roman"/>
          <w:szCs w:val="24"/>
        </w:rPr>
        <w:t>Ar mērķi veicināt inovatīvu risinājumu izstrādi Latvijas uzņēmumu vidū, kā arī to plašāku iegādi no valsts sektora puses</w:t>
      </w:r>
      <w:r w:rsidR="00B26ECF">
        <w:rPr>
          <w:rStyle w:val="FootnoteReference"/>
          <w:rFonts w:cs="Times New Roman"/>
          <w:szCs w:val="24"/>
        </w:rPr>
        <w:footnoteReference w:id="25"/>
      </w:r>
      <w:r w:rsidRPr="009C1141">
        <w:rPr>
          <w:rFonts w:cs="Times New Roman"/>
          <w:szCs w:val="24"/>
        </w:rPr>
        <w:t>, norit</w:t>
      </w:r>
      <w:r w:rsidR="0005005D">
        <w:rPr>
          <w:rFonts w:cs="Times New Roman"/>
          <w:szCs w:val="24"/>
        </w:rPr>
        <w:t>ēja</w:t>
      </w:r>
      <w:r w:rsidR="009B38AC">
        <w:rPr>
          <w:rFonts w:cs="Times New Roman"/>
          <w:szCs w:val="24"/>
        </w:rPr>
        <w:t xml:space="preserve"> </w:t>
      </w:r>
      <w:r w:rsidRPr="00D40349">
        <w:rPr>
          <w:rFonts w:cs="Times New Roman"/>
          <w:bCs/>
          <w:szCs w:val="24"/>
        </w:rPr>
        <w:t xml:space="preserve">aktīvs darbs pie </w:t>
      </w:r>
      <w:r w:rsidRPr="00D40349">
        <w:rPr>
          <w:rFonts w:cs="Times New Roman"/>
          <w:b/>
          <w:color w:val="00859B"/>
          <w:szCs w:val="24"/>
        </w:rPr>
        <w:t>inovāciju iepirkuma</w:t>
      </w:r>
      <w:r w:rsidR="009B38AC">
        <w:rPr>
          <w:rFonts w:cs="Times New Roman"/>
          <w:b/>
          <w:color w:val="00859B"/>
          <w:szCs w:val="24"/>
        </w:rPr>
        <w:t xml:space="preserve"> </w:t>
      </w:r>
      <w:r w:rsidRPr="00D40349">
        <w:rPr>
          <w:rFonts w:cs="Times New Roman"/>
          <w:b/>
          <w:color w:val="00859B"/>
          <w:szCs w:val="24"/>
        </w:rPr>
        <w:t>veicināšanas</w:t>
      </w:r>
      <w:r w:rsidR="009B38AC">
        <w:rPr>
          <w:rFonts w:cs="Times New Roman"/>
          <w:b/>
          <w:color w:val="00859B"/>
          <w:szCs w:val="24"/>
        </w:rPr>
        <w:t xml:space="preserve"> </w:t>
      </w:r>
      <w:r w:rsidRPr="00D40349">
        <w:rPr>
          <w:rFonts w:cs="Times New Roman"/>
          <w:bCs/>
          <w:szCs w:val="24"/>
        </w:rPr>
        <w:t>valstī.</w:t>
      </w:r>
      <w:r w:rsidRPr="009C1141">
        <w:rPr>
          <w:rFonts w:cs="Times New Roman"/>
          <w:szCs w:val="24"/>
        </w:rPr>
        <w:t xml:space="preserve"> Pārskata periodā tika izstrādāts rīcības plāns inovāciju iepirkuma attīstīšanai, kas iekļauj aktivitātes sadarbībā gan ar ārvalstu partneriem, gan ar Latvijas pārstāvniecībām un iesaistītajām pusēm. </w:t>
      </w:r>
      <w:r w:rsidR="004F08B3" w:rsidRPr="009C1141">
        <w:rPr>
          <w:rFonts w:cs="Times New Roman"/>
          <w:szCs w:val="24"/>
        </w:rPr>
        <w:t>U</w:t>
      </w:r>
      <w:r w:rsidRPr="009C1141">
        <w:rPr>
          <w:rFonts w:cs="Times New Roman"/>
          <w:szCs w:val="24"/>
        </w:rPr>
        <w:t>zsākts darbs pie inovāciju iepirkuma īstenošanas vadlīniju izstrādes, kas ir būtisks instruments, lai veicinātu izpratni par inovāciju iepirkuma īstenošanas iespējām. 2020.</w:t>
      </w:r>
      <w:r>
        <w:rPr>
          <w:rFonts w:cs="Times New Roman"/>
          <w:szCs w:val="24"/>
        </w:rPr>
        <w:t> </w:t>
      </w:r>
      <w:r w:rsidRPr="009C1141">
        <w:rPr>
          <w:rFonts w:cs="Times New Roman"/>
          <w:szCs w:val="24"/>
        </w:rPr>
        <w:t>gadā tika īstenotas arī vairākas komunikācijas aktivitātes ar mērķi veicināt iesaistīto pušu izpratni par inovāciju iepirkuma priekšrocībām – izsūtītas ziņu vēstules, izveidots informatīvais materiāls u.c.</w:t>
      </w:r>
    </w:p>
    <w:p w14:paraId="19C44F57" w14:textId="75F3D2CB" w:rsidR="00B74211" w:rsidRPr="00E97511" w:rsidRDefault="00B74211" w:rsidP="00B74211">
      <w:pPr>
        <w:spacing w:before="60" w:after="60" w:line="240" w:lineRule="auto"/>
        <w:jc w:val="both"/>
        <w:rPr>
          <w:rFonts w:cs="Times New Roman"/>
          <w:color w:val="212529"/>
          <w:szCs w:val="24"/>
          <w:shd w:val="clear" w:color="auto" w:fill="FFFFFF"/>
        </w:rPr>
      </w:pPr>
      <w:r w:rsidRPr="009C1141">
        <w:rPr>
          <w:rFonts w:cs="Times New Roman"/>
          <w:color w:val="212529"/>
          <w:szCs w:val="24"/>
          <w:shd w:val="clear" w:color="auto" w:fill="FFFFFF"/>
        </w:rPr>
        <w:t>Atbilstoši Eiropas un visas pasaules stratēģiskām tendencēm kosmosa jomas attīstībā 2020.</w:t>
      </w:r>
      <w:r>
        <w:rPr>
          <w:rFonts w:cs="Times New Roman"/>
          <w:color w:val="212529"/>
          <w:szCs w:val="24"/>
          <w:shd w:val="clear" w:color="auto" w:fill="FFFFFF"/>
        </w:rPr>
        <w:t> </w:t>
      </w:r>
      <w:r w:rsidRPr="009C1141">
        <w:rPr>
          <w:rFonts w:cs="Times New Roman"/>
          <w:color w:val="212529"/>
          <w:szCs w:val="24"/>
          <w:shd w:val="clear" w:color="auto" w:fill="FFFFFF"/>
        </w:rPr>
        <w:t xml:space="preserve">gada jūlijā </w:t>
      </w:r>
      <w:r w:rsidRPr="00D40349">
        <w:rPr>
          <w:rFonts w:cs="Times New Roman"/>
          <w:bCs/>
          <w:color w:val="212529"/>
          <w:szCs w:val="24"/>
          <w:shd w:val="clear" w:color="auto" w:fill="FFFFFF"/>
        </w:rPr>
        <w:t>Latvija oficiāli kļuva par Eiropas Kosmosa aģentūras (EKA) asociēto dalībvalsti.</w:t>
      </w:r>
      <w:r w:rsidRPr="009C1141">
        <w:rPr>
          <w:rFonts w:cs="Times New Roman"/>
          <w:color w:val="212529"/>
          <w:szCs w:val="24"/>
          <w:shd w:val="clear" w:color="auto" w:fill="FFFFFF"/>
        </w:rPr>
        <w:t xml:space="preserve"> Latvijai tas nozīmē piekļuvi Eiropas kosmosa zināšanu bāzei, pieeju Eiropas un pasaules kosmosa industrijas tīklam un iespēju straujāk attīstīt tehnoloģijas, kuras izmanto gan kosmosā, gan uz Zemes, kā arī iespēju veicināt Latvijas tautsaimniecības attīstību. </w:t>
      </w:r>
      <w:r w:rsidRPr="009C1141">
        <w:rPr>
          <w:rFonts w:eastAsia="Times New Roman" w:cs="Times New Roman"/>
          <w:szCs w:val="24"/>
          <w:lang w:eastAsia="lv-LV"/>
        </w:rPr>
        <w:t>EKA</w:t>
      </w:r>
      <w:r w:rsidR="009B38AC">
        <w:rPr>
          <w:rFonts w:eastAsia="Times New Roman" w:cs="Times New Roman"/>
          <w:szCs w:val="24"/>
          <w:lang w:eastAsia="lv-LV"/>
        </w:rPr>
        <w:t xml:space="preserve"> </w:t>
      </w:r>
      <w:r w:rsidRPr="009C1141">
        <w:rPr>
          <w:rFonts w:eastAsia="Times New Roman" w:cs="Times New Roman"/>
          <w:szCs w:val="24"/>
          <w:lang w:eastAsia="lv-LV"/>
        </w:rPr>
        <w:t>uzsver, ka Latvija ir nodrošinājusi aktīvu un veiksmīgu dalību EKA aktivitātēs salīdzinoši īsā laika periodā</w:t>
      </w:r>
      <w:r w:rsidR="009B38AC">
        <w:rPr>
          <w:rFonts w:eastAsia="Times New Roman" w:cs="Times New Roman"/>
          <w:szCs w:val="24"/>
          <w:lang w:eastAsia="lv-LV"/>
        </w:rPr>
        <w:t>. L</w:t>
      </w:r>
      <w:r w:rsidRPr="009C1141">
        <w:rPr>
          <w:rFonts w:eastAsia="Times New Roman" w:cs="Times New Roman"/>
          <w:szCs w:val="24"/>
          <w:lang w:eastAsia="lv-LV"/>
        </w:rPr>
        <w:t>īdz 2021.</w:t>
      </w:r>
      <w:r>
        <w:rPr>
          <w:rFonts w:eastAsia="Times New Roman" w:cs="Times New Roman"/>
          <w:szCs w:val="24"/>
          <w:lang w:eastAsia="lv-LV"/>
        </w:rPr>
        <w:t> </w:t>
      </w:r>
      <w:r w:rsidRPr="009C1141">
        <w:rPr>
          <w:rFonts w:eastAsia="Times New Roman" w:cs="Times New Roman"/>
          <w:szCs w:val="24"/>
          <w:lang w:eastAsia="lv-LV"/>
        </w:rPr>
        <w:t xml:space="preserve">gada </w:t>
      </w:r>
      <w:r w:rsidR="009B38AC">
        <w:rPr>
          <w:rFonts w:eastAsia="Times New Roman" w:cs="Times New Roman"/>
          <w:szCs w:val="24"/>
          <w:lang w:eastAsia="lv-LV"/>
        </w:rPr>
        <w:t>sākumam</w:t>
      </w:r>
      <w:r w:rsidRPr="009C1141">
        <w:rPr>
          <w:rFonts w:eastAsia="Times New Roman" w:cs="Times New Roman"/>
          <w:szCs w:val="24"/>
          <w:lang w:eastAsia="lv-LV"/>
        </w:rPr>
        <w:t xml:space="preserve"> EKA konkursos tika pieteikti</w:t>
      </w:r>
      <w:r w:rsidR="009B38AC">
        <w:rPr>
          <w:rFonts w:eastAsia="Times New Roman" w:cs="Times New Roman"/>
          <w:szCs w:val="24"/>
          <w:lang w:eastAsia="lv-LV"/>
        </w:rPr>
        <w:t xml:space="preserve"> jau</w:t>
      </w:r>
      <w:r w:rsidRPr="009C1141">
        <w:rPr>
          <w:rFonts w:eastAsia="Times New Roman" w:cs="Times New Roman"/>
          <w:szCs w:val="24"/>
          <w:lang w:eastAsia="lv-LV"/>
        </w:rPr>
        <w:t xml:space="preserve"> 22 projekti no Latvijas, no kuriem tika apstiprināti </w:t>
      </w:r>
      <w:r>
        <w:rPr>
          <w:rFonts w:eastAsia="Times New Roman" w:cs="Times New Roman"/>
          <w:szCs w:val="24"/>
          <w:lang w:eastAsia="lv-LV"/>
        </w:rPr>
        <w:t xml:space="preserve">9 projekti </w:t>
      </w:r>
      <w:r w:rsidRPr="009C1141">
        <w:rPr>
          <w:rFonts w:eastAsia="Times New Roman" w:cs="Times New Roman"/>
          <w:szCs w:val="24"/>
          <w:lang w:eastAsia="lv-LV"/>
        </w:rPr>
        <w:t>ar kopējo summu 899</w:t>
      </w:r>
      <w:r>
        <w:rPr>
          <w:rFonts w:eastAsia="Times New Roman" w:cs="Times New Roman"/>
          <w:szCs w:val="24"/>
          <w:lang w:eastAsia="lv-LV"/>
        </w:rPr>
        <w:t> </w:t>
      </w:r>
      <w:r w:rsidRPr="009C1141">
        <w:rPr>
          <w:rFonts w:eastAsia="Times New Roman" w:cs="Times New Roman"/>
          <w:szCs w:val="24"/>
          <w:lang w:eastAsia="lv-LV"/>
        </w:rPr>
        <w:t>746</w:t>
      </w:r>
      <w:r>
        <w:rPr>
          <w:rFonts w:eastAsia="Times New Roman" w:cs="Times New Roman"/>
          <w:szCs w:val="24"/>
          <w:lang w:eastAsia="lv-LV"/>
        </w:rPr>
        <w:t> </w:t>
      </w:r>
      <w:r w:rsidRPr="00E97511">
        <w:rPr>
          <w:rFonts w:eastAsia="Times New Roman" w:cs="Times New Roman"/>
          <w:i/>
          <w:iCs/>
          <w:szCs w:val="24"/>
          <w:lang w:eastAsia="lv-LV"/>
        </w:rPr>
        <w:t>euro</w:t>
      </w:r>
      <w:r>
        <w:rPr>
          <w:rFonts w:eastAsia="Times New Roman" w:cs="Times New Roman"/>
          <w:szCs w:val="24"/>
          <w:lang w:eastAsia="lv-LV"/>
        </w:rPr>
        <w:t xml:space="preserve"> apmērā</w:t>
      </w:r>
      <w:r w:rsidRPr="009C1141">
        <w:rPr>
          <w:rFonts w:eastAsia="Times New Roman" w:cs="Times New Roman"/>
          <w:szCs w:val="24"/>
          <w:lang w:eastAsia="lv-LV"/>
        </w:rPr>
        <w:t>.</w:t>
      </w:r>
      <w:r w:rsidR="009B38AC">
        <w:rPr>
          <w:rFonts w:eastAsia="Times New Roman" w:cs="Times New Roman"/>
          <w:szCs w:val="24"/>
          <w:lang w:eastAsia="lv-LV"/>
        </w:rPr>
        <w:t xml:space="preserve"> </w:t>
      </w:r>
      <w:r w:rsidRPr="009C1141">
        <w:rPr>
          <w:rFonts w:cs="Times New Roman"/>
          <w:color w:val="212529"/>
          <w:szCs w:val="24"/>
          <w:shd w:val="clear" w:color="auto" w:fill="FFFFFF"/>
        </w:rPr>
        <w:t>Atbilstoši jaunajam statusam EKA 2020. gadā</w:t>
      </w:r>
      <w:r w:rsidR="009B38AC">
        <w:rPr>
          <w:rFonts w:cs="Times New Roman"/>
          <w:color w:val="212529"/>
          <w:szCs w:val="24"/>
          <w:shd w:val="clear" w:color="auto" w:fill="FFFFFF"/>
        </w:rPr>
        <w:t>,</w:t>
      </w:r>
      <w:r w:rsidRPr="009C1141">
        <w:rPr>
          <w:rFonts w:cs="Times New Roman"/>
          <w:color w:val="212529"/>
          <w:szCs w:val="24"/>
          <w:shd w:val="clear" w:color="auto" w:fill="FFFFFF"/>
        </w:rPr>
        <w:t xml:space="preserve"> </w:t>
      </w:r>
      <w:r>
        <w:rPr>
          <w:rFonts w:cs="Times New Roman"/>
          <w:color w:val="212529"/>
          <w:szCs w:val="24"/>
          <w:shd w:val="clear" w:color="auto" w:fill="FFFFFF"/>
        </w:rPr>
        <w:t>IZM</w:t>
      </w:r>
      <w:r w:rsidR="009B38AC">
        <w:rPr>
          <w:rFonts w:cs="Times New Roman"/>
          <w:color w:val="212529"/>
          <w:szCs w:val="24"/>
          <w:shd w:val="clear" w:color="auto" w:fill="FFFFFF"/>
        </w:rPr>
        <w:t xml:space="preserve"> </w:t>
      </w:r>
      <w:r>
        <w:rPr>
          <w:rFonts w:cs="Times New Roman"/>
          <w:color w:val="212529"/>
          <w:szCs w:val="24"/>
          <w:shd w:val="clear" w:color="auto" w:fill="FFFFFF"/>
        </w:rPr>
        <w:t>sadarbībā ar</w:t>
      </w:r>
      <w:r w:rsidRPr="009C1141">
        <w:rPr>
          <w:rFonts w:cs="Times New Roman"/>
          <w:color w:val="212529"/>
          <w:szCs w:val="24"/>
          <w:shd w:val="clear" w:color="auto" w:fill="FFFFFF"/>
        </w:rPr>
        <w:t xml:space="preserve"> E</w:t>
      </w:r>
      <w:r>
        <w:rPr>
          <w:rFonts w:cs="Times New Roman"/>
          <w:color w:val="212529"/>
          <w:szCs w:val="24"/>
          <w:shd w:val="clear" w:color="auto" w:fill="FFFFFF"/>
        </w:rPr>
        <w:t xml:space="preserve">M </w:t>
      </w:r>
      <w:r w:rsidRPr="00E97511">
        <w:rPr>
          <w:rFonts w:cs="Times New Roman"/>
          <w:bCs/>
          <w:color w:val="212529"/>
          <w:szCs w:val="24"/>
          <w:shd w:val="clear" w:color="auto" w:fill="FFFFFF"/>
        </w:rPr>
        <w:t>izstrādāja arī</w:t>
      </w:r>
      <w:r w:rsidR="009B38AC">
        <w:rPr>
          <w:rFonts w:cs="Times New Roman"/>
          <w:bCs/>
          <w:color w:val="212529"/>
          <w:szCs w:val="24"/>
          <w:shd w:val="clear" w:color="auto" w:fill="FFFFFF"/>
        </w:rPr>
        <w:t xml:space="preserve"> </w:t>
      </w:r>
      <w:hyperlink r:id="rId78" w:tooltip="latvijas-kosmosa-strategija-2021.-2027.-gadam.pdf" w:history="1">
        <w:r w:rsidRPr="00E97511">
          <w:rPr>
            <w:rStyle w:val="Strong"/>
            <w:b w:val="0"/>
            <w:bCs w:val="0"/>
            <w:i/>
            <w:iCs/>
            <w:color w:val="00859B"/>
            <w:u w:val="single"/>
          </w:rPr>
          <w:t>Latvijas kosmosa stratēģijā 2021.–2027.gadam</w:t>
        </w:r>
      </w:hyperlink>
      <w:r w:rsidRPr="009C1141">
        <w:rPr>
          <w:rFonts w:cs="Times New Roman"/>
          <w:color w:val="212529"/>
          <w:szCs w:val="24"/>
          <w:shd w:val="clear" w:color="auto" w:fill="FFFFFF"/>
        </w:rPr>
        <w:t xml:space="preserve">, kuras mērķis ir strukturēt un koordinēt ar kosmosa politiku saistītos jautājumus Latvijā. </w:t>
      </w:r>
      <w:r w:rsidRPr="00E97511">
        <w:rPr>
          <w:rFonts w:eastAsia="Times New Roman" w:cs="Times New Roman"/>
          <w:szCs w:val="24"/>
          <w:lang w:eastAsia="lv-LV"/>
        </w:rPr>
        <w:t>Abas ministrijas arī nodibināja sakarus ar vairākām starptautiskām institūcijām, organizācijām un vēstniecībām</w:t>
      </w:r>
      <w:r w:rsidRPr="009C1141">
        <w:rPr>
          <w:rFonts w:eastAsia="Times New Roman" w:cs="Times New Roman"/>
          <w:szCs w:val="24"/>
          <w:lang w:eastAsia="lv-LV"/>
        </w:rPr>
        <w:t xml:space="preserve"> ar mērķi sekmēt Latvijas kosmosa industrijas internacionalizāciju un ministriju produktīvāku sadarbību kosmosa jomā. Šādi sakari ir būtiski, jo starptautiskā sadarbība ir svarīgākais kosmosa nozares attīstības priekšnosacījums.</w:t>
      </w:r>
    </w:p>
    <w:p w14:paraId="23FDF7C1" w14:textId="77777777" w:rsidR="008C22DE" w:rsidRDefault="00B74211" w:rsidP="00B74211">
      <w:pPr>
        <w:spacing w:before="60" w:after="60" w:line="240" w:lineRule="auto"/>
        <w:jc w:val="both"/>
        <w:rPr>
          <w:rFonts w:eastAsia="Calibri" w:cs="Times New Roman"/>
          <w:szCs w:val="24"/>
        </w:rPr>
      </w:pPr>
      <w:r>
        <w:rPr>
          <w:rFonts w:eastAsia="Calibri" w:cs="Times New Roman"/>
          <w:szCs w:val="24"/>
        </w:rPr>
        <w:t xml:space="preserve">Būtiski ir uzsvērt, ka EM </w:t>
      </w:r>
      <w:r w:rsidRPr="005D0533">
        <w:rPr>
          <w:rFonts w:eastAsia="Calibri" w:cs="Times New Roman"/>
          <w:szCs w:val="24"/>
        </w:rPr>
        <w:t xml:space="preserve">fokuss </w:t>
      </w:r>
      <w:r w:rsidRPr="005D0533">
        <w:rPr>
          <w:rFonts w:eastAsia="Calibri" w:cs="Times New Roman"/>
          <w:b/>
          <w:bCs/>
          <w:color w:val="00859B"/>
          <w:szCs w:val="24"/>
        </w:rPr>
        <w:t>investīciju piesaistē</w:t>
      </w:r>
      <w:r w:rsidR="009B38AC">
        <w:rPr>
          <w:rFonts w:eastAsia="Calibri" w:cs="Times New Roman"/>
          <w:b/>
          <w:bCs/>
          <w:color w:val="00859B"/>
          <w:szCs w:val="24"/>
        </w:rPr>
        <w:t xml:space="preserve"> </w:t>
      </w:r>
      <w:r w:rsidRPr="005D0533">
        <w:rPr>
          <w:rFonts w:eastAsia="Calibri" w:cs="Times New Roman"/>
          <w:szCs w:val="24"/>
        </w:rPr>
        <w:t>ir inovatīvi un tehnoloģiski augsti attīstīti ārvalstu uzņēmumi, kas nodrošina šo uzņēmumu zināšanu un tehnoloģiju pārnesi. Šādu investīciju piesaistes rezultātā Latvijai paplašinās iespēja izmantot jaunas tehnoloģijas, tiek celta uzņēmumu darba efektivitāte</w:t>
      </w:r>
      <w:r>
        <w:rPr>
          <w:rFonts w:eastAsia="Calibri" w:cs="Times New Roman"/>
          <w:szCs w:val="24"/>
        </w:rPr>
        <w:t>,</w:t>
      </w:r>
      <w:r w:rsidRPr="005D0533">
        <w:rPr>
          <w:rFonts w:eastAsia="Calibri" w:cs="Times New Roman"/>
          <w:szCs w:val="24"/>
        </w:rPr>
        <w:t xml:space="preserve"> kā rezultātā tiek attīstīta ne tikai konkrētā uzņēmējdarbības joma, bet arī iekšējā </w:t>
      </w:r>
      <w:r w:rsidRPr="005D0533">
        <w:rPr>
          <w:rFonts w:eastAsia="Calibri" w:cs="Times New Roman"/>
          <w:szCs w:val="24"/>
        </w:rPr>
        <w:lastRenderedPageBreak/>
        <w:t xml:space="preserve">valsts uzņēmējdarbības vide kļūst konkurētspējīgāka. </w:t>
      </w:r>
      <w:r w:rsidR="008C22DE">
        <w:rPr>
          <w:rFonts w:eastAsia="Calibri" w:cs="Times New Roman"/>
          <w:szCs w:val="24"/>
        </w:rPr>
        <w:t xml:space="preserve">Tāpēc pārskata periodā notika </w:t>
      </w:r>
      <w:r w:rsidRPr="005D0533">
        <w:rPr>
          <w:rFonts w:eastAsia="Calibri" w:cs="Times New Roman"/>
          <w:szCs w:val="24"/>
        </w:rPr>
        <w:t xml:space="preserve">pastāvīgs darbs pie integrēšanās starptautiskajā tirdzniecībā un uzņēmumu integrēšanās globālajās vērtību ķēdēs. </w:t>
      </w:r>
    </w:p>
    <w:p w14:paraId="2F3301CD" w14:textId="77777777" w:rsidR="008C22DE" w:rsidRDefault="00B74211" w:rsidP="00B74211">
      <w:pPr>
        <w:spacing w:before="60" w:after="60" w:line="240" w:lineRule="auto"/>
        <w:jc w:val="both"/>
        <w:rPr>
          <w:rFonts w:cs="Times New Roman"/>
          <w:szCs w:val="24"/>
        </w:rPr>
      </w:pPr>
      <w:r>
        <w:rPr>
          <w:rFonts w:eastAsia="Calibri" w:cs="Times New Roman"/>
          <w:szCs w:val="24"/>
        </w:rPr>
        <w:t xml:space="preserve">Pārskata periodā EM </w:t>
      </w:r>
      <w:r w:rsidRPr="005D0533">
        <w:rPr>
          <w:rFonts w:eastAsia="Calibri" w:cs="Times New Roman"/>
          <w:szCs w:val="24"/>
        </w:rPr>
        <w:t>sadarbībā ar LIAA, ārvalstu investīciju piesaistes politikas veidošan</w:t>
      </w:r>
      <w:r>
        <w:rPr>
          <w:rFonts w:eastAsia="Calibri" w:cs="Times New Roman"/>
          <w:szCs w:val="24"/>
        </w:rPr>
        <w:t>as</w:t>
      </w:r>
      <w:r w:rsidRPr="005D0533">
        <w:rPr>
          <w:rFonts w:eastAsia="Calibri" w:cs="Times New Roman"/>
          <w:szCs w:val="24"/>
        </w:rPr>
        <w:t xml:space="preserve"> un realizācij</w:t>
      </w:r>
      <w:r>
        <w:rPr>
          <w:rFonts w:eastAsia="Calibri" w:cs="Times New Roman"/>
          <w:szCs w:val="24"/>
        </w:rPr>
        <w:t>as ietvaros,</w:t>
      </w:r>
      <w:r w:rsidRPr="005D0533">
        <w:rPr>
          <w:rFonts w:eastAsia="Calibri" w:cs="Times New Roman"/>
          <w:szCs w:val="24"/>
        </w:rPr>
        <w:t xml:space="preserve"> laika posmā no 2020.</w:t>
      </w:r>
      <w:r>
        <w:rPr>
          <w:rFonts w:eastAsia="Calibri" w:cs="Times New Roman"/>
          <w:szCs w:val="24"/>
        </w:rPr>
        <w:t> </w:t>
      </w:r>
      <w:r w:rsidRPr="005D0533">
        <w:rPr>
          <w:rFonts w:eastAsia="Calibri" w:cs="Times New Roman"/>
          <w:szCs w:val="24"/>
        </w:rPr>
        <w:t>gada rudens līdz 2021.</w:t>
      </w:r>
      <w:r>
        <w:rPr>
          <w:rFonts w:eastAsia="Calibri" w:cs="Times New Roman"/>
          <w:szCs w:val="24"/>
        </w:rPr>
        <w:t> </w:t>
      </w:r>
      <w:r w:rsidRPr="005D0533">
        <w:rPr>
          <w:rFonts w:eastAsia="Calibri" w:cs="Times New Roman"/>
          <w:szCs w:val="24"/>
        </w:rPr>
        <w:t xml:space="preserve">gada maijam </w:t>
      </w:r>
      <w:r w:rsidR="008C22DE">
        <w:rPr>
          <w:rFonts w:eastAsia="Calibri" w:cs="Times New Roman"/>
          <w:szCs w:val="24"/>
        </w:rPr>
        <w:t>īstenoja</w:t>
      </w:r>
      <w:r w:rsidR="008C22DE" w:rsidRPr="005D0533">
        <w:rPr>
          <w:rFonts w:eastAsia="Calibri" w:cs="Times New Roman"/>
          <w:szCs w:val="24"/>
        </w:rPr>
        <w:t xml:space="preserve"> </w:t>
      </w:r>
      <w:r w:rsidRPr="005D0533">
        <w:rPr>
          <w:rFonts w:eastAsia="Calibri" w:cs="Times New Roman"/>
          <w:szCs w:val="24"/>
        </w:rPr>
        <w:t>kampaņu Baltkrievijas sociālajos tīklos. Kampaņas mērķis bija piesaistīt</w:t>
      </w:r>
      <w:r w:rsidRPr="005D0533">
        <w:rPr>
          <w:rFonts w:cs="Times New Roman"/>
          <w:szCs w:val="24"/>
        </w:rPr>
        <w:t xml:space="preserve"> uzņēmumus Latvijas tautsaimniecībai fotonikas un IKT jomās. Kopumā vairāk nekā 50 </w:t>
      </w:r>
      <w:r w:rsidRPr="00CC4871">
        <w:rPr>
          <w:rFonts w:cs="Times New Roman"/>
          <w:bCs/>
          <w:color w:val="222222"/>
          <w:szCs w:val="24"/>
          <w:shd w:val="clear" w:color="auto" w:fill="FFFFFF"/>
        </w:rPr>
        <w:t>IT un augsto tehnoloģiju</w:t>
      </w:r>
      <w:r w:rsidR="00A34482">
        <w:rPr>
          <w:rFonts w:cs="Times New Roman"/>
          <w:bCs/>
          <w:color w:val="222222"/>
          <w:szCs w:val="24"/>
          <w:shd w:val="clear" w:color="auto" w:fill="FFFFFF"/>
        </w:rPr>
        <w:t xml:space="preserve"> </w:t>
      </w:r>
      <w:r w:rsidRPr="005D0533">
        <w:rPr>
          <w:rFonts w:cs="Times New Roman"/>
          <w:szCs w:val="24"/>
        </w:rPr>
        <w:t>uzņēmumi izvērtēja iespēju pārcelt savu darbību uz Latviju, tika sniegtas 200 konsultācijas. No šiem uzņēmumiem 15 pieņēma lēmumu pārcelties uz Latviju</w:t>
      </w:r>
      <w:r>
        <w:rPr>
          <w:rFonts w:cs="Times New Roman"/>
          <w:szCs w:val="24"/>
        </w:rPr>
        <w:t>.</w:t>
      </w:r>
      <w:r w:rsidR="00A34482">
        <w:rPr>
          <w:rFonts w:cs="Times New Roman"/>
          <w:szCs w:val="24"/>
        </w:rPr>
        <w:t xml:space="preserve"> </w:t>
      </w:r>
      <w:r>
        <w:rPr>
          <w:rFonts w:cs="Times New Roman"/>
          <w:szCs w:val="24"/>
        </w:rPr>
        <w:t>S</w:t>
      </w:r>
      <w:r w:rsidRPr="005D0533">
        <w:rPr>
          <w:rFonts w:cs="Times New Roman"/>
          <w:szCs w:val="24"/>
        </w:rPr>
        <w:t>avukārt</w:t>
      </w:r>
      <w:r>
        <w:rPr>
          <w:rFonts w:cs="Times New Roman"/>
          <w:szCs w:val="24"/>
        </w:rPr>
        <w:t>,</w:t>
      </w:r>
      <w:r w:rsidR="00A34482">
        <w:rPr>
          <w:rFonts w:cs="Times New Roman"/>
          <w:szCs w:val="24"/>
        </w:rPr>
        <w:t xml:space="preserve"> </w:t>
      </w:r>
      <w:r>
        <w:rPr>
          <w:rFonts w:cs="Times New Roman"/>
          <w:szCs w:val="24"/>
        </w:rPr>
        <w:t>trīs</w:t>
      </w:r>
      <w:r w:rsidRPr="005D0533">
        <w:rPr>
          <w:rFonts w:cs="Times New Roman"/>
          <w:szCs w:val="24"/>
        </w:rPr>
        <w:t xml:space="preserve"> esošie uzņēmumi vēlas paplašināties un vēl 7 izskata iespēju pārcelties. </w:t>
      </w:r>
      <w:r w:rsidR="008C22DE" w:rsidRPr="005D0533">
        <w:rPr>
          <w:rFonts w:cs="Times New Roman"/>
          <w:szCs w:val="24"/>
        </w:rPr>
        <w:t xml:space="preserve">Kopumā </w:t>
      </w:r>
      <w:r w:rsidR="008C22DE">
        <w:rPr>
          <w:rFonts w:cs="Times New Roman"/>
          <w:szCs w:val="24"/>
        </w:rPr>
        <w:t xml:space="preserve">2020.gadā īstenotās </w:t>
      </w:r>
      <w:r w:rsidR="008C22DE" w:rsidRPr="005D0533">
        <w:rPr>
          <w:rFonts w:cs="Times New Roman"/>
          <w:szCs w:val="24"/>
        </w:rPr>
        <w:t>kampaņas rezultātā ir radītas 755 jaunas darba vietas, kā arī piesaistītas 9</w:t>
      </w:r>
      <w:r w:rsidR="008C22DE">
        <w:rPr>
          <w:rFonts w:cs="Times New Roman"/>
          <w:szCs w:val="24"/>
        </w:rPr>
        <w:t>,</w:t>
      </w:r>
      <w:r w:rsidR="008C22DE" w:rsidRPr="005D0533">
        <w:rPr>
          <w:rFonts w:cs="Times New Roman"/>
          <w:szCs w:val="24"/>
        </w:rPr>
        <w:t>5</w:t>
      </w:r>
      <w:r w:rsidR="008C22DE">
        <w:rPr>
          <w:rFonts w:cs="Times New Roman"/>
          <w:szCs w:val="24"/>
        </w:rPr>
        <w:t> </w:t>
      </w:r>
      <w:r w:rsidR="008C22DE" w:rsidRPr="005D0533">
        <w:rPr>
          <w:rFonts w:cs="Times New Roman"/>
          <w:szCs w:val="24"/>
        </w:rPr>
        <w:t>milj</w:t>
      </w:r>
      <w:r w:rsidR="008C22DE">
        <w:rPr>
          <w:rFonts w:cs="Times New Roman"/>
          <w:szCs w:val="24"/>
        </w:rPr>
        <w:t>. </w:t>
      </w:r>
      <w:r w:rsidR="008C22DE" w:rsidRPr="00CC4871">
        <w:rPr>
          <w:rFonts w:cs="Times New Roman"/>
          <w:i/>
          <w:iCs/>
          <w:szCs w:val="24"/>
        </w:rPr>
        <w:t>euro</w:t>
      </w:r>
      <w:r w:rsidR="008C22DE" w:rsidRPr="005D0533">
        <w:rPr>
          <w:rFonts w:cs="Times New Roman"/>
          <w:szCs w:val="24"/>
        </w:rPr>
        <w:t xml:space="preserve"> vērtas investīcijas.</w:t>
      </w:r>
      <w:r w:rsidR="008C22DE">
        <w:rPr>
          <w:rFonts w:cs="Times New Roman"/>
          <w:szCs w:val="24"/>
        </w:rPr>
        <w:t xml:space="preserve"> </w:t>
      </w:r>
    </w:p>
    <w:p w14:paraId="633121AA" w14:textId="068FD050" w:rsidR="00B74211" w:rsidRPr="00CC4871" w:rsidRDefault="00B74211" w:rsidP="00B74211">
      <w:pPr>
        <w:spacing w:before="60" w:after="60" w:line="240" w:lineRule="auto"/>
        <w:jc w:val="both"/>
        <w:rPr>
          <w:rFonts w:eastAsia="Calibri" w:cs="Times New Roman"/>
          <w:szCs w:val="24"/>
        </w:rPr>
      </w:pPr>
      <w:r w:rsidRPr="005D0533">
        <w:rPr>
          <w:rFonts w:cs="Times New Roman"/>
          <w:szCs w:val="24"/>
        </w:rPr>
        <w:t xml:space="preserve">Viens no pozitīvajiem </w:t>
      </w:r>
      <w:r w:rsidR="00C5300C">
        <w:rPr>
          <w:rFonts w:cs="Times New Roman"/>
          <w:szCs w:val="24"/>
        </w:rPr>
        <w:t xml:space="preserve">investīciju </w:t>
      </w:r>
      <w:r w:rsidRPr="005D0533">
        <w:rPr>
          <w:rFonts w:cs="Times New Roman"/>
          <w:szCs w:val="24"/>
        </w:rPr>
        <w:t xml:space="preserve">piemēriem ir </w:t>
      </w:r>
      <w:r w:rsidRPr="005D0533">
        <w:rPr>
          <w:rFonts w:cs="Times New Roman"/>
          <w:i/>
          <w:szCs w:val="24"/>
        </w:rPr>
        <w:t>Yukon</w:t>
      </w:r>
      <w:r w:rsidR="00B26ECF">
        <w:rPr>
          <w:rFonts w:cs="Times New Roman"/>
          <w:i/>
          <w:szCs w:val="24"/>
        </w:rPr>
        <w:t xml:space="preserve"> </w:t>
      </w:r>
      <w:r w:rsidRPr="005D0533">
        <w:rPr>
          <w:rFonts w:cs="Times New Roman"/>
          <w:i/>
          <w:szCs w:val="24"/>
        </w:rPr>
        <w:t>Advanced</w:t>
      </w:r>
      <w:r w:rsidR="00B26ECF">
        <w:rPr>
          <w:rFonts w:cs="Times New Roman"/>
          <w:i/>
          <w:szCs w:val="24"/>
        </w:rPr>
        <w:t xml:space="preserve"> </w:t>
      </w:r>
      <w:r w:rsidRPr="005D0533">
        <w:rPr>
          <w:rFonts w:cs="Times New Roman"/>
          <w:i/>
          <w:szCs w:val="24"/>
        </w:rPr>
        <w:t>Optics</w:t>
      </w:r>
      <w:r w:rsidR="00B26ECF">
        <w:rPr>
          <w:rFonts w:cs="Times New Roman"/>
          <w:i/>
          <w:szCs w:val="24"/>
        </w:rPr>
        <w:t xml:space="preserve"> </w:t>
      </w:r>
      <w:r w:rsidRPr="005D0533">
        <w:rPr>
          <w:rFonts w:cs="Times New Roman"/>
          <w:i/>
          <w:szCs w:val="24"/>
        </w:rPr>
        <w:t>Worldwide</w:t>
      </w:r>
      <w:r w:rsidRPr="005D0533">
        <w:rPr>
          <w:rFonts w:cs="Times New Roman"/>
          <w:szCs w:val="24"/>
        </w:rPr>
        <w:t xml:space="preserve"> ienākšana Latvijā – </w:t>
      </w:r>
      <w:r w:rsidR="00C5300C">
        <w:rPr>
          <w:rFonts w:cs="Times New Roman"/>
          <w:szCs w:val="24"/>
        </w:rPr>
        <w:t xml:space="preserve">pārskata periodā </w:t>
      </w:r>
      <w:r w:rsidRPr="005D0533">
        <w:rPr>
          <w:rFonts w:cs="Times New Roman"/>
          <w:szCs w:val="24"/>
        </w:rPr>
        <w:t xml:space="preserve">uzņēmums atvēra ražotni Daugavpilī, kas radīja 150 jaunas darba vietas. Kā vienu no iemesliem, lai paplašinātu </w:t>
      </w:r>
      <w:r w:rsidR="00C5300C">
        <w:rPr>
          <w:rFonts w:cs="Times New Roman"/>
          <w:szCs w:val="24"/>
        </w:rPr>
        <w:t xml:space="preserve">savu </w:t>
      </w:r>
      <w:r w:rsidRPr="005D0533">
        <w:rPr>
          <w:rFonts w:cs="Times New Roman"/>
          <w:szCs w:val="24"/>
        </w:rPr>
        <w:t xml:space="preserve">darbību Latvijā, </w:t>
      </w:r>
      <w:r w:rsidR="00C5300C">
        <w:rPr>
          <w:rFonts w:cs="Times New Roman"/>
          <w:szCs w:val="24"/>
        </w:rPr>
        <w:t xml:space="preserve">minētais </w:t>
      </w:r>
      <w:r w:rsidRPr="005D0533">
        <w:rPr>
          <w:rFonts w:cs="Times New Roman"/>
          <w:szCs w:val="24"/>
        </w:rPr>
        <w:t xml:space="preserve">uzņēmums atzīst labi attīstītu </w:t>
      </w:r>
      <w:r w:rsidRPr="008C22DE">
        <w:rPr>
          <w:rFonts w:cs="Times New Roman"/>
          <w:szCs w:val="24"/>
        </w:rPr>
        <w:t>fotonikas un viedo materiālu ekosistēmu</w:t>
      </w:r>
      <w:r w:rsidRPr="005D0533">
        <w:rPr>
          <w:rFonts w:cs="Times New Roman"/>
          <w:szCs w:val="24"/>
        </w:rPr>
        <w:t xml:space="preserve">. </w:t>
      </w:r>
    </w:p>
    <w:p w14:paraId="6EE56C8B" w14:textId="16EA4E4C" w:rsidR="00B74211" w:rsidRPr="005D0533" w:rsidRDefault="00B74211" w:rsidP="00B74211">
      <w:pPr>
        <w:spacing w:before="60" w:after="60" w:line="240" w:lineRule="auto"/>
        <w:jc w:val="both"/>
        <w:rPr>
          <w:rFonts w:cs="Times New Roman"/>
          <w:szCs w:val="24"/>
        </w:rPr>
      </w:pPr>
      <w:r w:rsidRPr="005D0533">
        <w:rPr>
          <w:rFonts w:cs="Times New Roman"/>
          <w:szCs w:val="24"/>
        </w:rPr>
        <w:t xml:space="preserve">Tāpat </w:t>
      </w:r>
      <w:r>
        <w:rPr>
          <w:rFonts w:cs="Times New Roman"/>
          <w:szCs w:val="24"/>
        </w:rPr>
        <w:t xml:space="preserve">pārskata periodā </w:t>
      </w:r>
      <w:r w:rsidRPr="005D0533">
        <w:rPr>
          <w:rFonts w:cs="Times New Roman"/>
          <w:szCs w:val="24"/>
        </w:rPr>
        <w:t>tika</w:t>
      </w:r>
      <w:r w:rsidR="00A34482">
        <w:rPr>
          <w:rFonts w:cs="Times New Roman"/>
          <w:szCs w:val="24"/>
        </w:rPr>
        <w:t xml:space="preserve"> </w:t>
      </w:r>
      <w:r w:rsidRPr="005D0533">
        <w:rPr>
          <w:rFonts w:cs="Times New Roman"/>
          <w:szCs w:val="24"/>
        </w:rPr>
        <w:t xml:space="preserve">īstenoti </w:t>
      </w:r>
      <w:r w:rsidR="001A3F7D">
        <w:rPr>
          <w:rFonts w:cs="Times New Roman"/>
          <w:szCs w:val="24"/>
        </w:rPr>
        <w:t>pasākumi</w:t>
      </w:r>
      <w:r w:rsidRPr="005D0533">
        <w:rPr>
          <w:rFonts w:cs="Times New Roman"/>
          <w:szCs w:val="24"/>
        </w:rPr>
        <w:t xml:space="preserve">, kas </w:t>
      </w:r>
      <w:r w:rsidR="00C5300C" w:rsidRPr="00CC4871">
        <w:rPr>
          <w:rFonts w:cs="Times New Roman"/>
          <w:bCs/>
          <w:szCs w:val="24"/>
        </w:rPr>
        <w:t>veicināj</w:t>
      </w:r>
      <w:r w:rsidR="00C5300C">
        <w:rPr>
          <w:rFonts w:cs="Times New Roman"/>
          <w:bCs/>
          <w:szCs w:val="24"/>
        </w:rPr>
        <w:t>a</w:t>
      </w:r>
      <w:r w:rsidR="00C5300C" w:rsidRPr="00CC4871">
        <w:rPr>
          <w:rFonts w:cs="Times New Roman"/>
          <w:bCs/>
          <w:szCs w:val="24"/>
        </w:rPr>
        <w:t xml:space="preserve"> jaunu ārvalstu investoru piesaisti Latvijai</w:t>
      </w:r>
      <w:r w:rsidR="00C5300C" w:rsidRPr="005D0533">
        <w:rPr>
          <w:rFonts w:cs="Times New Roman"/>
          <w:szCs w:val="24"/>
        </w:rPr>
        <w:t xml:space="preserve"> </w:t>
      </w:r>
      <w:r w:rsidR="00C5300C">
        <w:rPr>
          <w:rFonts w:cs="Times New Roman"/>
          <w:szCs w:val="24"/>
        </w:rPr>
        <w:t xml:space="preserve">un </w:t>
      </w:r>
      <w:r w:rsidR="00C5300C" w:rsidRPr="005D0533">
        <w:rPr>
          <w:rFonts w:cs="Times New Roman"/>
          <w:szCs w:val="24"/>
        </w:rPr>
        <w:t>rezultēj</w:t>
      </w:r>
      <w:r w:rsidR="00C5300C">
        <w:rPr>
          <w:rFonts w:cs="Times New Roman"/>
          <w:szCs w:val="24"/>
        </w:rPr>
        <w:t>ā</w:t>
      </w:r>
      <w:r w:rsidR="00C5300C" w:rsidRPr="005D0533">
        <w:rPr>
          <w:rFonts w:cs="Times New Roman"/>
          <w:szCs w:val="24"/>
        </w:rPr>
        <w:t xml:space="preserve">s </w:t>
      </w:r>
      <w:r w:rsidRPr="005D0533">
        <w:rPr>
          <w:rFonts w:cs="Times New Roman"/>
          <w:szCs w:val="24"/>
        </w:rPr>
        <w:t xml:space="preserve">ar uzņēmumu </w:t>
      </w:r>
      <w:r w:rsidRPr="005D0533">
        <w:rPr>
          <w:rFonts w:cs="Times New Roman"/>
          <w:i/>
          <w:szCs w:val="24"/>
        </w:rPr>
        <w:t>Swisscom</w:t>
      </w:r>
      <w:r w:rsidRPr="005D0533">
        <w:rPr>
          <w:rFonts w:cs="Times New Roman"/>
          <w:szCs w:val="24"/>
        </w:rPr>
        <w:t xml:space="preserve"> (IT joma, Šveice, </w:t>
      </w:r>
      <w:r w:rsidRPr="00CC4871">
        <w:rPr>
          <w:rFonts w:cs="Times New Roman"/>
          <w:i/>
          <w:iCs/>
          <w:szCs w:val="24"/>
        </w:rPr>
        <w:t>ex</w:t>
      </w:r>
      <w:r w:rsidR="001A3F7D">
        <w:rPr>
          <w:rFonts w:cs="Times New Roman"/>
          <w:i/>
          <w:iCs/>
          <w:szCs w:val="24"/>
        </w:rPr>
        <w:t> </w:t>
      </w:r>
      <w:r w:rsidRPr="00CC4871">
        <w:rPr>
          <w:rFonts w:cs="Times New Roman"/>
          <w:i/>
          <w:iCs/>
          <w:szCs w:val="24"/>
        </w:rPr>
        <w:t>Fortune</w:t>
      </w:r>
      <w:r w:rsidR="001A3F7D">
        <w:rPr>
          <w:rFonts w:cs="Times New Roman"/>
          <w:i/>
          <w:iCs/>
          <w:szCs w:val="24"/>
        </w:rPr>
        <w:t> </w:t>
      </w:r>
      <w:r w:rsidRPr="00CC4871">
        <w:rPr>
          <w:rFonts w:cs="Times New Roman"/>
          <w:i/>
          <w:iCs/>
          <w:szCs w:val="24"/>
        </w:rPr>
        <w:t>500</w:t>
      </w:r>
      <w:r w:rsidRPr="005D0533">
        <w:rPr>
          <w:rFonts w:cs="Times New Roman"/>
          <w:szCs w:val="24"/>
        </w:rPr>
        <w:t xml:space="preserve">) un </w:t>
      </w:r>
      <w:r w:rsidRPr="005D0533">
        <w:rPr>
          <w:rFonts w:cs="Times New Roman"/>
          <w:i/>
          <w:szCs w:val="24"/>
        </w:rPr>
        <w:t>Norwegian</w:t>
      </w:r>
      <w:r w:rsidR="001A3F7D">
        <w:rPr>
          <w:rFonts w:cs="Times New Roman"/>
          <w:i/>
          <w:szCs w:val="24"/>
        </w:rPr>
        <w:t> </w:t>
      </w:r>
      <w:r w:rsidRPr="005D0533">
        <w:rPr>
          <w:rFonts w:cs="Times New Roman"/>
          <w:i/>
          <w:szCs w:val="24"/>
        </w:rPr>
        <w:t>Air</w:t>
      </w:r>
      <w:r w:rsidRPr="005D0533">
        <w:rPr>
          <w:rFonts w:cs="Times New Roman"/>
          <w:szCs w:val="24"/>
        </w:rPr>
        <w:t xml:space="preserve"> (zemcenu aviosabiedrība, Norvēģija) ienākšanu Latvijā. </w:t>
      </w:r>
      <w:r w:rsidRPr="005D0533">
        <w:rPr>
          <w:rFonts w:cs="Times New Roman"/>
          <w:i/>
          <w:szCs w:val="24"/>
        </w:rPr>
        <w:t>Norwegian</w:t>
      </w:r>
      <w:r w:rsidR="001A3F7D">
        <w:rPr>
          <w:rFonts w:cs="Times New Roman"/>
          <w:i/>
          <w:szCs w:val="24"/>
        </w:rPr>
        <w:t> </w:t>
      </w:r>
      <w:r w:rsidRPr="005D0533">
        <w:rPr>
          <w:rFonts w:cs="Times New Roman"/>
          <w:i/>
          <w:szCs w:val="24"/>
        </w:rPr>
        <w:t>Air</w:t>
      </w:r>
      <w:r w:rsidRPr="005D0533">
        <w:rPr>
          <w:rFonts w:cs="Times New Roman"/>
          <w:szCs w:val="24"/>
        </w:rPr>
        <w:t xml:space="preserve"> jau ir pieņēmis darbā 90 darbiniekus un </w:t>
      </w:r>
      <w:r w:rsidR="00C5300C" w:rsidRPr="005D0533">
        <w:rPr>
          <w:rFonts w:cs="Times New Roman"/>
          <w:szCs w:val="24"/>
        </w:rPr>
        <w:t>izveidoj</w:t>
      </w:r>
      <w:r w:rsidR="00C5300C">
        <w:rPr>
          <w:rFonts w:cs="Times New Roman"/>
          <w:szCs w:val="24"/>
        </w:rPr>
        <w:t>a</w:t>
      </w:r>
      <w:r w:rsidR="00C5300C" w:rsidRPr="005D0533">
        <w:rPr>
          <w:rFonts w:cs="Times New Roman"/>
          <w:szCs w:val="24"/>
        </w:rPr>
        <w:t xml:space="preserve"> </w:t>
      </w:r>
      <w:r w:rsidRPr="005D0533">
        <w:rPr>
          <w:rFonts w:cs="Times New Roman"/>
          <w:szCs w:val="24"/>
        </w:rPr>
        <w:t>biznesa pakalpojumu centru Rīgā</w:t>
      </w:r>
      <w:r w:rsidR="00A012DE">
        <w:rPr>
          <w:rFonts w:cs="Times New Roman"/>
          <w:szCs w:val="24"/>
        </w:rPr>
        <w:t>. S</w:t>
      </w:r>
      <w:r w:rsidR="00A012DE" w:rsidRPr="005D0533">
        <w:rPr>
          <w:rFonts w:cs="Times New Roman"/>
          <w:szCs w:val="24"/>
        </w:rPr>
        <w:t xml:space="preserve">avukārt </w:t>
      </w:r>
      <w:r w:rsidRPr="005D0533">
        <w:rPr>
          <w:rFonts w:cs="Times New Roman"/>
          <w:i/>
          <w:szCs w:val="24"/>
        </w:rPr>
        <w:t>Swisscom</w:t>
      </w:r>
      <w:r w:rsidRPr="005D0533">
        <w:rPr>
          <w:rFonts w:cs="Times New Roman"/>
          <w:szCs w:val="24"/>
        </w:rPr>
        <w:t xml:space="preserve">, viens no lielākajiem Centrāleiropas telekomunikācijas uzņēmumiem, atvēris </w:t>
      </w:r>
      <w:r w:rsidRPr="005D0533">
        <w:rPr>
          <w:rFonts w:cs="Times New Roman"/>
          <w:i/>
          <w:szCs w:val="24"/>
        </w:rPr>
        <w:t>DevOps</w:t>
      </w:r>
      <w:r w:rsidRPr="005D0533">
        <w:rPr>
          <w:rFonts w:cs="Times New Roman"/>
          <w:szCs w:val="24"/>
        </w:rPr>
        <w:t xml:space="preserve"> centru </w:t>
      </w:r>
      <w:r w:rsidR="001A3F7D" w:rsidRPr="005D0533">
        <w:rPr>
          <w:rFonts w:cs="Times New Roman"/>
          <w:i/>
          <w:szCs w:val="24"/>
        </w:rPr>
        <w:t>Z</w:t>
      </w:r>
      <w:r w:rsidR="001A3F7D">
        <w:rPr>
          <w:rFonts w:cs="Times New Roman"/>
          <w:i/>
          <w:szCs w:val="24"/>
        </w:rPr>
        <w:t> </w:t>
      </w:r>
      <w:r w:rsidRPr="005D0533">
        <w:rPr>
          <w:rFonts w:cs="Times New Roman"/>
          <w:i/>
          <w:szCs w:val="24"/>
        </w:rPr>
        <w:t>Towers</w:t>
      </w:r>
      <w:r w:rsidR="001A3F7D">
        <w:rPr>
          <w:rFonts w:cs="Times New Roman"/>
          <w:i/>
          <w:szCs w:val="24"/>
        </w:rPr>
        <w:t xml:space="preserve"> </w:t>
      </w:r>
      <w:r w:rsidRPr="005D0533">
        <w:rPr>
          <w:rFonts w:cs="Times New Roman"/>
          <w:szCs w:val="24"/>
        </w:rPr>
        <w:t>un piesaistījis jau 40 darbiniekus.</w:t>
      </w:r>
    </w:p>
    <w:p w14:paraId="0021134D" w14:textId="243478FE" w:rsidR="00B74211" w:rsidRPr="00A47C87" w:rsidRDefault="00B74211" w:rsidP="00B74211">
      <w:pPr>
        <w:spacing w:before="60" w:after="60" w:line="240" w:lineRule="auto"/>
        <w:jc w:val="both"/>
        <w:rPr>
          <w:rFonts w:cs="Times New Roman"/>
          <w:szCs w:val="24"/>
        </w:rPr>
      </w:pPr>
      <w:r w:rsidRPr="00A72FD0">
        <w:rPr>
          <w:rStyle w:val="Strong"/>
          <w:rFonts w:eastAsia="Calibri" w:cs="Times New Roman"/>
          <w:b w:val="0"/>
          <w:bCs w:val="0"/>
        </w:rPr>
        <w:t>2020. gada decembrī LIAA ar EM atbalstu uzsāka darbu pie prioritāro investīciju “</w:t>
      </w:r>
      <w:r>
        <w:rPr>
          <w:rStyle w:val="Strong"/>
          <w:rFonts w:eastAsia="Calibri" w:cs="Times New Roman"/>
          <w:b w:val="0"/>
          <w:bCs w:val="0"/>
        </w:rPr>
        <w:t>Z</w:t>
      </w:r>
      <w:r w:rsidRPr="00A72FD0">
        <w:rPr>
          <w:rStyle w:val="Strong"/>
          <w:rFonts w:eastAsia="Calibri" w:cs="Times New Roman"/>
          <w:b w:val="0"/>
          <w:bCs w:val="0"/>
        </w:rPr>
        <w:t xml:space="preserve">aļā koridora” piedāvājuma sagatavošanas, </w:t>
      </w:r>
      <w:r w:rsidRPr="00A72FD0">
        <w:rPr>
          <w:rFonts w:cs="Times New Roman"/>
          <w:szCs w:val="24"/>
        </w:rPr>
        <w:t xml:space="preserve">lai ar grozījumiem normatīvajos aktos noņemtu spēkā esošās administratīvās barjeras stratēģiski nozīmīgu investīciju projektu ieviešanā un uzlabotu Latvijas konkurētspēju un investīciju vidi. Uzsvars tika likts uz </w:t>
      </w:r>
      <w:hyperlink r:id="rId79" w:history="1">
        <w:r w:rsidRPr="00EF1F00">
          <w:rPr>
            <w:rStyle w:val="Hyperlink"/>
            <w:i/>
            <w:iCs/>
            <w:color w:val="00859B"/>
          </w:rPr>
          <w:t>Nacionālās industriālās politikas pamatnostādnes 2021.-2027.gadam</w:t>
        </w:r>
      </w:hyperlink>
      <w:r w:rsidR="00352A6F">
        <w:rPr>
          <w:rStyle w:val="Hyperlink"/>
          <w:i/>
          <w:iCs/>
          <w:color w:val="00859B"/>
        </w:rPr>
        <w:t xml:space="preserve"> </w:t>
      </w:r>
      <w:r w:rsidRPr="00A72FD0">
        <w:rPr>
          <w:rFonts w:cs="Times New Roman"/>
          <w:szCs w:val="24"/>
        </w:rPr>
        <w:t xml:space="preserve">definētajām prioritārajām nozarēm: bioekonomika, viedie materiāli, enerģētika </w:t>
      </w:r>
      <w:r w:rsidRPr="005D0533">
        <w:rPr>
          <w:rFonts w:cs="Times New Roman"/>
          <w:szCs w:val="24"/>
        </w:rPr>
        <w:t xml:space="preserve">un mobilitāte, kā arī farmācija, biomedicīna, informācijas un komunikācijas tehnoloģijas. Tās ir nozares ar ļoti </w:t>
      </w:r>
      <w:r w:rsidRPr="00A47C87">
        <w:rPr>
          <w:rFonts w:cs="Times New Roman"/>
          <w:szCs w:val="24"/>
        </w:rPr>
        <w:t xml:space="preserve">augstu pievienoto vērtību, par kuru uzņēmumiem cīnās daudzas pasaules valstis. </w:t>
      </w:r>
      <w:r w:rsidRPr="00A47C87">
        <w:rPr>
          <w:rFonts w:cs="Times New Roman"/>
        </w:rPr>
        <w:t>Paredzams, ka “</w:t>
      </w:r>
      <w:r w:rsidRPr="00A47C87">
        <w:t>Z</w:t>
      </w:r>
      <w:r w:rsidRPr="00A47C87">
        <w:rPr>
          <w:rFonts w:cs="Times New Roman"/>
        </w:rPr>
        <w:t xml:space="preserve">aļā koridora” iniciatīvas ieviešana uzlabos arī Latvijas pozīciju Pasaules bankas veidotajā </w:t>
      </w:r>
      <w:r w:rsidRPr="00A47C87">
        <w:rPr>
          <w:rFonts w:cs="Times New Roman"/>
          <w:i/>
        </w:rPr>
        <w:t>Doing</w:t>
      </w:r>
      <w:r>
        <w:rPr>
          <w:rFonts w:cs="Times New Roman"/>
          <w:i/>
        </w:rPr>
        <w:t> </w:t>
      </w:r>
      <w:r w:rsidRPr="00A47C87">
        <w:rPr>
          <w:rFonts w:cs="Times New Roman"/>
          <w:i/>
        </w:rPr>
        <w:t>Business</w:t>
      </w:r>
      <w:r w:rsidR="008049B3">
        <w:rPr>
          <w:rFonts w:cs="Times New Roman"/>
          <w:i/>
        </w:rPr>
        <w:t xml:space="preserve"> </w:t>
      </w:r>
      <w:r w:rsidRPr="00E368AF">
        <w:rPr>
          <w:rFonts w:cs="Times New Roman"/>
        </w:rPr>
        <w:t>reitingā, kur</w:t>
      </w:r>
      <w:r w:rsidRPr="00A47C87">
        <w:rPr>
          <w:rFonts w:cs="Times New Roman"/>
        </w:rPr>
        <w:t xml:space="preserve"> kā Latvijas vājākās pozīcijas atzīmētas tieši administratīvās procedūras – īpaši būvniecības jomā.</w:t>
      </w:r>
    </w:p>
    <w:p w14:paraId="0FEE122B" w14:textId="3DF6DDCA" w:rsidR="00B74211" w:rsidRPr="005D0533" w:rsidRDefault="00B74211" w:rsidP="00B74211">
      <w:pPr>
        <w:spacing w:before="60" w:after="60" w:line="240" w:lineRule="auto"/>
        <w:jc w:val="both"/>
        <w:rPr>
          <w:rFonts w:cs="Times New Roman"/>
          <w:szCs w:val="24"/>
        </w:rPr>
      </w:pPr>
      <w:r w:rsidRPr="005D0533">
        <w:rPr>
          <w:rFonts w:eastAsia="Calibri" w:cs="Times New Roman"/>
          <w:szCs w:val="24"/>
        </w:rPr>
        <w:t xml:space="preserve">Latvijā ir izveidojusies situācija, kad pastāv vairāki savstarpēji nesaistīti dažādu nozaru zīmoli, taču nav nostiprināta virzība uz </w:t>
      </w:r>
      <w:r w:rsidRPr="00A47C87">
        <w:rPr>
          <w:rFonts w:eastAsia="Calibri" w:cs="Times New Roman"/>
          <w:b/>
          <w:bCs/>
          <w:color w:val="00859B"/>
          <w:szCs w:val="24"/>
        </w:rPr>
        <w:t>vienota Latvijas valsts tēla izveidi</w:t>
      </w:r>
      <w:r w:rsidRPr="005D0533">
        <w:rPr>
          <w:rFonts w:eastAsia="Calibri" w:cs="Times New Roman"/>
          <w:szCs w:val="24"/>
        </w:rPr>
        <w:t>. Vienota un atpazīstama valsts tēla neesamība, būtiski ietekmē Latvijas konkurētspēju globālā līmenī. Vienots valsts tēls ir īpaši nozīmīgs Latvijas uzņēmumiem starptautiskajā tirgū, kur skaidra produkta izcelsmes vieta un pozitīvas asociācijas var pievienot vērtību uzņēmuma radītajai produkcijai, vai tieši pretēji – tēla neesamības gadījumā, var samazināt uzticamību un produkta vērtību. Tā pat, vienots valsts tēls ir būtisks instruments Latvijas pārstāvjiem vēstniecībās un pārstāvniecībās, kā arī katram, kurš pārstāv Latviju ārvalstīs, lai spētu piegādāt vienotu ziņu par valsts stiprajām pusēm un attīstības virzienu.</w:t>
      </w:r>
      <w:r w:rsidR="000D08BD">
        <w:rPr>
          <w:rFonts w:eastAsia="Calibri" w:cs="Times New Roman"/>
          <w:szCs w:val="24"/>
        </w:rPr>
        <w:t xml:space="preserve"> </w:t>
      </w:r>
      <w:r>
        <w:rPr>
          <w:rFonts w:eastAsia="Calibri" w:cs="Times New Roman"/>
          <w:szCs w:val="24"/>
        </w:rPr>
        <w:t xml:space="preserve">EM un LIAA jau </w:t>
      </w:r>
      <w:r w:rsidRPr="005D0533">
        <w:rPr>
          <w:rFonts w:eastAsia="Calibri" w:cs="Times New Roman"/>
          <w:szCs w:val="24"/>
        </w:rPr>
        <w:t>kopš 2019.</w:t>
      </w:r>
      <w:r>
        <w:rPr>
          <w:rFonts w:eastAsia="Calibri" w:cs="Times New Roman"/>
          <w:szCs w:val="24"/>
        </w:rPr>
        <w:t> </w:t>
      </w:r>
      <w:r w:rsidRPr="005D0533">
        <w:rPr>
          <w:rFonts w:eastAsia="Calibri" w:cs="Times New Roman"/>
          <w:szCs w:val="24"/>
        </w:rPr>
        <w:t xml:space="preserve">gada ir </w:t>
      </w:r>
      <w:r w:rsidRPr="00A47C87">
        <w:rPr>
          <w:rFonts w:eastAsia="Calibri" w:cs="Times New Roman"/>
          <w:bCs/>
          <w:szCs w:val="24"/>
        </w:rPr>
        <w:t>uzsākušas virzību uz vienota Latvijas valsts tēla izveidi.</w:t>
      </w:r>
      <w:r w:rsidRPr="005D0533">
        <w:rPr>
          <w:rFonts w:eastAsia="Calibri" w:cs="Times New Roman"/>
          <w:szCs w:val="24"/>
        </w:rPr>
        <w:t xml:space="preserve"> 2020.</w:t>
      </w:r>
      <w:r>
        <w:rPr>
          <w:rFonts w:eastAsia="Calibri" w:cs="Times New Roman"/>
          <w:szCs w:val="24"/>
        </w:rPr>
        <w:t> </w:t>
      </w:r>
      <w:r w:rsidRPr="005D0533">
        <w:rPr>
          <w:rFonts w:eastAsia="Calibri" w:cs="Times New Roman"/>
          <w:szCs w:val="24"/>
        </w:rPr>
        <w:t>gad</w:t>
      </w:r>
      <w:r>
        <w:rPr>
          <w:rFonts w:eastAsia="Calibri" w:cs="Times New Roman"/>
          <w:szCs w:val="24"/>
        </w:rPr>
        <w:t>ā</w:t>
      </w:r>
      <w:r w:rsidRPr="005D0533">
        <w:rPr>
          <w:rFonts w:eastAsia="Calibri" w:cs="Times New Roman"/>
          <w:szCs w:val="24"/>
        </w:rPr>
        <w:t xml:space="preserve"> sadarbībā ar uzņēmumu pārstāvjiem no dažādām nozarēm, kā arī organizējot plašu mērogu sabiedrības iesaistes kampaņas, </w:t>
      </w:r>
      <w:r>
        <w:rPr>
          <w:rFonts w:eastAsia="Calibri" w:cs="Times New Roman"/>
          <w:szCs w:val="24"/>
        </w:rPr>
        <w:t>atbilstoši</w:t>
      </w:r>
      <w:r w:rsidR="00F546F7">
        <w:rPr>
          <w:rFonts w:eastAsia="Calibri" w:cs="Times New Roman"/>
          <w:szCs w:val="24"/>
        </w:rPr>
        <w:t xml:space="preserve"> </w:t>
      </w:r>
      <w:r>
        <w:t xml:space="preserve">MK 2020. gada 29. septembrī izskatītajā </w:t>
      </w:r>
      <w:r w:rsidRPr="003950AF">
        <w:t xml:space="preserve">ziņojumā </w:t>
      </w:r>
      <w:hyperlink r:id="rId80" w:history="1">
        <w:r w:rsidRPr="00EF1F00">
          <w:rPr>
            <w:rStyle w:val="Hyperlink"/>
            <w:i/>
            <w:iCs/>
            <w:color w:val="00859B"/>
          </w:rPr>
          <w:t>Par vienota valsts tēla izstrādi</w:t>
        </w:r>
      </w:hyperlink>
      <w:r w:rsidR="00F546F7">
        <w:rPr>
          <w:rStyle w:val="Hyperlink"/>
          <w:i/>
          <w:iCs/>
          <w:color w:val="00859B"/>
        </w:rPr>
        <w:t xml:space="preserve"> </w:t>
      </w:r>
      <w:r w:rsidRPr="003950AF">
        <w:t>noteikt</w:t>
      </w:r>
      <w:r>
        <w:t>ajam</w:t>
      </w:r>
      <w:r>
        <w:rPr>
          <w:rFonts w:eastAsia="Calibri" w:cs="Times New Roman"/>
          <w:szCs w:val="24"/>
        </w:rPr>
        <w:t xml:space="preserve">, tika </w:t>
      </w:r>
      <w:r w:rsidRPr="005D0533">
        <w:rPr>
          <w:rFonts w:eastAsia="Calibri" w:cs="Times New Roman"/>
          <w:szCs w:val="24"/>
        </w:rPr>
        <w:t>izstrādā</w:t>
      </w:r>
      <w:r>
        <w:rPr>
          <w:rFonts w:eastAsia="Calibri" w:cs="Times New Roman"/>
          <w:szCs w:val="24"/>
        </w:rPr>
        <w:t>ts</w:t>
      </w:r>
      <w:r w:rsidRPr="005D0533">
        <w:rPr>
          <w:rFonts w:eastAsia="Calibri" w:cs="Times New Roman"/>
          <w:szCs w:val="24"/>
        </w:rPr>
        <w:t xml:space="preserve"> Latvijas valsts vienota tēla vērtības piedāvājumu, kas sevī ietver trīs, Latviju raksturojošus attīstības virzienus:</w:t>
      </w:r>
    </w:p>
    <w:p w14:paraId="3B3BC102" w14:textId="284F9F35" w:rsidR="00B74211" w:rsidRPr="005D0533" w:rsidRDefault="00B74211" w:rsidP="00BE6C4B">
      <w:pPr>
        <w:pStyle w:val="ListParagraph"/>
        <w:numPr>
          <w:ilvl w:val="0"/>
          <w:numId w:val="25"/>
        </w:numPr>
        <w:ind w:left="714" w:hanging="357"/>
        <w:contextualSpacing w:val="0"/>
        <w:jc w:val="both"/>
        <w:rPr>
          <w:rFonts w:eastAsiaTheme="minorEastAsia"/>
        </w:rPr>
      </w:pPr>
      <w:r w:rsidRPr="00A47C87">
        <w:rPr>
          <w:rFonts w:eastAsia="Calibri"/>
          <w:b/>
          <w:bCs/>
          <w:color w:val="00859B"/>
        </w:rPr>
        <w:t>Dabiska smilškaste</w:t>
      </w:r>
      <w:r w:rsidR="00FE65C1" w:rsidRPr="00A26203">
        <w:rPr>
          <w:rFonts w:eastAsia="Calibri"/>
        </w:rPr>
        <w:t xml:space="preserve"> </w:t>
      </w:r>
      <w:r w:rsidRPr="005D0533">
        <w:rPr>
          <w:rFonts w:eastAsia="Calibri"/>
        </w:rPr>
        <w:t>(</w:t>
      </w:r>
      <w:r w:rsidRPr="005D0533">
        <w:rPr>
          <w:rFonts w:eastAsia="Calibri"/>
          <w:i/>
          <w:iCs/>
        </w:rPr>
        <w:t>Natural playground)</w:t>
      </w:r>
      <w:r w:rsidRPr="005D0533">
        <w:rPr>
          <w:rFonts w:eastAsia="Calibri"/>
        </w:rPr>
        <w:t>: Latvija piedāvā iespēju radīt vai pārbaudīt idejas drošos un videi draudzīgos apstākļos. Galvenais fokuss tiek likts uz vidi, kuru ir iespējams pielāgot visdažādākajām vajadzībām;</w:t>
      </w:r>
    </w:p>
    <w:p w14:paraId="7E683336" w14:textId="029452B1" w:rsidR="00B74211" w:rsidRPr="005D0533" w:rsidRDefault="00B74211" w:rsidP="00BE6C4B">
      <w:pPr>
        <w:pStyle w:val="ListParagraph"/>
        <w:numPr>
          <w:ilvl w:val="0"/>
          <w:numId w:val="25"/>
        </w:numPr>
        <w:ind w:left="714" w:hanging="357"/>
        <w:contextualSpacing w:val="0"/>
        <w:jc w:val="both"/>
        <w:rPr>
          <w:rFonts w:eastAsiaTheme="minorEastAsia"/>
        </w:rPr>
      </w:pPr>
      <w:r w:rsidRPr="00A47C87">
        <w:rPr>
          <w:rFonts w:eastAsia="Calibri"/>
          <w:b/>
          <w:bCs/>
          <w:color w:val="00859B"/>
        </w:rPr>
        <w:t>Gatavi jebkādiem izaicinājumiem</w:t>
      </w:r>
      <w:r w:rsidRPr="005D0533">
        <w:rPr>
          <w:rFonts w:eastAsia="Calibri"/>
        </w:rPr>
        <w:t xml:space="preserve"> (</w:t>
      </w:r>
      <w:r w:rsidRPr="005D0533">
        <w:rPr>
          <w:rFonts w:eastAsia="Calibri"/>
          <w:i/>
          <w:iCs/>
        </w:rPr>
        <w:t>Ready</w:t>
      </w:r>
      <w:r w:rsidR="00F546F7">
        <w:rPr>
          <w:rFonts w:eastAsia="Calibri"/>
          <w:i/>
          <w:iCs/>
        </w:rPr>
        <w:t xml:space="preserve"> </w:t>
      </w:r>
      <w:r w:rsidRPr="005D0533">
        <w:rPr>
          <w:rFonts w:eastAsia="Calibri"/>
          <w:i/>
          <w:iCs/>
        </w:rPr>
        <w:t>for</w:t>
      </w:r>
      <w:r w:rsidR="00F546F7">
        <w:rPr>
          <w:rFonts w:eastAsia="Calibri"/>
          <w:i/>
          <w:iCs/>
        </w:rPr>
        <w:t xml:space="preserve"> </w:t>
      </w:r>
      <w:r w:rsidRPr="005D0533">
        <w:rPr>
          <w:rFonts w:eastAsia="Calibri"/>
          <w:i/>
          <w:iCs/>
        </w:rPr>
        <w:t>any</w:t>
      </w:r>
      <w:r w:rsidR="00F546F7">
        <w:rPr>
          <w:rFonts w:eastAsia="Calibri"/>
          <w:i/>
          <w:iCs/>
        </w:rPr>
        <w:t xml:space="preserve"> </w:t>
      </w:r>
      <w:r w:rsidRPr="005D0533">
        <w:rPr>
          <w:rFonts w:eastAsia="Calibri"/>
          <w:i/>
          <w:iCs/>
        </w:rPr>
        <w:t>challenges</w:t>
      </w:r>
      <w:r w:rsidRPr="005D0533">
        <w:rPr>
          <w:rFonts w:eastAsia="Calibri"/>
        </w:rPr>
        <w:t>): Latviešu dabā ir radīt un pārsteigt pasauli ar savām idejām, prasmēm un augstajām darba spējām. Savienojot cilvēku zināšanas un prasmes ar tehnoloģiju iespējām un vidi, mēs kļūstam par augstākās raudzes problēmu risinātājiem;</w:t>
      </w:r>
    </w:p>
    <w:p w14:paraId="7E818797" w14:textId="76E773BA" w:rsidR="00B74211" w:rsidRPr="005D0533" w:rsidRDefault="00B74211" w:rsidP="00BE6C4B">
      <w:pPr>
        <w:pStyle w:val="ListParagraph"/>
        <w:numPr>
          <w:ilvl w:val="0"/>
          <w:numId w:val="25"/>
        </w:numPr>
        <w:ind w:left="714" w:hanging="357"/>
        <w:contextualSpacing w:val="0"/>
        <w:jc w:val="both"/>
        <w:rPr>
          <w:rFonts w:eastAsiaTheme="minorEastAsia"/>
        </w:rPr>
      </w:pPr>
      <w:r w:rsidRPr="00A47C87">
        <w:rPr>
          <w:rFonts w:eastAsia="Calibri"/>
          <w:b/>
          <w:bCs/>
          <w:color w:val="00859B"/>
        </w:rPr>
        <w:lastRenderedPageBreak/>
        <w:t>Pasauļu savienotāji</w:t>
      </w:r>
      <w:r w:rsidR="00FE65C1" w:rsidRPr="00A26203">
        <w:rPr>
          <w:rFonts w:eastAsia="Calibri"/>
        </w:rPr>
        <w:t xml:space="preserve"> </w:t>
      </w:r>
      <w:r w:rsidRPr="005D0533">
        <w:rPr>
          <w:rFonts w:eastAsia="Calibri"/>
        </w:rPr>
        <w:t>(</w:t>
      </w:r>
      <w:r w:rsidRPr="005D0533">
        <w:rPr>
          <w:rFonts w:eastAsia="Calibri"/>
          <w:i/>
          <w:iCs/>
        </w:rPr>
        <w:t>Connectingworlds apart</w:t>
      </w:r>
      <w:r w:rsidRPr="005D0533">
        <w:rPr>
          <w:rFonts w:eastAsia="Calibri"/>
        </w:rPr>
        <w:t xml:space="preserve">): Latvija ir savienotājs, kas palīdz satikties īstajiem cilvēkiem, lai radītu jaunas, negaidītas kombinācijas. Mēs esam starp jūru un mežu, starp senām tradīcijām un jaunākajām tehnoloģijām. </w:t>
      </w:r>
    </w:p>
    <w:p w14:paraId="4A3B9820" w14:textId="00BEF0E2" w:rsidR="00B74211" w:rsidRPr="005D0533" w:rsidRDefault="00B74211" w:rsidP="00B74211">
      <w:pPr>
        <w:spacing w:before="60" w:after="60" w:line="240" w:lineRule="auto"/>
        <w:jc w:val="both"/>
        <w:rPr>
          <w:rFonts w:cs="Times New Roman"/>
          <w:szCs w:val="24"/>
        </w:rPr>
      </w:pPr>
      <w:r w:rsidRPr="00A47C87">
        <w:rPr>
          <w:rFonts w:eastAsia="Calibri" w:cs="Times New Roman"/>
          <w:szCs w:val="24"/>
        </w:rPr>
        <w:t xml:space="preserve">Latvijas valsts tēla ieviešanas virsmērķis ir veidot vienotu un saskaņotu ietvaru, kā komunicēt par Latvijas darbību īstenošanas kvalitāti ārvalstīs, un reizē attīstīt </w:t>
      </w:r>
      <w:r w:rsidRPr="008524DA">
        <w:rPr>
          <w:rFonts w:eastAsia="Calibri" w:cs="Times New Roman"/>
          <w:szCs w:val="24"/>
        </w:rPr>
        <w:t>naratīvu</w:t>
      </w:r>
      <w:r w:rsidR="00F546F7">
        <w:rPr>
          <w:rFonts w:eastAsia="Calibri" w:cs="Times New Roman"/>
          <w:szCs w:val="24"/>
        </w:rPr>
        <w:t xml:space="preserve"> </w:t>
      </w:r>
      <w:r w:rsidR="008524DA">
        <w:rPr>
          <w:rFonts w:eastAsia="Calibri" w:cs="Times New Roman"/>
          <w:szCs w:val="24"/>
        </w:rPr>
        <w:t>(vai</w:t>
      </w:r>
      <w:r w:rsidR="008524DA">
        <w:t xml:space="preserve"> stāstījumu)</w:t>
      </w:r>
      <w:r w:rsidR="00F546F7">
        <w:t xml:space="preserve"> </w:t>
      </w:r>
      <w:r w:rsidRPr="00A47C87">
        <w:rPr>
          <w:rFonts w:eastAsia="Calibri" w:cs="Times New Roman"/>
          <w:szCs w:val="24"/>
        </w:rPr>
        <w:t>Latvijas iedzīvotājiem.</w:t>
      </w:r>
      <w:r w:rsidRPr="005D0533">
        <w:rPr>
          <w:rFonts w:eastAsia="Calibri" w:cs="Times New Roman"/>
          <w:szCs w:val="24"/>
        </w:rPr>
        <w:t xml:space="preserve"> Komunikācija un mārketings valsts tēla ieviešanā ir tikai atbalsta instruments, ne mērķis pats par sevi, līdz ar to valsts tēla izstrāde, balstoties minētajā vērtību piedāvājumā, turpināsies arī 2021.</w:t>
      </w:r>
      <w:r>
        <w:rPr>
          <w:rFonts w:eastAsia="Calibri" w:cs="Times New Roman"/>
          <w:szCs w:val="24"/>
        </w:rPr>
        <w:t> </w:t>
      </w:r>
      <w:r w:rsidRPr="005D0533">
        <w:rPr>
          <w:rFonts w:eastAsia="Calibri" w:cs="Times New Roman"/>
          <w:szCs w:val="24"/>
        </w:rPr>
        <w:t>gadā, īstenojot “misiju orientētu” pieeju, kas kalpos kā pamata stratēģija Latvijas tēla ilgtspējas nodrošināšanai un noteikto mērķu sasniegšanā.</w:t>
      </w:r>
    </w:p>
    <w:p w14:paraId="6B47EF98" w14:textId="77777777" w:rsidR="00116448" w:rsidRPr="00F5511B" w:rsidRDefault="00116448"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79009B" w:rsidRPr="00586256" w14:paraId="6D1B63D8" w14:textId="77777777" w:rsidTr="0079009B">
        <w:tc>
          <w:tcPr>
            <w:tcW w:w="9628" w:type="dxa"/>
            <w:tcBorders>
              <w:top w:val="nil"/>
              <w:left w:val="nil"/>
              <w:bottom w:val="nil"/>
              <w:right w:val="nil"/>
            </w:tcBorders>
            <w:shd w:val="clear" w:color="auto" w:fill="31849B" w:themeFill="accent5" w:themeFillShade="BF"/>
          </w:tcPr>
          <w:p w14:paraId="41BF909B" w14:textId="554CBF1E" w:rsidR="0079009B" w:rsidRPr="00586256" w:rsidRDefault="00586256" w:rsidP="00BE6C4B">
            <w:pPr>
              <w:pStyle w:val="Heading2"/>
              <w:numPr>
                <w:ilvl w:val="1"/>
                <w:numId w:val="16"/>
              </w:numPr>
              <w:spacing w:before="120" w:after="120"/>
              <w:ind w:left="357" w:hanging="357"/>
              <w:rPr>
                <w:szCs w:val="24"/>
                <w:lang w:val="lv-LV"/>
              </w:rPr>
            </w:pPr>
            <w:bookmarkStart w:id="39" w:name="_Toc78874604"/>
            <w:r w:rsidRPr="00586256">
              <w:rPr>
                <w:lang w:val="lv-LV"/>
              </w:rPr>
              <w:t>Enerģētikas politikas un energoefektivitātes veicināšanas jomā</w:t>
            </w:r>
            <w:bookmarkEnd w:id="39"/>
          </w:p>
        </w:tc>
      </w:tr>
    </w:tbl>
    <w:p w14:paraId="4ED257FE" w14:textId="0DA5FB7A" w:rsidR="00F763C8" w:rsidRPr="00A709B2" w:rsidRDefault="00F763C8" w:rsidP="00156F13">
      <w:pPr>
        <w:spacing w:before="120" w:after="60" w:line="240" w:lineRule="auto"/>
        <w:jc w:val="both"/>
        <w:rPr>
          <w:szCs w:val="24"/>
        </w:rPr>
      </w:pPr>
      <w:bookmarkStart w:id="40" w:name="_Hlk17727491"/>
      <w:r>
        <w:rPr>
          <w:szCs w:val="24"/>
        </w:rPr>
        <w:t>Pārskata periodā</w:t>
      </w:r>
      <w:r w:rsidRPr="00A709B2">
        <w:rPr>
          <w:szCs w:val="24"/>
        </w:rPr>
        <w:t xml:space="preserve"> turpinājās darbs pie </w:t>
      </w:r>
      <w:r w:rsidRPr="00C02F47">
        <w:rPr>
          <w:b/>
          <w:bCs/>
          <w:color w:val="00859B"/>
          <w:szCs w:val="24"/>
        </w:rPr>
        <w:t>elektroenerģijas obligātā iepirkuma (OI)</w:t>
      </w:r>
      <w:r w:rsidR="00F546F7">
        <w:rPr>
          <w:b/>
          <w:bCs/>
          <w:color w:val="00859B"/>
          <w:szCs w:val="24"/>
        </w:rPr>
        <w:t xml:space="preserve"> </w:t>
      </w:r>
      <w:r w:rsidRPr="00A709B2">
        <w:rPr>
          <w:szCs w:val="24"/>
        </w:rPr>
        <w:t xml:space="preserve">sistēmas sakārtošanas, īpašu uzmanību pievēršot valsts atbalstu saņemošo elektrostaciju uzraudzībai. No 2020. gada 1. janvāra enerģētikas politikas administrēšanas funkcijas, tostarp OI uzraudzību, uzsāka īstenot </w:t>
      </w:r>
      <w:r w:rsidR="00C02F47">
        <w:rPr>
          <w:szCs w:val="24"/>
        </w:rPr>
        <w:t>BVKB</w:t>
      </w:r>
      <w:r w:rsidRPr="00A709B2">
        <w:rPr>
          <w:szCs w:val="24"/>
        </w:rPr>
        <w:t xml:space="preserve">, tādējādi, nodalot </w:t>
      </w:r>
      <w:r w:rsidRPr="00A709B2">
        <w:rPr>
          <w:rFonts w:eastAsia="Times New Roman"/>
          <w:szCs w:val="24"/>
          <w:lang w:eastAsia="lv-LV"/>
        </w:rPr>
        <w:t>politikas veidošanas un uzraudzības funkcijas</w:t>
      </w:r>
      <w:r w:rsidR="00A26203">
        <w:rPr>
          <w:rFonts w:eastAsia="Times New Roman"/>
          <w:szCs w:val="24"/>
          <w:lang w:eastAsia="lv-LV"/>
        </w:rPr>
        <w:t>,</w:t>
      </w:r>
      <w:r w:rsidR="00D017DD">
        <w:rPr>
          <w:rFonts w:eastAsia="Times New Roman"/>
          <w:szCs w:val="24"/>
          <w:lang w:eastAsia="lv-LV"/>
        </w:rPr>
        <w:t xml:space="preserve"> </w:t>
      </w:r>
      <w:r w:rsidR="00A26203">
        <w:rPr>
          <w:rFonts w:eastAsia="Times New Roman"/>
          <w:szCs w:val="24"/>
          <w:lang w:eastAsia="lv-LV"/>
        </w:rPr>
        <w:t>kā arī</w:t>
      </w:r>
      <w:r w:rsidR="00D017DD" w:rsidRPr="00A709B2">
        <w:rPr>
          <w:rFonts w:eastAsia="Times New Roman"/>
          <w:szCs w:val="24"/>
          <w:lang w:eastAsia="lv-LV"/>
        </w:rPr>
        <w:t xml:space="preserve"> </w:t>
      </w:r>
      <w:r w:rsidR="00A26203" w:rsidRPr="00A709B2">
        <w:rPr>
          <w:rFonts w:eastAsia="Times New Roman"/>
          <w:szCs w:val="24"/>
          <w:lang w:eastAsia="lv-LV"/>
        </w:rPr>
        <w:t>nodrošin</w:t>
      </w:r>
      <w:r w:rsidR="00A26203">
        <w:rPr>
          <w:rFonts w:eastAsia="Times New Roman"/>
          <w:szCs w:val="24"/>
          <w:lang w:eastAsia="lv-LV"/>
        </w:rPr>
        <w:t>o</w:t>
      </w:r>
      <w:r w:rsidR="00A26203" w:rsidRPr="00A709B2">
        <w:rPr>
          <w:rFonts w:eastAsia="Times New Roman"/>
          <w:szCs w:val="24"/>
          <w:lang w:eastAsia="lv-LV"/>
        </w:rPr>
        <w:t>t</w:t>
      </w:r>
      <w:r w:rsidR="00A26203" w:rsidRPr="00A709B2">
        <w:rPr>
          <w:szCs w:val="24"/>
        </w:rPr>
        <w:t xml:space="preserve"> </w:t>
      </w:r>
      <w:r w:rsidRPr="00A709B2">
        <w:rPr>
          <w:szCs w:val="24"/>
        </w:rPr>
        <w:t xml:space="preserve">ievērojami </w:t>
      </w:r>
      <w:r w:rsidR="00A26203" w:rsidRPr="00A709B2">
        <w:rPr>
          <w:szCs w:val="24"/>
        </w:rPr>
        <w:t>efektīvāk</w:t>
      </w:r>
      <w:r w:rsidR="00A26203">
        <w:rPr>
          <w:szCs w:val="24"/>
        </w:rPr>
        <w:t>u</w:t>
      </w:r>
      <w:r w:rsidR="00A26203" w:rsidRPr="00A709B2">
        <w:rPr>
          <w:szCs w:val="24"/>
        </w:rPr>
        <w:t xml:space="preserve"> </w:t>
      </w:r>
      <w:r w:rsidRPr="00A709B2">
        <w:rPr>
          <w:szCs w:val="24"/>
        </w:rPr>
        <w:t xml:space="preserve">valsts atbalsta sistēmas </w:t>
      </w:r>
      <w:r w:rsidR="00A26203" w:rsidRPr="00A709B2">
        <w:rPr>
          <w:szCs w:val="24"/>
        </w:rPr>
        <w:t>kontrol</w:t>
      </w:r>
      <w:r w:rsidR="00A26203">
        <w:rPr>
          <w:szCs w:val="24"/>
        </w:rPr>
        <w:t>i</w:t>
      </w:r>
      <w:r w:rsidRPr="00A709B2">
        <w:rPr>
          <w:szCs w:val="24"/>
        </w:rPr>
        <w:t>. 2020.</w:t>
      </w:r>
      <w:r w:rsidR="00C02F47">
        <w:rPr>
          <w:szCs w:val="24"/>
        </w:rPr>
        <w:t> </w:t>
      </w:r>
      <w:r w:rsidRPr="00A709B2">
        <w:rPr>
          <w:szCs w:val="24"/>
        </w:rPr>
        <w:t>gada 15.</w:t>
      </w:r>
      <w:r w:rsidR="00C02F47">
        <w:rPr>
          <w:szCs w:val="24"/>
        </w:rPr>
        <w:t> </w:t>
      </w:r>
      <w:r w:rsidRPr="00A709B2">
        <w:rPr>
          <w:szCs w:val="24"/>
        </w:rPr>
        <w:t xml:space="preserve">februārī stājās spēkā </w:t>
      </w:r>
      <w:hyperlink r:id="rId81" w:history="1">
        <w:r w:rsidR="00C02F47" w:rsidRPr="00C02F47">
          <w:rPr>
            <w:rStyle w:val="Hyperlink"/>
            <w:i/>
            <w:iCs/>
            <w:color w:val="00859B"/>
            <w:szCs w:val="24"/>
          </w:rPr>
          <w:t>Grozījumi Elektroenerģijas tirgus likumā</w:t>
        </w:r>
      </w:hyperlink>
      <w:r w:rsidRPr="00A709B2">
        <w:rPr>
          <w:szCs w:val="24"/>
        </w:rPr>
        <w:t xml:space="preserve">, kas cita starpā paredz elektroenerģijas ražotāju, kas saņem valsts atbalstu </w:t>
      </w:r>
      <w:r w:rsidR="00C02F47">
        <w:rPr>
          <w:szCs w:val="24"/>
        </w:rPr>
        <w:t>OI</w:t>
      </w:r>
      <w:r w:rsidRPr="00A709B2">
        <w:rPr>
          <w:szCs w:val="24"/>
        </w:rPr>
        <w:t xml:space="preserve"> veidā, kontroles stiprināšanu, ietvaru pārkompensācijas novēršanai un nepamatoti saņemtā valsts atbalsta atgūšanai. Sekojoši </w:t>
      </w:r>
      <w:r w:rsidR="00C02F47">
        <w:rPr>
          <w:szCs w:val="24"/>
        </w:rPr>
        <w:t>MK</w:t>
      </w:r>
      <w:r w:rsidRPr="00A709B2">
        <w:rPr>
          <w:szCs w:val="24"/>
        </w:rPr>
        <w:t xml:space="preserve"> pieņēma EM izstrādātos </w:t>
      </w:r>
      <w:r w:rsidR="00C02F47">
        <w:rPr>
          <w:szCs w:val="24"/>
        </w:rPr>
        <w:t>likumam</w:t>
      </w:r>
      <w:r w:rsidRPr="00A709B2">
        <w:rPr>
          <w:szCs w:val="24"/>
        </w:rPr>
        <w:t xml:space="preserve"> pakārtotos noteikumus, k</w:t>
      </w:r>
      <w:r w:rsidR="00C02F47">
        <w:rPr>
          <w:szCs w:val="24"/>
        </w:rPr>
        <w:t>as</w:t>
      </w:r>
      <w:r w:rsidRPr="00A709B2">
        <w:rPr>
          <w:szCs w:val="24"/>
        </w:rPr>
        <w:t xml:space="preserve"> normatīv</w:t>
      </w:r>
      <w:r>
        <w:rPr>
          <w:szCs w:val="24"/>
        </w:rPr>
        <w:t>o</w:t>
      </w:r>
      <w:r w:rsidRPr="00A709B2">
        <w:rPr>
          <w:szCs w:val="24"/>
        </w:rPr>
        <w:t xml:space="preserve"> regulējum</w:t>
      </w:r>
      <w:r>
        <w:rPr>
          <w:szCs w:val="24"/>
        </w:rPr>
        <w:t>u</w:t>
      </w:r>
      <w:r w:rsidRPr="00A709B2">
        <w:rPr>
          <w:szCs w:val="24"/>
        </w:rPr>
        <w:t xml:space="preserve"> papildinā</w:t>
      </w:r>
      <w:r>
        <w:rPr>
          <w:szCs w:val="24"/>
        </w:rPr>
        <w:t>ja</w:t>
      </w:r>
      <w:r w:rsidRPr="00A709B2">
        <w:rPr>
          <w:szCs w:val="24"/>
        </w:rPr>
        <w:t xml:space="preserve"> ar kurināmā izejvielu prasībām biogāzes stacijām</w:t>
      </w:r>
      <w:r>
        <w:rPr>
          <w:szCs w:val="24"/>
        </w:rPr>
        <w:t xml:space="preserve"> un</w:t>
      </w:r>
      <w:r w:rsidR="00F546F7">
        <w:rPr>
          <w:szCs w:val="24"/>
        </w:rPr>
        <w:t xml:space="preserve"> </w:t>
      </w:r>
      <w:r>
        <w:rPr>
          <w:szCs w:val="24"/>
        </w:rPr>
        <w:t xml:space="preserve">lietderīgas </w:t>
      </w:r>
      <w:r w:rsidRPr="00A709B2">
        <w:rPr>
          <w:szCs w:val="24"/>
        </w:rPr>
        <w:t xml:space="preserve">siltumenerģijas izmantošanas nosacījumiem, kā </w:t>
      </w:r>
      <w:r>
        <w:rPr>
          <w:szCs w:val="24"/>
        </w:rPr>
        <w:t>p</w:t>
      </w:r>
      <w:r w:rsidRPr="00A709B2">
        <w:rPr>
          <w:szCs w:val="24"/>
        </w:rPr>
        <w:t>astiprinā</w:t>
      </w:r>
      <w:r>
        <w:rPr>
          <w:szCs w:val="24"/>
        </w:rPr>
        <w:t>j</w:t>
      </w:r>
      <w:r w:rsidRPr="00A709B2">
        <w:rPr>
          <w:szCs w:val="24"/>
        </w:rPr>
        <w:t>a elektroenerģijas ražotāju atbildīb</w:t>
      </w:r>
      <w:r>
        <w:rPr>
          <w:szCs w:val="24"/>
        </w:rPr>
        <w:t>u</w:t>
      </w:r>
      <w:r w:rsidRPr="00A709B2">
        <w:rPr>
          <w:szCs w:val="24"/>
        </w:rPr>
        <w:t xml:space="preserve">. Vienlaikus tika uzsākts darbs pie turpmākiem grozījumiem OI regulējumā, kam būs OI izmaksas samazinoša ietekme, tostarp elektrostaciju pārkompensācijas novēršanas mehānisma pilnveides un elektrostaciju vienotā tehnoloģiskā cikla principa nostiprināšanas MK noteikumu līmenī. </w:t>
      </w:r>
    </w:p>
    <w:p w14:paraId="7686954B" w14:textId="0463D4FC" w:rsidR="00F763C8" w:rsidRPr="00A709B2" w:rsidRDefault="00C02F47" w:rsidP="00F763C8">
      <w:pPr>
        <w:spacing w:before="60" w:after="60" w:line="240" w:lineRule="auto"/>
        <w:jc w:val="both"/>
        <w:rPr>
          <w:szCs w:val="24"/>
        </w:rPr>
      </w:pPr>
      <w:r>
        <w:rPr>
          <w:szCs w:val="24"/>
        </w:rPr>
        <w:t xml:space="preserve">MK </w:t>
      </w:r>
      <w:r w:rsidR="00F763C8" w:rsidRPr="00A709B2">
        <w:rPr>
          <w:szCs w:val="24"/>
        </w:rPr>
        <w:t>2020.</w:t>
      </w:r>
      <w:r>
        <w:rPr>
          <w:szCs w:val="24"/>
        </w:rPr>
        <w:t> </w:t>
      </w:r>
      <w:r w:rsidR="00F763C8" w:rsidRPr="00A709B2">
        <w:rPr>
          <w:szCs w:val="24"/>
        </w:rPr>
        <w:t>gada 22.</w:t>
      </w:r>
      <w:r>
        <w:rPr>
          <w:szCs w:val="24"/>
        </w:rPr>
        <w:t> </w:t>
      </w:r>
      <w:r w:rsidR="00F763C8" w:rsidRPr="00A709B2">
        <w:rPr>
          <w:szCs w:val="24"/>
        </w:rPr>
        <w:t xml:space="preserve">septembrī izskatīja EM sagatavoto </w:t>
      </w:r>
      <w:hyperlink r:id="rId82" w:history="1">
        <w:r w:rsidR="001922E1" w:rsidRPr="001922E1">
          <w:rPr>
            <w:rStyle w:val="Hyperlink"/>
            <w:i/>
            <w:iCs/>
            <w:color w:val="00859B"/>
            <w:szCs w:val="24"/>
          </w:rPr>
          <w:t>konceptuālo ziņojumu “Kompleksi pasākumi obligātā iepirkuma komponentes problemātikas risināšanai un elektroenerģija tirgus attīstībai”</w:t>
        </w:r>
      </w:hyperlink>
      <w:r w:rsidR="001922E1">
        <w:rPr>
          <w:szCs w:val="24"/>
        </w:rPr>
        <w:t>.</w:t>
      </w:r>
      <w:r w:rsidR="00F546F7">
        <w:rPr>
          <w:szCs w:val="24"/>
        </w:rPr>
        <w:t xml:space="preserve"> </w:t>
      </w:r>
      <w:r w:rsidR="00F763C8" w:rsidRPr="00A709B2">
        <w:rPr>
          <w:szCs w:val="24"/>
        </w:rPr>
        <w:t>MK</w:t>
      </w:r>
      <w:r w:rsidR="001922E1">
        <w:rPr>
          <w:szCs w:val="24"/>
        </w:rPr>
        <w:t> </w:t>
      </w:r>
      <w:r w:rsidR="00F763C8" w:rsidRPr="00A709B2">
        <w:rPr>
          <w:szCs w:val="24"/>
        </w:rPr>
        <w:t>apstiprinātais scenārijs paredz</w:t>
      </w:r>
      <w:r w:rsidR="00D017DD">
        <w:rPr>
          <w:szCs w:val="24"/>
        </w:rPr>
        <w:t>ēja</w:t>
      </w:r>
      <w:r w:rsidR="00F763C8" w:rsidRPr="00A709B2">
        <w:rPr>
          <w:szCs w:val="24"/>
        </w:rPr>
        <w:t xml:space="preserve"> novirzīt koncerna “Latvenergo” dividendes un ar to izmaksu saistīto UIN elektroenerģijas OIK pakāpeniskai mazināšanai turpmākajos gados, kā arī finansējumam pārējām valsts budžeta vajadzībām. Šis lēmums ļāva no 2021.</w:t>
      </w:r>
      <w:r>
        <w:rPr>
          <w:szCs w:val="24"/>
        </w:rPr>
        <w:t> </w:t>
      </w:r>
      <w:r w:rsidR="00F763C8" w:rsidRPr="00A709B2">
        <w:rPr>
          <w:szCs w:val="24"/>
        </w:rPr>
        <w:t>gada 1.</w:t>
      </w:r>
      <w:r>
        <w:rPr>
          <w:szCs w:val="24"/>
        </w:rPr>
        <w:t> </w:t>
      </w:r>
      <w:r w:rsidR="00F763C8" w:rsidRPr="00A709B2">
        <w:rPr>
          <w:szCs w:val="24"/>
        </w:rPr>
        <w:t xml:space="preserve">janvāra </w:t>
      </w:r>
      <w:r w:rsidR="00F763C8" w:rsidRPr="00C13577">
        <w:rPr>
          <w:b/>
          <w:bCs/>
          <w:color w:val="00859B"/>
          <w:szCs w:val="24"/>
        </w:rPr>
        <w:t>OIK likmi samazināt</w:t>
      </w:r>
      <w:r w:rsidR="00F546F7">
        <w:rPr>
          <w:b/>
          <w:bCs/>
          <w:color w:val="00859B"/>
          <w:szCs w:val="24"/>
        </w:rPr>
        <w:t xml:space="preserve"> </w:t>
      </w:r>
      <w:r w:rsidR="00F763C8" w:rsidRPr="00A709B2">
        <w:rPr>
          <w:szCs w:val="24"/>
        </w:rPr>
        <w:t>no iepriekš fiksētās 22,68</w:t>
      </w:r>
      <w:r w:rsidR="00C13577">
        <w:rPr>
          <w:szCs w:val="24"/>
        </w:rPr>
        <w:t> </w:t>
      </w:r>
      <w:r w:rsidR="00F763C8" w:rsidRPr="00A709B2">
        <w:rPr>
          <w:szCs w:val="24"/>
        </w:rPr>
        <w:t>EUR/MWh</w:t>
      </w:r>
      <w:r w:rsidR="00F546F7">
        <w:rPr>
          <w:szCs w:val="24"/>
        </w:rPr>
        <w:t xml:space="preserve"> </w:t>
      </w:r>
      <w:r w:rsidR="00F763C8" w:rsidRPr="00C13577">
        <w:rPr>
          <w:b/>
          <w:bCs/>
          <w:color w:val="00859B"/>
          <w:szCs w:val="24"/>
        </w:rPr>
        <w:t>līdz 17,51</w:t>
      </w:r>
      <w:r w:rsidR="00C13577" w:rsidRPr="00C13577">
        <w:rPr>
          <w:b/>
          <w:bCs/>
          <w:color w:val="00859B"/>
          <w:szCs w:val="24"/>
        </w:rPr>
        <w:t> </w:t>
      </w:r>
      <w:r w:rsidR="00F763C8" w:rsidRPr="00C13577">
        <w:rPr>
          <w:b/>
          <w:bCs/>
          <w:color w:val="00859B"/>
          <w:szCs w:val="24"/>
        </w:rPr>
        <w:t>EUR/MWh</w:t>
      </w:r>
      <w:r w:rsidR="00F763C8" w:rsidRPr="00A709B2">
        <w:rPr>
          <w:szCs w:val="24"/>
        </w:rPr>
        <w:t xml:space="preserve">, tādējādi samazinot gan iedzīvotāju, gan uzņēmēju maksājumus par OIK vidēji par 23%. </w:t>
      </w:r>
    </w:p>
    <w:p w14:paraId="241A5F46" w14:textId="183D61C9" w:rsidR="00F763C8" w:rsidRDefault="001922E1" w:rsidP="00F763C8">
      <w:pPr>
        <w:spacing w:before="60" w:after="60" w:line="240" w:lineRule="auto"/>
        <w:jc w:val="both"/>
        <w:rPr>
          <w:szCs w:val="24"/>
        </w:rPr>
      </w:pPr>
      <w:r>
        <w:rPr>
          <w:szCs w:val="24"/>
        </w:rPr>
        <w:t xml:space="preserve">MK </w:t>
      </w:r>
      <w:r w:rsidR="00F763C8" w:rsidRPr="00A709B2">
        <w:rPr>
          <w:szCs w:val="24"/>
        </w:rPr>
        <w:t>2020. gada 22. decembrī pieņēma lēmumu pagarināt par gadu, līdz 2021. gada 31. decembrim, periodu, par kuru energoietilpīgi apstrādes rūpniecības uzņēmumi varēs pieteikties</w:t>
      </w:r>
      <w:r w:rsidR="00C5300C">
        <w:rPr>
          <w:szCs w:val="24"/>
        </w:rPr>
        <w:t xml:space="preserve"> atbalstam –</w:t>
      </w:r>
      <w:r w:rsidR="00F763C8" w:rsidRPr="00A709B2">
        <w:rPr>
          <w:szCs w:val="24"/>
        </w:rPr>
        <w:t xml:space="preserve"> OIK samazinājumam. Ņemot vērā, ka līdz šim atbalstu varēja saņemt ievērojami šaurāks nozaru loks, kā to pieļauj </w:t>
      </w:r>
      <w:r>
        <w:rPr>
          <w:szCs w:val="24"/>
        </w:rPr>
        <w:t>EK</w:t>
      </w:r>
      <w:r w:rsidR="00F763C8" w:rsidRPr="00A709B2">
        <w:rPr>
          <w:szCs w:val="24"/>
        </w:rPr>
        <w:t xml:space="preserve"> nosacījumi, kā arī Covid-19 izraisītās krīzes ietekmi uz uzņēmumiem, tika paplašināts arī apstrādes rūpniecības nozaru tvērums uzņēmumiem, kas varēs saņemt šo atbalstu. </w:t>
      </w:r>
      <w:r w:rsidR="00F763C8">
        <w:rPr>
          <w:szCs w:val="24"/>
        </w:rPr>
        <w:t xml:space="preserve">Attiecīgie grozījumi stāsties spēkā 2021.gadā pēc to saskaņošanas ar </w:t>
      </w:r>
      <w:r>
        <w:rPr>
          <w:szCs w:val="24"/>
        </w:rPr>
        <w:t>EK</w:t>
      </w:r>
      <w:r w:rsidR="00F763C8">
        <w:rPr>
          <w:szCs w:val="24"/>
        </w:rPr>
        <w:t xml:space="preserve">. </w:t>
      </w:r>
    </w:p>
    <w:p w14:paraId="22C5D22E" w14:textId="77777777" w:rsidR="00F763C8" w:rsidRDefault="00F763C8" w:rsidP="00F763C8">
      <w:pPr>
        <w:spacing w:before="60" w:after="60" w:line="240" w:lineRule="auto"/>
        <w:jc w:val="both"/>
        <w:rPr>
          <w:szCs w:val="24"/>
        </w:rPr>
      </w:pPr>
      <w:r w:rsidRPr="00A709B2">
        <w:rPr>
          <w:szCs w:val="24"/>
        </w:rPr>
        <w:t>OIK likmes mazināšanu plānots turpināt arī 2022. un 2023.</w:t>
      </w:r>
      <w:r w:rsidR="001922E1">
        <w:rPr>
          <w:szCs w:val="24"/>
        </w:rPr>
        <w:t> </w:t>
      </w:r>
      <w:r w:rsidRPr="00A709B2">
        <w:rPr>
          <w:szCs w:val="24"/>
        </w:rPr>
        <w:t>gadā. Finansējuma apjoms OIK mazināšanai vidēja termiņa budžetā 2021.</w:t>
      </w:r>
      <w:r w:rsidR="001922E1">
        <w:rPr>
          <w:szCs w:val="24"/>
        </w:rPr>
        <w:t>-</w:t>
      </w:r>
      <w:r w:rsidRPr="00A709B2">
        <w:rPr>
          <w:szCs w:val="24"/>
        </w:rPr>
        <w:t>2023.gadam ir paredzēts tādā apmērā, kas nepieciešams, lai pēc pašreizējām prognozēm par elektroenerģijas OI izmaksām 2024. gadā nebūtu nepieciešama papildu valsts budžeta dotācija un tiktu nodrošināta turpmāka OIK mazināšanās.</w:t>
      </w:r>
    </w:p>
    <w:p w14:paraId="1A1CE8B5" w14:textId="77777777" w:rsidR="00F763C8" w:rsidRPr="00A709B2" w:rsidRDefault="00F763C8" w:rsidP="00F763C8">
      <w:pPr>
        <w:spacing w:before="60" w:after="60" w:line="240" w:lineRule="auto"/>
        <w:jc w:val="both"/>
        <w:rPr>
          <w:szCs w:val="24"/>
        </w:rPr>
      </w:pPr>
      <w:r w:rsidRPr="00A709B2">
        <w:rPr>
          <w:szCs w:val="24"/>
        </w:rPr>
        <w:t xml:space="preserve">Elektroenerģijas pašpatēriņa veicināšanas jomā 2020. gada pavasarī stājās spēkā izmaiņas </w:t>
      </w:r>
      <w:r w:rsidRPr="00A26203">
        <w:rPr>
          <w:szCs w:val="24"/>
        </w:rPr>
        <w:t>elektroenerģijas neto sistēmas regulējumā</w:t>
      </w:r>
      <w:r w:rsidRPr="00A709B2">
        <w:rPr>
          <w:szCs w:val="24"/>
        </w:rPr>
        <w:t>, atceļot OIK mainīgās daļas maksājums tam elektroenerģijas apjomam, ko neto sistēmas dalībnieki nodod elektrotīklā un gada ietvaros saņem atpakaļ no tā. Tas bija pirmais solis no iecerētā pasākumu kopuma, kura mērķis</w:t>
      </w:r>
      <w:r>
        <w:rPr>
          <w:szCs w:val="24"/>
        </w:rPr>
        <w:t xml:space="preserve"> cita starpā</w:t>
      </w:r>
      <w:r w:rsidRPr="00A709B2">
        <w:rPr>
          <w:szCs w:val="24"/>
        </w:rPr>
        <w:t xml:space="preserve"> ir mazināt saules paneļu </w:t>
      </w:r>
      <w:r>
        <w:rPr>
          <w:szCs w:val="24"/>
        </w:rPr>
        <w:t xml:space="preserve">un citu mikroģenerācijas iekārtu </w:t>
      </w:r>
      <w:r w:rsidRPr="00A709B2">
        <w:rPr>
          <w:szCs w:val="24"/>
        </w:rPr>
        <w:t>atmaksāšanās periodu</w:t>
      </w:r>
      <w:r>
        <w:rPr>
          <w:szCs w:val="24"/>
        </w:rPr>
        <w:t>, tādējādi veicinot iedzīvotāju interesi par šo enerģijas ražošanas veidu.</w:t>
      </w:r>
    </w:p>
    <w:p w14:paraId="621831DB" w14:textId="0E2027BB" w:rsidR="00F763C8" w:rsidRDefault="00F763C8" w:rsidP="00F763C8">
      <w:pPr>
        <w:spacing w:before="60" w:after="60" w:line="240" w:lineRule="auto"/>
        <w:jc w:val="both"/>
        <w:rPr>
          <w:szCs w:val="24"/>
        </w:rPr>
      </w:pPr>
      <w:r w:rsidRPr="009A2A78">
        <w:rPr>
          <w:szCs w:val="24"/>
        </w:rPr>
        <w:lastRenderedPageBreak/>
        <w:t xml:space="preserve">Ar </w:t>
      </w:r>
      <w:r w:rsidR="001922E1">
        <w:rPr>
          <w:szCs w:val="24"/>
        </w:rPr>
        <w:t xml:space="preserve">MK </w:t>
      </w:r>
      <w:r w:rsidRPr="009A2A78">
        <w:rPr>
          <w:szCs w:val="24"/>
        </w:rPr>
        <w:t>2020.</w:t>
      </w:r>
      <w:r w:rsidR="005F2E2A">
        <w:rPr>
          <w:szCs w:val="24"/>
        </w:rPr>
        <w:t> </w:t>
      </w:r>
      <w:r w:rsidRPr="009A2A78">
        <w:rPr>
          <w:szCs w:val="24"/>
        </w:rPr>
        <w:t>gada 4.</w:t>
      </w:r>
      <w:r w:rsidR="005F2E2A">
        <w:rPr>
          <w:szCs w:val="24"/>
        </w:rPr>
        <w:t> </w:t>
      </w:r>
      <w:r w:rsidRPr="009A2A78">
        <w:rPr>
          <w:szCs w:val="24"/>
        </w:rPr>
        <w:t xml:space="preserve">februāra rīkojumu Nr.46 tika apstiprināts </w:t>
      </w:r>
      <w:hyperlink r:id="rId83" w:history="1">
        <w:r w:rsidR="005F2E2A">
          <w:rPr>
            <w:rStyle w:val="Hyperlink"/>
            <w:i/>
            <w:iCs/>
            <w:color w:val="00859B"/>
            <w:szCs w:val="24"/>
          </w:rPr>
          <w:t>Latvijas N</w:t>
        </w:r>
        <w:r w:rsidRPr="009A2A78">
          <w:rPr>
            <w:rStyle w:val="Hyperlink"/>
            <w:i/>
            <w:iCs/>
            <w:color w:val="00859B"/>
            <w:szCs w:val="24"/>
          </w:rPr>
          <w:t xml:space="preserve">acionālais </w:t>
        </w:r>
        <w:r w:rsidR="005F2E2A">
          <w:rPr>
            <w:rStyle w:val="Hyperlink"/>
            <w:i/>
            <w:iCs/>
            <w:color w:val="00859B"/>
            <w:szCs w:val="24"/>
          </w:rPr>
          <w:t>e</w:t>
        </w:r>
        <w:r w:rsidRPr="009A2A78">
          <w:rPr>
            <w:rStyle w:val="Hyperlink"/>
            <w:i/>
            <w:iCs/>
            <w:color w:val="00859B"/>
            <w:szCs w:val="24"/>
          </w:rPr>
          <w:t>nerģētikas un klimata plāns 2021.-2030.gadam</w:t>
        </w:r>
      </w:hyperlink>
      <w:r w:rsidRPr="009A2A78">
        <w:rPr>
          <w:szCs w:val="24"/>
        </w:rPr>
        <w:t>. Plānā noteikti enerģētikas un klimata pārmaiņu mazināšanas mērķi un to sasniegšanas pasākumi šādās jomās: siltumnīcefekta gāzu emisiju samazinājums un CO</w:t>
      </w:r>
      <w:r w:rsidRPr="009A2A78">
        <w:rPr>
          <w:szCs w:val="24"/>
          <w:vertAlign w:val="subscript"/>
        </w:rPr>
        <w:t>2</w:t>
      </w:r>
      <w:r w:rsidRPr="009A2A78">
        <w:rPr>
          <w:szCs w:val="24"/>
        </w:rPr>
        <w:t xml:space="preserve"> piesaistes palielinājums, </w:t>
      </w:r>
      <w:r w:rsidR="001922E1">
        <w:rPr>
          <w:szCs w:val="24"/>
        </w:rPr>
        <w:t>AER</w:t>
      </w:r>
      <w:r w:rsidRPr="009A2A78">
        <w:rPr>
          <w:szCs w:val="24"/>
        </w:rPr>
        <w:t xml:space="preserve"> īpatsvara palielinājums enerģijas gala patēriņā un transporta enerģijas gala patēriņā, energoefektivitātes uzlabošana, enerģētiskā drošība, enerģijas tirgu infrastruktūras uzturēšana un uzlabošana, kā arī inovāciju, pētniecības un konkurētspējas uzlabošana. Pārskata periodā ir uzsākta arī plānā iekļauto pasākumu detalizācijas izstrāde un īstenošana, piemēram, izstrādājot atbilstošus ES struktūrfondu programmu projektus, nepieciešamo</w:t>
      </w:r>
      <w:r w:rsidR="00A93F90">
        <w:rPr>
          <w:szCs w:val="24"/>
        </w:rPr>
        <w:t>s</w:t>
      </w:r>
      <w:r w:rsidRPr="009A2A78">
        <w:rPr>
          <w:szCs w:val="24"/>
        </w:rPr>
        <w:t xml:space="preserve"> tiesību aktu projektus</w:t>
      </w:r>
      <w:r w:rsidR="00A93F90">
        <w:rPr>
          <w:szCs w:val="24"/>
        </w:rPr>
        <w:t xml:space="preserve"> (</w:t>
      </w:r>
      <w:r w:rsidRPr="009A2A78">
        <w:rPr>
          <w:szCs w:val="24"/>
        </w:rPr>
        <w:t>likumprojekt</w:t>
      </w:r>
      <w:r w:rsidR="00A93F90">
        <w:rPr>
          <w:szCs w:val="24"/>
        </w:rPr>
        <w:t>u</w:t>
      </w:r>
      <w:r w:rsidRPr="009A2A78">
        <w:rPr>
          <w:szCs w:val="24"/>
        </w:rPr>
        <w:t xml:space="preserve"> “</w:t>
      </w:r>
      <w:r w:rsidRPr="007809E7">
        <w:rPr>
          <w:i/>
          <w:iCs/>
          <w:szCs w:val="24"/>
        </w:rPr>
        <w:t>Transporta enerģijas likums</w:t>
      </w:r>
      <w:r w:rsidRPr="009A2A78">
        <w:rPr>
          <w:szCs w:val="24"/>
        </w:rPr>
        <w:t>”</w:t>
      </w:r>
      <w:r w:rsidR="00A93F90">
        <w:rPr>
          <w:szCs w:val="24"/>
        </w:rPr>
        <w:t>,</w:t>
      </w:r>
      <w:r w:rsidRPr="009A2A78">
        <w:rPr>
          <w:szCs w:val="24"/>
        </w:rPr>
        <w:t xml:space="preserve"> “</w:t>
      </w:r>
      <w:r w:rsidRPr="007809E7">
        <w:rPr>
          <w:i/>
          <w:iCs/>
          <w:szCs w:val="24"/>
        </w:rPr>
        <w:t>Grozījumi Enerģētikas likumā</w:t>
      </w:r>
      <w:r w:rsidRPr="009A2A78">
        <w:rPr>
          <w:szCs w:val="24"/>
        </w:rPr>
        <w:t>”</w:t>
      </w:r>
      <w:r>
        <w:rPr>
          <w:szCs w:val="24"/>
        </w:rPr>
        <w:t xml:space="preserve"> un “</w:t>
      </w:r>
      <w:r w:rsidRPr="007809E7">
        <w:rPr>
          <w:i/>
          <w:iCs/>
          <w:szCs w:val="24"/>
        </w:rPr>
        <w:t>Grozījumi Elektroenerģijas tirgus likumā</w:t>
      </w:r>
      <w:r w:rsidRPr="009A2A78">
        <w:rPr>
          <w:szCs w:val="24"/>
        </w:rPr>
        <w:t>”</w:t>
      </w:r>
      <w:r w:rsidR="00A93F90">
        <w:rPr>
          <w:szCs w:val="24"/>
        </w:rPr>
        <w:t xml:space="preserve">) un </w:t>
      </w:r>
      <w:r w:rsidR="00A93F90" w:rsidRPr="009A2A78">
        <w:rPr>
          <w:szCs w:val="24"/>
        </w:rPr>
        <w:t>grozījumus būvnormatīvos</w:t>
      </w:r>
      <w:r w:rsidRPr="009A2A78">
        <w:rPr>
          <w:szCs w:val="24"/>
        </w:rPr>
        <w:t xml:space="preserve">, kā arī izstrādājot </w:t>
      </w:r>
      <w:r>
        <w:rPr>
          <w:szCs w:val="24"/>
        </w:rPr>
        <w:t>citus</w:t>
      </w:r>
      <w:r w:rsidRPr="009A2A78">
        <w:rPr>
          <w:szCs w:val="24"/>
        </w:rPr>
        <w:t xml:space="preserve"> nepieciešamos dokumentus</w:t>
      </w:r>
      <w:r>
        <w:rPr>
          <w:szCs w:val="24"/>
        </w:rPr>
        <w:t xml:space="preserve"> plāna īstenošanai</w:t>
      </w:r>
      <w:r w:rsidRPr="009A2A78">
        <w:rPr>
          <w:szCs w:val="24"/>
        </w:rPr>
        <w:t>.</w:t>
      </w:r>
    </w:p>
    <w:p w14:paraId="553D910C" w14:textId="0D6591CB" w:rsidR="00F763C8" w:rsidRPr="009A2A78" w:rsidRDefault="00F763C8" w:rsidP="00F763C8">
      <w:pPr>
        <w:spacing w:before="60" w:after="60" w:line="240" w:lineRule="auto"/>
        <w:jc w:val="both"/>
        <w:rPr>
          <w:szCs w:val="24"/>
        </w:rPr>
      </w:pPr>
      <w:r w:rsidRPr="009A2A78">
        <w:rPr>
          <w:szCs w:val="24"/>
        </w:rPr>
        <w:t xml:space="preserve">Pārskata periodā </w:t>
      </w:r>
      <w:r w:rsidR="00A26203">
        <w:rPr>
          <w:szCs w:val="24"/>
        </w:rPr>
        <w:t xml:space="preserve">EM </w:t>
      </w:r>
      <w:r w:rsidR="00A26203" w:rsidRPr="009A2A78">
        <w:rPr>
          <w:szCs w:val="24"/>
        </w:rPr>
        <w:t>izstrādā</w:t>
      </w:r>
      <w:r w:rsidR="00A26203">
        <w:rPr>
          <w:szCs w:val="24"/>
        </w:rPr>
        <w:t>ja</w:t>
      </w:r>
      <w:r w:rsidR="00A26203" w:rsidRPr="009A2A78">
        <w:rPr>
          <w:szCs w:val="24"/>
        </w:rPr>
        <w:t xml:space="preserve"> </w:t>
      </w:r>
      <w:hyperlink r:id="rId84" w:history="1">
        <w:r w:rsidR="00A26203" w:rsidRPr="009A2A78">
          <w:rPr>
            <w:rStyle w:val="Hyperlink"/>
            <w:i/>
            <w:iCs/>
            <w:color w:val="00859B"/>
            <w:szCs w:val="24"/>
          </w:rPr>
          <w:t>likumprojekt</w:t>
        </w:r>
        <w:r w:rsidR="00A26203">
          <w:rPr>
            <w:rStyle w:val="Hyperlink"/>
            <w:i/>
            <w:iCs/>
            <w:color w:val="00859B"/>
            <w:szCs w:val="24"/>
          </w:rPr>
          <w:t>u</w:t>
        </w:r>
        <w:r w:rsidR="00A26203" w:rsidRPr="009A2A78">
          <w:rPr>
            <w:rStyle w:val="Hyperlink"/>
            <w:i/>
            <w:iCs/>
            <w:color w:val="00859B"/>
            <w:szCs w:val="24"/>
          </w:rPr>
          <w:t xml:space="preserve"> “Transporta enerģijas likums”</w:t>
        </w:r>
      </w:hyperlink>
      <w:r w:rsidRPr="009A2A78">
        <w:rPr>
          <w:szCs w:val="24"/>
        </w:rPr>
        <w:t xml:space="preserve">, kas paredzēts kā jumta </w:t>
      </w:r>
      <w:r w:rsidRPr="00A52C82">
        <w:rPr>
          <w:szCs w:val="24"/>
        </w:rPr>
        <w:t>regulējums transporta enerģijas jomā</w:t>
      </w:r>
      <w:r w:rsidR="001922E1">
        <w:rPr>
          <w:szCs w:val="24"/>
        </w:rPr>
        <w:t>.</w:t>
      </w:r>
      <w:r w:rsidR="00B02CB3">
        <w:rPr>
          <w:szCs w:val="24"/>
        </w:rPr>
        <w:t xml:space="preserve"> </w:t>
      </w:r>
      <w:r w:rsidR="001922E1">
        <w:rPr>
          <w:szCs w:val="24"/>
        </w:rPr>
        <w:t>T</w:t>
      </w:r>
      <w:r w:rsidRPr="009A2A78">
        <w:rPr>
          <w:szCs w:val="24"/>
        </w:rPr>
        <w:t xml:space="preserve">as precizē un paplašina dažāda veida transporta enerģiju kvalitātes un transporta enerģijas tirgus uzraudzības normas, nosaka alternatīvo degvielu infrastruktūras attīstības pamatnosacījumu, kā arī nosaka degvielas piegādātājiem piemērojamos atjaunojamās transporta enerģijas un emisiju intensitātes mazināšanas mērķus. </w:t>
      </w:r>
      <w:r w:rsidR="00C13577">
        <w:rPr>
          <w:szCs w:val="24"/>
        </w:rPr>
        <w:t>P</w:t>
      </w:r>
      <w:r w:rsidRPr="009A2A78">
        <w:rPr>
          <w:szCs w:val="24"/>
        </w:rPr>
        <w:t xml:space="preserve">aredzams, ka ar likumprojektu </w:t>
      </w:r>
      <w:r w:rsidR="00C669FC">
        <w:rPr>
          <w:szCs w:val="24"/>
        </w:rPr>
        <w:t xml:space="preserve">noteikto nosacījumu ieviešana </w:t>
      </w:r>
      <w:r w:rsidRPr="009A2A78">
        <w:rPr>
          <w:szCs w:val="24"/>
        </w:rPr>
        <w:t xml:space="preserve">būtiski </w:t>
      </w:r>
      <w:r w:rsidR="00C669FC" w:rsidRPr="009A2A78">
        <w:rPr>
          <w:szCs w:val="24"/>
        </w:rPr>
        <w:t>palielinā</w:t>
      </w:r>
      <w:r w:rsidR="00C669FC">
        <w:rPr>
          <w:szCs w:val="24"/>
        </w:rPr>
        <w:t>s</w:t>
      </w:r>
      <w:r w:rsidR="00C669FC" w:rsidRPr="009A2A78">
        <w:rPr>
          <w:szCs w:val="24"/>
        </w:rPr>
        <w:t xml:space="preserve"> </w:t>
      </w:r>
      <w:r w:rsidRPr="009A2A78">
        <w:rPr>
          <w:szCs w:val="24"/>
        </w:rPr>
        <w:t xml:space="preserve">atjaunojamās transporta enerģijas </w:t>
      </w:r>
      <w:r w:rsidR="00C669FC" w:rsidRPr="009A2A78">
        <w:rPr>
          <w:szCs w:val="24"/>
        </w:rPr>
        <w:t>īpatsvar</w:t>
      </w:r>
      <w:r w:rsidR="00C669FC">
        <w:rPr>
          <w:szCs w:val="24"/>
        </w:rPr>
        <w:t>u</w:t>
      </w:r>
      <w:r w:rsidR="00C669FC" w:rsidRPr="009A2A78">
        <w:rPr>
          <w:szCs w:val="24"/>
        </w:rPr>
        <w:t xml:space="preserve"> </w:t>
      </w:r>
      <w:r w:rsidRPr="009A2A78">
        <w:rPr>
          <w:szCs w:val="24"/>
        </w:rPr>
        <w:t xml:space="preserve">Latvijā, kā arī tiks veicināta transporta emisiju mazināšanas pasākumu īstenošana. </w:t>
      </w:r>
    </w:p>
    <w:p w14:paraId="35F2682E" w14:textId="3096E8A3" w:rsidR="00F763C8" w:rsidRDefault="00F763C8" w:rsidP="00F763C8">
      <w:pPr>
        <w:spacing w:before="60" w:after="60" w:line="240" w:lineRule="auto"/>
        <w:jc w:val="both"/>
        <w:rPr>
          <w:szCs w:val="24"/>
        </w:rPr>
      </w:pPr>
      <w:r w:rsidRPr="009A2A78">
        <w:rPr>
          <w:szCs w:val="24"/>
        </w:rPr>
        <w:t>Pārskata periodā, kad ārkārtas situācijas dēļ valstī būtiski samazinājās dīzeļdegvielas patēriņš, atbalstot degvielas piegādātājus</w:t>
      </w:r>
      <w:r w:rsidR="00156F13">
        <w:rPr>
          <w:szCs w:val="24"/>
        </w:rPr>
        <w:t>,</w:t>
      </w:r>
      <w:r w:rsidRPr="009A2A78">
        <w:rPr>
          <w:szCs w:val="24"/>
        </w:rPr>
        <w:t xml:space="preserve"> tika veikti </w:t>
      </w:r>
      <w:hyperlink r:id="rId85" w:history="1">
        <w:r w:rsidRPr="009A2A78">
          <w:rPr>
            <w:rStyle w:val="Hyperlink"/>
            <w:i/>
            <w:iCs/>
            <w:color w:val="00859B"/>
            <w:szCs w:val="24"/>
          </w:rPr>
          <w:t xml:space="preserve">grozījumi </w:t>
        </w:r>
        <w:r w:rsidR="00C13577">
          <w:rPr>
            <w:rStyle w:val="Hyperlink"/>
            <w:i/>
            <w:iCs/>
            <w:color w:val="00859B"/>
            <w:szCs w:val="24"/>
          </w:rPr>
          <w:t>MK</w:t>
        </w:r>
        <w:r w:rsidR="001A7612">
          <w:rPr>
            <w:rStyle w:val="Hyperlink"/>
            <w:i/>
            <w:iCs/>
            <w:color w:val="00859B"/>
            <w:szCs w:val="24"/>
          </w:rPr>
          <w:t xml:space="preserve"> </w:t>
        </w:r>
        <w:r w:rsidR="0067060A">
          <w:rPr>
            <w:rStyle w:val="Hyperlink"/>
            <w:i/>
            <w:iCs/>
            <w:color w:val="00859B"/>
            <w:szCs w:val="24"/>
          </w:rPr>
          <w:t>2000. gada 26.</w:t>
        </w:r>
        <w:r w:rsidR="00C70943">
          <w:rPr>
            <w:rStyle w:val="Hyperlink"/>
            <w:i/>
            <w:iCs/>
            <w:color w:val="00859B"/>
            <w:szCs w:val="24"/>
          </w:rPr>
          <w:t> </w:t>
        </w:r>
        <w:r w:rsidR="0067060A">
          <w:rPr>
            <w:rStyle w:val="Hyperlink"/>
            <w:i/>
            <w:iCs/>
            <w:color w:val="00859B"/>
            <w:szCs w:val="24"/>
          </w:rPr>
          <w:t xml:space="preserve">septembra </w:t>
        </w:r>
        <w:r w:rsidRPr="009A2A78">
          <w:rPr>
            <w:rStyle w:val="Hyperlink"/>
            <w:i/>
            <w:iCs/>
            <w:color w:val="00859B"/>
            <w:szCs w:val="24"/>
          </w:rPr>
          <w:t>noteikumos Nr.332</w:t>
        </w:r>
      </w:hyperlink>
      <w:r w:rsidRPr="009A2A78">
        <w:rPr>
          <w:szCs w:val="24"/>
        </w:rPr>
        <w:t>, lai izņēmuma gadījumā degvielas tirgotāji varētu tirgot arktisko degvielu 2020.</w:t>
      </w:r>
      <w:r w:rsidR="00C13577">
        <w:rPr>
          <w:szCs w:val="24"/>
        </w:rPr>
        <w:t> </w:t>
      </w:r>
      <w:r w:rsidRPr="009A2A78">
        <w:rPr>
          <w:szCs w:val="24"/>
        </w:rPr>
        <w:t>gadā arī periodā līdz 2020.</w:t>
      </w:r>
      <w:r w:rsidR="00C13577">
        <w:rPr>
          <w:szCs w:val="24"/>
        </w:rPr>
        <w:t> </w:t>
      </w:r>
      <w:r w:rsidRPr="009A2A78">
        <w:rPr>
          <w:szCs w:val="24"/>
        </w:rPr>
        <w:t>gada 10.</w:t>
      </w:r>
      <w:r w:rsidR="00C13577">
        <w:rPr>
          <w:szCs w:val="24"/>
        </w:rPr>
        <w:t> </w:t>
      </w:r>
      <w:r w:rsidRPr="009A2A78">
        <w:rPr>
          <w:szCs w:val="24"/>
        </w:rPr>
        <w:t>aprīlim nevis tikai līdz 1.</w:t>
      </w:r>
      <w:r w:rsidR="00C13577">
        <w:rPr>
          <w:szCs w:val="24"/>
        </w:rPr>
        <w:t> </w:t>
      </w:r>
      <w:r w:rsidRPr="009A2A78">
        <w:rPr>
          <w:szCs w:val="24"/>
        </w:rPr>
        <w:t xml:space="preserve">aprīlim. </w:t>
      </w:r>
      <w:r>
        <w:rPr>
          <w:szCs w:val="24"/>
        </w:rPr>
        <w:t>J</w:t>
      </w:r>
      <w:r w:rsidRPr="009A2A78">
        <w:rPr>
          <w:szCs w:val="24"/>
        </w:rPr>
        <w:t>a šādi grozījumi netiktu veikti, tad 2020.</w:t>
      </w:r>
      <w:r w:rsidR="00C13577">
        <w:rPr>
          <w:szCs w:val="24"/>
        </w:rPr>
        <w:t> </w:t>
      </w:r>
      <w:r w:rsidRPr="009A2A78">
        <w:rPr>
          <w:szCs w:val="24"/>
        </w:rPr>
        <w:t>gadā degvielas tirgotājiem pēc 1.</w:t>
      </w:r>
      <w:r w:rsidR="00C13577">
        <w:rPr>
          <w:szCs w:val="24"/>
        </w:rPr>
        <w:t> </w:t>
      </w:r>
      <w:r w:rsidRPr="009A2A78">
        <w:rPr>
          <w:szCs w:val="24"/>
        </w:rPr>
        <w:t xml:space="preserve">aprīļa būtu jānodrošina, ka degvielas realizācijas vietās arktiskā degviela vairs netiek realizēta un tiek izvesta un iznīcināta vai uzglabāta citur. </w:t>
      </w:r>
    </w:p>
    <w:p w14:paraId="2F9378FD" w14:textId="3DFED1C7" w:rsidR="00F763C8" w:rsidRDefault="00F763C8" w:rsidP="00F763C8">
      <w:pPr>
        <w:spacing w:before="60" w:after="60" w:line="240" w:lineRule="auto"/>
        <w:jc w:val="both"/>
        <w:rPr>
          <w:szCs w:val="24"/>
        </w:rPr>
      </w:pPr>
      <w:bookmarkStart w:id="41" w:name="_Hlk74315788"/>
      <w:r w:rsidRPr="00715080">
        <w:rPr>
          <w:szCs w:val="24"/>
        </w:rPr>
        <w:t xml:space="preserve">Pārskata periodā </w:t>
      </w:r>
      <w:r w:rsidR="00A26203">
        <w:rPr>
          <w:szCs w:val="24"/>
        </w:rPr>
        <w:t>EM</w:t>
      </w:r>
      <w:r w:rsidR="00A26203" w:rsidRPr="00715080">
        <w:rPr>
          <w:szCs w:val="24"/>
        </w:rPr>
        <w:t xml:space="preserve"> </w:t>
      </w:r>
      <w:r w:rsidRPr="00715080">
        <w:rPr>
          <w:szCs w:val="24"/>
        </w:rPr>
        <w:t xml:space="preserve">sagatavoja un iesniedza </w:t>
      </w:r>
      <w:r w:rsidR="00C13577">
        <w:rPr>
          <w:szCs w:val="24"/>
        </w:rPr>
        <w:t>EK</w:t>
      </w:r>
      <w:r w:rsidR="002E0E22">
        <w:rPr>
          <w:szCs w:val="24"/>
        </w:rPr>
        <w:t xml:space="preserve"> </w:t>
      </w:r>
      <w:r w:rsidR="00BE6097">
        <w:rPr>
          <w:rStyle w:val="Hyperlink"/>
          <w:color w:val="auto"/>
          <w:szCs w:val="24"/>
          <w:u w:val="none"/>
        </w:rPr>
        <w:t>n</w:t>
      </w:r>
      <w:r w:rsidRPr="00BE6097">
        <w:rPr>
          <w:rStyle w:val="Hyperlink"/>
          <w:color w:val="auto"/>
          <w:szCs w:val="24"/>
          <w:u w:val="none"/>
        </w:rPr>
        <w:t>otifikāciju par benzīna tvaika spiediena atkāpi</w:t>
      </w:r>
      <w:bookmarkEnd w:id="41"/>
      <w:r w:rsidR="002E0E22">
        <w:rPr>
          <w:rStyle w:val="Hyperlink"/>
          <w:color w:val="auto"/>
          <w:szCs w:val="24"/>
          <w:u w:val="none"/>
        </w:rPr>
        <w:t xml:space="preserve"> </w:t>
      </w:r>
      <w:r w:rsidRPr="00715080">
        <w:rPr>
          <w:szCs w:val="24"/>
        </w:rPr>
        <w:t xml:space="preserve">ar lūgumu Latvijai piešķirt minēto atkāpi saskaņā ar </w:t>
      </w:r>
      <w:r w:rsidRPr="00156F13">
        <w:rPr>
          <w:i/>
          <w:iCs/>
          <w:szCs w:val="24"/>
        </w:rPr>
        <w:t>Direktīvas 98/70/EK</w:t>
      </w:r>
      <w:r w:rsidR="008524DA">
        <w:rPr>
          <w:rStyle w:val="FootnoteReference"/>
          <w:i/>
          <w:iCs/>
          <w:szCs w:val="24"/>
        </w:rPr>
        <w:footnoteReference w:id="26"/>
      </w:r>
      <w:r w:rsidRPr="00715080">
        <w:rPr>
          <w:szCs w:val="24"/>
        </w:rPr>
        <w:t xml:space="preserve"> 3.</w:t>
      </w:r>
      <w:r w:rsidR="00C13577">
        <w:rPr>
          <w:szCs w:val="24"/>
        </w:rPr>
        <w:t> </w:t>
      </w:r>
      <w:r w:rsidRPr="00715080">
        <w:rPr>
          <w:szCs w:val="24"/>
        </w:rPr>
        <w:t>panta 4. un 5.</w:t>
      </w:r>
      <w:r w:rsidR="00C13577">
        <w:rPr>
          <w:szCs w:val="24"/>
        </w:rPr>
        <w:t> </w:t>
      </w:r>
      <w:r w:rsidRPr="00715080">
        <w:rPr>
          <w:szCs w:val="24"/>
        </w:rPr>
        <w:t>punktu, jo Latvijai kā valstij ar zemāku vasaras vidējo temperatūru ir iespēja vasaras periodā (no 1.</w:t>
      </w:r>
      <w:r w:rsidR="00C13577">
        <w:rPr>
          <w:szCs w:val="24"/>
        </w:rPr>
        <w:t> </w:t>
      </w:r>
      <w:r w:rsidRPr="00715080">
        <w:rPr>
          <w:szCs w:val="24"/>
        </w:rPr>
        <w:t>jūnija līdz 30.</w:t>
      </w:r>
      <w:r w:rsidR="00C13577">
        <w:rPr>
          <w:szCs w:val="24"/>
        </w:rPr>
        <w:t> </w:t>
      </w:r>
      <w:r w:rsidRPr="00715080">
        <w:rPr>
          <w:szCs w:val="24"/>
        </w:rPr>
        <w:t>septembrim) laist tirgū benzīnu ar maksimālo tvaika spiedienu 70 kPa. Tādējādi ir nodrošināts, ka Latvijā vasaras periodā realizēt</w:t>
      </w:r>
      <w:r>
        <w:rPr>
          <w:szCs w:val="24"/>
        </w:rPr>
        <w:t>ā</w:t>
      </w:r>
      <w:r w:rsidRPr="00715080">
        <w:rPr>
          <w:szCs w:val="24"/>
        </w:rPr>
        <w:t xml:space="preserve"> benzīna tvaika spiediena rādītājs atbilst citās reģiona valstīs, t</w:t>
      </w:r>
      <w:r w:rsidR="00C13577">
        <w:rPr>
          <w:szCs w:val="24"/>
        </w:rPr>
        <w:t>.</w:t>
      </w:r>
      <w:r w:rsidRPr="00715080">
        <w:rPr>
          <w:szCs w:val="24"/>
        </w:rPr>
        <w:t>sk</w:t>
      </w:r>
      <w:r w:rsidR="00C13577">
        <w:rPr>
          <w:szCs w:val="24"/>
        </w:rPr>
        <w:t>.</w:t>
      </w:r>
      <w:r w:rsidRPr="00715080">
        <w:rPr>
          <w:szCs w:val="24"/>
        </w:rPr>
        <w:t xml:space="preserve"> tajās, no kurām Latvijā tiek importēts realizējamais benzīns, realizēt</w:t>
      </w:r>
      <w:r>
        <w:rPr>
          <w:szCs w:val="24"/>
        </w:rPr>
        <w:t>ā</w:t>
      </w:r>
      <w:r w:rsidRPr="00715080">
        <w:rPr>
          <w:szCs w:val="24"/>
        </w:rPr>
        <w:t xml:space="preserve"> benzīna rādītājam. Un tādējādi ir nodrošināts, ka speciālu, tikai Latvijai piemērojamo prasību, kas atšķirtos no citās reģiona valstī</w:t>
      </w:r>
      <w:r>
        <w:rPr>
          <w:szCs w:val="24"/>
        </w:rPr>
        <w:t>s</w:t>
      </w:r>
      <w:r w:rsidRPr="00715080">
        <w:rPr>
          <w:szCs w:val="24"/>
        </w:rPr>
        <w:t xml:space="preserve"> piemērojamām prasībām, piemērošana nelieliem benzīna importa apjomiem, nerada negatīvu sociālekonomisko ietekmi, jo, palielinot ražošanas un piegādes izmaksas, tik</w:t>
      </w:r>
      <w:r>
        <w:rPr>
          <w:szCs w:val="24"/>
        </w:rPr>
        <w:t>tu</w:t>
      </w:r>
      <w:r w:rsidRPr="00715080">
        <w:rPr>
          <w:szCs w:val="24"/>
        </w:rPr>
        <w:t xml:space="preserve"> sadārdzinātas benzīna galapatēriņa izmaksas.</w:t>
      </w:r>
      <w:r>
        <w:rPr>
          <w:szCs w:val="24"/>
        </w:rPr>
        <w:t xml:space="preserve"> Atkāpe ir piemērojama līdz 2030.gadam. </w:t>
      </w:r>
    </w:p>
    <w:p w14:paraId="4795584D" w14:textId="5A5A3801" w:rsidR="00BE6097" w:rsidRDefault="00BE6097" w:rsidP="008524DA">
      <w:pPr>
        <w:spacing w:before="60" w:after="60" w:line="240" w:lineRule="auto"/>
        <w:jc w:val="both"/>
        <w:rPr>
          <w:szCs w:val="24"/>
        </w:rPr>
      </w:pPr>
      <w:r w:rsidRPr="00BE6097">
        <w:rPr>
          <w:b/>
          <w:bCs/>
          <w:color w:val="00859B"/>
          <w:szCs w:val="24"/>
        </w:rPr>
        <w:t>Energoefektivitātes jomā</w:t>
      </w:r>
      <w:r w:rsidR="002E0E22">
        <w:rPr>
          <w:b/>
          <w:bCs/>
          <w:color w:val="00859B"/>
          <w:szCs w:val="24"/>
        </w:rPr>
        <w:t xml:space="preserve"> </w:t>
      </w:r>
      <w:r>
        <w:rPr>
          <w:szCs w:val="24"/>
        </w:rPr>
        <w:t xml:space="preserve">EM </w:t>
      </w:r>
      <w:r w:rsidRPr="00BE6097">
        <w:rPr>
          <w:szCs w:val="24"/>
        </w:rPr>
        <w:t>2020.</w:t>
      </w:r>
      <w:r>
        <w:rPr>
          <w:szCs w:val="24"/>
        </w:rPr>
        <w:t> </w:t>
      </w:r>
      <w:r w:rsidRPr="00BE6097">
        <w:rPr>
          <w:szCs w:val="24"/>
        </w:rPr>
        <w:t>gadā aktīvi strādāj</w:t>
      </w:r>
      <w:r>
        <w:rPr>
          <w:szCs w:val="24"/>
        </w:rPr>
        <w:t>a</w:t>
      </w:r>
      <w:r w:rsidRPr="00BE6097">
        <w:rPr>
          <w:szCs w:val="24"/>
        </w:rPr>
        <w:t xml:space="preserve"> pie korektas principa </w:t>
      </w:r>
      <w:r w:rsidRPr="00BE6097">
        <w:rPr>
          <w:i/>
          <w:iCs/>
          <w:szCs w:val="24"/>
        </w:rPr>
        <w:t>Energoefektivitāte pirmajā vietā</w:t>
      </w:r>
      <w:r w:rsidRPr="00BE6097">
        <w:rPr>
          <w:szCs w:val="24"/>
        </w:rPr>
        <w:t xml:space="preserve"> un papildinātības principa energoefektivitātes uzlabošanā interpretāciju izveides un iestrādāšanas normatīvajos aktos. </w:t>
      </w:r>
      <w:r w:rsidR="002E0E22">
        <w:rPr>
          <w:szCs w:val="24"/>
        </w:rPr>
        <w:t>Sagatavotās</w:t>
      </w:r>
      <w:r w:rsidR="002E0E22" w:rsidRPr="00BE6097">
        <w:rPr>
          <w:szCs w:val="24"/>
        </w:rPr>
        <w:t xml:space="preserve"> </w:t>
      </w:r>
      <w:r w:rsidRPr="00BE6097">
        <w:rPr>
          <w:szCs w:val="24"/>
        </w:rPr>
        <w:t xml:space="preserve">izmaiņas </w:t>
      </w:r>
      <w:r w:rsidRPr="00D87B52">
        <w:rPr>
          <w:i/>
          <w:iCs/>
          <w:szCs w:val="24"/>
        </w:rPr>
        <w:t>Energoefektivitātes likumā</w:t>
      </w:r>
      <w:r w:rsidRPr="00BE6097">
        <w:rPr>
          <w:szCs w:val="24"/>
        </w:rPr>
        <w:t xml:space="preserve"> un </w:t>
      </w:r>
      <w:r w:rsidR="00D87B52">
        <w:rPr>
          <w:szCs w:val="24"/>
        </w:rPr>
        <w:t>MK</w:t>
      </w:r>
      <w:r w:rsidRPr="00BE6097">
        <w:rPr>
          <w:szCs w:val="24"/>
        </w:rPr>
        <w:t xml:space="preserve"> noteikumos plānots apstiprināt 2021.</w:t>
      </w:r>
      <w:r>
        <w:rPr>
          <w:szCs w:val="24"/>
        </w:rPr>
        <w:t> </w:t>
      </w:r>
      <w:r w:rsidRPr="00BE6097">
        <w:rPr>
          <w:szCs w:val="24"/>
        </w:rPr>
        <w:t>gadā. Vienlaikus 2020.</w:t>
      </w:r>
      <w:r>
        <w:rPr>
          <w:szCs w:val="24"/>
        </w:rPr>
        <w:t> </w:t>
      </w:r>
      <w:r w:rsidRPr="00BE6097">
        <w:rPr>
          <w:szCs w:val="24"/>
        </w:rPr>
        <w:t>gadā noritēj</w:t>
      </w:r>
      <w:r>
        <w:rPr>
          <w:szCs w:val="24"/>
        </w:rPr>
        <w:t>a</w:t>
      </w:r>
      <w:r w:rsidRPr="00BE6097">
        <w:rPr>
          <w:szCs w:val="24"/>
        </w:rPr>
        <w:t xml:space="preserve"> aktīvs darbs pie enerģētikas politikas uzraudzības un administrēšanas funkciju nodošanas </w:t>
      </w:r>
      <w:r>
        <w:rPr>
          <w:szCs w:val="24"/>
        </w:rPr>
        <w:t>BVKB</w:t>
      </w:r>
      <w:r w:rsidRPr="00BE6097">
        <w:rPr>
          <w:szCs w:val="24"/>
        </w:rPr>
        <w:t>, aktīvi sadarbojoties ar visām iesaistītajām pusēm gan publiskajā, gan privātajā sektorā.</w:t>
      </w:r>
    </w:p>
    <w:p w14:paraId="47696C5F" w14:textId="1A688C35" w:rsidR="00D87B52" w:rsidRDefault="00D87B52" w:rsidP="00D87B52">
      <w:pPr>
        <w:spacing w:before="60" w:after="60" w:line="240" w:lineRule="auto"/>
        <w:jc w:val="both"/>
      </w:pPr>
      <w:r>
        <w:t xml:space="preserve">Turpinot īstenot </w:t>
      </w:r>
      <w:r w:rsidRPr="00857047">
        <w:t>energoefektivitātes pasākumu atbalstu</w:t>
      </w:r>
      <w:r>
        <w:t>, MK 2020. gada 30. jūnija sēdē tika apstiprināti grozījumi</w:t>
      </w:r>
      <w:r>
        <w:rPr>
          <w:rStyle w:val="FootnoteReference"/>
        </w:rPr>
        <w:footnoteReference w:id="27"/>
      </w:r>
      <w:r>
        <w:t xml:space="preserve"> ES fondu atbalsta </w:t>
      </w:r>
      <w:r w:rsidR="00857047">
        <w:t xml:space="preserve">pasākumā </w:t>
      </w:r>
      <w:hyperlink r:id="rId86" w:history="1">
        <w:r w:rsidR="00857047" w:rsidRPr="00857047">
          <w:rPr>
            <w:rStyle w:val="Hyperlink"/>
            <w:i/>
            <w:iCs/>
            <w:color w:val="00859B"/>
          </w:rPr>
          <w:t>Veicināt energoefektivitātes paaugstināšanu dzīvojamās ēkās</w:t>
        </w:r>
      </w:hyperlink>
      <w:r w:rsidR="00857047">
        <w:t xml:space="preserve"> </w:t>
      </w:r>
      <w:r w:rsidR="008524DA" w:rsidRPr="00857047">
        <w:rPr>
          <w:rFonts w:cs="Times New Roman"/>
          <w:szCs w:val="24"/>
        </w:rPr>
        <w:t xml:space="preserve">(skat. </w:t>
      </w:r>
      <w:hyperlink w:anchor="_Pielikums._EM_īstenojamo" w:history="1">
        <w:r w:rsidR="008524DA" w:rsidRPr="00857047">
          <w:rPr>
            <w:rStyle w:val="Hyperlink"/>
            <w:color w:val="00859B"/>
            <w:szCs w:val="28"/>
          </w:rPr>
          <w:t>8.pielikumu</w:t>
        </w:r>
      </w:hyperlink>
      <w:r w:rsidR="00857047">
        <w:rPr>
          <w:rFonts w:cs="Times New Roman"/>
          <w:szCs w:val="24"/>
        </w:rPr>
        <w:t>, 4.2.1.1.pasākumu)</w:t>
      </w:r>
      <w:r>
        <w:t>. Līdz ar grozījumiem A</w:t>
      </w:r>
      <w:r w:rsidR="005F2E2A">
        <w:t>LTUM</w:t>
      </w:r>
      <w:r>
        <w:t xml:space="preserve"> </w:t>
      </w:r>
      <w:r w:rsidR="009D0EBB">
        <w:t xml:space="preserve">bija </w:t>
      </w:r>
      <w:r>
        <w:t>piešķirts papildu finansējums 35</w:t>
      </w:r>
      <w:r w:rsidR="008524DA">
        <w:t> </w:t>
      </w:r>
      <w:r>
        <w:t>milj</w:t>
      </w:r>
      <w:r w:rsidR="008A4F31">
        <w:t>.</w:t>
      </w:r>
      <w:r w:rsidR="008524DA">
        <w:t> </w:t>
      </w:r>
      <w:r w:rsidRPr="008A4F31">
        <w:rPr>
          <w:i/>
          <w:iCs/>
        </w:rPr>
        <w:t>e</w:t>
      </w:r>
      <w:r w:rsidR="008A4F31" w:rsidRPr="008A4F31">
        <w:rPr>
          <w:i/>
          <w:iCs/>
        </w:rPr>
        <w:t>u</w:t>
      </w:r>
      <w:r w:rsidRPr="008A4F31">
        <w:rPr>
          <w:i/>
          <w:iCs/>
        </w:rPr>
        <w:t>ro</w:t>
      </w:r>
      <w:r>
        <w:t xml:space="preserve"> apmērā daudzdzīvokļu dzīvojamo māju energoefektivitātes </w:t>
      </w:r>
      <w:r w:rsidRPr="008524DA">
        <w:t>paaugstināšanai</w:t>
      </w:r>
      <w:r w:rsidR="008A4F31" w:rsidRPr="008524DA">
        <w:t>.</w:t>
      </w:r>
      <w:r w:rsidR="009D0EBB">
        <w:t xml:space="preserve"> </w:t>
      </w:r>
      <w:r w:rsidR="008A4F31" w:rsidRPr="008524DA">
        <w:t>T</w:t>
      </w:r>
      <w:r w:rsidRPr="008524DA">
        <w:t>as</w:t>
      </w:r>
      <w:r>
        <w:t xml:space="preserve"> </w:t>
      </w:r>
      <w:r w:rsidR="009D0EBB">
        <w:t xml:space="preserve">ļāva </w:t>
      </w:r>
      <w:r>
        <w:t>īstenot noteikumos ietvertajiem nosacījumiem atbilstošos projektus, k</w:t>
      </w:r>
      <w:r w:rsidR="008A4F31">
        <w:t>as</w:t>
      </w:r>
      <w:r>
        <w:t xml:space="preserve"> tika iesniegti A</w:t>
      </w:r>
      <w:r w:rsidR="005F2E2A">
        <w:t>LTUM</w:t>
      </w:r>
      <w:r>
        <w:t xml:space="preserve"> līdz 2020.</w:t>
      </w:r>
      <w:r w:rsidR="008A4F31">
        <w:t> </w:t>
      </w:r>
      <w:r>
        <w:t>gada 11.</w:t>
      </w:r>
      <w:r w:rsidR="008A4F31">
        <w:t> </w:t>
      </w:r>
      <w:r>
        <w:t>janvārim, bet k</w:t>
      </w:r>
      <w:r w:rsidR="008A4F31">
        <w:t>a</w:t>
      </w:r>
      <w:r>
        <w:t xml:space="preserve">m nepietika finansējums. Šī finansējuma ietvaros atbalstu (garantiju un grantu veidā) varēja saņemt vēl 150 daudzdzīvokļu ēkas. Līdz ar to </w:t>
      </w:r>
      <w:r>
        <w:lastRenderedPageBreak/>
        <w:t>kopējais A</w:t>
      </w:r>
      <w:r w:rsidR="005F2E2A">
        <w:t>LTUM</w:t>
      </w:r>
      <w:r>
        <w:t xml:space="preserve"> atbalstīto projektu skaits šajā programmā sasniedza 989 projektus</w:t>
      </w:r>
      <w:r w:rsidR="008A4F31">
        <w:t>,</w:t>
      </w:r>
      <w:r w:rsidR="00BD034E">
        <w:t xml:space="preserve"> </w:t>
      </w:r>
      <w:r w:rsidR="008A4F31">
        <w:t>n</w:t>
      </w:r>
      <w:r>
        <w:t>o kuriem pilnībā pabeigti ir 274 projekti</w:t>
      </w:r>
      <w:r w:rsidR="008A4F31">
        <w:t xml:space="preserve"> (p</w:t>
      </w:r>
      <w:r>
        <w:t>ārējie projekti tiks pabeigti līdz 2023.gada beigām</w:t>
      </w:r>
      <w:r w:rsidR="008A4F31">
        <w:t>)</w:t>
      </w:r>
      <w:r>
        <w:t xml:space="preserve">. </w:t>
      </w:r>
    </w:p>
    <w:p w14:paraId="326F4FA8" w14:textId="63218434" w:rsidR="00D87B52" w:rsidRDefault="00D87B52" w:rsidP="008A4F31">
      <w:pPr>
        <w:spacing w:before="60" w:after="60" w:line="240" w:lineRule="auto"/>
        <w:jc w:val="both"/>
      </w:pPr>
      <w:r>
        <w:t xml:space="preserve">Ēku energoefektivitātes veicināšanas pasākumi </w:t>
      </w:r>
      <w:r w:rsidR="008A4F31">
        <w:t xml:space="preserve">ir </w:t>
      </w:r>
      <w:r>
        <w:t xml:space="preserve">efektīvs instruments ekonomiskās aktivitātes atjaunošanai, </w:t>
      </w:r>
      <w:r w:rsidR="008A4F31">
        <w:t xml:space="preserve">kas </w:t>
      </w:r>
      <w:r>
        <w:t xml:space="preserve">palīdz uzņēmējiem un Latvijas tautsaimniecībai pārvarēt Covid-19 pandēmijas radītās krīzes sekas, kā arī iedzīvotājiem palīdz sakārtot dzīvojamo fondu un mazināt apkures izdevumus. Papildu finansējuma piešķiršana šai programmai rada papildu investīcijas Latvijas ekonomikā un būvniecības nozarēs, kas rada jaunas darbavietas. Svarīgi norādīt, ka vairāk kā 60% no māju renovācijā </w:t>
      </w:r>
      <w:r w:rsidR="0061009E">
        <w:t xml:space="preserve">ieguldītajiem līdzekļiem </w:t>
      </w:r>
      <w:r>
        <w:t xml:space="preserve">paliek Latvijas ekonomikā, jo investīcijas mājokļu siltināšanā ir arī nozīmīgs atbalsta avots Latvijas būvmateriālu ražotājiem un būvniekiem. </w:t>
      </w:r>
    </w:p>
    <w:p w14:paraId="734F9D05" w14:textId="6D01295F" w:rsidR="00C729D4" w:rsidRDefault="00D87B52" w:rsidP="00C729D4">
      <w:pPr>
        <w:spacing w:before="60" w:after="60" w:line="240" w:lineRule="auto"/>
        <w:jc w:val="both"/>
      </w:pPr>
      <w:r>
        <w:t>2020.</w:t>
      </w:r>
      <w:r w:rsidR="00613E91">
        <w:t> </w:t>
      </w:r>
      <w:r>
        <w:t xml:space="preserve">gadā notika </w:t>
      </w:r>
      <w:r w:rsidR="008A4F31">
        <w:t xml:space="preserve">trešā </w:t>
      </w:r>
      <w:r>
        <w:t xml:space="preserve">kārta </w:t>
      </w:r>
      <w:r w:rsidRPr="00F9787A">
        <w:t>ES fondu atbalst</w:t>
      </w:r>
      <w:r>
        <w:t xml:space="preserve">a </w:t>
      </w:r>
      <w:r w:rsidR="008E3E7F">
        <w:t xml:space="preserve">pasākuma </w:t>
      </w:r>
      <w:hyperlink r:id="rId87" w:history="1">
        <w:r w:rsidR="008E3E7F" w:rsidRPr="008E5E6E">
          <w:rPr>
            <w:rStyle w:val="Hyperlink"/>
            <w:i/>
            <w:iCs/>
            <w:color w:val="00859B"/>
          </w:rPr>
          <w:t>energoefektivitātes</w:t>
        </w:r>
        <w:r w:rsidR="008E5E6E" w:rsidRPr="008E5E6E">
          <w:rPr>
            <w:rStyle w:val="Hyperlink"/>
            <w:i/>
            <w:iCs/>
            <w:color w:val="00859B"/>
          </w:rPr>
          <w:t xml:space="preserve"> palielināšanai apstrādes rūpniecībā</w:t>
        </w:r>
      </w:hyperlink>
      <w:r w:rsidR="008E3E7F">
        <w:t xml:space="preserve"> ietvaros </w:t>
      </w:r>
      <w:r w:rsidR="007809E7" w:rsidRPr="007809E7">
        <w:rPr>
          <w:rFonts w:cs="Times New Roman"/>
          <w:szCs w:val="24"/>
        </w:rPr>
        <w:t xml:space="preserve">(skat. </w:t>
      </w:r>
      <w:hyperlink w:anchor="_Pielikums._EM_īstenojamo" w:history="1">
        <w:r w:rsidR="007809E7" w:rsidRPr="007809E7">
          <w:rPr>
            <w:rStyle w:val="Hyperlink"/>
            <w:color w:val="00859B"/>
            <w:szCs w:val="28"/>
          </w:rPr>
          <w:t>8.pielikumu</w:t>
        </w:r>
      </w:hyperlink>
      <w:r w:rsidR="007809E7" w:rsidRPr="007809E7">
        <w:rPr>
          <w:rFonts w:cs="Times New Roman"/>
          <w:szCs w:val="24"/>
        </w:rPr>
        <w:t>,</w:t>
      </w:r>
      <w:r w:rsidR="007809E7">
        <w:rPr>
          <w:rFonts w:cs="Times New Roman"/>
          <w:szCs w:val="24"/>
        </w:rPr>
        <w:t xml:space="preserve"> 4.1.1.pasākumu). </w:t>
      </w:r>
      <w:r>
        <w:t>Projektu iesniegumu pieņemšana beidzās 2020.</w:t>
      </w:r>
      <w:r w:rsidR="008A4F31">
        <w:t> </w:t>
      </w:r>
      <w:r>
        <w:t>gada 30.</w:t>
      </w:r>
      <w:r w:rsidR="008A4F31">
        <w:t> </w:t>
      </w:r>
      <w:r>
        <w:t xml:space="preserve">decembrī. Šajā kārtā pieejamais </w:t>
      </w:r>
      <w:r w:rsidR="005F2E2A">
        <w:t>KF</w:t>
      </w:r>
      <w:r w:rsidRPr="00F9787A">
        <w:t xml:space="preserve"> finansējums</w:t>
      </w:r>
      <w:r w:rsidR="0061009E">
        <w:t xml:space="preserve"> </w:t>
      </w:r>
      <w:r w:rsidR="008A4F31">
        <w:t>veidoja</w:t>
      </w:r>
      <w:r w:rsidR="0061009E">
        <w:t xml:space="preserve"> </w:t>
      </w:r>
      <w:r w:rsidRPr="00F9787A">
        <w:t>11</w:t>
      </w:r>
      <w:r w:rsidR="008A4F31">
        <w:t> </w:t>
      </w:r>
      <w:r w:rsidRPr="00F9787A">
        <w:t>679</w:t>
      </w:r>
      <w:r w:rsidR="008A4F31">
        <w:t> </w:t>
      </w:r>
      <w:r w:rsidRPr="00F9787A">
        <w:t xml:space="preserve">793 </w:t>
      </w:r>
      <w:r w:rsidR="008A4F31" w:rsidRPr="008A4F31">
        <w:rPr>
          <w:i/>
          <w:iCs/>
        </w:rPr>
        <w:t>euro</w:t>
      </w:r>
      <w:r w:rsidR="008E3E7F">
        <w:t xml:space="preserve">, </w:t>
      </w:r>
      <w:r w:rsidR="008E3E7F" w:rsidRPr="008E3E7F">
        <w:rPr>
          <w:rStyle w:val="Strong"/>
          <w:b w:val="0"/>
          <w:bCs w:val="0"/>
        </w:rPr>
        <w:t>palielinot atbalsta apmēru komersantiem līdz pat 65% no projekta attiecināmajām izmaksām</w:t>
      </w:r>
      <w:r w:rsidR="008E3E7F">
        <w:t xml:space="preserve">. </w:t>
      </w:r>
      <w:r w:rsidR="008A4F31">
        <w:t>Pārskata periodā saņemto p</w:t>
      </w:r>
      <w:r>
        <w:t>rojektu vērtēšana tiks pabeigta 2021.gadā. Šajā kārtā bija liela uzņēmēju interese par energoefektivitātes uzlabošanu apstrādes rūpniecībā</w:t>
      </w:r>
      <w:r w:rsidR="008E5E6E">
        <w:t xml:space="preserve"> un </w:t>
      </w:r>
      <w:r w:rsidR="008A4F31">
        <w:t>CFLA</w:t>
      </w:r>
      <w:r>
        <w:t xml:space="preserve"> saņēma 48 projektu iesniegumus</w:t>
      </w:r>
      <w:r w:rsidR="008E5E6E">
        <w:t>, starp kuriem l</w:t>
      </w:r>
      <w:r>
        <w:t xml:space="preserve">ielākā aktivitāte </w:t>
      </w:r>
      <w:r w:rsidR="0061009E">
        <w:t xml:space="preserve">bija saistīta ar </w:t>
      </w:r>
      <w:r>
        <w:t xml:space="preserve">uzņēmumu </w:t>
      </w:r>
      <w:r w:rsidR="0061009E">
        <w:t xml:space="preserve">attīstību </w:t>
      </w:r>
      <w:r>
        <w:t xml:space="preserve">Pierīgā. Pieprasītais finansējums par 14% pārsniedza no </w:t>
      </w:r>
      <w:r w:rsidR="005F2E2A">
        <w:t>KF</w:t>
      </w:r>
      <w:r w:rsidR="0061009E">
        <w:t xml:space="preserve"> </w:t>
      </w:r>
      <w:r w:rsidR="008A4F31">
        <w:t xml:space="preserve">trešajai </w:t>
      </w:r>
      <w:r>
        <w:t>atlases kārtai paredzēt</w:t>
      </w:r>
      <w:r w:rsidR="008A4F31">
        <w:t>o</w:t>
      </w:r>
      <w:r w:rsidR="0061009E">
        <w:t xml:space="preserve"> finansējumu</w:t>
      </w:r>
      <w:r>
        <w:t xml:space="preserve">, bet visu projektu īstenošanai kopā pieprasītais KF finansējums </w:t>
      </w:r>
      <w:r w:rsidR="008A4F31">
        <w:t>sasniedza</w:t>
      </w:r>
      <w:r>
        <w:t xml:space="preserve"> 13</w:t>
      </w:r>
      <w:r w:rsidR="008A4F31">
        <w:t> </w:t>
      </w:r>
      <w:r>
        <w:t>503</w:t>
      </w:r>
      <w:r w:rsidR="008A4F31">
        <w:t> </w:t>
      </w:r>
      <w:r>
        <w:t xml:space="preserve">357 </w:t>
      </w:r>
      <w:r w:rsidRPr="008A4F31">
        <w:rPr>
          <w:i/>
          <w:iCs/>
        </w:rPr>
        <w:t>e</w:t>
      </w:r>
      <w:r w:rsidR="008A4F31" w:rsidRPr="008A4F31">
        <w:rPr>
          <w:i/>
          <w:iCs/>
        </w:rPr>
        <w:t>u</w:t>
      </w:r>
      <w:r w:rsidRPr="008A4F31">
        <w:rPr>
          <w:i/>
          <w:iCs/>
        </w:rPr>
        <w:t>ro</w:t>
      </w:r>
      <w:r>
        <w:t>.</w:t>
      </w:r>
      <w:r w:rsidR="0061009E">
        <w:t xml:space="preserve"> </w:t>
      </w:r>
      <w:r>
        <w:t xml:space="preserve">Gandrīz pusi no projektiem </w:t>
      </w:r>
      <w:r w:rsidR="00613E91">
        <w:t>–</w:t>
      </w:r>
      <w:r>
        <w:t xml:space="preserve"> 23</w:t>
      </w:r>
      <w:r w:rsidR="0061009E">
        <w:t xml:space="preserve"> </w:t>
      </w:r>
      <w:r w:rsidR="008524DA">
        <w:t xml:space="preserve">projektus </w:t>
      </w:r>
      <w:r>
        <w:t>jeb 48</w:t>
      </w:r>
      <w:r w:rsidR="008A4F31">
        <w:t> </w:t>
      </w:r>
      <w:r>
        <w:t>% plānots īstenot Pierīgā un Rīgā (attiecīgi 15 un 8</w:t>
      </w:r>
      <w:r w:rsidR="0061009E">
        <w:t xml:space="preserve"> projekti</w:t>
      </w:r>
      <w:r>
        <w:t xml:space="preserve">). Vidzemē paredzēta 10 ražošanas uzņēmumu attīstība, Zemgalē </w:t>
      </w:r>
      <w:r w:rsidR="00613E91">
        <w:t>–</w:t>
      </w:r>
      <w:r>
        <w:t xml:space="preserve"> 7, Kurzemē </w:t>
      </w:r>
      <w:r w:rsidR="00613E91">
        <w:t>–</w:t>
      </w:r>
      <w:r>
        <w:t xml:space="preserve"> 6. Viszemākā interese par ES fondu atbalsta iespējām bijusi Latgalē</w:t>
      </w:r>
      <w:r w:rsidR="008A4F31">
        <w:t>,</w:t>
      </w:r>
      <w:r w:rsidR="0061009E">
        <w:t xml:space="preserve"> </w:t>
      </w:r>
      <w:r w:rsidR="008A4F31">
        <w:t>k</w:t>
      </w:r>
      <w:r>
        <w:t xml:space="preserve">ur plānota </w:t>
      </w:r>
      <w:r w:rsidR="00C729D4">
        <w:t>divu</w:t>
      </w:r>
      <w:r>
        <w:t xml:space="preserve"> projektu īstenošana.</w:t>
      </w:r>
    </w:p>
    <w:p w14:paraId="5047C379" w14:textId="74745C29" w:rsidR="00D87B52" w:rsidRDefault="00D87B52" w:rsidP="00C729D4">
      <w:pPr>
        <w:spacing w:before="60" w:after="60" w:line="240" w:lineRule="auto"/>
        <w:jc w:val="both"/>
      </w:pPr>
      <w:r w:rsidRPr="00F9787A">
        <w:t>ES fondu atbalsts paredzēts rūpnieciskās ražošanas ēku un noliktavu energoefektivitāti paaugstinošu pārbūves vai atjaunošanas darbu veikšanai, kā arī energoefektīvu ražošanas un tās blakus</w:t>
      </w:r>
      <w:r w:rsidR="0061009E">
        <w:t xml:space="preserve"> </w:t>
      </w:r>
      <w:r w:rsidRPr="00F9787A">
        <w:t>procesus nodrošinošo iekārtu iegādei, lai aizstātu esošās, mazāk energoefektīvās iekārtas. Tāpat paredzēts, ka finansējumu var ieguldīt ēku inženiersistēmu atjaunošanā, pārbūvē vai izveidē, sekundāro energoresursu atgūšanai no ražošanas tehnoloģiskajiem procesiem un atjaunojamo enerģijas avotu izmantošanā, kā arī projekta tehniskās dokumentācijas sagatavošanai.</w:t>
      </w:r>
    </w:p>
    <w:p w14:paraId="6C22E022" w14:textId="67EB43EE" w:rsidR="00D87B52" w:rsidRDefault="00D87B52" w:rsidP="00C729D4">
      <w:pPr>
        <w:spacing w:before="60" w:after="60" w:line="240" w:lineRule="auto"/>
        <w:jc w:val="both"/>
      </w:pPr>
      <w:r>
        <w:t>2020.</w:t>
      </w:r>
      <w:r w:rsidR="00613E91">
        <w:t> </w:t>
      </w:r>
      <w:r>
        <w:t xml:space="preserve">gadā turpinājās arī agrāk uzsākto projektu īstenošana </w:t>
      </w:r>
      <w:r w:rsidR="00613E91">
        <w:t xml:space="preserve">ES </w:t>
      </w:r>
      <w:r>
        <w:t xml:space="preserve">atbalsta </w:t>
      </w:r>
      <w:r w:rsidR="0050405A">
        <w:t xml:space="preserve">pasākumu </w:t>
      </w:r>
      <w:hyperlink r:id="rId88" w:history="1">
        <w:r w:rsidR="0050405A" w:rsidRPr="0050405A">
          <w:rPr>
            <w:rStyle w:val="Hyperlink"/>
            <w:i/>
            <w:iCs/>
            <w:color w:val="00859B"/>
          </w:rPr>
          <w:t>Veicināt energoefektivitātes paaugstināšanu valsts ēkās</w:t>
        </w:r>
      </w:hyperlink>
      <w:r w:rsidR="0050405A">
        <w:t xml:space="preserve"> </w:t>
      </w:r>
      <w:r>
        <w:t xml:space="preserve">un </w:t>
      </w:r>
      <w:hyperlink r:id="rId89" w:history="1">
        <w:r w:rsidR="0050405A" w:rsidRPr="0024353E">
          <w:rPr>
            <w:rStyle w:val="Hyperlink"/>
            <w:i/>
            <w:iCs/>
            <w:color w:val="00859B"/>
          </w:rPr>
          <w:t>Centralizētās siltumapgādes energoefektivitāte</w:t>
        </w:r>
        <w:r w:rsidR="0050405A" w:rsidRPr="0024353E" w:rsidDel="0050405A">
          <w:rPr>
            <w:rStyle w:val="Hyperlink"/>
            <w:color w:val="00859B"/>
          </w:rPr>
          <w:t xml:space="preserve"> </w:t>
        </w:r>
      </w:hyperlink>
      <w:r w:rsidR="0050405A">
        <w:t xml:space="preserve">ietvaros </w:t>
      </w:r>
      <w:r w:rsidR="008E5E6E" w:rsidRPr="007809E7">
        <w:rPr>
          <w:rFonts w:cs="Times New Roman"/>
          <w:szCs w:val="24"/>
        </w:rPr>
        <w:t xml:space="preserve">(skat. </w:t>
      </w:r>
      <w:hyperlink w:anchor="_Pielikums._EM_īstenojamo" w:history="1">
        <w:r w:rsidR="008E5E6E" w:rsidRPr="007809E7">
          <w:rPr>
            <w:rStyle w:val="Hyperlink"/>
            <w:color w:val="00859B"/>
            <w:szCs w:val="28"/>
          </w:rPr>
          <w:t>8.pielikumu</w:t>
        </w:r>
      </w:hyperlink>
      <w:r w:rsidR="008E5E6E" w:rsidRPr="007809E7">
        <w:rPr>
          <w:rFonts w:cs="Times New Roman"/>
          <w:szCs w:val="24"/>
        </w:rPr>
        <w:t>,</w:t>
      </w:r>
      <w:r w:rsidR="008E5E6E">
        <w:rPr>
          <w:rFonts w:cs="Times New Roman"/>
          <w:szCs w:val="24"/>
        </w:rPr>
        <w:t xml:space="preserve"> attiecīgi 4.2.1.2. </w:t>
      </w:r>
      <w:r w:rsidR="0050405A">
        <w:rPr>
          <w:rFonts w:cs="Times New Roman"/>
          <w:szCs w:val="24"/>
        </w:rPr>
        <w:t>un 4.3.1.</w:t>
      </w:r>
      <w:r w:rsidR="008E5E6E">
        <w:rPr>
          <w:rFonts w:cs="Times New Roman"/>
          <w:szCs w:val="24"/>
        </w:rPr>
        <w:t>pasākumu)</w:t>
      </w:r>
      <w:r>
        <w:t>. Š</w:t>
      </w:r>
      <w:r w:rsidR="0050405A">
        <w:t xml:space="preserve">iem pasākumiem </w:t>
      </w:r>
      <w:r>
        <w:t>2020.</w:t>
      </w:r>
      <w:r w:rsidR="00613E91">
        <w:t> </w:t>
      </w:r>
      <w:r>
        <w:t xml:space="preserve">gada laikā tika izmaksāts atbalsts par pabeigtajiem darbiem </w:t>
      </w:r>
      <w:r w:rsidR="00C729D4">
        <w:t xml:space="preserve">attiecīgi </w:t>
      </w:r>
      <w:r w:rsidR="00A35A4E">
        <w:t>22,87 milj. </w:t>
      </w:r>
      <w:r w:rsidR="00C729D4" w:rsidRPr="00C729D4">
        <w:rPr>
          <w:i/>
          <w:iCs/>
        </w:rPr>
        <w:t>euro</w:t>
      </w:r>
      <w:r>
        <w:t xml:space="preserve"> un </w:t>
      </w:r>
      <w:r w:rsidR="00A35A4E">
        <w:t xml:space="preserve">11,1 milj. </w:t>
      </w:r>
      <w:r w:rsidR="00C729D4" w:rsidRPr="00C729D4">
        <w:rPr>
          <w:i/>
          <w:iCs/>
        </w:rPr>
        <w:t>euro</w:t>
      </w:r>
      <w:r>
        <w:t xml:space="preserve"> apmērā. </w:t>
      </w:r>
    </w:p>
    <w:p w14:paraId="10FD56C4" w14:textId="17D9BA4D" w:rsidR="008E7ECB" w:rsidRPr="00187466" w:rsidRDefault="00C729D4" w:rsidP="00A35A4E">
      <w:pPr>
        <w:spacing w:before="60" w:after="60" w:line="240" w:lineRule="auto"/>
        <w:jc w:val="both"/>
        <w:rPr>
          <w:rFonts w:eastAsia="Times New Roman"/>
          <w:szCs w:val="24"/>
        </w:rPr>
      </w:pPr>
      <w:r>
        <w:rPr>
          <w:rFonts w:eastAsia="Times New Roman"/>
          <w:szCs w:val="24"/>
        </w:rPr>
        <w:t xml:space="preserve">Enerģētikas tirgus jomā </w:t>
      </w:r>
      <w:r w:rsidR="008E7ECB" w:rsidRPr="00187466">
        <w:rPr>
          <w:rFonts w:eastAsia="Times New Roman"/>
          <w:szCs w:val="24"/>
        </w:rPr>
        <w:t>2020.</w:t>
      </w:r>
      <w:r w:rsidR="008E7ECB">
        <w:rPr>
          <w:rFonts w:eastAsia="Times New Roman"/>
          <w:szCs w:val="24"/>
        </w:rPr>
        <w:t> </w:t>
      </w:r>
      <w:r w:rsidR="008E7ECB" w:rsidRPr="00187466">
        <w:rPr>
          <w:rFonts w:eastAsia="Times New Roman"/>
          <w:szCs w:val="24"/>
        </w:rPr>
        <w:t>gad</w:t>
      </w:r>
      <w:r w:rsidR="008E7ECB">
        <w:rPr>
          <w:rFonts w:eastAsia="Times New Roman"/>
          <w:szCs w:val="24"/>
        </w:rPr>
        <w:t xml:space="preserve">ā </w:t>
      </w:r>
      <w:r w:rsidR="008E7ECB" w:rsidRPr="00187466">
        <w:rPr>
          <w:rFonts w:eastAsia="Times New Roman"/>
          <w:szCs w:val="24"/>
        </w:rPr>
        <w:t xml:space="preserve">turpinājās darbs pie </w:t>
      </w:r>
      <w:r w:rsidR="008E7ECB" w:rsidRPr="00187466">
        <w:rPr>
          <w:rFonts w:eastAsia="Times New Roman"/>
          <w:b/>
          <w:bCs/>
          <w:color w:val="008080"/>
          <w:szCs w:val="24"/>
        </w:rPr>
        <w:t>Baltijas valstu elektrotīklu sinhronizācijas ar Eiropas tīklu projekta</w:t>
      </w:r>
      <w:r w:rsidR="008E7ECB" w:rsidRPr="00187466">
        <w:rPr>
          <w:rFonts w:eastAsia="Times New Roman"/>
          <w:szCs w:val="24"/>
        </w:rPr>
        <w:t xml:space="preserve"> (turpmāk – </w:t>
      </w:r>
      <w:r w:rsidR="00FA522F">
        <w:rPr>
          <w:rFonts w:eastAsia="Times New Roman"/>
          <w:szCs w:val="24"/>
        </w:rPr>
        <w:t>S</w:t>
      </w:r>
      <w:r w:rsidR="008E7ECB" w:rsidRPr="00187466">
        <w:rPr>
          <w:rFonts w:eastAsia="Times New Roman"/>
          <w:szCs w:val="24"/>
        </w:rPr>
        <w:t>inhronizācijas projekts), kas ir viens no prioritārajiem projektiem ne tikai Baltijas valstu, bet arī ES līmenī, jo tas ar papildu elektrotīklu starpsavienojumu izbūvi uzlabo ES iekšējā enerģētikas tirgus funkcionēšanu un Enerģētikas savienības mērķu sasniegšanu. Sinhronizācijas projekts ir daļa no kopējā ES integrācijas procesa, kura īstenošana paredzēta līdz 2025. gadam.</w:t>
      </w:r>
      <w:r w:rsidR="00154A21">
        <w:rPr>
          <w:rFonts w:eastAsia="Times New Roman"/>
          <w:szCs w:val="24"/>
        </w:rPr>
        <w:t xml:space="preserve"> </w:t>
      </w:r>
      <w:r w:rsidR="008E7ECB" w:rsidRPr="00187466">
        <w:rPr>
          <w:rFonts w:eastAsia="Times New Roman"/>
          <w:szCs w:val="24"/>
        </w:rPr>
        <w:t xml:space="preserve">Sinhronizācijas projekta ietvaros plānota katras Baltijas valsts iekšējās infrastruktūras rekonstrukcija un izbūve, kā arī jauna jūras līdzstrāvas kabeļa </w:t>
      </w:r>
      <w:r w:rsidR="008E7ECB" w:rsidRPr="00187466">
        <w:rPr>
          <w:rFonts w:eastAsia="Times New Roman"/>
          <w:i/>
          <w:iCs/>
          <w:szCs w:val="24"/>
        </w:rPr>
        <w:t>Harmony</w:t>
      </w:r>
      <w:r w:rsidR="00154A21">
        <w:rPr>
          <w:rFonts w:eastAsia="Times New Roman"/>
          <w:i/>
          <w:iCs/>
          <w:szCs w:val="24"/>
        </w:rPr>
        <w:t>L</w:t>
      </w:r>
      <w:r w:rsidR="008E7ECB" w:rsidRPr="00187466">
        <w:rPr>
          <w:rFonts w:eastAsia="Times New Roman"/>
          <w:i/>
          <w:iCs/>
          <w:szCs w:val="24"/>
        </w:rPr>
        <w:t>ink</w:t>
      </w:r>
      <w:r w:rsidR="008E7ECB" w:rsidRPr="00187466">
        <w:rPr>
          <w:rFonts w:eastAsia="Times New Roman"/>
          <w:szCs w:val="24"/>
        </w:rPr>
        <w:t xml:space="preserve"> izbūve starp Lietuvu un Poliju. Baltijas valstu un Polijas pārvades sistēmas operatori 2020. gada maijā iesniedza pieteikumu CEF līdzfinansējuma saņemšanai </w:t>
      </w:r>
      <w:r w:rsidR="00FA522F">
        <w:rPr>
          <w:rFonts w:eastAsia="Times New Roman"/>
          <w:szCs w:val="24"/>
        </w:rPr>
        <w:t>S</w:t>
      </w:r>
      <w:r w:rsidR="008E7ECB" w:rsidRPr="00187466">
        <w:rPr>
          <w:rFonts w:eastAsia="Times New Roman"/>
          <w:szCs w:val="24"/>
        </w:rPr>
        <w:t xml:space="preserve">inhronizācijas projekta otrajai fāzei. 2020. gada oktobrī CEF koordinācijas komiteja nolēma piešķirt </w:t>
      </w:r>
      <w:r w:rsidR="008E7ECB" w:rsidRPr="007809E7">
        <w:rPr>
          <w:rFonts w:eastAsia="Times New Roman"/>
          <w:szCs w:val="24"/>
        </w:rPr>
        <w:t>719 milj</w:t>
      </w:r>
      <w:r w:rsidR="0067060A" w:rsidRPr="007809E7">
        <w:rPr>
          <w:rFonts w:eastAsia="Times New Roman"/>
          <w:szCs w:val="24"/>
        </w:rPr>
        <w:t>.</w:t>
      </w:r>
      <w:r w:rsidR="00154A21" w:rsidRPr="007809E7">
        <w:rPr>
          <w:rFonts w:eastAsia="Times New Roman"/>
          <w:szCs w:val="24"/>
        </w:rPr>
        <w:t xml:space="preserve"> </w:t>
      </w:r>
      <w:r w:rsidR="008E7ECB" w:rsidRPr="007809E7">
        <w:rPr>
          <w:rFonts w:eastAsia="Times New Roman"/>
          <w:i/>
          <w:iCs/>
          <w:szCs w:val="24"/>
        </w:rPr>
        <w:t>e</w:t>
      </w:r>
      <w:r w:rsidR="0067060A" w:rsidRPr="007809E7">
        <w:rPr>
          <w:rFonts w:eastAsia="Times New Roman"/>
          <w:i/>
          <w:iCs/>
          <w:szCs w:val="24"/>
        </w:rPr>
        <w:t>u</w:t>
      </w:r>
      <w:r w:rsidR="008E7ECB" w:rsidRPr="007809E7">
        <w:rPr>
          <w:rFonts w:eastAsia="Times New Roman"/>
          <w:i/>
          <w:iCs/>
          <w:szCs w:val="24"/>
        </w:rPr>
        <w:t>ro</w:t>
      </w:r>
      <w:r w:rsidR="008E7ECB" w:rsidRPr="007809E7">
        <w:rPr>
          <w:rFonts w:eastAsia="Times New Roman"/>
          <w:szCs w:val="24"/>
        </w:rPr>
        <w:t>,</w:t>
      </w:r>
      <w:r w:rsidR="008E7ECB" w:rsidRPr="00187466">
        <w:rPr>
          <w:rFonts w:eastAsia="Times New Roman"/>
          <w:szCs w:val="24"/>
        </w:rPr>
        <w:t xml:space="preserve"> kas galvenokārt paredzēti līdzsprieguma jūras kabeļa </w:t>
      </w:r>
      <w:r w:rsidR="008E7ECB" w:rsidRPr="00187466">
        <w:rPr>
          <w:rFonts w:eastAsia="Times New Roman"/>
          <w:i/>
          <w:iCs/>
          <w:szCs w:val="24"/>
        </w:rPr>
        <w:t>HarmonyLink</w:t>
      </w:r>
      <w:r w:rsidR="008E7ECB" w:rsidRPr="00187466">
        <w:rPr>
          <w:rFonts w:eastAsia="Times New Roman"/>
          <w:szCs w:val="24"/>
        </w:rPr>
        <w:t xml:space="preserve"> izbūvei starp Lietuvu un Poliju, kā arī sinhrono kompensatoru ierīkošanai. Šāds līdzfinansējuma apmērs </w:t>
      </w:r>
      <w:r w:rsidR="00154A21">
        <w:rPr>
          <w:rFonts w:eastAsia="Times New Roman"/>
          <w:szCs w:val="24"/>
        </w:rPr>
        <w:t xml:space="preserve">absolūtā izteiksmē </w:t>
      </w:r>
      <w:r w:rsidR="008E7ECB" w:rsidRPr="00187466">
        <w:rPr>
          <w:rFonts w:eastAsia="Times New Roman"/>
          <w:szCs w:val="24"/>
        </w:rPr>
        <w:t xml:space="preserve">ir lielākais CEF vēsturē enerģētikas sektorā. Pieteikumu pārējo </w:t>
      </w:r>
      <w:r w:rsidR="00FA522F">
        <w:rPr>
          <w:rFonts w:eastAsia="Times New Roman"/>
          <w:szCs w:val="24"/>
        </w:rPr>
        <w:t>S</w:t>
      </w:r>
      <w:r w:rsidR="008E7ECB" w:rsidRPr="00187466">
        <w:rPr>
          <w:rFonts w:eastAsia="Times New Roman"/>
          <w:szCs w:val="24"/>
        </w:rPr>
        <w:t>inhronizācijas projekta otrās fāzes aktivitāšu atbalstam CEF plānots iesnieg</w:t>
      </w:r>
      <w:r w:rsidR="008E7ECB">
        <w:rPr>
          <w:rFonts w:eastAsia="Times New Roman"/>
          <w:szCs w:val="24"/>
        </w:rPr>
        <w:t>t</w:t>
      </w:r>
      <w:r w:rsidR="008E7ECB" w:rsidRPr="00187466">
        <w:rPr>
          <w:rFonts w:eastAsia="Times New Roman"/>
          <w:szCs w:val="24"/>
        </w:rPr>
        <w:t xml:space="preserve"> 2021. gadā.</w:t>
      </w:r>
    </w:p>
    <w:p w14:paraId="61F64B95" w14:textId="12DFE662" w:rsidR="008E7ECB" w:rsidRPr="00187466" w:rsidRDefault="008E7ECB" w:rsidP="008E7ECB">
      <w:pPr>
        <w:spacing w:before="60" w:after="60" w:line="240" w:lineRule="auto"/>
        <w:jc w:val="both"/>
        <w:rPr>
          <w:szCs w:val="24"/>
        </w:rPr>
      </w:pPr>
      <w:r w:rsidRPr="00187466">
        <w:rPr>
          <w:rFonts w:eastAsia="Times New Roman"/>
          <w:szCs w:val="24"/>
        </w:rPr>
        <w:t xml:space="preserve">Vienlaikus, kā viens no prioritārajiem jautājumiem elektroenerģijas tirgus jomā ir jāizceļ </w:t>
      </w:r>
      <w:r w:rsidRPr="00187466">
        <w:rPr>
          <w:rFonts w:eastAsia="Times New Roman"/>
          <w:b/>
          <w:bCs/>
          <w:color w:val="008080"/>
          <w:szCs w:val="24"/>
        </w:rPr>
        <w:t>tirdzniecība ar trešajām valstīm</w:t>
      </w:r>
      <w:r w:rsidRPr="00187466">
        <w:rPr>
          <w:rFonts w:eastAsia="Times New Roman"/>
          <w:szCs w:val="24"/>
        </w:rPr>
        <w:t xml:space="preserve">. </w:t>
      </w:r>
      <w:r w:rsidR="00154A21">
        <w:rPr>
          <w:rFonts w:eastAsia="Times New Roman"/>
          <w:szCs w:val="24"/>
        </w:rPr>
        <w:t>Ņ</w:t>
      </w:r>
      <w:r w:rsidRPr="00187466">
        <w:rPr>
          <w:rFonts w:eastAsia="Times New Roman"/>
          <w:szCs w:val="24"/>
        </w:rPr>
        <w:t xml:space="preserve">emot vērā </w:t>
      </w:r>
      <w:r>
        <w:rPr>
          <w:rFonts w:eastAsia="Times New Roman"/>
          <w:szCs w:val="24"/>
        </w:rPr>
        <w:t xml:space="preserve">politisko </w:t>
      </w:r>
      <w:r w:rsidRPr="00187466">
        <w:rPr>
          <w:rFonts w:eastAsia="Times New Roman"/>
          <w:szCs w:val="24"/>
        </w:rPr>
        <w:t xml:space="preserve">notikumu attīstību Baltkrievijā un no tiem izrietošos riskus starptautisko kodoldrošības standartu ievērošanai Astravjecas atomelektrostacijā (AES), </w:t>
      </w:r>
      <w:r w:rsidR="00154A21" w:rsidRPr="00187466">
        <w:rPr>
          <w:rFonts w:eastAsia="Times New Roman"/>
          <w:szCs w:val="24"/>
        </w:rPr>
        <w:t>2020.</w:t>
      </w:r>
      <w:r w:rsidR="00154A21">
        <w:rPr>
          <w:rFonts w:eastAsia="Times New Roman"/>
          <w:szCs w:val="24"/>
        </w:rPr>
        <w:t> </w:t>
      </w:r>
      <w:r w:rsidR="00154A21" w:rsidRPr="00187466">
        <w:rPr>
          <w:rFonts w:eastAsia="Times New Roman"/>
          <w:szCs w:val="24"/>
        </w:rPr>
        <w:t>gada 25.</w:t>
      </w:r>
      <w:r w:rsidR="00154A21">
        <w:rPr>
          <w:rFonts w:eastAsia="Times New Roman"/>
          <w:szCs w:val="24"/>
        </w:rPr>
        <w:t> </w:t>
      </w:r>
      <w:r w:rsidR="00154A21" w:rsidRPr="00187466">
        <w:rPr>
          <w:rFonts w:eastAsia="Times New Roman"/>
          <w:szCs w:val="24"/>
        </w:rPr>
        <w:t xml:space="preserve">augustā Latvijas valdība </w:t>
      </w:r>
      <w:r w:rsidR="00154A21">
        <w:rPr>
          <w:rFonts w:eastAsia="Times New Roman"/>
          <w:szCs w:val="24"/>
        </w:rPr>
        <w:t>no</w:t>
      </w:r>
      <w:r w:rsidR="00154A21" w:rsidRPr="00187466">
        <w:rPr>
          <w:rFonts w:eastAsia="Times New Roman"/>
          <w:szCs w:val="24"/>
        </w:rPr>
        <w:t>lēma</w:t>
      </w:r>
      <w:r w:rsidR="00154A21">
        <w:rPr>
          <w:rFonts w:eastAsia="Times New Roman"/>
          <w:szCs w:val="24"/>
        </w:rPr>
        <w:t xml:space="preserve">, </w:t>
      </w:r>
      <w:r>
        <w:rPr>
          <w:rFonts w:eastAsia="Times New Roman"/>
          <w:szCs w:val="24"/>
        </w:rPr>
        <w:t xml:space="preserve">ka </w:t>
      </w:r>
      <w:r w:rsidRPr="00187466">
        <w:rPr>
          <w:rFonts w:eastAsia="Times New Roman"/>
          <w:szCs w:val="24"/>
        </w:rPr>
        <w:t xml:space="preserve">nepieciešams apturēt elektroenerģijas tirdzniecību ar Baltkrieviju, ja darbu uzsāk Astravjecas AES. </w:t>
      </w:r>
      <w:r w:rsidRPr="00187466">
        <w:rPr>
          <w:szCs w:val="24"/>
        </w:rPr>
        <w:t>Astravjecas AES darbību testa režīmā uzsāka 2020.</w:t>
      </w:r>
      <w:r w:rsidR="00FA522F">
        <w:rPr>
          <w:szCs w:val="24"/>
        </w:rPr>
        <w:t> </w:t>
      </w:r>
      <w:r w:rsidRPr="00187466">
        <w:rPr>
          <w:szCs w:val="24"/>
        </w:rPr>
        <w:t>gada 3.</w:t>
      </w:r>
      <w:r w:rsidR="00FA522F">
        <w:rPr>
          <w:szCs w:val="24"/>
        </w:rPr>
        <w:t> </w:t>
      </w:r>
      <w:r>
        <w:rPr>
          <w:szCs w:val="24"/>
        </w:rPr>
        <w:t>n</w:t>
      </w:r>
      <w:r w:rsidRPr="00187466">
        <w:rPr>
          <w:szCs w:val="24"/>
        </w:rPr>
        <w:t xml:space="preserve">ovembrī un Lietuva pārtrauca elektroenerģijas tirdzniecību ar Baltkrieviju. Lai </w:t>
      </w:r>
      <w:r w:rsidRPr="00187466">
        <w:rPr>
          <w:szCs w:val="24"/>
        </w:rPr>
        <w:lastRenderedPageBreak/>
        <w:t xml:space="preserve">nodrošinātu, ka elektroenerģijas plūsmas no Baltkrievijas nenonāktu Baltijas valstīs tranzītā caur Krieviju, ir ieviests nepieciešamais regulējums, kas uzliek elektroenerģijas </w:t>
      </w:r>
      <w:r w:rsidR="00FA522F">
        <w:rPr>
          <w:szCs w:val="24"/>
        </w:rPr>
        <w:t>PSO</w:t>
      </w:r>
      <w:r w:rsidRPr="00187466">
        <w:rPr>
          <w:szCs w:val="24"/>
        </w:rPr>
        <w:t xml:space="preserve"> AS</w:t>
      </w:r>
      <w:r w:rsidR="00FA522F">
        <w:rPr>
          <w:szCs w:val="24"/>
        </w:rPr>
        <w:t> </w:t>
      </w:r>
      <w:r w:rsidRPr="00187466">
        <w:rPr>
          <w:szCs w:val="24"/>
        </w:rPr>
        <w:t>“Augstsprieguma tīkls” pienākumu pieprasīt izcelsmes apliecinājumus no Krievijas puses. Ir ieviesta divpakāpju izcelsmes apliecinājumu sistēma – Krievijas eksporta operators VAS “Inter RAO” iesniedz izcelsmes apliecinājumu mēneša sākumā, bet Krievijas Tirdzniecības un rūpniecības kamera izsniedz izcelsmes apliecinājumu nākamajā mēnesi par iepriekšējā mēnesī kopējo pārvadīto elektroenerģijas apjomu. Izcelsmes apliecinājumā ir norādīts, ka konkrētais pārvadītais apjoms ir ražots Krievijā.</w:t>
      </w:r>
    </w:p>
    <w:p w14:paraId="40BE7DAD" w14:textId="3295F14E" w:rsidR="008E7ECB" w:rsidRPr="00187466" w:rsidRDefault="008E7ECB" w:rsidP="00FA522F">
      <w:pPr>
        <w:spacing w:before="60" w:after="60" w:line="240" w:lineRule="auto"/>
        <w:jc w:val="both"/>
        <w:rPr>
          <w:szCs w:val="24"/>
        </w:rPr>
      </w:pPr>
      <w:r w:rsidRPr="00187466">
        <w:rPr>
          <w:szCs w:val="24"/>
        </w:rPr>
        <w:t xml:space="preserve">Viens no nozīmīgākiem procesiem dabasgāzes sektorā ir </w:t>
      </w:r>
      <w:r w:rsidRPr="00187466">
        <w:rPr>
          <w:b/>
          <w:bCs/>
          <w:color w:val="008080"/>
          <w:szCs w:val="24"/>
        </w:rPr>
        <w:t>vienotā Baltijas un Somijas dabasgāzes tirgus izveide</w:t>
      </w:r>
      <w:r w:rsidRPr="00187466">
        <w:rPr>
          <w:szCs w:val="24"/>
        </w:rPr>
        <w:t>.</w:t>
      </w:r>
      <w:r w:rsidR="006B04B6">
        <w:rPr>
          <w:szCs w:val="24"/>
        </w:rPr>
        <w:t xml:space="preserve"> </w:t>
      </w:r>
      <w:r w:rsidRPr="00187466">
        <w:rPr>
          <w:szCs w:val="24"/>
        </w:rPr>
        <w:t>Par Eiropā unikālu un Latvijas dabasgāzes sektorā vēsturisku notikumu uzskatāma vienotā Latvijas, Igaunijas un Somijas dabasgāzes tirgus darbības uzsākšana 2020. gada 1.</w:t>
      </w:r>
      <w:r w:rsidR="00FA522F">
        <w:rPr>
          <w:szCs w:val="24"/>
        </w:rPr>
        <w:t> </w:t>
      </w:r>
      <w:r w:rsidRPr="00187466">
        <w:rPr>
          <w:szCs w:val="24"/>
        </w:rPr>
        <w:t xml:space="preserve">janvārī. Tas </w:t>
      </w:r>
      <w:r w:rsidR="006B04B6">
        <w:rPr>
          <w:szCs w:val="24"/>
        </w:rPr>
        <w:t>bija</w:t>
      </w:r>
      <w:r w:rsidR="006B04B6" w:rsidRPr="00187466">
        <w:rPr>
          <w:szCs w:val="24"/>
        </w:rPr>
        <w:t xml:space="preserve"> </w:t>
      </w:r>
      <w:r w:rsidRPr="00187466">
        <w:rPr>
          <w:szCs w:val="24"/>
        </w:rPr>
        <w:t xml:space="preserve">ilgstoša un izaicinājumiem bagāta Baltijas valstu un Somijas regulējošo iestāžu, dabasgāzes </w:t>
      </w:r>
      <w:r w:rsidR="00FA522F">
        <w:rPr>
          <w:szCs w:val="24"/>
        </w:rPr>
        <w:t>PSO</w:t>
      </w:r>
      <w:r w:rsidRPr="00187466">
        <w:rPr>
          <w:szCs w:val="24"/>
        </w:rPr>
        <w:t xml:space="preserve"> un par nozari atbildīgo ministriju darba rezultāts. Pašlaik darbojas vienota gāzes pārvades tarifa zona Somijā, Igaunijā un Latvijā. Vienotais dabasgāzes tirgus sāka darboties ar divām balansēšanas zonām – apvienoto Latvijas-Igaunijas balansēšanas zonu un Somijas. Vienlaikus notiek paralēls darbs pie vienotas IT platformas, kas atvieglos ikviena dabasgāzes tirgotāja darbību vienotajā tirgus zonā. Reģionālais dabasgāzes tirgus rada piekļuvi jaunām gāzes tirdzniecības platformām un ceļiem, uzlabo tirgus likvīdumu, dažādo gāzes piegādes, kā arī veicina tarifu caurspīdīgumu. Tas varētu kļūt par vienīgo šāda veida vienotā tirgus reģionu ES. Sākotnēji vienotajā tirgus zonā piedalās Somija, Igaunija un Latvija, taču tirgu plānots attīstīt, sniedzot ieguvumus visiem šī tirgus dalībniekiem, tostarp lietotājiem, un aicinot tam pievienoties arī citas </w:t>
      </w:r>
      <w:r>
        <w:rPr>
          <w:szCs w:val="24"/>
        </w:rPr>
        <w:t>ES</w:t>
      </w:r>
      <w:r w:rsidRPr="00187466">
        <w:rPr>
          <w:szCs w:val="24"/>
        </w:rPr>
        <w:t xml:space="preserve"> dalībvalstis. Papildus jāuzsver, ka Igaunijas-Somijas starpsavienojuma (</w:t>
      </w:r>
      <w:r w:rsidRPr="00187466">
        <w:rPr>
          <w:i/>
          <w:iCs/>
          <w:szCs w:val="24"/>
        </w:rPr>
        <w:t>Balticconnector</w:t>
      </w:r>
      <w:r w:rsidRPr="00187466">
        <w:rPr>
          <w:szCs w:val="24"/>
        </w:rPr>
        <w:t>) projekts tika pabeigts 2019.</w:t>
      </w:r>
      <w:r w:rsidR="00FA522F">
        <w:rPr>
          <w:szCs w:val="24"/>
        </w:rPr>
        <w:t> </w:t>
      </w:r>
      <w:r w:rsidRPr="00187466">
        <w:rPr>
          <w:szCs w:val="24"/>
        </w:rPr>
        <w:t>gada beigās un kopš 2020.</w:t>
      </w:r>
      <w:r w:rsidR="00FA522F">
        <w:rPr>
          <w:szCs w:val="24"/>
        </w:rPr>
        <w:t> </w:t>
      </w:r>
      <w:r w:rsidRPr="00187466">
        <w:rPr>
          <w:szCs w:val="24"/>
        </w:rPr>
        <w:t>gada 1.</w:t>
      </w:r>
      <w:r w:rsidR="00FA522F">
        <w:rPr>
          <w:szCs w:val="24"/>
        </w:rPr>
        <w:t> </w:t>
      </w:r>
      <w:r w:rsidRPr="00187466">
        <w:rPr>
          <w:szCs w:val="24"/>
        </w:rPr>
        <w:t>janvāra tiek lietots komerciālos nolūkos. Šīs starpsavienojums savieno Somijas dabasgāzes pārvades sistēmu ar Baltijas valstu dabasgāzes pārvades sistēmu. Tas sastāv no sauszemes cauruļvada posma, zemūdens cauruļvada posma un divām kompresoru stacijām.</w:t>
      </w:r>
    </w:p>
    <w:bookmarkEnd w:id="40"/>
    <w:p w14:paraId="66E83AED" w14:textId="77777777" w:rsidR="0079009B" w:rsidRPr="00F5511B" w:rsidRDefault="0079009B" w:rsidP="00541E5E">
      <w:pPr>
        <w:spacing w:before="60" w:after="60" w:line="240" w:lineRule="auto"/>
        <w:jc w:val="both"/>
        <w:rPr>
          <w:highlight w:val="yellow"/>
        </w:rPr>
      </w:pPr>
    </w:p>
    <w:tbl>
      <w:tblPr>
        <w:tblStyle w:val="TableGrid"/>
        <w:tblW w:w="0" w:type="auto"/>
        <w:tblLook w:val="04A0" w:firstRow="1" w:lastRow="0" w:firstColumn="1" w:lastColumn="0" w:noHBand="0" w:noVBand="1"/>
      </w:tblPr>
      <w:tblGrid>
        <w:gridCol w:w="9628"/>
      </w:tblGrid>
      <w:tr w:rsidR="0079009B" w:rsidRPr="0054789B" w14:paraId="2EE8F9AA" w14:textId="77777777" w:rsidTr="0079009B">
        <w:tc>
          <w:tcPr>
            <w:tcW w:w="9628" w:type="dxa"/>
            <w:tcBorders>
              <w:top w:val="nil"/>
              <w:left w:val="nil"/>
              <w:bottom w:val="nil"/>
              <w:right w:val="nil"/>
            </w:tcBorders>
            <w:shd w:val="clear" w:color="auto" w:fill="31849B" w:themeFill="accent5" w:themeFillShade="BF"/>
          </w:tcPr>
          <w:p w14:paraId="76297135" w14:textId="75A8FAF2" w:rsidR="0079009B" w:rsidRPr="0054789B" w:rsidRDefault="0054789B" w:rsidP="00BE6C4B">
            <w:pPr>
              <w:pStyle w:val="Heading2"/>
              <w:numPr>
                <w:ilvl w:val="1"/>
                <w:numId w:val="16"/>
              </w:numPr>
              <w:spacing w:before="120" w:after="120"/>
              <w:ind w:left="357" w:hanging="357"/>
              <w:rPr>
                <w:szCs w:val="24"/>
                <w:lang w:val="lv-LV"/>
              </w:rPr>
            </w:pPr>
            <w:bookmarkStart w:id="42" w:name="_Toc78874605"/>
            <w:r w:rsidRPr="0054789B">
              <w:rPr>
                <w:lang w:val="lv-LV"/>
              </w:rPr>
              <w:t>Būvniecības un mājokļu politiku jomā</w:t>
            </w:r>
            <w:r>
              <w:rPr>
                <w:lang w:val="lv-LV"/>
              </w:rPr>
              <w:t xml:space="preserve">, </w:t>
            </w:r>
            <w:r w:rsidRPr="0054789B">
              <w:rPr>
                <w:lang w:val="lv-LV"/>
              </w:rPr>
              <w:t>t.sk. atbalsta sniegšana mājokļu tehniskā stāvokļa sakārtošanai</w:t>
            </w:r>
            <w:bookmarkEnd w:id="42"/>
          </w:p>
        </w:tc>
      </w:tr>
    </w:tbl>
    <w:p w14:paraId="3ABEA887" w14:textId="644D5451" w:rsidR="00AD2438" w:rsidRDefault="003B1F97" w:rsidP="00AD2438">
      <w:pPr>
        <w:spacing w:before="120" w:after="60" w:line="240" w:lineRule="auto"/>
        <w:jc w:val="both"/>
        <w:rPr>
          <w:rFonts w:cs="Times New Roman"/>
          <w:szCs w:val="24"/>
        </w:rPr>
      </w:pPr>
      <w:r w:rsidRPr="003B1F97">
        <w:rPr>
          <w:rFonts w:cs="Times New Roman"/>
          <w:b/>
          <w:bCs/>
          <w:color w:val="00859B"/>
          <w:szCs w:val="24"/>
        </w:rPr>
        <w:t>B</w:t>
      </w:r>
      <w:r w:rsidR="00AD2438" w:rsidRPr="003B1F97">
        <w:rPr>
          <w:rFonts w:cs="Times New Roman"/>
          <w:b/>
          <w:bCs/>
          <w:color w:val="00859B"/>
          <w:szCs w:val="24"/>
        </w:rPr>
        <w:t>ūvniecības nozares</w:t>
      </w:r>
      <w:r w:rsidR="006B04B6">
        <w:rPr>
          <w:rFonts w:cs="Times New Roman"/>
          <w:b/>
          <w:bCs/>
          <w:color w:val="00859B"/>
          <w:szCs w:val="24"/>
        </w:rPr>
        <w:t xml:space="preserve"> </w:t>
      </w:r>
      <w:r w:rsidR="00AD2438">
        <w:rPr>
          <w:rFonts w:cs="Times New Roman"/>
          <w:szCs w:val="24"/>
        </w:rPr>
        <w:t xml:space="preserve">darbību </w:t>
      </w:r>
      <w:r w:rsidR="00AD2438" w:rsidRPr="00570464">
        <w:rPr>
          <w:rFonts w:cs="Times New Roman"/>
          <w:szCs w:val="24"/>
        </w:rPr>
        <w:t>2020.</w:t>
      </w:r>
      <w:r w:rsidR="00AD2438">
        <w:rPr>
          <w:rFonts w:cs="Times New Roman"/>
          <w:szCs w:val="24"/>
        </w:rPr>
        <w:t> </w:t>
      </w:r>
      <w:r w:rsidR="00AD2438" w:rsidRPr="00570464">
        <w:rPr>
          <w:rFonts w:cs="Times New Roman"/>
          <w:szCs w:val="24"/>
        </w:rPr>
        <w:t xml:space="preserve">gadā </w:t>
      </w:r>
      <w:r w:rsidR="00AD2438">
        <w:rPr>
          <w:rFonts w:cs="Times New Roman"/>
          <w:szCs w:val="24"/>
        </w:rPr>
        <w:t xml:space="preserve">nav ietekmējuši Covid-19 pandēmijas apkarošanai ieviestie ierobežojumi, </w:t>
      </w:r>
      <w:r>
        <w:rPr>
          <w:rFonts w:cs="Times New Roman"/>
          <w:szCs w:val="24"/>
        </w:rPr>
        <w:t>p</w:t>
      </w:r>
      <w:r w:rsidRPr="00570464">
        <w:rPr>
          <w:rFonts w:cs="Times New Roman"/>
          <w:szCs w:val="24"/>
        </w:rPr>
        <w:t>ateicoties pārejai uz piln</w:t>
      </w:r>
      <w:r>
        <w:rPr>
          <w:rFonts w:cs="Times New Roman"/>
          <w:szCs w:val="24"/>
        </w:rPr>
        <w:t>u</w:t>
      </w:r>
      <w:r w:rsidRPr="00570464">
        <w:rPr>
          <w:rFonts w:cs="Times New Roman"/>
          <w:szCs w:val="24"/>
        </w:rPr>
        <w:t xml:space="preserve"> elektronisko būvniecības administratīvo procesu</w:t>
      </w:r>
      <w:r>
        <w:rPr>
          <w:rFonts w:cs="Times New Roman"/>
          <w:szCs w:val="24"/>
        </w:rPr>
        <w:t>,</w:t>
      </w:r>
      <w:r w:rsidR="006B04B6">
        <w:rPr>
          <w:rFonts w:cs="Times New Roman"/>
          <w:szCs w:val="24"/>
        </w:rPr>
        <w:t xml:space="preserve"> </w:t>
      </w:r>
      <w:r w:rsidR="00AD2438">
        <w:rPr>
          <w:rFonts w:cs="Times New Roman"/>
          <w:szCs w:val="24"/>
        </w:rPr>
        <w:t xml:space="preserve">uzsākto būvniecības ieceru īstenošana turpinājās un uzbūvēto būvju nodošana ekspluatācijā kopumā noritēja bez būtiskiem traucējumiem. Reaģējot uz nozares indikācijām par privāto investīciju sarukumu, valdība, saskatot būvniecības nozarē “ekonomikas sildīšanas” potenciālu, jau 2020. gada pavasarī lēma par papildus finansējuma novirzīšanu ieguldījumiem infrastruktūrā, kas ļāva izvairīties no strauja apgrozījuma krituma un noturēt būvniecības produkcijas apjomu 2019.gada līmenī. </w:t>
      </w:r>
    </w:p>
    <w:p w14:paraId="3F541E9B" w14:textId="4EF4AC5D" w:rsidR="000F3799" w:rsidRDefault="00AD2438" w:rsidP="00AD2438">
      <w:pPr>
        <w:spacing w:before="60" w:after="60" w:line="240" w:lineRule="auto"/>
        <w:jc w:val="both"/>
        <w:rPr>
          <w:rFonts w:cs="Times New Roman"/>
          <w:szCs w:val="24"/>
        </w:rPr>
      </w:pPr>
      <w:r w:rsidRPr="00570464">
        <w:rPr>
          <w:rFonts w:cs="Times New Roman"/>
          <w:szCs w:val="24"/>
        </w:rPr>
        <w:t>Būvniecības regulējuma attīstības ietvaros 2020.</w:t>
      </w:r>
      <w:r>
        <w:rPr>
          <w:rFonts w:cs="Times New Roman"/>
          <w:szCs w:val="24"/>
        </w:rPr>
        <w:t> </w:t>
      </w:r>
      <w:r w:rsidRPr="00570464">
        <w:rPr>
          <w:rFonts w:cs="Times New Roman"/>
          <w:szCs w:val="24"/>
        </w:rPr>
        <w:t xml:space="preserve">gadā darbs tika turpināts pie </w:t>
      </w:r>
      <w:r>
        <w:rPr>
          <w:rFonts w:cs="Times New Roman"/>
          <w:szCs w:val="24"/>
        </w:rPr>
        <w:t xml:space="preserve">iepriekš </w:t>
      </w:r>
      <w:r w:rsidRPr="00570464">
        <w:rPr>
          <w:rFonts w:cs="Times New Roman"/>
          <w:szCs w:val="24"/>
        </w:rPr>
        <w:t>jau iesāktajiem normatīvo aktu projektiem, kā arī tika uzsākts darbs pie jauniem projektiem</w:t>
      </w:r>
      <w:r w:rsidR="00E30628">
        <w:rPr>
          <w:rFonts w:cs="Times New Roman"/>
          <w:szCs w:val="24"/>
        </w:rPr>
        <w:t>,</w:t>
      </w:r>
      <w:r w:rsidR="008D7C06">
        <w:rPr>
          <w:rFonts w:cs="Times New Roman"/>
          <w:szCs w:val="24"/>
        </w:rPr>
        <w:t xml:space="preserve"> </w:t>
      </w:r>
      <w:r w:rsidR="00E30628">
        <w:rPr>
          <w:rFonts w:cs="Times New Roman"/>
          <w:szCs w:val="24"/>
        </w:rPr>
        <w:t>p</w:t>
      </w:r>
      <w:r>
        <w:rPr>
          <w:rFonts w:cs="Times New Roman"/>
          <w:szCs w:val="24"/>
        </w:rPr>
        <w:t>ārskata periodā pieņem</w:t>
      </w:r>
      <w:r w:rsidR="00E30628">
        <w:rPr>
          <w:rFonts w:cs="Times New Roman"/>
          <w:szCs w:val="24"/>
        </w:rPr>
        <w:t>o</w:t>
      </w:r>
      <w:r>
        <w:rPr>
          <w:rFonts w:cs="Times New Roman"/>
          <w:szCs w:val="24"/>
        </w:rPr>
        <w:t>t vairāk</w:t>
      </w:r>
      <w:r w:rsidR="00E30628">
        <w:rPr>
          <w:rFonts w:cs="Times New Roman"/>
          <w:szCs w:val="24"/>
        </w:rPr>
        <w:t>us</w:t>
      </w:r>
      <w:r>
        <w:rPr>
          <w:rFonts w:cs="Times New Roman"/>
          <w:szCs w:val="24"/>
        </w:rPr>
        <w:t xml:space="preserve"> b</w:t>
      </w:r>
      <w:r w:rsidRPr="00570464">
        <w:rPr>
          <w:rFonts w:cs="Times New Roman"/>
          <w:szCs w:val="24"/>
        </w:rPr>
        <w:t>ūtisk</w:t>
      </w:r>
      <w:r w:rsidR="00E30628">
        <w:rPr>
          <w:rFonts w:cs="Times New Roman"/>
          <w:szCs w:val="24"/>
        </w:rPr>
        <w:t>us</w:t>
      </w:r>
      <w:r>
        <w:rPr>
          <w:rFonts w:cs="Times New Roman"/>
          <w:szCs w:val="24"/>
        </w:rPr>
        <w:t xml:space="preserve"> normatīv</w:t>
      </w:r>
      <w:r w:rsidR="00E30628">
        <w:rPr>
          <w:rFonts w:cs="Times New Roman"/>
          <w:szCs w:val="24"/>
        </w:rPr>
        <w:t>os</w:t>
      </w:r>
      <w:r>
        <w:rPr>
          <w:rFonts w:cs="Times New Roman"/>
          <w:szCs w:val="24"/>
        </w:rPr>
        <w:t xml:space="preserve"> akt</w:t>
      </w:r>
      <w:r w:rsidR="00E30628">
        <w:rPr>
          <w:rFonts w:cs="Times New Roman"/>
          <w:szCs w:val="24"/>
        </w:rPr>
        <w:t>us</w:t>
      </w:r>
      <w:r>
        <w:rPr>
          <w:rFonts w:cs="Times New Roman"/>
          <w:szCs w:val="24"/>
        </w:rPr>
        <w:t>.</w:t>
      </w:r>
      <w:r w:rsidR="00E30628">
        <w:rPr>
          <w:rFonts w:cs="Times New Roman"/>
          <w:szCs w:val="24"/>
        </w:rPr>
        <w:t xml:space="preserve"> Pieņemtie</w:t>
      </w:r>
      <w:r w:rsidR="006B04B6">
        <w:rPr>
          <w:rFonts w:cs="Times New Roman"/>
          <w:szCs w:val="24"/>
        </w:rPr>
        <w:t xml:space="preserve"> </w:t>
      </w:r>
      <w:hyperlink r:id="rId90" w:history="1">
        <w:r w:rsidRPr="00E30628">
          <w:rPr>
            <w:rStyle w:val="Hyperlink"/>
            <w:rFonts w:cs="Times New Roman"/>
            <w:i/>
            <w:iCs/>
            <w:color w:val="00859B"/>
            <w:szCs w:val="24"/>
          </w:rPr>
          <w:t>Grozījumi Būvniecības likumā</w:t>
        </w:r>
      </w:hyperlink>
      <w:r w:rsidR="008D7C06">
        <w:rPr>
          <w:rStyle w:val="Hyperlink"/>
          <w:rFonts w:cs="Times New Roman"/>
          <w:i/>
          <w:iCs/>
          <w:color w:val="00859B"/>
          <w:szCs w:val="24"/>
        </w:rPr>
        <w:t xml:space="preserve"> </w:t>
      </w:r>
      <w:r w:rsidRPr="00570464">
        <w:rPr>
          <w:rFonts w:cs="Times New Roman"/>
          <w:szCs w:val="24"/>
        </w:rPr>
        <w:t>(stājas spēkā 2020</w:t>
      </w:r>
      <w:r w:rsidR="00E30628">
        <w:rPr>
          <w:rFonts w:cs="Times New Roman"/>
          <w:szCs w:val="24"/>
        </w:rPr>
        <w:t>. gada 31. decembrī</w:t>
      </w:r>
      <w:r w:rsidRPr="00570464">
        <w:rPr>
          <w:rFonts w:cs="Times New Roman"/>
          <w:szCs w:val="24"/>
        </w:rPr>
        <w:t>)</w:t>
      </w:r>
      <w:r w:rsidR="008D7C06">
        <w:rPr>
          <w:rFonts w:cs="Times New Roman"/>
          <w:szCs w:val="24"/>
        </w:rPr>
        <w:t xml:space="preserve"> </w:t>
      </w:r>
      <w:r w:rsidRPr="00570464">
        <w:rPr>
          <w:rFonts w:cs="Times New Roman"/>
          <w:szCs w:val="24"/>
        </w:rPr>
        <w:t>paredz</w:t>
      </w:r>
      <w:r w:rsidR="008D7C06">
        <w:rPr>
          <w:rFonts w:cs="Times New Roman"/>
          <w:szCs w:val="24"/>
        </w:rPr>
        <w:t xml:space="preserve">ēja </w:t>
      </w:r>
      <w:r w:rsidRPr="00570464">
        <w:rPr>
          <w:rFonts w:cs="Times New Roman"/>
          <w:szCs w:val="24"/>
        </w:rPr>
        <w:t>atcelt ierobežojumu būvspeciālistiem ar būvtehniķa profesionālo kvalifikāciju turpināt strādāt būvdarbu vadītāja un būvuzrauga profesijā pēc 2020.</w:t>
      </w:r>
      <w:r w:rsidR="00E30628">
        <w:rPr>
          <w:rFonts w:cs="Times New Roman"/>
          <w:szCs w:val="24"/>
        </w:rPr>
        <w:t> </w:t>
      </w:r>
      <w:r w:rsidRPr="00570464">
        <w:rPr>
          <w:rFonts w:cs="Times New Roman"/>
          <w:szCs w:val="24"/>
        </w:rPr>
        <w:t>gada 31.</w:t>
      </w:r>
      <w:r w:rsidR="00E30628">
        <w:rPr>
          <w:rFonts w:cs="Times New Roman"/>
          <w:szCs w:val="24"/>
        </w:rPr>
        <w:t> </w:t>
      </w:r>
      <w:r w:rsidRPr="00570464">
        <w:rPr>
          <w:rFonts w:cs="Times New Roman"/>
          <w:szCs w:val="24"/>
        </w:rPr>
        <w:t>decembra</w:t>
      </w:r>
      <w:r w:rsidR="008D7C06">
        <w:rPr>
          <w:rFonts w:cs="Times New Roman"/>
          <w:szCs w:val="24"/>
        </w:rPr>
        <w:t>. Bija veikti</w:t>
      </w:r>
      <w:r w:rsidR="00E30628">
        <w:rPr>
          <w:rFonts w:cs="Times New Roman"/>
          <w:szCs w:val="24"/>
        </w:rPr>
        <w:t xml:space="preserve"> </w:t>
      </w:r>
      <w:r w:rsidR="008D7C06" w:rsidRPr="00570464">
        <w:rPr>
          <w:rFonts w:cs="Times New Roman"/>
          <w:szCs w:val="24"/>
        </w:rPr>
        <w:t>uzlabojum</w:t>
      </w:r>
      <w:r w:rsidR="008D7C06">
        <w:rPr>
          <w:rFonts w:cs="Times New Roman"/>
          <w:szCs w:val="24"/>
        </w:rPr>
        <w:t>i</w:t>
      </w:r>
      <w:r w:rsidR="008D7C06" w:rsidRPr="00570464">
        <w:rPr>
          <w:rFonts w:cs="Times New Roman"/>
          <w:szCs w:val="24"/>
        </w:rPr>
        <w:t xml:space="preserve"> </w:t>
      </w:r>
      <w:r w:rsidRPr="00570464">
        <w:rPr>
          <w:rFonts w:cs="Times New Roman"/>
          <w:szCs w:val="24"/>
        </w:rPr>
        <w:t>būvniecības procesa regulējumā amata meistariem un restauratoriem, kuri veic vai vada būvamatniecības vai restaurācijas darbus, skaidri nosakot tiem patstāvīgās prakses tiesības būvniecībā</w:t>
      </w:r>
      <w:r w:rsidR="009E5B8D">
        <w:rPr>
          <w:rFonts w:cs="Times New Roman"/>
          <w:szCs w:val="24"/>
        </w:rPr>
        <w:t xml:space="preserve">. Bija arī paredzētas </w:t>
      </w:r>
      <w:r w:rsidRPr="00570464">
        <w:rPr>
          <w:rFonts w:cs="Times New Roman"/>
          <w:szCs w:val="24"/>
        </w:rPr>
        <w:t>tiesības veikt izmaiņas būves lietošanas veidā projektēšanas un būvdarbu laikā, kā arī lietošanas veida maiņas nosacījumus.</w:t>
      </w:r>
      <w:r w:rsidR="00E30628">
        <w:rPr>
          <w:rFonts w:cs="Times New Roman"/>
          <w:szCs w:val="24"/>
        </w:rPr>
        <w:t xml:space="preserve"> Savukārt, pārskata periodā izstrādātie un </w:t>
      </w:r>
      <w:r w:rsidR="00E30628" w:rsidRPr="00570464">
        <w:rPr>
          <w:rFonts w:cs="Times New Roman"/>
          <w:szCs w:val="24"/>
        </w:rPr>
        <w:t>Saeimā 2020.</w:t>
      </w:r>
      <w:r w:rsidR="00E30628">
        <w:rPr>
          <w:rFonts w:cs="Times New Roman"/>
          <w:szCs w:val="24"/>
        </w:rPr>
        <w:t> </w:t>
      </w:r>
      <w:r w:rsidR="00E30628" w:rsidRPr="00570464">
        <w:rPr>
          <w:rFonts w:cs="Times New Roman"/>
          <w:szCs w:val="24"/>
        </w:rPr>
        <w:t>gada 17.</w:t>
      </w:r>
      <w:r w:rsidR="00E30628">
        <w:rPr>
          <w:rFonts w:cs="Times New Roman"/>
          <w:szCs w:val="24"/>
        </w:rPr>
        <w:t> </w:t>
      </w:r>
      <w:r w:rsidR="00E30628" w:rsidRPr="00570464">
        <w:rPr>
          <w:rFonts w:cs="Times New Roman"/>
          <w:szCs w:val="24"/>
        </w:rPr>
        <w:t>septembrī pirmajā lasījumā pieņemti</w:t>
      </w:r>
      <w:r w:rsidR="00E30628">
        <w:rPr>
          <w:rFonts w:cs="Times New Roman"/>
          <w:szCs w:val="24"/>
        </w:rPr>
        <w:t xml:space="preserve">e </w:t>
      </w:r>
      <w:hyperlink r:id="rId91" w:history="1">
        <w:r w:rsidR="00E30628" w:rsidRPr="00E30628">
          <w:rPr>
            <w:rStyle w:val="Hyperlink"/>
            <w:rFonts w:cs="Times New Roman"/>
            <w:i/>
            <w:iCs/>
            <w:color w:val="00859B"/>
            <w:szCs w:val="24"/>
          </w:rPr>
          <w:t>Grozījumi Būvniecības likumā</w:t>
        </w:r>
      </w:hyperlink>
      <w:r w:rsidR="008D7C06">
        <w:rPr>
          <w:rStyle w:val="Hyperlink"/>
          <w:rFonts w:cs="Times New Roman"/>
          <w:i/>
          <w:iCs/>
          <w:color w:val="00859B"/>
          <w:szCs w:val="24"/>
        </w:rPr>
        <w:t xml:space="preserve"> </w:t>
      </w:r>
      <w:r w:rsidRPr="00570464">
        <w:rPr>
          <w:rFonts w:cs="Times New Roman"/>
          <w:szCs w:val="24"/>
        </w:rPr>
        <w:t>(stājās spēkā 2021</w:t>
      </w:r>
      <w:r w:rsidR="00E30628">
        <w:rPr>
          <w:rFonts w:cs="Times New Roman"/>
          <w:szCs w:val="24"/>
        </w:rPr>
        <w:t>. gada 19. </w:t>
      </w:r>
      <w:r w:rsidR="00E30628">
        <w:t>maijā</w:t>
      </w:r>
      <w:r w:rsidRPr="00570464">
        <w:rPr>
          <w:rFonts w:cs="Times New Roman"/>
          <w:szCs w:val="24"/>
        </w:rPr>
        <w:t>) paredz</w:t>
      </w:r>
      <w:r w:rsidR="009E5B8D">
        <w:rPr>
          <w:rFonts w:cs="Times New Roman"/>
          <w:szCs w:val="24"/>
        </w:rPr>
        <w:t>ēja</w:t>
      </w:r>
      <w:r w:rsidRPr="00570464">
        <w:rPr>
          <w:rFonts w:cs="Times New Roman"/>
          <w:szCs w:val="24"/>
        </w:rPr>
        <w:t>:</w:t>
      </w:r>
      <w:r w:rsidR="009E5B8D">
        <w:rPr>
          <w:rFonts w:cs="Times New Roman"/>
          <w:szCs w:val="24"/>
        </w:rPr>
        <w:t xml:space="preserve"> </w:t>
      </w:r>
      <w:r w:rsidRPr="00570464">
        <w:rPr>
          <w:rFonts w:cs="Times New Roman"/>
          <w:szCs w:val="24"/>
        </w:rPr>
        <w:t xml:space="preserve">būtiski uzlabot regulējumu attiecībā uz būvniecības procesa dalībnieku atbildību, nošķirt būvniecības procesa dalībnieka kā juridiskās personas un sertificētā būvspeciālista kā fiziskās personas atbildību, </w:t>
      </w:r>
      <w:r w:rsidR="009E5B8D" w:rsidRPr="00570464">
        <w:rPr>
          <w:rFonts w:cs="Times New Roman"/>
          <w:szCs w:val="24"/>
        </w:rPr>
        <w:t>skaidr</w:t>
      </w:r>
      <w:r w:rsidR="009E5B8D">
        <w:rPr>
          <w:rFonts w:cs="Times New Roman"/>
          <w:szCs w:val="24"/>
        </w:rPr>
        <w:t>i</w:t>
      </w:r>
      <w:r w:rsidR="009E5B8D" w:rsidRPr="00570464">
        <w:rPr>
          <w:rFonts w:cs="Times New Roman"/>
          <w:szCs w:val="24"/>
        </w:rPr>
        <w:t xml:space="preserve"> </w:t>
      </w:r>
      <w:r w:rsidRPr="00570464">
        <w:rPr>
          <w:rFonts w:cs="Times New Roman"/>
          <w:szCs w:val="24"/>
        </w:rPr>
        <w:t>noteikt katra būvniecības procesa dalībnieka, t</w:t>
      </w:r>
      <w:r w:rsidR="00E30628">
        <w:rPr>
          <w:rFonts w:cs="Times New Roman"/>
          <w:szCs w:val="24"/>
        </w:rPr>
        <w:t>.</w:t>
      </w:r>
      <w:r w:rsidRPr="00570464">
        <w:rPr>
          <w:rFonts w:cs="Times New Roman"/>
          <w:szCs w:val="24"/>
        </w:rPr>
        <w:t>sk</w:t>
      </w:r>
      <w:r w:rsidR="00E30628">
        <w:rPr>
          <w:rFonts w:cs="Times New Roman"/>
          <w:szCs w:val="24"/>
        </w:rPr>
        <w:t>.</w:t>
      </w:r>
      <w:r w:rsidRPr="00570464">
        <w:rPr>
          <w:rFonts w:cs="Times New Roman"/>
          <w:szCs w:val="24"/>
        </w:rPr>
        <w:t xml:space="preserve"> būvniecības ierosinātāja, atbildības tvērumu, novēršot atbildību pārklāšanos;</w:t>
      </w:r>
      <w:r w:rsidR="009E5B8D">
        <w:rPr>
          <w:rFonts w:cs="Times New Roman"/>
          <w:szCs w:val="24"/>
        </w:rPr>
        <w:t xml:space="preserve"> </w:t>
      </w:r>
      <w:r w:rsidRPr="00570464">
        <w:rPr>
          <w:rFonts w:cs="Times New Roman"/>
          <w:szCs w:val="24"/>
        </w:rPr>
        <w:t>precizēt būvniecību kontrolējošo institūciju kompetenci, tiesības un pienākumus;</w:t>
      </w:r>
      <w:r w:rsidR="009E5B8D">
        <w:rPr>
          <w:rFonts w:cs="Times New Roman"/>
          <w:szCs w:val="24"/>
        </w:rPr>
        <w:t xml:space="preserve"> </w:t>
      </w:r>
      <w:r w:rsidRPr="00570464">
        <w:rPr>
          <w:rFonts w:cs="Times New Roman"/>
          <w:szCs w:val="24"/>
        </w:rPr>
        <w:lastRenderedPageBreak/>
        <w:t xml:space="preserve">būvprojektēšanas veikšanai nepieciešamās informācijas iegūšanas regulējumu un </w:t>
      </w:r>
      <w:r w:rsidR="009E5B8D" w:rsidRPr="00570464">
        <w:rPr>
          <w:rFonts w:cs="Times New Roman"/>
          <w:szCs w:val="24"/>
        </w:rPr>
        <w:t>atbildīb</w:t>
      </w:r>
      <w:r w:rsidR="009E5B8D">
        <w:rPr>
          <w:rFonts w:cs="Times New Roman"/>
          <w:szCs w:val="24"/>
        </w:rPr>
        <w:t>u</w:t>
      </w:r>
      <w:r w:rsidR="009E5B8D" w:rsidRPr="00570464">
        <w:rPr>
          <w:rFonts w:cs="Times New Roman"/>
          <w:szCs w:val="24"/>
        </w:rPr>
        <w:t xml:space="preserve"> </w:t>
      </w:r>
      <w:r w:rsidRPr="00570464">
        <w:rPr>
          <w:rFonts w:cs="Times New Roman"/>
          <w:szCs w:val="24"/>
        </w:rPr>
        <w:t>par informācijas pietiekamību;</w:t>
      </w:r>
      <w:r w:rsidR="009E5B8D">
        <w:rPr>
          <w:rFonts w:cs="Times New Roman"/>
          <w:szCs w:val="24"/>
        </w:rPr>
        <w:t xml:space="preserve"> </w:t>
      </w:r>
      <w:r w:rsidRPr="00570464">
        <w:rPr>
          <w:rFonts w:cs="Times New Roman"/>
          <w:szCs w:val="24"/>
        </w:rPr>
        <w:t>klusēšanas-piekrišanas principa ieviešanu.</w:t>
      </w:r>
    </w:p>
    <w:p w14:paraId="1926F8CD" w14:textId="1B853D16" w:rsidR="00AD2438" w:rsidRPr="000F3799" w:rsidRDefault="000F3799" w:rsidP="00AD2438">
      <w:pPr>
        <w:spacing w:before="60" w:after="60" w:line="240" w:lineRule="auto"/>
        <w:jc w:val="both"/>
        <w:rPr>
          <w:rFonts w:cs="Times New Roman"/>
          <w:szCs w:val="24"/>
        </w:rPr>
      </w:pPr>
      <w:r w:rsidRPr="000F3799">
        <w:rPr>
          <w:rFonts w:cs="Times New Roman"/>
          <w:szCs w:val="24"/>
        </w:rPr>
        <w:t xml:space="preserve">Pieņemtie </w:t>
      </w:r>
      <w:hyperlink r:id="rId92" w:history="1">
        <w:r w:rsidRPr="000F3799">
          <w:rPr>
            <w:rStyle w:val="Hyperlink"/>
            <w:rFonts w:cs="Times New Roman"/>
            <w:i/>
            <w:iCs/>
            <w:color w:val="00859B"/>
            <w:szCs w:val="24"/>
          </w:rPr>
          <w:t>Grozījumi MK 2014. gada 19. augusta noteikumos Nr.499 “Noteikumi par būvinspektoriem</w:t>
        </w:r>
      </w:hyperlink>
      <w:r w:rsidRPr="000F3799">
        <w:rPr>
          <w:rFonts w:cs="Times New Roman"/>
          <w:i/>
          <w:iCs/>
          <w:color w:val="00859B"/>
          <w:szCs w:val="24"/>
          <w:u w:val="single"/>
        </w:rPr>
        <w:t>”</w:t>
      </w:r>
      <w:r>
        <w:rPr>
          <w:rFonts w:cs="Times New Roman"/>
          <w:szCs w:val="24"/>
        </w:rPr>
        <w:t xml:space="preserve"> (</w:t>
      </w:r>
      <w:r w:rsidR="00AD2438" w:rsidRPr="00570464">
        <w:rPr>
          <w:rFonts w:cs="Times New Roman"/>
          <w:szCs w:val="24"/>
        </w:rPr>
        <w:t>stāj</w:t>
      </w:r>
      <w:r>
        <w:rPr>
          <w:rFonts w:cs="Times New Roman"/>
          <w:szCs w:val="24"/>
        </w:rPr>
        <w:t>ā</w:t>
      </w:r>
      <w:r w:rsidR="00AD2438" w:rsidRPr="00570464">
        <w:rPr>
          <w:rFonts w:cs="Times New Roman"/>
          <w:szCs w:val="24"/>
        </w:rPr>
        <w:t>s spēkā 2020.</w:t>
      </w:r>
      <w:r>
        <w:rPr>
          <w:rFonts w:cs="Times New Roman"/>
          <w:szCs w:val="24"/>
        </w:rPr>
        <w:t> gada 6. novembrī</w:t>
      </w:r>
      <w:r w:rsidR="00AD2438" w:rsidRPr="00570464">
        <w:rPr>
          <w:rFonts w:cs="Times New Roman"/>
          <w:szCs w:val="24"/>
        </w:rPr>
        <w:t>) pilnveido</w:t>
      </w:r>
      <w:r w:rsidR="009E5B8D">
        <w:rPr>
          <w:rFonts w:cs="Times New Roman"/>
          <w:szCs w:val="24"/>
        </w:rPr>
        <w:t>ja</w:t>
      </w:r>
      <w:r w:rsidR="00AD2438" w:rsidRPr="00570464">
        <w:rPr>
          <w:rFonts w:cs="Times New Roman"/>
          <w:szCs w:val="24"/>
        </w:rPr>
        <w:t xml:space="preserve"> būvinspektoru kvalifikācijas kritērijus, paplašinot profesionālās darbības pārkāpumu loku, kas liedz personai iegūt būvinspektora tiesības, vienlaicīgi atvieglojot profesionālās pieredzes prasības kandidātiem. Tāpat noteikumi </w:t>
      </w:r>
      <w:r w:rsidR="009E5B8D" w:rsidRPr="00570464">
        <w:rPr>
          <w:rFonts w:cs="Times New Roman"/>
          <w:szCs w:val="24"/>
        </w:rPr>
        <w:t>main</w:t>
      </w:r>
      <w:r w:rsidR="009E5B8D">
        <w:rPr>
          <w:rFonts w:cs="Times New Roman"/>
          <w:szCs w:val="24"/>
        </w:rPr>
        <w:t>īja</w:t>
      </w:r>
      <w:r w:rsidR="009E5B8D" w:rsidRPr="00570464">
        <w:rPr>
          <w:rFonts w:cs="Times New Roman"/>
          <w:szCs w:val="24"/>
        </w:rPr>
        <w:t xml:space="preserve"> </w:t>
      </w:r>
      <w:r w:rsidR="00AD2438" w:rsidRPr="00570464">
        <w:rPr>
          <w:rFonts w:cs="Times New Roman"/>
          <w:szCs w:val="24"/>
        </w:rPr>
        <w:t>būvinspektoru uzraudzības kārtību, deleģējot būvinspektoru uzraudzības tiesības tā darba devējam.</w:t>
      </w:r>
    </w:p>
    <w:p w14:paraId="072397CF" w14:textId="5CA9D36F" w:rsidR="00EC1A50" w:rsidRPr="009E5B8D" w:rsidRDefault="00AD2438" w:rsidP="00435E9A">
      <w:pPr>
        <w:spacing w:before="60" w:after="60" w:line="240" w:lineRule="auto"/>
        <w:jc w:val="both"/>
      </w:pPr>
      <w:r w:rsidRPr="00570464">
        <w:rPr>
          <w:rFonts w:cs="Times New Roman"/>
          <w:szCs w:val="24"/>
        </w:rPr>
        <w:t>Papildus tik</w:t>
      </w:r>
      <w:r w:rsidR="000F3799">
        <w:rPr>
          <w:rFonts w:cs="Times New Roman"/>
          <w:szCs w:val="24"/>
        </w:rPr>
        <w:t>a</w:t>
      </w:r>
      <w:r w:rsidRPr="00570464">
        <w:rPr>
          <w:rFonts w:cs="Times New Roman"/>
          <w:szCs w:val="24"/>
        </w:rPr>
        <w:t xml:space="preserve"> turpināts darbs pie būvnoteikumu</w:t>
      </w:r>
      <w:r w:rsidR="009E5B8D">
        <w:rPr>
          <w:rFonts w:cs="Times New Roman"/>
          <w:szCs w:val="24"/>
        </w:rPr>
        <w:t xml:space="preserve"> </w:t>
      </w:r>
      <w:r w:rsidRPr="00570464">
        <w:rPr>
          <w:rFonts w:cs="Times New Roman"/>
          <w:szCs w:val="24"/>
        </w:rPr>
        <w:t>pilnveides</w:t>
      </w:r>
      <w:r w:rsidR="000F3799">
        <w:rPr>
          <w:rFonts w:cs="Times New Roman"/>
          <w:szCs w:val="24"/>
        </w:rPr>
        <w:t>. Pārskata periodā tika izstrādāti</w:t>
      </w:r>
      <w:r w:rsidR="0024353E">
        <w:rPr>
          <w:rFonts w:cs="Times New Roman"/>
          <w:szCs w:val="24"/>
        </w:rPr>
        <w:t xml:space="preserve"> </w:t>
      </w:r>
      <w:hyperlink r:id="rId93" w:history="1">
        <w:r w:rsidR="002C2C2B" w:rsidRPr="0024353E">
          <w:rPr>
            <w:rStyle w:val="Hyperlink"/>
            <w:i/>
            <w:iCs/>
            <w:color w:val="00859B"/>
          </w:rPr>
          <w:t>Grozījumi MK 2014. gada 19. augusta noteikumos Nr.500 “Vispārīgie būvnoteikumi”</w:t>
        </w:r>
      </w:hyperlink>
      <w:r w:rsidR="009E5B8D" w:rsidRPr="0024353E">
        <w:rPr>
          <w:rStyle w:val="Hyperlink"/>
          <w:i/>
          <w:iCs/>
          <w:color w:val="00859B"/>
        </w:rPr>
        <w:t xml:space="preserve"> </w:t>
      </w:r>
      <w:r w:rsidRPr="009E5B8D">
        <w:t>(</w:t>
      </w:r>
      <w:r w:rsidR="002C2C2B" w:rsidRPr="009E5B8D">
        <w:t>stāsies spēkā 2021. gada 1. novembrī</w:t>
      </w:r>
      <w:r w:rsidRPr="009E5B8D">
        <w:t>)</w:t>
      </w:r>
      <w:r w:rsidR="000F3799" w:rsidRPr="009E5B8D">
        <w:t>, ar kuriem</w:t>
      </w:r>
      <w:r w:rsidRPr="009E5B8D">
        <w:t xml:space="preserve"> tiek aktualizēts un pārskatīts līdzšinējais būvju iedalījums grupās</w:t>
      </w:r>
      <w:r w:rsidR="0024353E">
        <w:t xml:space="preserve">. Pieņemti </w:t>
      </w:r>
      <w:hyperlink r:id="rId94" w:history="1">
        <w:r w:rsidR="002C2C2B" w:rsidRPr="0024353E">
          <w:rPr>
            <w:rStyle w:val="Hyperlink"/>
            <w:i/>
            <w:iCs/>
            <w:color w:val="00859B"/>
          </w:rPr>
          <w:t>Grozījumi MK 2014. gada 2. septembra noteikumos Nr.529 “Ēku būvnoteikumi</w:t>
        </w:r>
        <w:r w:rsidR="00F428D2" w:rsidRPr="0024353E">
          <w:rPr>
            <w:rStyle w:val="Hyperlink"/>
            <w:i/>
            <w:iCs/>
            <w:color w:val="00859B"/>
          </w:rPr>
          <w:t>”</w:t>
        </w:r>
      </w:hyperlink>
      <w:r w:rsidR="00F428D2" w:rsidRPr="009E5B8D">
        <w:t xml:space="preserve">, ar kuriem </w:t>
      </w:r>
      <w:r w:rsidRPr="009E5B8D">
        <w:t>tiek vienkāršota ēku vai to daļu atjaunošanas un pārbūvju saskaņošanu, veicinot ātrāku un efektīvāku būvniecības procesu, mazinot administratīvo slogu un izmaksas</w:t>
      </w:r>
      <w:r w:rsidR="004542AB">
        <w:t xml:space="preserve">. Pieņemti arī </w:t>
      </w:r>
      <w:r w:rsidR="00435E9A">
        <w:t xml:space="preserve">EM </w:t>
      </w:r>
      <w:r w:rsidR="004542AB">
        <w:t xml:space="preserve">izstrādātie </w:t>
      </w:r>
      <w:hyperlink r:id="rId95" w:history="1">
        <w:r w:rsidR="00F428D2" w:rsidRPr="00435E9A">
          <w:rPr>
            <w:rStyle w:val="Hyperlink"/>
            <w:i/>
            <w:iCs/>
            <w:color w:val="00859B"/>
          </w:rPr>
          <w:t>Grozījumi MK 2017. gada 9</w:t>
        </w:r>
        <w:r w:rsidR="0058221E" w:rsidRPr="00435E9A">
          <w:rPr>
            <w:rStyle w:val="Hyperlink"/>
            <w:i/>
            <w:iCs/>
            <w:color w:val="00859B"/>
          </w:rPr>
          <w:t>. </w:t>
        </w:r>
        <w:r w:rsidR="00F428D2" w:rsidRPr="00435E9A">
          <w:rPr>
            <w:rStyle w:val="Hyperlink"/>
            <w:i/>
            <w:iCs/>
            <w:color w:val="00859B"/>
          </w:rPr>
          <w:t>maija</w:t>
        </w:r>
        <w:r w:rsidR="009E5B8D" w:rsidRPr="00435E9A">
          <w:rPr>
            <w:rStyle w:val="Hyperlink"/>
            <w:i/>
            <w:iCs/>
            <w:color w:val="00859B"/>
          </w:rPr>
          <w:t xml:space="preserve"> </w:t>
        </w:r>
        <w:r w:rsidR="00F428D2" w:rsidRPr="00435E9A">
          <w:rPr>
            <w:rStyle w:val="Hyperlink"/>
            <w:i/>
            <w:iCs/>
            <w:color w:val="00859B"/>
          </w:rPr>
          <w:t>noteikumos</w:t>
        </w:r>
        <w:r w:rsidR="0058221E" w:rsidRPr="00435E9A">
          <w:rPr>
            <w:rStyle w:val="Hyperlink"/>
            <w:i/>
            <w:iCs/>
            <w:color w:val="00859B"/>
          </w:rPr>
          <w:t xml:space="preserve"> N</w:t>
        </w:r>
        <w:r w:rsidR="00F428D2" w:rsidRPr="00435E9A">
          <w:rPr>
            <w:rStyle w:val="Hyperlink"/>
            <w:i/>
            <w:iCs/>
            <w:color w:val="00859B"/>
          </w:rPr>
          <w:t>r</w:t>
        </w:r>
        <w:r w:rsidR="0058221E" w:rsidRPr="00435E9A">
          <w:rPr>
            <w:rStyle w:val="Hyperlink"/>
            <w:i/>
            <w:iCs/>
            <w:color w:val="00859B"/>
          </w:rPr>
          <w:t>.</w:t>
        </w:r>
        <w:r w:rsidR="00F428D2" w:rsidRPr="00435E9A">
          <w:rPr>
            <w:rStyle w:val="Hyperlink"/>
            <w:i/>
            <w:iCs/>
            <w:color w:val="00859B"/>
          </w:rPr>
          <w:t>253</w:t>
        </w:r>
        <w:r w:rsidR="0058221E" w:rsidRPr="00435E9A">
          <w:rPr>
            <w:rStyle w:val="Hyperlink"/>
            <w:i/>
            <w:iCs/>
            <w:color w:val="00859B"/>
          </w:rPr>
          <w:t xml:space="preserve"> “A</w:t>
        </w:r>
        <w:r w:rsidR="00F428D2" w:rsidRPr="00435E9A">
          <w:rPr>
            <w:rStyle w:val="Hyperlink"/>
            <w:i/>
            <w:iCs/>
            <w:color w:val="00859B"/>
          </w:rPr>
          <w:t>tsevi</w:t>
        </w:r>
        <w:r w:rsidR="0058221E" w:rsidRPr="00435E9A">
          <w:rPr>
            <w:rStyle w:val="Hyperlink"/>
            <w:i/>
            <w:iCs/>
            <w:color w:val="00859B"/>
          </w:rPr>
          <w:t>šķ</w:t>
        </w:r>
        <w:r w:rsidR="00F428D2" w:rsidRPr="00435E9A">
          <w:rPr>
            <w:rStyle w:val="Hyperlink"/>
            <w:i/>
            <w:iCs/>
            <w:color w:val="00859B"/>
          </w:rPr>
          <w:t>u</w:t>
        </w:r>
        <w:r w:rsidR="009E5B8D" w:rsidRPr="00435E9A">
          <w:rPr>
            <w:rStyle w:val="Hyperlink"/>
            <w:i/>
            <w:iCs/>
            <w:color w:val="00859B"/>
          </w:rPr>
          <w:t xml:space="preserve"> </w:t>
        </w:r>
        <w:r w:rsidR="00F428D2" w:rsidRPr="00435E9A">
          <w:rPr>
            <w:rStyle w:val="Hyperlink"/>
            <w:i/>
            <w:iCs/>
            <w:color w:val="00859B"/>
          </w:rPr>
          <w:t>in</w:t>
        </w:r>
        <w:r w:rsidR="0058221E" w:rsidRPr="00435E9A">
          <w:rPr>
            <w:rStyle w:val="Hyperlink"/>
            <w:i/>
            <w:iCs/>
            <w:color w:val="00859B"/>
          </w:rPr>
          <w:t>ž</w:t>
        </w:r>
        <w:r w:rsidR="00F428D2" w:rsidRPr="00435E9A">
          <w:rPr>
            <w:rStyle w:val="Hyperlink"/>
            <w:i/>
            <w:iCs/>
            <w:color w:val="00859B"/>
          </w:rPr>
          <w:t>enierb</w:t>
        </w:r>
        <w:r w:rsidR="0058221E" w:rsidRPr="00435E9A">
          <w:rPr>
            <w:rStyle w:val="Hyperlink"/>
            <w:i/>
            <w:iCs/>
            <w:color w:val="00859B"/>
          </w:rPr>
          <w:t>ū</w:t>
        </w:r>
        <w:r w:rsidR="00F428D2" w:rsidRPr="00435E9A">
          <w:rPr>
            <w:rStyle w:val="Hyperlink"/>
            <w:i/>
            <w:iCs/>
            <w:color w:val="00859B"/>
          </w:rPr>
          <w:t>vju</w:t>
        </w:r>
        <w:r w:rsidR="009E5B8D" w:rsidRPr="00435E9A">
          <w:rPr>
            <w:rStyle w:val="Hyperlink"/>
            <w:i/>
            <w:iCs/>
            <w:color w:val="00859B"/>
          </w:rPr>
          <w:t xml:space="preserve"> </w:t>
        </w:r>
        <w:r w:rsidR="00F428D2" w:rsidRPr="00435E9A">
          <w:rPr>
            <w:rStyle w:val="Hyperlink"/>
            <w:i/>
            <w:iCs/>
            <w:color w:val="00859B"/>
          </w:rPr>
          <w:t>b</w:t>
        </w:r>
        <w:r w:rsidR="0058221E" w:rsidRPr="00435E9A">
          <w:rPr>
            <w:rStyle w:val="Hyperlink"/>
            <w:i/>
            <w:iCs/>
            <w:color w:val="00859B"/>
          </w:rPr>
          <w:t>ū</w:t>
        </w:r>
        <w:r w:rsidR="00F428D2" w:rsidRPr="00435E9A">
          <w:rPr>
            <w:rStyle w:val="Hyperlink"/>
            <w:i/>
            <w:iCs/>
            <w:color w:val="00859B"/>
          </w:rPr>
          <w:t>vnoteikumi</w:t>
        </w:r>
        <w:r w:rsidR="0058221E" w:rsidRPr="00435E9A">
          <w:rPr>
            <w:rStyle w:val="Hyperlink"/>
            <w:i/>
            <w:iCs/>
            <w:color w:val="00859B"/>
          </w:rPr>
          <w:t>”</w:t>
        </w:r>
      </w:hyperlink>
      <w:r w:rsidR="00435E9A">
        <w:rPr>
          <w:rStyle w:val="Hyperlink"/>
          <w:i/>
          <w:iCs/>
          <w:color w:val="00859B"/>
        </w:rPr>
        <w:t xml:space="preserve"> </w:t>
      </w:r>
      <w:r w:rsidRPr="009E5B8D">
        <w:t xml:space="preserve">(stāsies spēkā </w:t>
      </w:r>
      <w:r w:rsidR="0058221E" w:rsidRPr="009E5B8D">
        <w:t>2021. gada 1. novembrī</w:t>
      </w:r>
      <w:r w:rsidRPr="009E5B8D">
        <w:t>)</w:t>
      </w:r>
      <w:r w:rsidR="00EC1A50" w:rsidRPr="001B7DC1">
        <w:t>, ar kuriem</w:t>
      </w:r>
      <w:r w:rsidRPr="001B7DC1">
        <w:t xml:space="preserve"> tiek vienkāršota inženierbūvju atjaunošanas </w:t>
      </w:r>
      <w:r w:rsidRPr="009E5B8D">
        <w:t>un pārbūvju saskaņošanu, veicinot ātrāku un efektīvāku būvniecības procesu, mazinot administratīvo slogu un izmaksas</w:t>
      </w:r>
      <w:r w:rsidR="00EC1A50" w:rsidRPr="009E5B8D">
        <w:t xml:space="preserve">. </w:t>
      </w:r>
    </w:p>
    <w:p w14:paraId="69A2D4B4" w14:textId="6E3D367D" w:rsidR="009E5B8D" w:rsidRDefault="00EC1A50" w:rsidP="00AD2438">
      <w:pPr>
        <w:spacing w:before="60" w:after="60" w:line="240" w:lineRule="auto"/>
        <w:jc w:val="both"/>
        <w:rPr>
          <w:rFonts w:cs="Times New Roman"/>
          <w:szCs w:val="24"/>
        </w:rPr>
      </w:pPr>
      <w:r>
        <w:rPr>
          <w:rFonts w:cs="Times New Roman"/>
          <w:szCs w:val="24"/>
        </w:rPr>
        <w:t>Pārskata periodā paveikts</w:t>
      </w:r>
      <w:r w:rsidR="00AD2438" w:rsidRPr="00570464">
        <w:rPr>
          <w:rFonts w:cs="Times New Roman"/>
          <w:szCs w:val="24"/>
        </w:rPr>
        <w:t xml:space="preserve"> arī darbs pie būvnormatīvu pilnveides, piemēram, Latvijas būvnormatīvs </w:t>
      </w:r>
      <w:hyperlink r:id="rId96" w:history="1">
        <w:r w:rsidR="002A11A1" w:rsidRPr="002A11A1">
          <w:rPr>
            <w:rStyle w:val="Hyperlink"/>
            <w:rFonts w:cs="Times New Roman"/>
            <w:i/>
            <w:iCs/>
            <w:color w:val="00859B"/>
            <w:szCs w:val="24"/>
          </w:rPr>
          <w:t>LBN 200-20 “Vispārīgas prasības būvēm”</w:t>
        </w:r>
      </w:hyperlink>
      <w:r w:rsidR="004542AB">
        <w:rPr>
          <w:rStyle w:val="Hyperlink"/>
          <w:rFonts w:cs="Times New Roman"/>
          <w:i/>
          <w:iCs/>
          <w:color w:val="00859B"/>
          <w:szCs w:val="24"/>
        </w:rPr>
        <w:t xml:space="preserve"> </w:t>
      </w:r>
      <w:r w:rsidR="00AD2438" w:rsidRPr="00570464">
        <w:rPr>
          <w:rFonts w:cs="Times New Roman"/>
          <w:szCs w:val="24"/>
        </w:rPr>
        <w:t>(kopā ar grozījumiem LBN 201-15, LBN 221-15, LBN 261-15)</w:t>
      </w:r>
      <w:r>
        <w:rPr>
          <w:rFonts w:cs="Times New Roman"/>
          <w:szCs w:val="24"/>
        </w:rPr>
        <w:t xml:space="preserve">, ar kuriem </w:t>
      </w:r>
      <w:r w:rsidR="00AD2438" w:rsidRPr="00570464">
        <w:rPr>
          <w:rFonts w:cs="Times New Roman"/>
          <w:szCs w:val="24"/>
        </w:rPr>
        <w:t>tiek apvienoti divi būtiski projektēšanas būvnormatīv</w:t>
      </w:r>
      <w:r>
        <w:rPr>
          <w:rFonts w:cs="Times New Roman"/>
          <w:szCs w:val="24"/>
        </w:rPr>
        <w:t>i</w:t>
      </w:r>
      <w:r w:rsidR="00AD2438" w:rsidRPr="00570464">
        <w:rPr>
          <w:rFonts w:cs="Times New Roman"/>
          <w:szCs w:val="24"/>
        </w:rPr>
        <w:t xml:space="preserve">, radot vienotu kopēju un savstarpēji saskaņotu būvnormatīvu par kopīgām prasībām visu būvju projektēšanai. Papildus tiek pārcelts savstarpēji sakārtots arī saistītais regulējums vēl trijos būvnormatīvos, kā arī tika </w:t>
      </w:r>
      <w:r w:rsidR="00BC71D1">
        <w:rPr>
          <w:rFonts w:cs="Times New Roman"/>
          <w:szCs w:val="24"/>
        </w:rPr>
        <w:t>izstrādāts</w:t>
      </w:r>
      <w:r w:rsidR="00AD2438" w:rsidRPr="00570464">
        <w:rPr>
          <w:rFonts w:cs="Times New Roman"/>
          <w:szCs w:val="24"/>
        </w:rPr>
        <w:t xml:space="preserve"> Latvijas būvnormatīv</w:t>
      </w:r>
      <w:r w:rsidR="00BC71D1">
        <w:rPr>
          <w:rFonts w:cs="Times New Roman"/>
          <w:szCs w:val="24"/>
        </w:rPr>
        <w:t>s</w:t>
      </w:r>
      <w:r w:rsidR="009E5B8D">
        <w:rPr>
          <w:rFonts w:cs="Times New Roman"/>
          <w:szCs w:val="24"/>
        </w:rPr>
        <w:t xml:space="preserve"> </w:t>
      </w:r>
      <w:hyperlink r:id="rId97" w:history="1">
        <w:r w:rsidR="00BC71D1" w:rsidRPr="00BC71D1">
          <w:rPr>
            <w:rStyle w:val="Hyperlink"/>
            <w:rFonts w:cs="Times New Roman"/>
            <w:i/>
            <w:iCs/>
            <w:color w:val="00859B"/>
            <w:szCs w:val="24"/>
          </w:rPr>
          <w:t>LBN 405-21 Būvju tehniskās apsekošanas būvnormatīvs</w:t>
        </w:r>
      </w:hyperlink>
      <w:r w:rsidR="002A11A1">
        <w:rPr>
          <w:rFonts w:cs="Times New Roman"/>
          <w:szCs w:val="24"/>
        </w:rPr>
        <w:t xml:space="preserve">, ar ko </w:t>
      </w:r>
      <w:r w:rsidR="00AD2438" w:rsidRPr="00570464">
        <w:rPr>
          <w:rFonts w:cs="Times New Roman"/>
          <w:szCs w:val="24"/>
        </w:rPr>
        <w:t>tiek pārskatīt</w:t>
      </w:r>
      <w:r w:rsidR="002A11A1">
        <w:rPr>
          <w:rFonts w:cs="Times New Roman"/>
          <w:szCs w:val="24"/>
        </w:rPr>
        <w:t>a</w:t>
      </w:r>
      <w:r w:rsidR="00AD2438" w:rsidRPr="00570464">
        <w:rPr>
          <w:rFonts w:cs="Times New Roman"/>
          <w:szCs w:val="24"/>
        </w:rPr>
        <w:t xml:space="preserve"> būvju tehniskās apsekošanas kārtīb</w:t>
      </w:r>
      <w:r w:rsidR="002A11A1">
        <w:rPr>
          <w:rFonts w:cs="Times New Roman"/>
          <w:szCs w:val="24"/>
        </w:rPr>
        <w:t>a</w:t>
      </w:r>
      <w:r w:rsidR="00AD2438" w:rsidRPr="00570464">
        <w:rPr>
          <w:rFonts w:cs="Times New Roman"/>
          <w:szCs w:val="24"/>
        </w:rPr>
        <w:t xml:space="preserve"> un satur</w:t>
      </w:r>
      <w:r w:rsidR="002A11A1">
        <w:rPr>
          <w:rFonts w:cs="Times New Roman"/>
          <w:szCs w:val="24"/>
        </w:rPr>
        <w:t>s</w:t>
      </w:r>
      <w:r w:rsidR="009E5B8D">
        <w:rPr>
          <w:rFonts w:cs="Times New Roman"/>
          <w:szCs w:val="24"/>
        </w:rPr>
        <w:t xml:space="preserve"> </w:t>
      </w:r>
      <w:r w:rsidR="00BC71D1">
        <w:rPr>
          <w:rFonts w:cs="Times New Roman"/>
          <w:szCs w:val="24"/>
        </w:rPr>
        <w:t>(</w:t>
      </w:r>
      <w:r w:rsidR="00BC71D1" w:rsidRPr="00570464">
        <w:rPr>
          <w:rFonts w:cs="Times New Roman"/>
          <w:szCs w:val="24"/>
        </w:rPr>
        <w:t>stāsies spēkā 2021.</w:t>
      </w:r>
      <w:r w:rsidR="00BC71D1">
        <w:rPr>
          <w:rFonts w:cs="Times New Roman"/>
          <w:szCs w:val="24"/>
        </w:rPr>
        <w:t> gada 1. novembrī</w:t>
      </w:r>
      <w:r w:rsidR="00AD2438" w:rsidRPr="00570464">
        <w:rPr>
          <w:rFonts w:cs="Times New Roman"/>
          <w:szCs w:val="24"/>
        </w:rPr>
        <w:t xml:space="preserve">). </w:t>
      </w:r>
    </w:p>
    <w:p w14:paraId="7B8390AD" w14:textId="26C6FD4C" w:rsidR="00AD2438" w:rsidRDefault="00AD2438" w:rsidP="00AD2438">
      <w:pPr>
        <w:spacing w:before="60" w:after="60" w:line="240" w:lineRule="auto"/>
        <w:jc w:val="both"/>
        <w:rPr>
          <w:rFonts w:cs="Times New Roman"/>
          <w:szCs w:val="24"/>
        </w:rPr>
      </w:pPr>
      <w:r w:rsidRPr="00570464">
        <w:rPr>
          <w:rFonts w:cs="Times New Roman"/>
          <w:szCs w:val="24"/>
        </w:rPr>
        <w:t>Tāpat 2020.</w:t>
      </w:r>
      <w:r w:rsidR="00EC1A50">
        <w:rPr>
          <w:rFonts w:cs="Times New Roman"/>
          <w:szCs w:val="24"/>
        </w:rPr>
        <w:t> </w:t>
      </w:r>
      <w:r w:rsidRPr="00570464">
        <w:rPr>
          <w:rFonts w:cs="Times New Roman"/>
          <w:szCs w:val="24"/>
        </w:rPr>
        <w:t xml:space="preserve">gada novembrī </w:t>
      </w:r>
      <w:r w:rsidR="003B1F97">
        <w:rPr>
          <w:rFonts w:cs="Times New Roman"/>
          <w:szCs w:val="24"/>
        </w:rPr>
        <w:t>tika</w:t>
      </w:r>
      <w:r w:rsidRPr="00570464">
        <w:rPr>
          <w:rFonts w:cs="Times New Roman"/>
          <w:szCs w:val="24"/>
        </w:rPr>
        <w:t xml:space="preserve"> nodots sabiedriskai apspriešanai </w:t>
      </w:r>
      <w:r w:rsidR="00EC1A50">
        <w:rPr>
          <w:rFonts w:cs="Times New Roman"/>
          <w:szCs w:val="24"/>
        </w:rPr>
        <w:t>MK</w:t>
      </w:r>
      <w:r w:rsidRPr="00570464">
        <w:rPr>
          <w:rFonts w:cs="Times New Roman"/>
          <w:szCs w:val="24"/>
        </w:rPr>
        <w:t xml:space="preserve"> noteikumu projekts</w:t>
      </w:r>
      <w:r w:rsidR="009E5B8D">
        <w:rPr>
          <w:rFonts w:cs="Times New Roman"/>
          <w:szCs w:val="24"/>
        </w:rPr>
        <w:t xml:space="preserve"> </w:t>
      </w:r>
      <w:hyperlink r:id="rId98" w:history="1">
        <w:r w:rsidR="003B1F97" w:rsidRPr="003B1F97">
          <w:rPr>
            <w:rStyle w:val="Hyperlink"/>
            <w:rFonts w:cs="Times New Roman"/>
            <w:i/>
            <w:iCs/>
            <w:color w:val="00859B"/>
            <w:szCs w:val="24"/>
          </w:rPr>
          <w:t>“Noteikumi par publisko būvdarbu līgumos obligāti iekļaujamiem nosacījumiem un to saturu”</w:t>
        </w:r>
      </w:hyperlink>
      <w:r w:rsidR="00EC1A50">
        <w:rPr>
          <w:rFonts w:cs="Times New Roman"/>
          <w:szCs w:val="24"/>
        </w:rPr>
        <w:t>, kas</w:t>
      </w:r>
      <w:r w:rsidRPr="00570464">
        <w:rPr>
          <w:rFonts w:cs="Times New Roman"/>
          <w:szCs w:val="24"/>
        </w:rPr>
        <w:t xml:space="preserve"> paredz ieviest vienotus nosacījumus būvdarbu pieņemšanas-nodošanas un samaksas kārtībai</w:t>
      </w:r>
      <w:r w:rsidR="00EC1A50">
        <w:rPr>
          <w:rFonts w:cs="Times New Roman"/>
          <w:szCs w:val="24"/>
        </w:rPr>
        <w:t>,</w:t>
      </w:r>
      <w:r w:rsidRPr="00570464">
        <w:rPr>
          <w:rFonts w:cs="Times New Roman"/>
          <w:szCs w:val="24"/>
        </w:rPr>
        <w:t xml:space="preserve"> kā arī vienotus saistību pastiprināšanas nosacījumus, kas iekļaujami katrā publisko iepirkumu būvdarbu līgumā, negrozot to saturu. Vienotu būvdarbu pieņemšanas</w:t>
      </w:r>
      <w:r w:rsidR="00EC1A50">
        <w:rPr>
          <w:rFonts w:cs="Times New Roman"/>
          <w:szCs w:val="24"/>
        </w:rPr>
        <w:t>-</w:t>
      </w:r>
      <w:r w:rsidRPr="00570464">
        <w:rPr>
          <w:rFonts w:cs="Times New Roman"/>
          <w:szCs w:val="24"/>
        </w:rPr>
        <w:t>nodošanas nosacījumu, samaksas kārtības un līguma izpildes garantiju nosacījumu ieviešana veicinās publisko būvdarbu procesa caurspīdīgumu, mazinās korupcijas un neveiksmīgu procesu īstenošanas risku.</w:t>
      </w:r>
    </w:p>
    <w:p w14:paraId="01522AB2" w14:textId="77777777" w:rsidR="00AD2438" w:rsidRDefault="00AD2438" w:rsidP="00AD2438">
      <w:pPr>
        <w:spacing w:before="60" w:after="60" w:line="240" w:lineRule="auto"/>
        <w:jc w:val="both"/>
        <w:rPr>
          <w:rFonts w:cs="Times New Roman"/>
          <w:szCs w:val="24"/>
        </w:rPr>
      </w:pPr>
      <w:r>
        <w:rPr>
          <w:rFonts w:cs="Times New Roman"/>
          <w:szCs w:val="24"/>
        </w:rPr>
        <w:t>Turpinot īstenot ēnu ekonomiku ierobežojošos pasākumus būvniecības nozarē, 2020.</w:t>
      </w:r>
      <w:r w:rsidR="00EC1A50">
        <w:rPr>
          <w:rFonts w:cs="Times New Roman"/>
          <w:szCs w:val="24"/>
        </w:rPr>
        <w:t> </w:t>
      </w:r>
      <w:r>
        <w:rPr>
          <w:rFonts w:cs="Times New Roman"/>
          <w:szCs w:val="24"/>
        </w:rPr>
        <w:t>gada februārī</w:t>
      </w:r>
      <w:r w:rsidR="00EC1A50">
        <w:rPr>
          <w:rFonts w:cs="Times New Roman"/>
          <w:szCs w:val="24"/>
        </w:rPr>
        <w:t xml:space="preserve"> ir</w:t>
      </w:r>
      <w:r>
        <w:rPr>
          <w:rFonts w:cs="Times New Roman"/>
          <w:szCs w:val="24"/>
        </w:rPr>
        <w:t xml:space="preserve"> pabeigts darbs pie Vienotās elektroniskās darba laika uzskaites</w:t>
      </w:r>
      <w:r w:rsidR="000B4ACD">
        <w:rPr>
          <w:rStyle w:val="FootnoteReference"/>
          <w:rFonts w:cs="Times New Roman"/>
          <w:szCs w:val="24"/>
        </w:rPr>
        <w:footnoteReference w:id="28"/>
      </w:r>
      <w:r>
        <w:rPr>
          <w:rFonts w:cs="Times New Roman"/>
          <w:szCs w:val="24"/>
        </w:rPr>
        <w:t xml:space="preserve"> datubāzes, kas vienuviet uzkrāj datus par būvlaukumos nodarbināto faktiski nostrādāto laiku. Vienotās elektroniskās darba laika uzskaites sistēmas dati ir pieejami kontrolējošām institūcijām darba tiesisko attiecību kontrolei, kā arī efektīvā nodokļu administrēšanas procesa nodrošināšanai. Pēdējos gados ieviestie kompleksie ēnu ekonomikas ierobežojošie pasākumi, kas pilnvērtīgi sāka darboties 2020.</w:t>
      </w:r>
      <w:r w:rsidR="003B1F97">
        <w:rPr>
          <w:rFonts w:cs="Times New Roman"/>
          <w:szCs w:val="24"/>
        </w:rPr>
        <w:t> </w:t>
      </w:r>
      <w:r>
        <w:rPr>
          <w:rFonts w:cs="Times New Roman"/>
          <w:szCs w:val="24"/>
        </w:rPr>
        <w:t xml:space="preserve">gadā, rezultējās </w:t>
      </w:r>
      <w:r w:rsidR="003B1F97">
        <w:rPr>
          <w:rFonts w:cs="Times New Roman"/>
          <w:szCs w:val="24"/>
        </w:rPr>
        <w:t xml:space="preserve">novērojamā būvniecības nozares </w:t>
      </w:r>
      <w:r>
        <w:rPr>
          <w:rFonts w:cs="Times New Roman"/>
          <w:szCs w:val="24"/>
        </w:rPr>
        <w:t>ēnu ekonomikas līmeņa sarukum</w:t>
      </w:r>
      <w:r w:rsidR="003B1F97">
        <w:rPr>
          <w:rFonts w:cs="Times New Roman"/>
          <w:szCs w:val="24"/>
        </w:rPr>
        <w:t>ā</w:t>
      </w:r>
      <w:r>
        <w:rPr>
          <w:rFonts w:cs="Times New Roman"/>
          <w:szCs w:val="24"/>
        </w:rPr>
        <w:t xml:space="preserve"> arī 2020.</w:t>
      </w:r>
      <w:r w:rsidR="003B1F97">
        <w:rPr>
          <w:rFonts w:cs="Times New Roman"/>
          <w:szCs w:val="24"/>
        </w:rPr>
        <w:t> </w:t>
      </w:r>
      <w:r>
        <w:rPr>
          <w:rFonts w:cs="Times New Roman"/>
          <w:szCs w:val="24"/>
        </w:rPr>
        <w:t>gadā, neskatoties uz to, ka ēnu ekonomikas līmenis 2020.</w:t>
      </w:r>
      <w:r w:rsidR="003B1F97">
        <w:rPr>
          <w:rFonts w:cs="Times New Roman"/>
          <w:szCs w:val="24"/>
        </w:rPr>
        <w:t> </w:t>
      </w:r>
      <w:r>
        <w:rPr>
          <w:rFonts w:cs="Times New Roman"/>
          <w:szCs w:val="24"/>
        </w:rPr>
        <w:t xml:space="preserve">gadā tautsaimniecībā kopumā nedaudz pieauga. </w:t>
      </w:r>
    </w:p>
    <w:p w14:paraId="483CAD3B" w14:textId="5EDA851D" w:rsidR="00AD2438" w:rsidRPr="00570464" w:rsidRDefault="00AD2438" w:rsidP="00AD2438">
      <w:pPr>
        <w:spacing w:before="60" w:after="60" w:line="240" w:lineRule="auto"/>
        <w:jc w:val="both"/>
        <w:rPr>
          <w:rFonts w:cs="Times New Roman"/>
          <w:szCs w:val="24"/>
        </w:rPr>
      </w:pPr>
      <w:r>
        <w:rPr>
          <w:rFonts w:cs="Times New Roman"/>
          <w:szCs w:val="24"/>
        </w:rPr>
        <w:t>2020.</w:t>
      </w:r>
      <w:r w:rsidR="00613E91">
        <w:rPr>
          <w:rFonts w:cs="Times New Roman"/>
          <w:szCs w:val="24"/>
        </w:rPr>
        <w:t> </w:t>
      </w:r>
      <w:r>
        <w:rPr>
          <w:rFonts w:cs="Times New Roman"/>
          <w:szCs w:val="24"/>
        </w:rPr>
        <w:t xml:space="preserve">gadā noritēja darbs pie </w:t>
      </w:r>
      <w:r w:rsidR="001C34B2">
        <w:rPr>
          <w:rFonts w:cs="Times New Roman"/>
          <w:szCs w:val="24"/>
        </w:rPr>
        <w:t>b</w:t>
      </w:r>
      <w:r>
        <w:rPr>
          <w:rFonts w:cs="Times New Roman"/>
          <w:szCs w:val="24"/>
        </w:rPr>
        <w:t xml:space="preserve">ūvju modelēšanas sistēmas plašākā pielietojuma būvniecībā Latvijā. Turpinājās </w:t>
      </w:r>
      <w:hyperlink r:id="rId99" w:history="1">
        <w:r w:rsidR="001C34B2" w:rsidRPr="001C34B2">
          <w:rPr>
            <w:rStyle w:val="Hyperlink"/>
            <w:rFonts w:cs="Times New Roman"/>
            <w:i/>
            <w:iCs/>
            <w:color w:val="00859B"/>
            <w:szCs w:val="24"/>
          </w:rPr>
          <w:t>Būvniecības informācijas modelēšanas (BIM)</w:t>
        </w:r>
      </w:hyperlink>
      <w:r w:rsidR="001C34B2">
        <w:rPr>
          <w:rFonts w:cs="Times New Roman"/>
          <w:szCs w:val="24"/>
        </w:rPr>
        <w:t xml:space="preserve"> ieviešanas </w:t>
      </w:r>
      <w:r>
        <w:rPr>
          <w:rFonts w:cs="Times New Roman"/>
          <w:szCs w:val="24"/>
        </w:rPr>
        <w:t>Ceļa kartes pasākumu īstenošan</w:t>
      </w:r>
      <w:r w:rsidR="001C34B2">
        <w:rPr>
          <w:rFonts w:cs="Times New Roman"/>
          <w:szCs w:val="24"/>
        </w:rPr>
        <w:t>a</w:t>
      </w:r>
      <w:r w:rsidR="00613E91">
        <w:rPr>
          <w:rStyle w:val="FootnoteReference"/>
          <w:rFonts w:cs="Times New Roman"/>
          <w:szCs w:val="24"/>
        </w:rPr>
        <w:footnoteReference w:id="29"/>
      </w:r>
      <w:r>
        <w:rPr>
          <w:rFonts w:cs="Times New Roman"/>
          <w:szCs w:val="24"/>
        </w:rPr>
        <w:t>, s</w:t>
      </w:r>
      <w:r w:rsidRPr="00E04967">
        <w:rPr>
          <w:rFonts w:cs="Times New Roman"/>
          <w:szCs w:val="24"/>
        </w:rPr>
        <w:t xml:space="preserve">adarbībā ar </w:t>
      </w:r>
      <w:r>
        <w:rPr>
          <w:rFonts w:cs="Times New Roman"/>
          <w:szCs w:val="24"/>
        </w:rPr>
        <w:t>LVS un RT</w:t>
      </w:r>
      <w:r w:rsidR="001C34B2">
        <w:rPr>
          <w:rFonts w:cs="Times New Roman"/>
          <w:szCs w:val="24"/>
        </w:rPr>
        <w:t>U</w:t>
      </w:r>
      <w:r>
        <w:rPr>
          <w:rFonts w:cs="Times New Roman"/>
          <w:szCs w:val="24"/>
        </w:rPr>
        <w:t xml:space="preserve"> v</w:t>
      </w:r>
      <w:r w:rsidRPr="00E04967">
        <w:rPr>
          <w:rFonts w:cs="Times New Roman"/>
          <w:szCs w:val="24"/>
        </w:rPr>
        <w:t>eiktas apmācības 264 būvniecības speciālistiem par tādām tēmām kā BIM modelēšana, BIM vadība un BIM koordinēšana.</w:t>
      </w:r>
      <w:r w:rsidR="001B7DC1">
        <w:rPr>
          <w:rFonts w:cs="Times New Roman"/>
          <w:szCs w:val="24"/>
        </w:rPr>
        <w:t xml:space="preserve"> </w:t>
      </w:r>
      <w:r w:rsidRPr="00E04967">
        <w:rPr>
          <w:rFonts w:cs="Times New Roman"/>
          <w:szCs w:val="24"/>
        </w:rPr>
        <w:t>Sadarbībā ar LVS izstrādāts pētījums par BIM labo praksi (detalizēta analīze par BIM izmantošanas ieguvumiem 10 projektos) un metodoloģiju ieguvumu novērtēšanai no BIM izmantošanas projektos</w:t>
      </w:r>
      <w:r>
        <w:rPr>
          <w:rFonts w:cs="Times New Roman"/>
          <w:szCs w:val="24"/>
        </w:rPr>
        <w:t>. Tāpat s</w:t>
      </w:r>
      <w:r w:rsidRPr="00E04967">
        <w:rPr>
          <w:rFonts w:cs="Times New Roman"/>
          <w:szCs w:val="24"/>
        </w:rPr>
        <w:t xml:space="preserve">adarbībā ar LVS un </w:t>
      </w:r>
      <w:r w:rsidR="003B1F97" w:rsidRPr="00E04967">
        <w:rPr>
          <w:rFonts w:cs="Times New Roman"/>
          <w:szCs w:val="24"/>
        </w:rPr>
        <w:t>VNĪ</w:t>
      </w:r>
      <w:r w:rsidR="001B7DC1">
        <w:rPr>
          <w:rFonts w:cs="Times New Roman"/>
          <w:szCs w:val="24"/>
        </w:rPr>
        <w:t xml:space="preserve"> </w:t>
      </w:r>
      <w:r w:rsidRPr="00E04967">
        <w:rPr>
          <w:rFonts w:cs="Times New Roman"/>
          <w:szCs w:val="24"/>
        </w:rPr>
        <w:t>veiktas publisko pasūtītāju apmācības par BIM prasību izvirzīšanu publiskos iepirkumos</w:t>
      </w:r>
      <w:r w:rsidR="003B1F97">
        <w:rPr>
          <w:rFonts w:cs="Times New Roman"/>
          <w:szCs w:val="24"/>
        </w:rPr>
        <w:t xml:space="preserve">, </w:t>
      </w:r>
      <w:r w:rsidR="003B1F97">
        <w:rPr>
          <w:rFonts w:cs="Times New Roman"/>
          <w:szCs w:val="24"/>
        </w:rPr>
        <w:lastRenderedPageBreak/>
        <w:t>kopum</w:t>
      </w:r>
      <w:r w:rsidR="001B7DC1">
        <w:rPr>
          <w:rFonts w:cs="Times New Roman"/>
          <w:szCs w:val="24"/>
        </w:rPr>
        <w:t>ā</w:t>
      </w:r>
      <w:r w:rsidR="003B1F97">
        <w:rPr>
          <w:rFonts w:cs="Times New Roman"/>
          <w:szCs w:val="24"/>
        </w:rPr>
        <w:t xml:space="preserve"> </w:t>
      </w:r>
      <w:r w:rsidR="003B1F97" w:rsidRPr="00E04967">
        <w:rPr>
          <w:rFonts w:cs="Times New Roman"/>
          <w:szCs w:val="24"/>
        </w:rPr>
        <w:t>apmāc</w:t>
      </w:r>
      <w:r w:rsidR="003B1F97">
        <w:rPr>
          <w:rFonts w:cs="Times New Roman"/>
          <w:szCs w:val="24"/>
        </w:rPr>
        <w:t>o</w:t>
      </w:r>
      <w:r w:rsidR="003B1F97" w:rsidRPr="00E04967">
        <w:rPr>
          <w:rFonts w:cs="Times New Roman"/>
          <w:szCs w:val="24"/>
        </w:rPr>
        <w:t>t 47 dalībniek</w:t>
      </w:r>
      <w:r w:rsidR="003B1F97">
        <w:rPr>
          <w:rFonts w:cs="Times New Roman"/>
          <w:szCs w:val="24"/>
        </w:rPr>
        <w:t>us</w:t>
      </w:r>
      <w:r w:rsidR="003B1F97" w:rsidRPr="00E04967">
        <w:rPr>
          <w:rFonts w:cs="Times New Roman"/>
          <w:szCs w:val="24"/>
        </w:rPr>
        <w:t xml:space="preserve"> no dažādām valsts un pašvaldību iestādēm</w:t>
      </w:r>
      <w:r w:rsidRPr="00E04967">
        <w:rPr>
          <w:rFonts w:cs="Times New Roman"/>
          <w:szCs w:val="24"/>
        </w:rPr>
        <w:t>.</w:t>
      </w:r>
      <w:r w:rsidR="001B7DC1">
        <w:rPr>
          <w:rFonts w:cs="Times New Roman"/>
          <w:szCs w:val="24"/>
        </w:rPr>
        <w:t xml:space="preserve"> </w:t>
      </w:r>
      <w:r w:rsidRPr="00E04967">
        <w:rPr>
          <w:rFonts w:cs="Times New Roman"/>
          <w:szCs w:val="24"/>
        </w:rPr>
        <w:t xml:space="preserve">Sadarbībā ar LVS un VNĪ izstrādātas vadlīnijas informācijas prasībām un BIM modeļu izstrādei un uzturēšanai </w:t>
      </w:r>
      <w:r>
        <w:rPr>
          <w:rFonts w:cs="Times New Roman"/>
          <w:szCs w:val="24"/>
        </w:rPr>
        <w:t xml:space="preserve">būvju </w:t>
      </w:r>
      <w:r w:rsidRPr="00E04967">
        <w:rPr>
          <w:rFonts w:cs="Times New Roman"/>
          <w:szCs w:val="24"/>
        </w:rPr>
        <w:t>apsaimniekošanas laikā.</w:t>
      </w:r>
    </w:p>
    <w:p w14:paraId="5ACE7D9C" w14:textId="215F27E0" w:rsidR="00C22DCD" w:rsidRPr="00C70943" w:rsidRDefault="003B1F97" w:rsidP="00A35A4E">
      <w:pPr>
        <w:spacing w:before="60" w:after="60" w:line="240" w:lineRule="auto"/>
        <w:jc w:val="both"/>
        <w:rPr>
          <w:szCs w:val="24"/>
        </w:rPr>
      </w:pPr>
      <w:r w:rsidRPr="003B1F97">
        <w:rPr>
          <w:b/>
          <w:bCs/>
          <w:color w:val="00859B"/>
          <w:szCs w:val="24"/>
        </w:rPr>
        <w:t>Mājokļu jomā</w:t>
      </w:r>
      <w:r>
        <w:rPr>
          <w:szCs w:val="24"/>
        </w:rPr>
        <w:t>, ņ</w:t>
      </w:r>
      <w:r w:rsidR="00C22DCD" w:rsidRPr="00C22DCD">
        <w:rPr>
          <w:szCs w:val="24"/>
        </w:rPr>
        <w:t xml:space="preserve">emot vērā pieaugošās mājokļa </w:t>
      </w:r>
      <w:r w:rsidR="00C22DCD">
        <w:rPr>
          <w:szCs w:val="24"/>
        </w:rPr>
        <w:t xml:space="preserve">iegādes </w:t>
      </w:r>
      <w:r w:rsidR="00C22DCD" w:rsidRPr="00C22DCD">
        <w:rPr>
          <w:szCs w:val="24"/>
        </w:rPr>
        <w:t xml:space="preserve">izmaksas, iedzīvotāju zemais ienākumu līmenis un pirktspēja </w:t>
      </w:r>
      <w:r>
        <w:rPr>
          <w:szCs w:val="24"/>
        </w:rPr>
        <w:t xml:space="preserve">turpina </w:t>
      </w:r>
      <w:r w:rsidR="001B7DC1">
        <w:rPr>
          <w:szCs w:val="24"/>
        </w:rPr>
        <w:t xml:space="preserve">kalpot par </w:t>
      </w:r>
      <w:r w:rsidR="001B7DC1" w:rsidRPr="00C22DCD">
        <w:rPr>
          <w:szCs w:val="24"/>
        </w:rPr>
        <w:t>galven</w:t>
      </w:r>
      <w:r w:rsidR="001B7DC1">
        <w:rPr>
          <w:szCs w:val="24"/>
        </w:rPr>
        <w:t>ajiem</w:t>
      </w:r>
      <w:r w:rsidR="001B7DC1" w:rsidRPr="00C22DCD">
        <w:rPr>
          <w:szCs w:val="24"/>
        </w:rPr>
        <w:t xml:space="preserve"> </w:t>
      </w:r>
      <w:r w:rsidR="001B7DC1">
        <w:rPr>
          <w:szCs w:val="24"/>
        </w:rPr>
        <w:t>šķēršļiem</w:t>
      </w:r>
      <w:r w:rsidR="001B7DC1" w:rsidRPr="00C22DCD">
        <w:rPr>
          <w:szCs w:val="24"/>
        </w:rPr>
        <w:t xml:space="preserve"> </w:t>
      </w:r>
      <w:r w:rsidR="00C22DCD" w:rsidRPr="00C22DCD">
        <w:rPr>
          <w:szCs w:val="24"/>
        </w:rPr>
        <w:t xml:space="preserve">mājokļu </w:t>
      </w:r>
      <w:r w:rsidR="001B7DC1" w:rsidRPr="00C22DCD">
        <w:rPr>
          <w:szCs w:val="24"/>
        </w:rPr>
        <w:t>pieejamīb</w:t>
      </w:r>
      <w:r w:rsidR="001B7DC1">
        <w:rPr>
          <w:szCs w:val="24"/>
        </w:rPr>
        <w:t>ai</w:t>
      </w:r>
      <w:r w:rsidR="001B7DC1" w:rsidRPr="00C22DCD">
        <w:rPr>
          <w:szCs w:val="24"/>
        </w:rPr>
        <w:t xml:space="preserve"> </w:t>
      </w:r>
      <w:r w:rsidR="00C22DCD" w:rsidRPr="00C22DCD">
        <w:rPr>
          <w:szCs w:val="24"/>
        </w:rPr>
        <w:t xml:space="preserve">Latvijā. Izmaksu ziņā pieejamu un kvalitatīvu mājokļu trūkums ir viens no iemesliem, kāpēc tiek kavēta valsts iekšējā mobilitāte, kas netieši kavē tautsaimniecības izaugsmi. Lai risinātu </w:t>
      </w:r>
      <w:r w:rsidR="001B7DC1">
        <w:rPr>
          <w:szCs w:val="24"/>
        </w:rPr>
        <w:t>problēmu</w:t>
      </w:r>
      <w:r w:rsidR="00C22DCD" w:rsidRPr="00C22DCD">
        <w:rPr>
          <w:szCs w:val="24"/>
        </w:rPr>
        <w:t xml:space="preserve">, </w:t>
      </w:r>
      <w:r w:rsidR="00C22DCD">
        <w:rPr>
          <w:szCs w:val="24"/>
        </w:rPr>
        <w:t>EM</w:t>
      </w:r>
      <w:r w:rsidR="00C22DCD" w:rsidRPr="00C22DCD">
        <w:rPr>
          <w:szCs w:val="24"/>
        </w:rPr>
        <w:t xml:space="preserve"> 2019.</w:t>
      </w:r>
      <w:r w:rsidR="00C22DCD">
        <w:rPr>
          <w:szCs w:val="24"/>
        </w:rPr>
        <w:t> </w:t>
      </w:r>
      <w:r w:rsidR="00C22DCD" w:rsidRPr="00C22DCD">
        <w:rPr>
          <w:szCs w:val="24"/>
        </w:rPr>
        <w:t xml:space="preserve">gada maijā uzsāka </w:t>
      </w:r>
      <w:r w:rsidR="00F372A4" w:rsidRPr="00C22DCD">
        <w:rPr>
          <w:szCs w:val="24"/>
        </w:rPr>
        <w:t xml:space="preserve">ar OECD </w:t>
      </w:r>
      <w:r w:rsidR="00C22DCD" w:rsidRPr="00F372A4">
        <w:rPr>
          <w:b/>
          <w:bCs/>
          <w:color w:val="00859B"/>
          <w:szCs w:val="24"/>
        </w:rPr>
        <w:t>sadarbības projektu par mājokļu pieejamību Latvijā</w:t>
      </w:r>
      <w:r w:rsidR="00C22DCD" w:rsidRPr="003B1F97">
        <w:rPr>
          <w:szCs w:val="24"/>
        </w:rPr>
        <w:t xml:space="preserve">. </w:t>
      </w:r>
      <w:r w:rsidR="00C22DCD" w:rsidRPr="00C22DCD">
        <w:rPr>
          <w:szCs w:val="24"/>
        </w:rPr>
        <w:t>2020.</w:t>
      </w:r>
      <w:r w:rsidR="005D1B30">
        <w:rPr>
          <w:szCs w:val="24"/>
        </w:rPr>
        <w:t> </w:t>
      </w:r>
      <w:r w:rsidR="00C22DCD" w:rsidRPr="00C22DCD">
        <w:rPr>
          <w:szCs w:val="24"/>
        </w:rPr>
        <w:t>gada jūnijā tika prezentēti projekta rezultāti</w:t>
      </w:r>
      <w:r w:rsidR="00C22DCD" w:rsidRPr="00C22DCD">
        <w:rPr>
          <w:rStyle w:val="FootnoteReference"/>
          <w:szCs w:val="24"/>
        </w:rPr>
        <w:footnoteReference w:id="30"/>
      </w:r>
      <w:r w:rsidR="00C22DCD" w:rsidRPr="00C22DCD">
        <w:rPr>
          <w:szCs w:val="24"/>
        </w:rPr>
        <w:t>, kur norād</w:t>
      </w:r>
      <w:r w:rsidR="005D1B30">
        <w:rPr>
          <w:szCs w:val="24"/>
        </w:rPr>
        <w:t>īts</w:t>
      </w:r>
      <w:r w:rsidR="00C22DCD" w:rsidRPr="00C22DCD">
        <w:rPr>
          <w:szCs w:val="24"/>
        </w:rPr>
        <w:t>, ka vidējie mājsaimniecības izdevumi par mājokli</w:t>
      </w:r>
      <w:r w:rsidR="005D1B30">
        <w:rPr>
          <w:szCs w:val="24"/>
        </w:rPr>
        <w:t xml:space="preserve"> Latvijā</w:t>
      </w:r>
      <w:r w:rsidR="00C22DCD" w:rsidRPr="00C22DCD">
        <w:rPr>
          <w:szCs w:val="24"/>
        </w:rPr>
        <w:t xml:space="preserve"> ir zem OECD vidējā rādītāja</w:t>
      </w:r>
      <w:r w:rsidR="001B7DC1">
        <w:rPr>
          <w:szCs w:val="24"/>
        </w:rPr>
        <w:t xml:space="preserve"> līmeņa</w:t>
      </w:r>
      <w:r w:rsidR="00362A95">
        <w:rPr>
          <w:szCs w:val="24"/>
        </w:rPr>
        <w:t xml:space="preserve"> un </w:t>
      </w:r>
      <w:r w:rsidR="00DE5703">
        <w:rPr>
          <w:szCs w:val="24"/>
        </w:rPr>
        <w:t xml:space="preserve">ir sliktā kvalitātē. </w:t>
      </w:r>
      <w:r w:rsidR="00C22DCD" w:rsidRPr="00C22DCD">
        <w:rPr>
          <w:szCs w:val="24"/>
        </w:rPr>
        <w:t>Lielākā daļa mājokļu ir uzbūvēti padomju varas laikā un nav tikuši pienācīgi uzturēti. Vairāk kā trešdaļa mājsaimniecību dzīvo pārapdzīvotos mājokļos, kas ir augstākais rādītājs OECD. Daudzām mājsaimniecībām nav iespējas pārcelties uz kvalitatīvāku mājokli, tā izmaksām netērējot vairāk nekā 30% no savā rīcībā esošajiem ienākumiem. Hipotekārais kredīts mājokļa iegādei lielai daļai iedzīvotāju nav pieejams. Valsts atbalstu mājokļu pieejamībai saņem neliela daļa no mazaizsargātajām mājsaimniecībām un mājsaimniecībām ar zemiem ienākumiem</w:t>
      </w:r>
      <w:r w:rsidR="00435E9A">
        <w:rPr>
          <w:szCs w:val="24"/>
        </w:rPr>
        <w:t xml:space="preserve">, turklāt </w:t>
      </w:r>
      <w:r w:rsidR="00DE5703" w:rsidRPr="00C22DCD">
        <w:rPr>
          <w:szCs w:val="24"/>
        </w:rPr>
        <w:t>atbalst</w:t>
      </w:r>
      <w:r w:rsidR="00DE5703">
        <w:rPr>
          <w:szCs w:val="24"/>
        </w:rPr>
        <w:t>s</w:t>
      </w:r>
      <w:r w:rsidR="00DE5703" w:rsidRPr="00C22DCD">
        <w:rPr>
          <w:szCs w:val="24"/>
        </w:rPr>
        <w:t xml:space="preserve"> </w:t>
      </w:r>
      <w:r w:rsidR="00C22DCD" w:rsidRPr="00C22DCD">
        <w:rPr>
          <w:szCs w:val="24"/>
        </w:rPr>
        <w:t xml:space="preserve">ir </w:t>
      </w:r>
      <w:r w:rsidR="00DE5703">
        <w:rPr>
          <w:szCs w:val="24"/>
        </w:rPr>
        <w:t xml:space="preserve">arī stipri </w:t>
      </w:r>
      <w:r w:rsidR="00C22DCD" w:rsidRPr="00C22DCD">
        <w:rPr>
          <w:szCs w:val="24"/>
        </w:rPr>
        <w:t xml:space="preserve">ierobežots. Valsts piedāvā hipotekārā kredīta garantijas ģimenēm ar bērniem un jaunajiem speciālistiem. Šo atbalstu pārsvarā var izmantot mājsaimniecības ar augstākiem ienākumiem. Tādējādi esošais atbalsts mājokļu jomā nav pieejams lielai daļai no mājsaimniecībām – “neatbalstītais vidusslānis” aptver aptuveni 44% no visām Latvijas mājsaimniecībām, kas ir </w:t>
      </w:r>
      <w:r w:rsidR="00DE5703">
        <w:rPr>
          <w:szCs w:val="24"/>
        </w:rPr>
        <w:t>“</w:t>
      </w:r>
      <w:r w:rsidR="00C22DCD" w:rsidRPr="00C22DCD">
        <w:rPr>
          <w:szCs w:val="24"/>
        </w:rPr>
        <w:t>pārāk turīgas</w:t>
      </w:r>
      <w:r w:rsidR="00DE5703">
        <w:rPr>
          <w:szCs w:val="24"/>
        </w:rPr>
        <w:t>”</w:t>
      </w:r>
      <w:r w:rsidR="00C22DCD" w:rsidRPr="00C22DCD">
        <w:rPr>
          <w:szCs w:val="24"/>
        </w:rPr>
        <w:t xml:space="preserve">, lai saņemtu sociālo mājokli vai dzīvokļa pabalstu, bet kuru ienākumi nav pietiekoši, lai tās varētu saņemt hipotekāro kredītu. OECD rekomendē Latvijai: </w:t>
      </w:r>
      <w:r w:rsidR="00C22DCD" w:rsidRPr="00C22DCD">
        <w:t>uzlabot mājokļu pieejamības un kvalitātes izvērtējum</w:t>
      </w:r>
      <w:r w:rsidR="00DE5703">
        <w:t>a procesu</w:t>
      </w:r>
      <w:r w:rsidR="00C22DCD" w:rsidRPr="00C22DCD">
        <w:t xml:space="preserve">; investēt kvalitatīvu mājokļu pieejamībā un samazināt būvniecības izmaksas, apsverot ilgtspējīga pašfinansējoša fonda izveidi; attīstīt pieejamāku un pievilcīgāku īres tirgu, un dažādojot mājokļu piedāvātāju loku; samazināt “neatbalstītā vidusslāņa” </w:t>
      </w:r>
      <w:r w:rsidR="00DE5703">
        <w:t>lielumu</w:t>
      </w:r>
      <w:r w:rsidR="00C22DCD" w:rsidRPr="00C22DCD">
        <w:t xml:space="preserve">, pilnveidojot mājokļu atbalsta apmēra noteikšanu dažādām mājsaimniecībām, apsverot mājokļu atjaunošanas programmas izstrādi; </w:t>
      </w:r>
      <w:r w:rsidR="00DE5703" w:rsidRPr="00C22DCD">
        <w:t>palielin</w:t>
      </w:r>
      <w:r w:rsidR="00DE5703">
        <w:t>ā</w:t>
      </w:r>
      <w:r w:rsidR="00DE5703" w:rsidRPr="00C22DCD">
        <w:t xml:space="preserve">t </w:t>
      </w:r>
      <w:r w:rsidR="00C22DCD" w:rsidRPr="00C22DCD">
        <w:t>mājokļu atbalstu zemu ienākumu mājsaimniecībām.</w:t>
      </w:r>
    </w:p>
    <w:p w14:paraId="3EB5B26C" w14:textId="701C6630" w:rsidR="00C22DCD" w:rsidRPr="00C22DCD" w:rsidRDefault="00C22DCD" w:rsidP="005D1B30">
      <w:pPr>
        <w:spacing w:before="60" w:after="60" w:line="240" w:lineRule="auto"/>
        <w:jc w:val="both"/>
        <w:rPr>
          <w:szCs w:val="24"/>
        </w:rPr>
      </w:pPr>
      <w:r w:rsidRPr="00C22DCD">
        <w:rPr>
          <w:szCs w:val="24"/>
        </w:rPr>
        <w:t>2020.</w:t>
      </w:r>
      <w:r w:rsidR="005D1B30">
        <w:rPr>
          <w:szCs w:val="24"/>
        </w:rPr>
        <w:t> </w:t>
      </w:r>
      <w:r w:rsidRPr="00C22DCD">
        <w:rPr>
          <w:szCs w:val="24"/>
        </w:rPr>
        <w:t>gadā</w:t>
      </w:r>
      <w:r w:rsidR="00DE5703">
        <w:rPr>
          <w:szCs w:val="24"/>
        </w:rPr>
        <w:t xml:space="preserve"> EM </w:t>
      </w:r>
      <w:r w:rsidR="00435E9A" w:rsidRPr="00C22DCD">
        <w:rPr>
          <w:szCs w:val="24"/>
        </w:rPr>
        <w:t>izstrādā</w:t>
      </w:r>
      <w:r w:rsidR="00435E9A">
        <w:rPr>
          <w:szCs w:val="24"/>
        </w:rPr>
        <w:t>ja</w:t>
      </w:r>
      <w:r w:rsidR="00435E9A" w:rsidRPr="00C22DCD">
        <w:rPr>
          <w:szCs w:val="24"/>
        </w:rPr>
        <w:t xml:space="preserve"> </w:t>
      </w:r>
      <w:r w:rsidR="005D1B30" w:rsidRPr="00C22DCD">
        <w:rPr>
          <w:szCs w:val="24"/>
        </w:rPr>
        <w:t>atbalsta programmas modeli zemas īres maksas mājokļu būvniecībai</w:t>
      </w:r>
      <w:r w:rsidRPr="00C22DCD">
        <w:rPr>
          <w:szCs w:val="24"/>
        </w:rPr>
        <w:t xml:space="preserve">, ņemot vērā </w:t>
      </w:r>
      <w:r w:rsidR="005D1B30" w:rsidRPr="00C22DCD">
        <w:rPr>
          <w:szCs w:val="24"/>
        </w:rPr>
        <w:t xml:space="preserve">OECD rekomendācijas </w:t>
      </w:r>
      <w:r w:rsidR="005D1B30">
        <w:rPr>
          <w:szCs w:val="24"/>
        </w:rPr>
        <w:t xml:space="preserve">un </w:t>
      </w:r>
      <w:r w:rsidRPr="00C22DCD">
        <w:rPr>
          <w:szCs w:val="24"/>
        </w:rPr>
        <w:t xml:space="preserve">pastāvošās mājokļu pieejamības problēmas, jo īpaši reģionos, lai nodrošinātu pieeju mājokļiem tām mājsaimniecībām, kas nepietiekamu ienākumu dēļ nevar atļauties mājokli uz tirgus nosacījumiem. Atbalsta programmas īstenošanai tika pieprasīts finansējums </w:t>
      </w:r>
      <w:hyperlink r:id="rId100" w:history="1">
        <w:r w:rsidR="005D1B30" w:rsidRPr="005D1B30">
          <w:rPr>
            <w:rStyle w:val="Hyperlink"/>
            <w:i/>
            <w:iCs/>
            <w:color w:val="00859B"/>
            <w:szCs w:val="24"/>
          </w:rPr>
          <w:t>Atveseļošanās un noturības mehānisma plāna</w:t>
        </w:r>
      </w:hyperlink>
      <w:r w:rsidR="00DE5703">
        <w:rPr>
          <w:rStyle w:val="Hyperlink"/>
          <w:i/>
          <w:iCs/>
          <w:color w:val="00859B"/>
          <w:szCs w:val="24"/>
        </w:rPr>
        <w:t xml:space="preserve"> </w:t>
      </w:r>
      <w:r w:rsidRPr="00C22DCD">
        <w:rPr>
          <w:szCs w:val="24"/>
        </w:rPr>
        <w:t>ietvaros.</w:t>
      </w:r>
      <w:r w:rsidRPr="00C22DCD">
        <w:rPr>
          <w:rStyle w:val="FootnoteReference"/>
          <w:szCs w:val="24"/>
        </w:rPr>
        <w:footnoteReference w:id="31"/>
      </w:r>
    </w:p>
    <w:p w14:paraId="5B8AB086" w14:textId="0C892B6A" w:rsidR="00C22DCD" w:rsidRDefault="00C22DCD" w:rsidP="00C81F77">
      <w:pPr>
        <w:spacing w:before="60" w:after="60" w:line="240" w:lineRule="auto"/>
        <w:jc w:val="both"/>
        <w:rPr>
          <w:szCs w:val="24"/>
        </w:rPr>
      </w:pPr>
      <w:r w:rsidRPr="00C22DCD">
        <w:rPr>
          <w:szCs w:val="24"/>
        </w:rPr>
        <w:t>Lai veicinātu mājokļa iegādes iespējas ģimenēm ar bērniem, 2020.</w:t>
      </w:r>
      <w:r w:rsidR="005D1B30">
        <w:rPr>
          <w:szCs w:val="24"/>
        </w:rPr>
        <w:t> </w:t>
      </w:r>
      <w:r w:rsidRPr="00C22DCD">
        <w:rPr>
          <w:szCs w:val="24"/>
        </w:rPr>
        <w:t xml:space="preserve">gadā tika veikti grozījumi </w:t>
      </w:r>
      <w:r w:rsidRPr="00322169">
        <w:rPr>
          <w:b/>
          <w:bCs/>
          <w:color w:val="00859B"/>
          <w:szCs w:val="24"/>
        </w:rPr>
        <w:t>mājokļu garantiju programmā</w:t>
      </w:r>
      <w:r w:rsidRPr="00C22DCD">
        <w:rPr>
          <w:rStyle w:val="FootnoteReference"/>
          <w:szCs w:val="24"/>
        </w:rPr>
        <w:footnoteReference w:id="32"/>
      </w:r>
      <w:r w:rsidRPr="00C22DCD">
        <w:rPr>
          <w:szCs w:val="24"/>
        </w:rPr>
        <w:t>, palielinot garantijas apmēru ģimenēm ar četriem un vairāk bērniem līdz 30% no aizdevuma, kā arī paredzēta iespēja atbalstam mājokļa iegādei pieteikties atkārtoti, ja ir palielinājies apgādībā esošo bērnu skaits vai iestājusies grūtniecība un iepriekš piešķirtās garantijas saistības ir izbeigušās. Tāpat uz atbalstu var pretendēt ne tikai tās ģimenes, kurās ir dzimuši bērni, bet arī visos tajos gadījumos, kad ir konstatēts grūtniecības fakts un bērns vēl tiek gaidīts. Lai vēl vairāk veicinātu mājokļu pieejamību daudzbērnu ģimenēm, atbalsta programmas “Balsts” ietvaros radīta iespēja daudzbērnu ģimenēm piešķirt subsīdiju mājokļa iegādei līdz 12</w:t>
      </w:r>
      <w:r w:rsidR="005D1B30">
        <w:rPr>
          <w:szCs w:val="24"/>
        </w:rPr>
        <w:t> </w:t>
      </w:r>
      <w:r w:rsidRPr="00C22DCD">
        <w:rPr>
          <w:szCs w:val="24"/>
        </w:rPr>
        <w:t>000</w:t>
      </w:r>
      <w:r w:rsidR="005D1B30">
        <w:rPr>
          <w:szCs w:val="24"/>
        </w:rPr>
        <w:t> </w:t>
      </w:r>
      <w:r w:rsidRPr="00C22DCD">
        <w:rPr>
          <w:i/>
          <w:iCs/>
          <w:szCs w:val="24"/>
        </w:rPr>
        <w:t>euro</w:t>
      </w:r>
      <w:r w:rsidR="005D1B30">
        <w:rPr>
          <w:szCs w:val="24"/>
        </w:rPr>
        <w:t xml:space="preserve"> apmērā,</w:t>
      </w:r>
      <w:r w:rsidRPr="00C22DCD">
        <w:rPr>
          <w:szCs w:val="24"/>
        </w:rPr>
        <w:t xml:space="preserve"> bet ne vairāk kā 50% no kopējām mājokļa iegādes izmaksām. Šis subsīdijas atbalsta mehānisms ieviests, lai daudzbērnu ģimene varētu atļauties lielāku vai labāku mājokli, kā arī saīsinātu pirmās iemaksas uzkrāšanai nepieciešamo laiku. </w:t>
      </w:r>
    </w:p>
    <w:p w14:paraId="1900D26E" w14:textId="54832774" w:rsidR="00F00323" w:rsidRPr="00C81F77" w:rsidRDefault="00F00323" w:rsidP="00C81F77">
      <w:pPr>
        <w:spacing w:before="60" w:after="60" w:line="240" w:lineRule="auto"/>
        <w:jc w:val="both"/>
      </w:pPr>
      <w:r>
        <w:t>Mājokļu garantiju programmas ģimenēm nodrošināšanai EM budžetā tika iestrādāts finansējums nākamajiem trijiem gadiem: 2021. gadā – 5 milj. </w:t>
      </w:r>
      <w:r w:rsidRPr="00CC1D9B">
        <w:rPr>
          <w:i/>
          <w:iCs/>
        </w:rPr>
        <w:t>euro</w:t>
      </w:r>
      <w:r>
        <w:t>, 2022. gadā – 5,5 milj. </w:t>
      </w:r>
      <w:r w:rsidRPr="00CC1D9B">
        <w:rPr>
          <w:i/>
          <w:iCs/>
        </w:rPr>
        <w:t>euro</w:t>
      </w:r>
      <w:r>
        <w:t xml:space="preserve"> un 2023. gadā – 6 milj. </w:t>
      </w:r>
      <w:r w:rsidRPr="00CC1D9B">
        <w:rPr>
          <w:i/>
          <w:iCs/>
        </w:rPr>
        <w:t>euro</w:t>
      </w:r>
      <w:r>
        <w:t xml:space="preserve"> apmērā. Savukārt, programmai subsīdija “Balsts” finansējums nodrošināts diviem gadiem: 2021. gadā – 3,6 milj. </w:t>
      </w:r>
      <w:r w:rsidRPr="00BF2764">
        <w:rPr>
          <w:i/>
          <w:iCs/>
        </w:rPr>
        <w:t>euro</w:t>
      </w:r>
      <w:r>
        <w:t xml:space="preserve"> un 2022.gadā – 3,6 milj. </w:t>
      </w:r>
      <w:r w:rsidRPr="00BF2764">
        <w:rPr>
          <w:i/>
          <w:iCs/>
        </w:rPr>
        <w:t>euro</w:t>
      </w:r>
      <w:r>
        <w:t xml:space="preserve"> apmērā. </w:t>
      </w:r>
      <w:r w:rsidRPr="00BF2764">
        <w:rPr>
          <w:szCs w:val="24"/>
        </w:rPr>
        <w:t xml:space="preserve">Saskaņā ar ALTUM </w:t>
      </w:r>
      <w:r w:rsidRPr="00BF2764">
        <w:rPr>
          <w:szCs w:val="24"/>
        </w:rPr>
        <w:lastRenderedPageBreak/>
        <w:t xml:space="preserve">sniegtajiem datiem kopš atbalsta uzsākšanas </w:t>
      </w:r>
      <w:r w:rsidRPr="00BF2764">
        <w:t>2015. gadā</w:t>
      </w:r>
      <w:r w:rsidRPr="00BF2764">
        <w:rPr>
          <w:szCs w:val="24"/>
        </w:rPr>
        <w:t xml:space="preserve"> </w:t>
      </w:r>
      <w:hyperlink r:id="rId101" w:history="1">
        <w:r w:rsidRPr="00BF2764">
          <w:rPr>
            <w:rStyle w:val="Hyperlink"/>
            <w:rFonts w:cs="Times New Roman"/>
            <w:i/>
            <w:color w:val="00859B"/>
            <w:szCs w:val="24"/>
          </w:rPr>
          <w:t>Mājokļu garantiju programmas</w:t>
        </w:r>
      </w:hyperlink>
      <w:r w:rsidRPr="00BF2764">
        <w:rPr>
          <w:rStyle w:val="Hyperlink"/>
          <w:rFonts w:cs="Times New Roman"/>
          <w:i/>
          <w:color w:val="00859B"/>
          <w:szCs w:val="24"/>
        </w:rPr>
        <w:t xml:space="preserve"> </w:t>
      </w:r>
      <w:r w:rsidRPr="00BF2764">
        <w:rPr>
          <w:szCs w:val="24"/>
        </w:rPr>
        <w:t xml:space="preserve">ietvaros līdz 2020. gada </w:t>
      </w:r>
      <w:r>
        <w:rPr>
          <w:szCs w:val="24"/>
        </w:rPr>
        <w:t>beigām</w:t>
      </w:r>
      <w:r w:rsidRPr="00BF2764">
        <w:rPr>
          <w:szCs w:val="24"/>
        </w:rPr>
        <w:t xml:space="preserve"> </w:t>
      </w:r>
      <w:r>
        <w:t>izsniegtas: garantijas 15 811 ģimenēm (ar 22 732 bērniem), ar kopējo garantiju summu 111</w:t>
      </w:r>
      <w:r w:rsidR="00C81F77">
        <w:t>,</w:t>
      </w:r>
      <w:r>
        <w:t>4 </w:t>
      </w:r>
      <w:r w:rsidR="00C81F77">
        <w:t>milj.</w:t>
      </w:r>
      <w:r>
        <w:t> </w:t>
      </w:r>
      <w:r w:rsidRPr="00C81F77">
        <w:rPr>
          <w:i/>
          <w:iCs/>
        </w:rPr>
        <w:t>euro</w:t>
      </w:r>
      <w:r>
        <w:t>; 2 616 garantijas jaunajiem speciālistiem, ar kopējo garantiju summu 19</w:t>
      </w:r>
      <w:r w:rsidR="00C81F77">
        <w:t>,</w:t>
      </w:r>
      <w:r>
        <w:t>6 </w:t>
      </w:r>
      <w:r w:rsidR="00C81F77">
        <w:t>milj. </w:t>
      </w:r>
      <w:r w:rsidRPr="003F47BD">
        <w:rPr>
          <w:i/>
          <w:iCs/>
        </w:rPr>
        <w:t>euro</w:t>
      </w:r>
      <w:r>
        <w:t>.</w:t>
      </w:r>
      <w:r>
        <w:rPr>
          <w:sz w:val="22"/>
        </w:rPr>
        <w:t xml:space="preserve"> </w:t>
      </w:r>
      <w:r w:rsidRPr="00CC1D9B">
        <w:t>Pārskata periodā no 2020.</w:t>
      </w:r>
      <w:r>
        <w:t> </w:t>
      </w:r>
      <w:r w:rsidRPr="00CC1D9B">
        <w:t>gada 1.janvāra līdz 31.</w:t>
      </w:r>
      <w:r>
        <w:t> </w:t>
      </w:r>
      <w:r w:rsidRPr="00CC1D9B">
        <w:t>decembrim</w:t>
      </w:r>
      <w:r>
        <w:t xml:space="preserve"> izsniegtas: 2 743 garantijas ģimenēm (ar 3 957 bērniem), ar kopējā garantiju summu 22 665 709,73 </w:t>
      </w:r>
      <w:r w:rsidRPr="00CC1D9B">
        <w:rPr>
          <w:i/>
          <w:iCs/>
        </w:rPr>
        <w:t>euro</w:t>
      </w:r>
      <w:r>
        <w:t>; 834 garantijas jaunajiem speciālistiem, ar kopējo garantiju summu 6 868 878,39 </w:t>
      </w:r>
      <w:r w:rsidRPr="00CC1D9B">
        <w:rPr>
          <w:i/>
          <w:iCs/>
        </w:rPr>
        <w:t>euro</w:t>
      </w:r>
      <w:r>
        <w:t xml:space="preserve">; kā arī izsniegtas 49 subsīdijas “Balsts”, ar kopējo garantiju summu 408 000 </w:t>
      </w:r>
      <w:r w:rsidRPr="00CC1D9B">
        <w:rPr>
          <w:i/>
          <w:iCs/>
        </w:rPr>
        <w:t xml:space="preserve">euro </w:t>
      </w:r>
      <w:r w:rsidRPr="00CC1D9B">
        <w:t>apmērā</w:t>
      </w:r>
      <w:r>
        <w:t>.</w:t>
      </w:r>
    </w:p>
    <w:p w14:paraId="70C31D82" w14:textId="6D74A5FA" w:rsidR="00C22DCD" w:rsidRPr="00C22DCD" w:rsidRDefault="00C22DCD" w:rsidP="00F613B9">
      <w:pPr>
        <w:spacing w:before="60" w:after="60" w:line="240" w:lineRule="auto"/>
        <w:jc w:val="both"/>
        <w:rPr>
          <w:szCs w:val="24"/>
        </w:rPr>
      </w:pPr>
      <w:r w:rsidRPr="00C22DCD">
        <w:rPr>
          <w:szCs w:val="24"/>
        </w:rPr>
        <w:t xml:space="preserve">Attiecībā uz ēku fonda kvalitātes uzlabošanas plāniem, </w:t>
      </w:r>
      <w:r w:rsidR="006F1FF1">
        <w:rPr>
          <w:szCs w:val="24"/>
        </w:rPr>
        <w:t>EM</w:t>
      </w:r>
      <w:r w:rsidRPr="00C22DCD">
        <w:rPr>
          <w:szCs w:val="24"/>
        </w:rPr>
        <w:t xml:space="preserve"> 2020.</w:t>
      </w:r>
      <w:r w:rsidR="006F1FF1">
        <w:rPr>
          <w:szCs w:val="24"/>
        </w:rPr>
        <w:t> </w:t>
      </w:r>
      <w:r w:rsidRPr="00C22DCD">
        <w:rPr>
          <w:szCs w:val="24"/>
        </w:rPr>
        <w:t xml:space="preserve">gadā izstrādāja </w:t>
      </w:r>
      <w:hyperlink r:id="rId102" w:history="1">
        <w:r w:rsidR="00AC34AA" w:rsidRPr="005B1AC8">
          <w:rPr>
            <w:rStyle w:val="Hyperlink"/>
            <w:i/>
            <w:iCs/>
            <w:color w:val="00859B"/>
            <w:szCs w:val="24"/>
          </w:rPr>
          <w:t>informatīvo ziņojumu “Ēku atjaunošanas ilgtermiņa stratēģija</w:t>
        </w:r>
        <w:r w:rsidR="005B1AC8" w:rsidRPr="005B1AC8">
          <w:rPr>
            <w:rStyle w:val="Hyperlink"/>
            <w:i/>
            <w:iCs/>
            <w:color w:val="00859B"/>
            <w:szCs w:val="24"/>
          </w:rPr>
          <w:t>”</w:t>
        </w:r>
      </w:hyperlink>
      <w:r w:rsidRPr="00C22DCD">
        <w:rPr>
          <w:szCs w:val="24"/>
        </w:rPr>
        <w:t xml:space="preserve">, kurā atspoguļota </w:t>
      </w:r>
      <w:r w:rsidR="006F1FF1">
        <w:rPr>
          <w:szCs w:val="24"/>
        </w:rPr>
        <w:t>aktuālā</w:t>
      </w:r>
      <w:r w:rsidRPr="00C22DCD">
        <w:rPr>
          <w:szCs w:val="24"/>
        </w:rPr>
        <w:t xml:space="preserve"> situācija par ēku fondu valstī saistībā ar energoefektivitāti, iezīmēta problemātika un veicamās darbības, lai uzlabotu ēku energoefektivitāti valstī. Ņemot vērā Valsts kontroles ziņojuma “</w:t>
      </w:r>
      <w:r w:rsidRPr="006F1FF1">
        <w:rPr>
          <w:i/>
          <w:iCs/>
          <w:szCs w:val="24"/>
        </w:rPr>
        <w:t>Vai tiek izpildīti priekšnoteikumi pašvaldību pārvaldīšanā un kontrolē esošu ekspluatācijā pieņemtu ēku atbilstībai drošuma prasībām?</w:t>
      </w:r>
      <w:r w:rsidRPr="00C22DCD">
        <w:rPr>
          <w:szCs w:val="24"/>
        </w:rPr>
        <w:t xml:space="preserve">” ieteikumus, </w:t>
      </w:r>
      <w:r w:rsidR="006F1FF1">
        <w:rPr>
          <w:szCs w:val="24"/>
        </w:rPr>
        <w:t>EM</w:t>
      </w:r>
      <w:r w:rsidRPr="00C22DCD">
        <w:rPr>
          <w:szCs w:val="24"/>
        </w:rPr>
        <w:t xml:space="preserve"> sadarbībā ar citiem sadarbības partneriem 2020.</w:t>
      </w:r>
      <w:r w:rsidR="006F1FF1">
        <w:rPr>
          <w:szCs w:val="24"/>
        </w:rPr>
        <w:t> </w:t>
      </w:r>
      <w:r w:rsidRPr="005B1AC8">
        <w:rPr>
          <w:szCs w:val="24"/>
        </w:rPr>
        <w:t xml:space="preserve">gadā izstrādāja </w:t>
      </w:r>
      <w:hyperlink r:id="rId103" w:history="1">
        <w:r w:rsidR="005B1AC8" w:rsidRPr="005B1AC8">
          <w:rPr>
            <w:rStyle w:val="Hyperlink"/>
            <w:i/>
            <w:iCs/>
            <w:color w:val="00859B"/>
            <w:szCs w:val="24"/>
          </w:rPr>
          <w:t>Rīcības plānu pasākumiem dzīvojamā fonda tehniskā stāvokļa pilnveidošanai ekspluatācijas laikā</w:t>
        </w:r>
      </w:hyperlink>
      <w:r w:rsidRPr="00C22DCD">
        <w:rPr>
          <w:szCs w:val="24"/>
        </w:rPr>
        <w:t>, kura mērķis ir veikt problēmu un to cēloņu izpēti attiecībā uz Latvijas dzīvojamo ēku fondu un tā tehnisko stāvokli, sniedzot priekšlikumus un risinājumus drošam dzīvojamajam fondam. 2020.</w:t>
      </w:r>
      <w:r w:rsidR="005B1AC8">
        <w:rPr>
          <w:szCs w:val="24"/>
        </w:rPr>
        <w:t> </w:t>
      </w:r>
      <w:r w:rsidRPr="00C22DCD">
        <w:rPr>
          <w:szCs w:val="24"/>
        </w:rPr>
        <w:t xml:space="preserve">gadā </w:t>
      </w:r>
      <w:r w:rsidR="006F1FF1">
        <w:rPr>
          <w:szCs w:val="24"/>
        </w:rPr>
        <w:t xml:space="preserve">tika </w:t>
      </w:r>
      <w:r w:rsidRPr="00C22DCD">
        <w:rPr>
          <w:szCs w:val="24"/>
        </w:rPr>
        <w:t>turpinā</w:t>
      </w:r>
      <w:r w:rsidR="006F1FF1">
        <w:rPr>
          <w:szCs w:val="24"/>
        </w:rPr>
        <w:t>t</w:t>
      </w:r>
      <w:r w:rsidRPr="00C22DCD">
        <w:rPr>
          <w:szCs w:val="24"/>
        </w:rPr>
        <w:t>a uzsākto tipveida ēku tehniskā stāvokļa iz</w:t>
      </w:r>
      <w:r w:rsidR="005B1AC8">
        <w:rPr>
          <w:szCs w:val="24"/>
        </w:rPr>
        <w:t>vērtēšana</w:t>
      </w:r>
      <w:r w:rsidRPr="00C22DCD">
        <w:rPr>
          <w:szCs w:val="24"/>
        </w:rPr>
        <w:t xml:space="preserve">, veicot 467A sērijas daudzdzīvokļu dzīvojamo ēku konstrukciju padziļinātu tehniskā stāvokļa izpēti un novērtējot to atbilstību mehāniskās stiprības un stabilitātes prasībām. Papildus </w:t>
      </w:r>
      <w:r w:rsidR="006F1FF1">
        <w:rPr>
          <w:szCs w:val="24"/>
        </w:rPr>
        <w:t>EM</w:t>
      </w:r>
      <w:r w:rsidRPr="00C22DCD">
        <w:rPr>
          <w:szCs w:val="24"/>
        </w:rPr>
        <w:t xml:space="preserve"> 2020.gad</w:t>
      </w:r>
      <w:r w:rsidR="006F1FF1">
        <w:rPr>
          <w:szCs w:val="24"/>
        </w:rPr>
        <w:t>ā</w:t>
      </w:r>
      <w:r w:rsidRPr="00C22DCD">
        <w:rPr>
          <w:szCs w:val="24"/>
        </w:rPr>
        <w:t xml:space="preserve"> veica </w:t>
      </w:r>
      <w:r w:rsidR="006F1FF1">
        <w:rPr>
          <w:szCs w:val="24"/>
        </w:rPr>
        <w:t xml:space="preserve">arī </w:t>
      </w:r>
      <w:r w:rsidRPr="00C22DCD">
        <w:rPr>
          <w:szCs w:val="24"/>
        </w:rPr>
        <w:t>neatkarīgo ekspertu ēku energoefektivitātes jomā darba uzlabo</w:t>
      </w:r>
      <w:r w:rsidR="00A47815">
        <w:rPr>
          <w:szCs w:val="24"/>
        </w:rPr>
        <w:t>jumus</w:t>
      </w:r>
      <w:r w:rsidRPr="00C22DCD">
        <w:rPr>
          <w:rStyle w:val="FootnoteReference"/>
          <w:szCs w:val="24"/>
        </w:rPr>
        <w:footnoteReference w:id="33"/>
      </w:r>
      <w:r w:rsidRPr="00C22DCD">
        <w:rPr>
          <w:szCs w:val="24"/>
        </w:rPr>
        <w:t xml:space="preserve">, nosakot skaidrāku pārkāpumu uzskaites soda punktu sistēmu un saprotamāk formulējot pārkāpumu definējumus, kā arī nodrošinot iespēju šiem ekspertiem abonēt Latvijas standartu tiešsaistes lasītavu par pazeminātu gada maksu. </w:t>
      </w:r>
    </w:p>
    <w:p w14:paraId="084FEC28" w14:textId="2F7CB042" w:rsidR="00C22DCD" w:rsidRDefault="00C22DCD" w:rsidP="00AC34AA">
      <w:pPr>
        <w:spacing w:before="60" w:after="60" w:line="240" w:lineRule="auto"/>
        <w:jc w:val="both"/>
        <w:rPr>
          <w:szCs w:val="24"/>
        </w:rPr>
      </w:pPr>
      <w:r w:rsidRPr="00C22DCD">
        <w:rPr>
          <w:szCs w:val="24"/>
        </w:rPr>
        <w:t>Saistībā ar C</w:t>
      </w:r>
      <w:r w:rsidR="00613E91">
        <w:rPr>
          <w:szCs w:val="24"/>
        </w:rPr>
        <w:t>ovid</w:t>
      </w:r>
      <w:r w:rsidRPr="00C22DCD">
        <w:rPr>
          <w:szCs w:val="24"/>
        </w:rPr>
        <w:t xml:space="preserve">-19 </w:t>
      </w:r>
      <w:r w:rsidR="00377488">
        <w:rPr>
          <w:szCs w:val="24"/>
        </w:rPr>
        <w:t>pandēmijas</w:t>
      </w:r>
      <w:r w:rsidR="00377488" w:rsidRPr="00C22DCD">
        <w:rPr>
          <w:szCs w:val="24"/>
        </w:rPr>
        <w:t xml:space="preserve"> </w:t>
      </w:r>
      <w:r w:rsidRPr="00C22DCD">
        <w:rPr>
          <w:szCs w:val="24"/>
        </w:rPr>
        <w:t xml:space="preserve">izplatības </w:t>
      </w:r>
      <w:r w:rsidR="00377488" w:rsidRPr="00C22DCD">
        <w:rPr>
          <w:szCs w:val="24"/>
        </w:rPr>
        <w:t>ierobežošan</w:t>
      </w:r>
      <w:r w:rsidR="00377488">
        <w:rPr>
          <w:szCs w:val="24"/>
        </w:rPr>
        <w:t>as pasākumiem,</w:t>
      </w:r>
      <w:r w:rsidRPr="00C22DCD">
        <w:rPr>
          <w:szCs w:val="24"/>
        </w:rPr>
        <w:t xml:space="preserve"> </w:t>
      </w:r>
      <w:r w:rsidR="006F1FF1">
        <w:rPr>
          <w:szCs w:val="24"/>
        </w:rPr>
        <w:t>EM</w:t>
      </w:r>
      <w:r w:rsidRPr="00C22DCD">
        <w:rPr>
          <w:szCs w:val="24"/>
        </w:rPr>
        <w:t xml:space="preserve"> sagatavoja grozījumus vairākos </w:t>
      </w:r>
      <w:r w:rsidR="00AC34AA">
        <w:rPr>
          <w:szCs w:val="24"/>
        </w:rPr>
        <w:t>MK</w:t>
      </w:r>
      <w:r w:rsidRPr="00C22DCD">
        <w:rPr>
          <w:szCs w:val="24"/>
        </w:rPr>
        <w:t xml:space="preserve"> noteikumos</w:t>
      </w:r>
      <w:r w:rsidRPr="00C22DCD">
        <w:rPr>
          <w:szCs w:val="24"/>
          <w:vertAlign w:val="superscript"/>
        </w:rPr>
        <w:footnoteReference w:id="34"/>
      </w:r>
      <w:r w:rsidR="00377488">
        <w:rPr>
          <w:szCs w:val="24"/>
        </w:rPr>
        <w:t xml:space="preserve"> </w:t>
      </w:r>
      <w:r w:rsidRPr="00C22DCD">
        <w:rPr>
          <w:szCs w:val="24"/>
          <w:vertAlign w:val="superscript"/>
        </w:rPr>
        <w:footnoteReference w:id="35"/>
      </w:r>
      <w:r w:rsidR="00AC34AA">
        <w:rPr>
          <w:szCs w:val="24"/>
        </w:rPr>
        <w:t xml:space="preserve">, </w:t>
      </w:r>
      <w:r w:rsidRPr="00C22DCD">
        <w:rPr>
          <w:szCs w:val="24"/>
        </w:rPr>
        <w:t>ārkārtējās situācijas laikā paredzot atlikt piekļuves nodrošināšanu dzīvokļos esošajām mērierīcēm, t</w:t>
      </w:r>
      <w:r w:rsidR="00AC34AA">
        <w:rPr>
          <w:szCs w:val="24"/>
        </w:rPr>
        <w:t>.</w:t>
      </w:r>
      <w:r w:rsidRPr="00C22DCD">
        <w:rPr>
          <w:szCs w:val="24"/>
        </w:rPr>
        <w:t>sk</w:t>
      </w:r>
      <w:r w:rsidR="00AC34AA">
        <w:rPr>
          <w:szCs w:val="24"/>
        </w:rPr>
        <w:t>.</w:t>
      </w:r>
      <w:r w:rsidRPr="00C22DCD">
        <w:rPr>
          <w:szCs w:val="24"/>
        </w:rPr>
        <w:t xml:space="preserve"> skaitītāju atkārtotās verificēšanas nodrošināšanu</w:t>
      </w:r>
      <w:r w:rsidR="00377488">
        <w:rPr>
          <w:szCs w:val="24"/>
        </w:rPr>
        <w:t>.</w:t>
      </w:r>
      <w:r w:rsidRPr="00C22DCD">
        <w:rPr>
          <w:szCs w:val="24"/>
        </w:rPr>
        <w:t xml:space="preserve"> </w:t>
      </w:r>
      <w:r w:rsidR="00377488">
        <w:rPr>
          <w:szCs w:val="24"/>
        </w:rPr>
        <w:t>V</w:t>
      </w:r>
      <w:r w:rsidR="00377488" w:rsidRPr="00C22DCD">
        <w:rPr>
          <w:szCs w:val="24"/>
        </w:rPr>
        <w:t xml:space="preserve">ienlaikus </w:t>
      </w:r>
      <w:r w:rsidRPr="00C22DCD">
        <w:rPr>
          <w:szCs w:val="24"/>
        </w:rPr>
        <w:t xml:space="preserve">tika noteikti nepieciešamie pagaidu risinājumi saistībā ar maksājamo daļu noteikšanu </w:t>
      </w:r>
      <w:r w:rsidR="00377488">
        <w:rPr>
          <w:szCs w:val="24"/>
        </w:rPr>
        <w:t>pandēmijas laikā</w:t>
      </w:r>
      <w:r w:rsidRPr="00C22DCD">
        <w:rPr>
          <w:szCs w:val="24"/>
        </w:rPr>
        <w:t xml:space="preserve">. Tas </w:t>
      </w:r>
      <w:r w:rsidR="00AC34AA">
        <w:rPr>
          <w:szCs w:val="24"/>
        </w:rPr>
        <w:t xml:space="preserve">tika </w:t>
      </w:r>
      <w:r w:rsidRPr="00C22DCD">
        <w:rPr>
          <w:szCs w:val="24"/>
        </w:rPr>
        <w:t>veikts, lai novērstu negatīvās sekas iedzīvotājiem, kuriem saskaņā ar ārkārtējās situācijas laikā noteiktajiem ierobežojumiem nebūtu iespējams izpildīt noteikumos noteiktos pienākumus.</w:t>
      </w:r>
    </w:p>
    <w:p w14:paraId="7D236B9B" w14:textId="77777777" w:rsidR="00157497" w:rsidRPr="00C22DCD" w:rsidRDefault="00157497" w:rsidP="00AC34AA">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79009B" w:rsidRPr="006551D7" w14:paraId="138E2A19" w14:textId="77777777" w:rsidTr="006551D7">
        <w:trPr>
          <w:trHeight w:val="753"/>
        </w:trPr>
        <w:tc>
          <w:tcPr>
            <w:tcW w:w="9628" w:type="dxa"/>
            <w:tcBorders>
              <w:top w:val="nil"/>
              <w:left w:val="nil"/>
              <w:bottom w:val="nil"/>
              <w:right w:val="nil"/>
            </w:tcBorders>
            <w:shd w:val="clear" w:color="auto" w:fill="31849B" w:themeFill="accent5" w:themeFillShade="BF"/>
          </w:tcPr>
          <w:p w14:paraId="52E41889" w14:textId="27D55521" w:rsidR="0079009B" w:rsidRPr="006551D7" w:rsidRDefault="006551D7" w:rsidP="00BE6C4B">
            <w:pPr>
              <w:pStyle w:val="Heading2"/>
              <w:numPr>
                <w:ilvl w:val="1"/>
                <w:numId w:val="16"/>
              </w:numPr>
              <w:spacing w:before="120" w:after="120"/>
              <w:ind w:left="357" w:hanging="357"/>
              <w:rPr>
                <w:szCs w:val="24"/>
                <w:lang w:val="lv-LV"/>
              </w:rPr>
            </w:pPr>
            <w:bookmarkStart w:id="43" w:name="_Toc78874606"/>
            <w:r w:rsidRPr="006551D7">
              <w:rPr>
                <w:lang w:val="lv-LV"/>
              </w:rPr>
              <w:t>Iekšējā un ārējā tirgus darbības, kas vērstas uz drošības pasākumu īstenošanu Covid-19 krīzes pārvarēšanas un tirdzniecības procesa organizēšanas jomā</w:t>
            </w:r>
            <w:bookmarkEnd w:id="43"/>
          </w:p>
        </w:tc>
      </w:tr>
    </w:tbl>
    <w:p w14:paraId="4FF1AAE4" w14:textId="6C28F4B2" w:rsidR="007B1B74" w:rsidRPr="00F05017" w:rsidRDefault="00B736A7" w:rsidP="00D727BD">
      <w:pPr>
        <w:spacing w:before="120" w:after="60" w:line="240" w:lineRule="auto"/>
        <w:jc w:val="both"/>
        <w:rPr>
          <w:rFonts w:eastAsia="Times New Roman"/>
          <w:szCs w:val="24"/>
          <w:lang w:eastAsia="lv-LV"/>
        </w:rPr>
      </w:pPr>
      <w:r w:rsidRPr="00B736A7">
        <w:rPr>
          <w:rFonts w:eastAsia="Times New Roman"/>
          <w:b/>
          <w:bCs/>
          <w:color w:val="00859B"/>
          <w:szCs w:val="24"/>
          <w:lang w:eastAsia="lv-LV"/>
        </w:rPr>
        <w:t>Iekšējā tirgus jomā</w:t>
      </w:r>
      <w:r w:rsidR="00176532">
        <w:rPr>
          <w:rFonts w:eastAsia="Times New Roman"/>
          <w:b/>
          <w:bCs/>
          <w:color w:val="00859B"/>
          <w:szCs w:val="24"/>
          <w:lang w:eastAsia="lv-LV"/>
        </w:rPr>
        <w:t xml:space="preserve"> </w:t>
      </w:r>
      <w:r w:rsidR="007B1B74" w:rsidRPr="00F05017">
        <w:rPr>
          <w:rFonts w:eastAsia="Times New Roman"/>
          <w:szCs w:val="24"/>
          <w:lang w:eastAsia="lv-LV"/>
        </w:rPr>
        <w:t xml:space="preserve">2020. gads ir bijis ārkārtīgi spraigs un intensīvs dažādu ar </w:t>
      </w:r>
      <w:r w:rsidR="007B1B74" w:rsidRPr="00A35A4E">
        <w:rPr>
          <w:rFonts w:eastAsia="Times New Roman"/>
          <w:szCs w:val="24"/>
          <w:lang w:eastAsia="lv-LV"/>
        </w:rPr>
        <w:t>C</w:t>
      </w:r>
      <w:r w:rsidRPr="00A35A4E">
        <w:rPr>
          <w:rFonts w:eastAsia="Times New Roman"/>
          <w:szCs w:val="24"/>
          <w:lang w:eastAsia="lv-LV"/>
        </w:rPr>
        <w:t>ovid</w:t>
      </w:r>
      <w:r w:rsidR="007B1B74" w:rsidRPr="00A35A4E">
        <w:rPr>
          <w:rFonts w:eastAsia="Times New Roman"/>
          <w:szCs w:val="24"/>
          <w:lang w:eastAsia="lv-LV"/>
        </w:rPr>
        <w:t>-19 pandēmiju</w:t>
      </w:r>
      <w:r w:rsidR="00176532">
        <w:rPr>
          <w:rFonts w:eastAsia="Times New Roman"/>
          <w:b/>
          <w:bCs/>
          <w:color w:val="00859B"/>
          <w:szCs w:val="24"/>
          <w:lang w:eastAsia="lv-LV"/>
        </w:rPr>
        <w:t xml:space="preserve"> </w:t>
      </w:r>
      <w:r w:rsidR="007B1B74" w:rsidRPr="00F05017">
        <w:rPr>
          <w:rFonts w:eastAsia="Times New Roman"/>
          <w:szCs w:val="24"/>
          <w:lang w:eastAsia="lv-LV"/>
        </w:rPr>
        <w:t>saistītu jautājumu risināšanā.</w:t>
      </w:r>
      <w:r w:rsidR="00176532">
        <w:rPr>
          <w:rFonts w:eastAsia="Times New Roman"/>
          <w:szCs w:val="24"/>
          <w:lang w:eastAsia="lv-LV"/>
        </w:rPr>
        <w:t xml:space="preserve"> </w:t>
      </w:r>
      <w:r>
        <w:rPr>
          <w:szCs w:val="24"/>
        </w:rPr>
        <w:t>EM a</w:t>
      </w:r>
      <w:r w:rsidR="007B1B74" w:rsidRPr="00F05017">
        <w:rPr>
          <w:szCs w:val="24"/>
        </w:rPr>
        <w:t>ktīvi līdzdarbojā</w:t>
      </w:r>
      <w:r w:rsidR="007B1B74">
        <w:rPr>
          <w:szCs w:val="24"/>
        </w:rPr>
        <w:t>s</w:t>
      </w:r>
      <w:r w:rsidR="007B1B74" w:rsidRPr="00F05017">
        <w:rPr>
          <w:szCs w:val="24"/>
        </w:rPr>
        <w:t xml:space="preserve"> pie higiēniskās sejas maskas tehniskās specifikācijas izstrādes jautājuma, veicinot vietējo ražotāju iesaisti </w:t>
      </w:r>
      <w:r>
        <w:rPr>
          <w:szCs w:val="24"/>
        </w:rPr>
        <w:t xml:space="preserve">Covid-19 </w:t>
      </w:r>
      <w:r w:rsidR="007B1B74" w:rsidRPr="00F05017">
        <w:rPr>
          <w:szCs w:val="24"/>
        </w:rPr>
        <w:t xml:space="preserve">vīrusa izplatīšanās ierobežošanā un sekmējot kvalitatīvu sejas masku ražošanu un nonākšanu tirgū. </w:t>
      </w:r>
      <w:r>
        <w:rPr>
          <w:szCs w:val="24"/>
        </w:rPr>
        <w:t xml:space="preserve">Tika </w:t>
      </w:r>
      <w:r>
        <w:rPr>
          <w:rFonts w:eastAsia="Times New Roman"/>
          <w:szCs w:val="24"/>
          <w:lang w:eastAsia="lv-LV"/>
        </w:rPr>
        <w:t>v</w:t>
      </w:r>
      <w:r w:rsidR="007B1B74" w:rsidRPr="00F05017">
        <w:rPr>
          <w:rFonts w:eastAsia="Times New Roman"/>
          <w:szCs w:val="24"/>
          <w:lang w:eastAsia="lv-LV"/>
        </w:rPr>
        <w:t>ei</w:t>
      </w:r>
      <w:r>
        <w:rPr>
          <w:rFonts w:eastAsia="Times New Roman"/>
          <w:szCs w:val="24"/>
          <w:lang w:eastAsia="lv-LV"/>
        </w:rPr>
        <w:t>kta</w:t>
      </w:r>
      <w:r w:rsidR="007B1B74" w:rsidRPr="00F05017">
        <w:rPr>
          <w:rFonts w:eastAsia="Times New Roman"/>
          <w:szCs w:val="24"/>
          <w:lang w:eastAsia="lv-LV"/>
        </w:rPr>
        <w:t xml:space="preserve"> arī</w:t>
      </w:r>
      <w:r w:rsidR="00176532">
        <w:rPr>
          <w:rFonts w:eastAsia="Times New Roman"/>
          <w:szCs w:val="24"/>
          <w:lang w:eastAsia="lv-LV"/>
        </w:rPr>
        <w:t xml:space="preserve"> </w:t>
      </w:r>
      <w:r w:rsidR="007B1B74" w:rsidRPr="00F05017">
        <w:rPr>
          <w:rFonts w:eastAsia="Times New Roman"/>
          <w:szCs w:val="24"/>
          <w:lang w:eastAsia="lv-LV"/>
        </w:rPr>
        <w:t>regulār</w:t>
      </w:r>
      <w:r>
        <w:rPr>
          <w:rFonts w:eastAsia="Times New Roman"/>
          <w:szCs w:val="24"/>
          <w:lang w:eastAsia="lv-LV"/>
        </w:rPr>
        <w:t>a</w:t>
      </w:r>
      <w:r w:rsidR="007B1B74" w:rsidRPr="00F05017">
        <w:rPr>
          <w:rFonts w:eastAsia="Times New Roman"/>
          <w:szCs w:val="24"/>
          <w:lang w:eastAsia="lv-LV"/>
        </w:rPr>
        <w:t xml:space="preserve"> sadarbīb</w:t>
      </w:r>
      <w:r>
        <w:rPr>
          <w:rFonts w:eastAsia="Times New Roman"/>
          <w:szCs w:val="24"/>
          <w:lang w:eastAsia="lv-LV"/>
        </w:rPr>
        <w:t>a</w:t>
      </w:r>
      <w:r w:rsidR="007B1B74" w:rsidRPr="00F05017">
        <w:rPr>
          <w:rFonts w:eastAsia="Times New Roman"/>
          <w:szCs w:val="24"/>
          <w:lang w:eastAsia="lv-LV"/>
        </w:rPr>
        <w:t xml:space="preserve"> un aktuālās informācijas operatīv</w:t>
      </w:r>
      <w:r>
        <w:rPr>
          <w:rFonts w:eastAsia="Times New Roman"/>
          <w:szCs w:val="24"/>
          <w:lang w:eastAsia="lv-LV"/>
        </w:rPr>
        <w:t>a</w:t>
      </w:r>
      <w:r w:rsidR="007B1B74" w:rsidRPr="00F05017">
        <w:rPr>
          <w:rFonts w:eastAsia="Times New Roman"/>
          <w:szCs w:val="24"/>
          <w:lang w:eastAsia="lv-LV"/>
        </w:rPr>
        <w:t xml:space="preserve"> nodošan</w:t>
      </w:r>
      <w:r>
        <w:rPr>
          <w:rFonts w:eastAsia="Times New Roman"/>
          <w:szCs w:val="24"/>
          <w:lang w:eastAsia="lv-LV"/>
        </w:rPr>
        <w:t>a</w:t>
      </w:r>
      <w:r w:rsidR="007B1B74" w:rsidRPr="00F05017">
        <w:rPr>
          <w:rFonts w:eastAsia="Times New Roman"/>
          <w:szCs w:val="24"/>
          <w:lang w:eastAsia="lv-LV"/>
        </w:rPr>
        <w:t xml:space="preserve"> uzņēmējiem un </w:t>
      </w:r>
      <w:r>
        <w:rPr>
          <w:rFonts w:eastAsia="Times New Roman"/>
          <w:szCs w:val="24"/>
          <w:lang w:eastAsia="lv-LV"/>
        </w:rPr>
        <w:t xml:space="preserve">EM </w:t>
      </w:r>
      <w:r w:rsidR="007B1B74" w:rsidRPr="00F05017">
        <w:rPr>
          <w:rFonts w:eastAsia="Times New Roman"/>
          <w:szCs w:val="24"/>
          <w:lang w:eastAsia="lv-LV"/>
        </w:rPr>
        <w:t xml:space="preserve">sociālajiem </w:t>
      </w:r>
      <w:r w:rsidR="007B1B74" w:rsidRPr="00B736A7">
        <w:rPr>
          <w:rFonts w:eastAsia="Times New Roman"/>
          <w:szCs w:val="24"/>
          <w:lang w:eastAsia="lv-LV"/>
        </w:rPr>
        <w:t>partneriem, attiecībā uz tirdzniecības jomas regulējumu un tā grozījumu priekšlikumu izstrādi.</w:t>
      </w:r>
      <w:r w:rsidRPr="00B736A7">
        <w:rPr>
          <w:szCs w:val="24"/>
        </w:rPr>
        <w:t xml:space="preserve"> 2020.</w:t>
      </w:r>
      <w:r>
        <w:rPr>
          <w:szCs w:val="24"/>
        </w:rPr>
        <w:t> </w:t>
      </w:r>
      <w:r w:rsidRPr="00B736A7">
        <w:rPr>
          <w:szCs w:val="24"/>
        </w:rPr>
        <w:t>gada 2.</w:t>
      </w:r>
      <w:r>
        <w:rPr>
          <w:szCs w:val="24"/>
        </w:rPr>
        <w:t> </w:t>
      </w:r>
      <w:r w:rsidRPr="00B736A7">
        <w:rPr>
          <w:szCs w:val="24"/>
        </w:rPr>
        <w:t xml:space="preserve">novembrī tika izveidota </w:t>
      </w:r>
      <w:r w:rsidRPr="00295CE0">
        <w:rPr>
          <w:b/>
          <w:bCs/>
          <w:color w:val="00859B"/>
          <w:szCs w:val="24"/>
        </w:rPr>
        <w:t>Tirdzniecības nozares konsultatīvā padome</w:t>
      </w:r>
      <w:r w:rsidR="00176532">
        <w:rPr>
          <w:b/>
          <w:bCs/>
          <w:color w:val="00859B"/>
          <w:szCs w:val="24"/>
        </w:rPr>
        <w:t xml:space="preserve"> </w:t>
      </w:r>
      <w:r w:rsidRPr="00B736A7">
        <w:rPr>
          <w:szCs w:val="24"/>
        </w:rPr>
        <w:t xml:space="preserve">ar valsts institūciju un nevalstiskā sektora pārstāvjiem, lai nodrošinātu sadarbības platformu, ar kuras palīdzību būtu iespējams savlaicīgi un efektīvi pārrunāt un kopīgi rast risinājumus tirdzniecības nozarē aktuālajiem jautājumiem. </w:t>
      </w:r>
      <w:r w:rsidR="007B1B74" w:rsidRPr="00B736A7">
        <w:rPr>
          <w:rFonts w:eastAsia="Times New Roman"/>
          <w:szCs w:val="24"/>
          <w:lang w:eastAsia="lv-LV"/>
        </w:rPr>
        <w:t>Starpinstitūciju</w:t>
      </w:r>
      <w:r w:rsidR="00176532">
        <w:rPr>
          <w:rFonts w:eastAsia="Times New Roman"/>
          <w:szCs w:val="24"/>
          <w:lang w:eastAsia="lv-LV"/>
        </w:rPr>
        <w:t xml:space="preserve"> </w:t>
      </w:r>
      <w:r w:rsidR="007B1B74" w:rsidRPr="00F05017">
        <w:rPr>
          <w:rFonts w:eastAsia="Times New Roman"/>
          <w:szCs w:val="24"/>
          <w:lang w:eastAsia="lv-LV"/>
        </w:rPr>
        <w:t>darbības</w:t>
      </w:r>
      <w:r w:rsidR="00176532">
        <w:rPr>
          <w:rFonts w:eastAsia="Times New Roman"/>
          <w:szCs w:val="24"/>
          <w:lang w:eastAsia="lv-LV"/>
        </w:rPr>
        <w:t xml:space="preserve"> </w:t>
      </w:r>
      <w:r w:rsidR="007B1B74" w:rsidRPr="00F05017">
        <w:rPr>
          <w:rFonts w:eastAsia="Times New Roman"/>
          <w:szCs w:val="24"/>
          <w:lang w:eastAsia="lv-LV"/>
        </w:rPr>
        <w:t xml:space="preserve">koordinācijas grupā </w:t>
      </w:r>
      <w:r>
        <w:rPr>
          <w:rFonts w:eastAsia="Times New Roman"/>
          <w:szCs w:val="24"/>
          <w:lang w:eastAsia="lv-LV"/>
        </w:rPr>
        <w:t xml:space="preserve">tika </w:t>
      </w:r>
      <w:r w:rsidR="007B1B74" w:rsidRPr="00F05017">
        <w:rPr>
          <w:rFonts w:eastAsia="Times New Roman"/>
          <w:szCs w:val="24"/>
          <w:lang w:eastAsia="lv-LV"/>
        </w:rPr>
        <w:t>veicinā</w:t>
      </w:r>
      <w:r>
        <w:rPr>
          <w:rFonts w:eastAsia="Times New Roman"/>
          <w:szCs w:val="24"/>
          <w:lang w:eastAsia="lv-LV"/>
        </w:rPr>
        <w:t>ta</w:t>
      </w:r>
      <w:r w:rsidR="007B1B74" w:rsidRPr="00F05017">
        <w:rPr>
          <w:rFonts w:eastAsia="Times New Roman"/>
          <w:szCs w:val="24"/>
          <w:lang w:eastAsia="lv-LV"/>
        </w:rPr>
        <w:t xml:space="preserve"> savstarpējo interešu līdzsvarošan</w:t>
      </w:r>
      <w:r>
        <w:rPr>
          <w:rFonts w:eastAsia="Times New Roman"/>
          <w:szCs w:val="24"/>
          <w:lang w:eastAsia="lv-LV"/>
        </w:rPr>
        <w:t>a</w:t>
      </w:r>
      <w:r w:rsidR="007B1B74" w:rsidRPr="00F05017">
        <w:rPr>
          <w:rFonts w:eastAsia="Times New Roman"/>
          <w:szCs w:val="24"/>
          <w:lang w:eastAsia="lv-LV"/>
        </w:rPr>
        <w:t xml:space="preserve"> (saskaņā ar epidemioloģisko situāciju)</w:t>
      </w:r>
      <w:r w:rsidR="00176532">
        <w:rPr>
          <w:rFonts w:eastAsia="Times New Roman"/>
          <w:szCs w:val="24"/>
          <w:lang w:eastAsia="lv-LV"/>
        </w:rPr>
        <w:t xml:space="preserve"> </w:t>
      </w:r>
      <w:r w:rsidR="007B1B74" w:rsidRPr="00F05017">
        <w:rPr>
          <w:rFonts w:eastAsia="Times New Roman"/>
          <w:szCs w:val="24"/>
          <w:lang w:eastAsia="lv-LV"/>
        </w:rPr>
        <w:t>starp sabiedrības tiesību aizsardzību (uz veselību, drošu iepirkšanos un preču pieejamību) un uzņēmēju (tirgotāju) tiesībām turpināt ekonomisko darbību C</w:t>
      </w:r>
      <w:r>
        <w:rPr>
          <w:rFonts w:eastAsia="Times New Roman"/>
          <w:szCs w:val="24"/>
          <w:lang w:eastAsia="lv-LV"/>
        </w:rPr>
        <w:t>ovid</w:t>
      </w:r>
      <w:r w:rsidR="007B1B74" w:rsidRPr="00F05017">
        <w:rPr>
          <w:rFonts w:eastAsia="Times New Roman"/>
          <w:szCs w:val="24"/>
          <w:lang w:eastAsia="lv-LV"/>
        </w:rPr>
        <w:t xml:space="preserve">-19 pandēmijas izplatības apstākļos Latvijā un visā pasaulē. </w:t>
      </w:r>
      <w:r>
        <w:rPr>
          <w:rFonts w:eastAsia="Times New Roman"/>
          <w:szCs w:val="24"/>
          <w:lang w:eastAsia="lv-LV"/>
        </w:rPr>
        <w:t>EM</w:t>
      </w:r>
      <w:r w:rsidR="007B1B74" w:rsidRPr="00F05017">
        <w:rPr>
          <w:rFonts w:eastAsia="Times New Roman"/>
          <w:szCs w:val="24"/>
          <w:lang w:eastAsia="lv-LV"/>
        </w:rPr>
        <w:t xml:space="preserve"> sniedz</w:t>
      </w:r>
      <w:r>
        <w:rPr>
          <w:rFonts w:eastAsia="Times New Roman"/>
          <w:szCs w:val="24"/>
          <w:lang w:eastAsia="lv-LV"/>
        </w:rPr>
        <w:t xml:space="preserve">a </w:t>
      </w:r>
      <w:r>
        <w:rPr>
          <w:rFonts w:eastAsia="Times New Roman"/>
          <w:szCs w:val="24"/>
          <w:lang w:eastAsia="lv-LV"/>
        </w:rPr>
        <w:lastRenderedPageBreak/>
        <w:t>arī</w:t>
      </w:r>
      <w:r w:rsidR="007B1B74" w:rsidRPr="00F05017">
        <w:rPr>
          <w:rFonts w:eastAsia="Times New Roman"/>
          <w:szCs w:val="24"/>
          <w:lang w:eastAsia="lv-LV"/>
        </w:rPr>
        <w:t xml:space="preserve"> pastiprinātu skaidrojošo atbalstu attiecībā uz pieņemtajiem valdības lēmumiem (un to straujajām izmaiņām) privātpersonām un komersantiem, veicinot sabiedrības izpratni un atbildīgu rīcību.</w:t>
      </w:r>
    </w:p>
    <w:p w14:paraId="0535D44F" w14:textId="256A02B6" w:rsidR="007B1B74" w:rsidRPr="00F05017" w:rsidRDefault="007B1B74" w:rsidP="00295CE0">
      <w:pPr>
        <w:spacing w:before="60" w:after="60" w:line="240" w:lineRule="auto"/>
        <w:jc w:val="both"/>
        <w:rPr>
          <w:rFonts w:eastAsia="Times New Roman"/>
          <w:szCs w:val="24"/>
          <w:lang w:eastAsia="lv-LV"/>
        </w:rPr>
      </w:pPr>
      <w:r w:rsidRPr="00B736A7">
        <w:rPr>
          <w:b/>
          <w:bCs/>
          <w:color w:val="00859B"/>
          <w:szCs w:val="24"/>
        </w:rPr>
        <w:t>Konkurences jomā</w:t>
      </w:r>
      <w:r w:rsidR="00176532">
        <w:rPr>
          <w:b/>
          <w:bCs/>
          <w:color w:val="00859B"/>
          <w:szCs w:val="24"/>
        </w:rPr>
        <w:t xml:space="preserve"> </w:t>
      </w:r>
      <w:r w:rsidRPr="00F05017">
        <w:rPr>
          <w:szCs w:val="24"/>
        </w:rPr>
        <w:t xml:space="preserve">sadarbībā ar </w:t>
      </w:r>
      <w:r w:rsidR="00295CE0">
        <w:rPr>
          <w:szCs w:val="24"/>
        </w:rPr>
        <w:t>KP</w:t>
      </w:r>
      <w:r w:rsidRPr="00F05017">
        <w:rPr>
          <w:szCs w:val="24"/>
        </w:rPr>
        <w:t xml:space="preserve"> </w:t>
      </w:r>
      <w:r w:rsidR="00176532">
        <w:rPr>
          <w:szCs w:val="24"/>
        </w:rPr>
        <w:t>bija</w:t>
      </w:r>
      <w:r w:rsidR="00176532" w:rsidRPr="00F05017">
        <w:rPr>
          <w:szCs w:val="24"/>
        </w:rPr>
        <w:t xml:space="preserve"> </w:t>
      </w:r>
      <w:r w:rsidRPr="00F05017">
        <w:rPr>
          <w:szCs w:val="24"/>
        </w:rPr>
        <w:t>sagatavo</w:t>
      </w:r>
      <w:r>
        <w:rPr>
          <w:szCs w:val="24"/>
        </w:rPr>
        <w:t>ti</w:t>
      </w:r>
      <w:r w:rsidRPr="00F05017">
        <w:rPr>
          <w:szCs w:val="24"/>
        </w:rPr>
        <w:t xml:space="preserve"> un </w:t>
      </w:r>
      <w:r w:rsidR="00295CE0">
        <w:rPr>
          <w:szCs w:val="24"/>
        </w:rPr>
        <w:t xml:space="preserve">atrodas </w:t>
      </w:r>
      <w:r>
        <w:rPr>
          <w:szCs w:val="24"/>
        </w:rPr>
        <w:t xml:space="preserve">starpinstitūciju saskaņošanas procesā </w:t>
      </w:r>
      <w:r w:rsidRPr="00F05017">
        <w:rPr>
          <w:szCs w:val="24"/>
        </w:rPr>
        <w:t>priekšlikum</w:t>
      </w:r>
      <w:r>
        <w:rPr>
          <w:szCs w:val="24"/>
        </w:rPr>
        <w:t>i</w:t>
      </w:r>
      <w:r w:rsidR="00176532">
        <w:rPr>
          <w:szCs w:val="24"/>
        </w:rPr>
        <w:t xml:space="preserve"> </w:t>
      </w:r>
      <w:hyperlink r:id="rId104" w:history="1">
        <w:r w:rsidR="00295CE0" w:rsidRPr="00295CE0">
          <w:rPr>
            <w:rStyle w:val="Hyperlink"/>
            <w:i/>
            <w:iCs/>
            <w:color w:val="00859B"/>
          </w:rPr>
          <w:t>Grozījumiem Konkurences likumā</w:t>
        </w:r>
      </w:hyperlink>
      <w:r w:rsidR="00295CE0">
        <w:t>, kuru</w:t>
      </w:r>
      <w:r w:rsidRPr="00F05017">
        <w:rPr>
          <w:szCs w:val="24"/>
        </w:rPr>
        <w:t xml:space="preserve"> mērķi</w:t>
      </w:r>
      <w:r w:rsidR="00295CE0">
        <w:rPr>
          <w:szCs w:val="24"/>
        </w:rPr>
        <w:t>s ir</w:t>
      </w:r>
      <w:r w:rsidRPr="00F05017">
        <w:rPr>
          <w:szCs w:val="24"/>
        </w:rPr>
        <w:t xml:space="preserve"> stiprināt </w:t>
      </w:r>
      <w:r w:rsidR="00B736A7">
        <w:rPr>
          <w:szCs w:val="24"/>
        </w:rPr>
        <w:t>KP</w:t>
      </w:r>
      <w:r w:rsidRPr="00F05017">
        <w:rPr>
          <w:szCs w:val="24"/>
        </w:rPr>
        <w:t xml:space="preserve"> darbību </w:t>
      </w:r>
      <w:r w:rsidRPr="00F05017">
        <w:rPr>
          <w:rFonts w:eastAsia="Times New Roman"/>
          <w:szCs w:val="24"/>
          <w:lang w:eastAsia="lv-LV"/>
        </w:rPr>
        <w:t xml:space="preserve">atbilstoši </w:t>
      </w:r>
      <w:r w:rsidRPr="00F05017">
        <w:rPr>
          <w:szCs w:val="24"/>
        </w:rPr>
        <w:t>ECN +Direktīvas</w:t>
      </w:r>
      <w:r>
        <w:rPr>
          <w:rStyle w:val="FootnoteReference"/>
          <w:szCs w:val="24"/>
        </w:rPr>
        <w:footnoteReference w:id="36"/>
      </w:r>
      <w:r w:rsidRPr="00F05017">
        <w:rPr>
          <w:szCs w:val="24"/>
        </w:rPr>
        <w:t xml:space="preserve"> prasībām un OECD rekomendācijām,</w:t>
      </w:r>
      <w:r w:rsidR="00176532">
        <w:rPr>
          <w:szCs w:val="24"/>
        </w:rPr>
        <w:t xml:space="preserve"> </w:t>
      </w:r>
      <w:r w:rsidRPr="00F05017">
        <w:rPr>
          <w:szCs w:val="24"/>
        </w:rPr>
        <w:t>paredzot nepieciešamās neatkarības garantijas, resursus un izpildes pilnvaras efektīvai konkurences tiesību pārkāpumu izmeklēšanai un prevencijai. Pilnveidojot Konkurences likumu paredzēts</w:t>
      </w:r>
      <w:r w:rsidR="00176532">
        <w:rPr>
          <w:szCs w:val="24"/>
        </w:rPr>
        <w:t xml:space="preserve"> </w:t>
      </w:r>
      <w:r w:rsidRPr="00F05017">
        <w:rPr>
          <w:szCs w:val="24"/>
        </w:rPr>
        <w:t xml:space="preserve">stiprināt </w:t>
      </w:r>
      <w:r w:rsidR="00B736A7">
        <w:rPr>
          <w:szCs w:val="24"/>
        </w:rPr>
        <w:t>KP</w:t>
      </w:r>
      <w:r w:rsidRPr="00F05017">
        <w:rPr>
          <w:szCs w:val="24"/>
        </w:rPr>
        <w:t xml:space="preserve"> funkcionālo </w:t>
      </w:r>
      <w:r w:rsidR="00B736A7">
        <w:rPr>
          <w:szCs w:val="24"/>
        </w:rPr>
        <w:t>un</w:t>
      </w:r>
      <w:r w:rsidRPr="00F05017">
        <w:rPr>
          <w:szCs w:val="24"/>
        </w:rPr>
        <w:t xml:space="preserve"> finansiālo neatkarību. Sagaidāmais ieguvums </w:t>
      </w:r>
      <w:r w:rsidR="00B736A7">
        <w:rPr>
          <w:szCs w:val="24"/>
        </w:rPr>
        <w:t>ir</w:t>
      </w:r>
      <w:r w:rsidR="00176532">
        <w:rPr>
          <w:szCs w:val="24"/>
        </w:rPr>
        <w:t xml:space="preserve"> vērsts uz </w:t>
      </w:r>
      <w:r w:rsidR="00176532" w:rsidRPr="00F05017">
        <w:rPr>
          <w:color w:val="0D0D0D"/>
          <w:szCs w:val="24"/>
        </w:rPr>
        <w:t>efektīvāk</w:t>
      </w:r>
      <w:r w:rsidR="00176532">
        <w:rPr>
          <w:color w:val="0D0D0D"/>
          <w:szCs w:val="24"/>
        </w:rPr>
        <w:t>u</w:t>
      </w:r>
      <w:r w:rsidR="00176532" w:rsidRPr="00F05017">
        <w:rPr>
          <w:color w:val="0D0D0D"/>
          <w:szCs w:val="24"/>
        </w:rPr>
        <w:t xml:space="preserve"> </w:t>
      </w:r>
      <w:r w:rsidRPr="00F05017">
        <w:rPr>
          <w:color w:val="0D0D0D"/>
          <w:szCs w:val="24"/>
        </w:rPr>
        <w:t xml:space="preserve">konkurences </w:t>
      </w:r>
      <w:r w:rsidR="00176532" w:rsidRPr="00F05017">
        <w:rPr>
          <w:color w:val="0D0D0D"/>
          <w:szCs w:val="24"/>
        </w:rPr>
        <w:t>uzraudzīb</w:t>
      </w:r>
      <w:r w:rsidR="00176532">
        <w:rPr>
          <w:color w:val="0D0D0D"/>
          <w:szCs w:val="24"/>
        </w:rPr>
        <w:t>u</w:t>
      </w:r>
      <w:r w:rsidR="00176532" w:rsidRPr="00F05017">
        <w:rPr>
          <w:color w:val="0D0D0D"/>
          <w:szCs w:val="24"/>
        </w:rPr>
        <w:t xml:space="preserve"> </w:t>
      </w:r>
      <w:r w:rsidRPr="00F05017">
        <w:rPr>
          <w:color w:val="0D0D0D"/>
          <w:szCs w:val="24"/>
        </w:rPr>
        <w:t>un aizsardzīb</w:t>
      </w:r>
      <w:r w:rsidR="00176532">
        <w:rPr>
          <w:color w:val="0D0D0D"/>
          <w:szCs w:val="24"/>
        </w:rPr>
        <w:t xml:space="preserve">u </w:t>
      </w:r>
      <w:r w:rsidRPr="00F05017">
        <w:rPr>
          <w:color w:val="0D0D0D"/>
          <w:szCs w:val="24"/>
        </w:rPr>
        <w:t xml:space="preserve">visās tautsaimniecības nozarēs sabiedrības interesēs. </w:t>
      </w:r>
      <w:r w:rsidRPr="00F05017">
        <w:rPr>
          <w:rFonts w:eastAsia="Times New Roman"/>
          <w:szCs w:val="24"/>
          <w:lang w:eastAsia="lv-LV"/>
        </w:rPr>
        <w:t xml:space="preserve">Savlaicīgai konkurences tiesību pārkāpumu pārtraukšanai un nepieļaušanai ir tieša un preventīva ietekme gan uz publisko personu naudas līdzekļu lietderīgu izmantošanu, tostarp </w:t>
      </w:r>
      <w:r w:rsidR="00B736A7">
        <w:rPr>
          <w:rFonts w:eastAsia="Times New Roman"/>
          <w:szCs w:val="24"/>
          <w:lang w:eastAsia="lv-LV"/>
        </w:rPr>
        <w:t>ES</w:t>
      </w:r>
      <w:r w:rsidRPr="00F05017">
        <w:rPr>
          <w:rFonts w:eastAsia="Times New Roman"/>
          <w:szCs w:val="24"/>
          <w:lang w:eastAsia="lv-LV"/>
        </w:rPr>
        <w:t xml:space="preserve"> fondu apguvē, gan uz ikviena uzņēmēja un patērētāja naudas līdzekļu taupīšanu, novēršot pārmaksu konkurences kropļojumu dēļ.</w:t>
      </w:r>
      <w:r w:rsidRPr="00F05017">
        <w:rPr>
          <w:color w:val="0D0D0D"/>
          <w:szCs w:val="24"/>
        </w:rPr>
        <w:t xml:space="preserve"> Darbs pie grozījumu virzības tiek turpināts</w:t>
      </w:r>
      <w:r w:rsidR="00B736A7">
        <w:rPr>
          <w:color w:val="0D0D0D"/>
          <w:szCs w:val="24"/>
        </w:rPr>
        <w:t xml:space="preserve"> 2021.gadā</w:t>
      </w:r>
      <w:r w:rsidRPr="00F05017">
        <w:rPr>
          <w:color w:val="0D0D0D"/>
          <w:szCs w:val="24"/>
        </w:rPr>
        <w:t>.</w:t>
      </w:r>
    </w:p>
    <w:p w14:paraId="7D1E8841" w14:textId="291F308C" w:rsidR="007B1B74" w:rsidRDefault="00D727BD" w:rsidP="00295CE0">
      <w:pPr>
        <w:spacing w:before="60" w:after="60" w:line="240" w:lineRule="auto"/>
        <w:jc w:val="both"/>
        <w:rPr>
          <w:rFonts w:eastAsia="Times New Roman"/>
          <w:szCs w:val="24"/>
        </w:rPr>
      </w:pPr>
      <w:r>
        <w:rPr>
          <w:rFonts w:eastAsia="Times New Roman"/>
          <w:szCs w:val="24"/>
          <w:lang w:eastAsia="lv-LV"/>
        </w:rPr>
        <w:t>EM l</w:t>
      </w:r>
      <w:r w:rsidR="007B1B74" w:rsidRPr="00F05017">
        <w:rPr>
          <w:rFonts w:eastAsia="Times New Roman"/>
          <w:szCs w:val="24"/>
          <w:lang w:eastAsia="lv-LV"/>
        </w:rPr>
        <w:t>epoja</w:t>
      </w:r>
      <w:r w:rsidR="007B1B74">
        <w:rPr>
          <w:rFonts w:eastAsia="Times New Roman"/>
          <w:szCs w:val="24"/>
          <w:lang w:eastAsia="lv-LV"/>
        </w:rPr>
        <w:t>s</w:t>
      </w:r>
      <w:r w:rsidR="007B1B74" w:rsidRPr="00F05017">
        <w:rPr>
          <w:rFonts w:eastAsia="Times New Roman"/>
          <w:szCs w:val="24"/>
          <w:lang w:eastAsia="lv-LV"/>
        </w:rPr>
        <w:t xml:space="preserve"> ar </w:t>
      </w:r>
      <w:r w:rsidR="007B1B74" w:rsidRPr="00D727BD">
        <w:rPr>
          <w:rFonts w:eastAsia="Times New Roman"/>
          <w:b/>
          <w:bCs/>
          <w:color w:val="00859B"/>
          <w:szCs w:val="24"/>
          <w:lang w:eastAsia="lv-LV"/>
        </w:rPr>
        <w:t>principa “Konsultē vispirms”</w:t>
      </w:r>
      <w:r w:rsidR="007B1B74" w:rsidRPr="00F05017">
        <w:rPr>
          <w:rFonts w:eastAsia="Times New Roman"/>
          <w:szCs w:val="24"/>
          <w:lang w:eastAsia="lv-LV"/>
        </w:rPr>
        <w:t xml:space="preserve"> ieviešanā</w:t>
      </w:r>
      <w:r w:rsidR="007B1B74">
        <w:rPr>
          <w:rFonts w:eastAsia="Times New Roman"/>
          <w:szCs w:val="24"/>
          <w:vertAlign w:val="superscript"/>
          <w:lang w:eastAsia="lv-LV"/>
        </w:rPr>
        <w:footnoteReference w:id="37"/>
      </w:r>
      <w:r w:rsidR="00176532">
        <w:rPr>
          <w:rFonts w:eastAsia="Times New Roman"/>
          <w:szCs w:val="24"/>
          <w:lang w:eastAsia="lv-LV"/>
        </w:rPr>
        <w:t xml:space="preserve"> </w:t>
      </w:r>
      <w:r w:rsidR="007B1B74" w:rsidRPr="00F05017">
        <w:rPr>
          <w:rFonts w:eastAsia="Times New Roman"/>
          <w:szCs w:val="24"/>
          <w:lang w:eastAsia="lv-LV"/>
        </w:rPr>
        <w:t xml:space="preserve">sasniegtajiem rezultātiem. Šī iniciatīva </w:t>
      </w:r>
      <w:r w:rsidRPr="00F05017">
        <w:rPr>
          <w:rFonts w:eastAsia="Times New Roman"/>
          <w:szCs w:val="24"/>
          <w:lang w:eastAsia="lv-LV"/>
        </w:rPr>
        <w:t>ir izdevusies</w:t>
      </w:r>
      <w:r w:rsidR="00176532">
        <w:rPr>
          <w:rFonts w:eastAsia="Times New Roman"/>
          <w:szCs w:val="24"/>
          <w:lang w:eastAsia="lv-LV"/>
        </w:rPr>
        <w:t>,</w:t>
      </w:r>
      <w:r w:rsidRPr="00F05017">
        <w:rPr>
          <w:rFonts w:eastAsia="Times New Roman"/>
          <w:szCs w:val="24"/>
          <w:lang w:eastAsia="lv-LV"/>
        </w:rPr>
        <w:t xml:space="preserve"> </w:t>
      </w:r>
      <w:r w:rsidR="007B1B74" w:rsidRPr="00F05017">
        <w:rPr>
          <w:rFonts w:eastAsia="Times New Roman"/>
          <w:szCs w:val="24"/>
          <w:lang w:eastAsia="lv-LV"/>
        </w:rPr>
        <w:t xml:space="preserve">un </w:t>
      </w:r>
      <w:r>
        <w:rPr>
          <w:rFonts w:eastAsia="Times New Roman"/>
          <w:szCs w:val="24"/>
          <w:lang w:eastAsia="lv-LV"/>
        </w:rPr>
        <w:t xml:space="preserve">tā ir </w:t>
      </w:r>
      <w:r w:rsidR="007B1B74" w:rsidRPr="00F05017">
        <w:rPr>
          <w:rFonts w:eastAsia="Times New Roman"/>
          <w:szCs w:val="24"/>
          <w:lang w:eastAsia="lv-LV"/>
        </w:rPr>
        <w:t>ļoti vērtīgs ieguvums gan valsts pārvaldei, gan uzņēmējdarbības videi, kas</w:t>
      </w:r>
      <w:r w:rsidR="007B1B74">
        <w:rPr>
          <w:rFonts w:eastAsia="Times New Roman"/>
          <w:szCs w:val="24"/>
          <w:lang w:eastAsia="lv-LV"/>
        </w:rPr>
        <w:t>,</w:t>
      </w:r>
      <w:r w:rsidR="007B1B74" w:rsidRPr="00F05017">
        <w:rPr>
          <w:rFonts w:eastAsia="Times New Roman"/>
          <w:szCs w:val="24"/>
          <w:lang w:eastAsia="lv-LV"/>
        </w:rPr>
        <w:t xml:space="preserve"> caur “Konsultē vispirms” principa ieviešanu, tiek veidota stabila un investīcijām labvēlīgāka</w:t>
      </w:r>
      <w:r w:rsidR="006551D7">
        <w:rPr>
          <w:rFonts w:eastAsia="Times New Roman"/>
          <w:szCs w:val="24"/>
          <w:lang w:eastAsia="lv-LV"/>
        </w:rPr>
        <w:t xml:space="preserve">, kā arī sekmē </w:t>
      </w:r>
      <w:r w:rsidR="006551D7" w:rsidRPr="006551D7">
        <w:t>Covid-19 krīzes pārvarēšan</w:t>
      </w:r>
      <w:r w:rsidR="006551D7">
        <w:t>u</w:t>
      </w:r>
      <w:r w:rsidR="006551D7" w:rsidRPr="006551D7">
        <w:t xml:space="preserve"> un </w:t>
      </w:r>
      <w:r w:rsidR="006551D7">
        <w:t xml:space="preserve">īstenojamās darbības </w:t>
      </w:r>
      <w:r w:rsidR="006551D7" w:rsidRPr="006551D7">
        <w:t>tirdzniecības procesa organizēšanas jomā</w:t>
      </w:r>
      <w:r w:rsidR="007B1B74" w:rsidRPr="00F05017">
        <w:rPr>
          <w:rFonts w:eastAsia="Times New Roman"/>
          <w:szCs w:val="24"/>
          <w:lang w:eastAsia="lv-LV"/>
        </w:rPr>
        <w:t xml:space="preserve">. Iniciatīvas īstenošana </w:t>
      </w:r>
      <w:r w:rsidR="007B1B74" w:rsidRPr="00F05017">
        <w:rPr>
          <w:rFonts w:eastAsia="Times New Roman"/>
          <w:bCs/>
          <w:szCs w:val="24"/>
        </w:rPr>
        <w:t xml:space="preserve">bijusi kā pozitīvs stimuls straujākām pārmaiņām </w:t>
      </w:r>
      <w:r w:rsidR="007B1B74" w:rsidRPr="00F05017">
        <w:rPr>
          <w:rFonts w:eastAsia="Times New Roman"/>
          <w:szCs w:val="24"/>
          <w:lang w:eastAsia="lv-LV"/>
        </w:rPr>
        <w:t xml:space="preserve">uzraudzības iestādēs uzvedības kultūras maiņai no represīvas uz atbalstošu klientorientētu servisu. </w:t>
      </w:r>
      <w:r w:rsidR="007B1B74" w:rsidRPr="00F05017">
        <w:rPr>
          <w:rFonts w:eastAsia="Times New Roman"/>
          <w:szCs w:val="24"/>
        </w:rPr>
        <w:t>Iestādes ir kļuvušas atvērtākas sadarbībai, darbinieki arvien vairāk apzinās savu lomu un atbildību iestādes tēla un kultūras veidošanā. Iniciatīva ir veicinājusi dažādu procesu efektivizēšanu un optimizēšanu, lai taupītu uzņēmēju resursus, atbalstot veiksmīgākas sadarbības attīstību. Regulār</w:t>
      </w:r>
      <w:r w:rsidR="007B1B74">
        <w:rPr>
          <w:rFonts w:eastAsia="Times New Roman"/>
          <w:szCs w:val="24"/>
        </w:rPr>
        <w:t>a</w:t>
      </w:r>
      <w:r w:rsidR="007B1B74" w:rsidRPr="00F05017">
        <w:rPr>
          <w:rFonts w:eastAsia="Times New Roman"/>
          <w:szCs w:val="24"/>
        </w:rPr>
        <w:t>s mērķtiecīg</w:t>
      </w:r>
      <w:r w:rsidR="007B1B74">
        <w:rPr>
          <w:rFonts w:eastAsia="Times New Roman"/>
          <w:szCs w:val="24"/>
        </w:rPr>
        <w:t>a</w:t>
      </w:r>
      <w:r w:rsidR="007B1B74" w:rsidRPr="00F05017">
        <w:rPr>
          <w:rFonts w:eastAsia="Times New Roman"/>
          <w:szCs w:val="24"/>
        </w:rPr>
        <w:t xml:space="preserve">s starpinstitūciju tikšanās palīdzējušas apzināt un apmainīties ar labo praksi administratīvā sloga mazināšanai. Arī klienti (komersanti) pamana un novērtē pārmaiņas sadarbības kvalitātē. </w:t>
      </w:r>
      <w:r w:rsidR="007B1B74" w:rsidRPr="00F05017">
        <w:rPr>
          <w:szCs w:val="24"/>
        </w:rPr>
        <w:t xml:space="preserve">Atbildot uz jautājumu </w:t>
      </w:r>
      <w:r>
        <w:rPr>
          <w:rFonts w:eastAsia="Times New Roman"/>
          <w:i/>
          <w:iCs/>
          <w:szCs w:val="24"/>
        </w:rPr>
        <w:t>v</w:t>
      </w:r>
      <w:r w:rsidR="007B1B74" w:rsidRPr="00F05017">
        <w:rPr>
          <w:rFonts w:eastAsia="Times New Roman"/>
          <w:i/>
          <w:iCs/>
          <w:szCs w:val="24"/>
        </w:rPr>
        <w:t xml:space="preserve">ai iestāde kopumā sekmīgi īsteno principu “Konsultē vispirms” </w:t>
      </w:r>
      <w:r w:rsidR="00295CE0">
        <w:rPr>
          <w:rFonts w:eastAsia="Times New Roman"/>
          <w:i/>
          <w:iCs/>
          <w:szCs w:val="24"/>
        </w:rPr>
        <w:t>–</w:t>
      </w:r>
      <w:r w:rsidR="007B1B74" w:rsidRPr="00F05017">
        <w:rPr>
          <w:rFonts w:eastAsia="Times New Roman"/>
          <w:i/>
          <w:iCs/>
          <w:szCs w:val="24"/>
        </w:rPr>
        <w:t xml:space="preserve"> veicina</w:t>
      </w:r>
      <w:r w:rsidR="00FB7A3E">
        <w:rPr>
          <w:rFonts w:eastAsia="Times New Roman"/>
          <w:i/>
          <w:iCs/>
          <w:szCs w:val="24"/>
        </w:rPr>
        <w:t xml:space="preserve"> </w:t>
      </w:r>
      <w:r w:rsidR="007B1B74" w:rsidRPr="00F05017">
        <w:rPr>
          <w:rFonts w:eastAsia="Times New Roman"/>
          <w:i/>
          <w:iCs/>
          <w:szCs w:val="24"/>
        </w:rPr>
        <w:t xml:space="preserve">noteikto prasību izpildi, sniedz nepieciešamo atbalstu un sodīt nav tās primārais mērķis? – </w:t>
      </w:r>
      <w:r w:rsidR="007B1B74" w:rsidRPr="00F05017">
        <w:rPr>
          <w:rFonts w:eastAsia="Times New Roman"/>
          <w:szCs w:val="24"/>
        </w:rPr>
        <w:t>uzņēmēji novērtēja šo ļoti pozitīvi ar 4</w:t>
      </w:r>
      <w:r w:rsidR="00295CE0">
        <w:rPr>
          <w:rFonts w:eastAsia="Times New Roman"/>
          <w:szCs w:val="24"/>
        </w:rPr>
        <w:t>,</w:t>
      </w:r>
      <w:r w:rsidR="007B1B74" w:rsidRPr="00F05017">
        <w:rPr>
          <w:rFonts w:eastAsia="Times New Roman"/>
          <w:szCs w:val="24"/>
        </w:rPr>
        <w:t>31 (no 5</w:t>
      </w:r>
      <w:r>
        <w:rPr>
          <w:rFonts w:eastAsia="Times New Roman"/>
          <w:szCs w:val="24"/>
        </w:rPr>
        <w:t xml:space="preserve"> iespējamajiem</w:t>
      </w:r>
      <w:r w:rsidR="007B1B74" w:rsidRPr="00F05017">
        <w:rPr>
          <w:rFonts w:eastAsia="Times New Roman"/>
          <w:szCs w:val="24"/>
        </w:rPr>
        <w:t>) punktiem. Kopējais Klientu novērtējums jeb uztveres indekss 2020. gadā sasniedza 83</w:t>
      </w:r>
      <w:r w:rsidR="00295CE0">
        <w:rPr>
          <w:rFonts w:eastAsia="Times New Roman"/>
          <w:szCs w:val="24"/>
        </w:rPr>
        <w:t>,</w:t>
      </w:r>
      <w:r w:rsidR="007B1B74" w:rsidRPr="00F05017">
        <w:rPr>
          <w:rFonts w:eastAsia="Times New Roman"/>
          <w:szCs w:val="24"/>
        </w:rPr>
        <w:t>03 indeksa punktus (no 100</w:t>
      </w:r>
      <w:r w:rsidR="006551D7">
        <w:rPr>
          <w:rFonts w:eastAsia="Times New Roman"/>
          <w:szCs w:val="24"/>
        </w:rPr>
        <w:t xml:space="preserve"> iespējamajiem</w:t>
      </w:r>
      <w:r w:rsidR="007B1B74" w:rsidRPr="00F05017">
        <w:rPr>
          <w:rFonts w:eastAsia="Times New Roman"/>
          <w:szCs w:val="24"/>
        </w:rPr>
        <w:t>). Novērtējuma dati apliecina, ka tendence ir pozitīva un pēdējos gados īstenotā politika, ieviešot “Konsultē vispirms” principu tirgus uzraudzības iestādēs, ir bijusi veiksmīga.</w:t>
      </w:r>
    </w:p>
    <w:p w14:paraId="0EA1B9EC" w14:textId="6EF6C666" w:rsidR="00F16D33" w:rsidRDefault="00F16D33" w:rsidP="00F16D33">
      <w:pPr>
        <w:spacing w:before="60" w:after="60" w:line="240" w:lineRule="auto"/>
        <w:jc w:val="both"/>
        <w:rPr>
          <w:szCs w:val="24"/>
        </w:rPr>
      </w:pPr>
      <w:r w:rsidRPr="00885061">
        <w:rPr>
          <w:szCs w:val="24"/>
        </w:rPr>
        <w:t>Covid-19 infekcijas izplatības ierobežošana un pandēmijas radīto seku pārvarēšana ES iekšējā tirgū</w:t>
      </w:r>
      <w:r w:rsidR="00C248BE">
        <w:rPr>
          <w:szCs w:val="24"/>
        </w:rPr>
        <w:t xml:space="preserve"> </w:t>
      </w:r>
      <w:r>
        <w:rPr>
          <w:szCs w:val="24"/>
        </w:rPr>
        <w:t xml:space="preserve">arī bija </w:t>
      </w:r>
      <w:r w:rsidRPr="00885061">
        <w:rPr>
          <w:szCs w:val="24"/>
        </w:rPr>
        <w:t xml:space="preserve">viena no </w:t>
      </w:r>
      <w:r>
        <w:rPr>
          <w:szCs w:val="24"/>
        </w:rPr>
        <w:t xml:space="preserve">EM </w:t>
      </w:r>
      <w:r w:rsidRPr="00885061">
        <w:rPr>
          <w:szCs w:val="24"/>
        </w:rPr>
        <w:t xml:space="preserve">prioritātēm2020. gadā. Lai ES </w:t>
      </w:r>
      <w:r>
        <w:rPr>
          <w:szCs w:val="24"/>
        </w:rPr>
        <w:t>(</w:t>
      </w:r>
      <w:r w:rsidRPr="00885061">
        <w:rPr>
          <w:szCs w:val="24"/>
        </w:rPr>
        <w:t>t</w:t>
      </w:r>
      <w:r>
        <w:rPr>
          <w:szCs w:val="24"/>
        </w:rPr>
        <w:t>.</w:t>
      </w:r>
      <w:r w:rsidRPr="00885061">
        <w:rPr>
          <w:szCs w:val="24"/>
        </w:rPr>
        <w:t>sk</w:t>
      </w:r>
      <w:r>
        <w:rPr>
          <w:szCs w:val="24"/>
        </w:rPr>
        <w:t>.</w:t>
      </w:r>
      <w:r w:rsidRPr="00885061">
        <w:rPr>
          <w:szCs w:val="24"/>
        </w:rPr>
        <w:t xml:space="preserve"> Latvijas</w:t>
      </w:r>
      <w:r>
        <w:rPr>
          <w:szCs w:val="24"/>
        </w:rPr>
        <w:t>)</w:t>
      </w:r>
      <w:r w:rsidRPr="00885061">
        <w:rPr>
          <w:szCs w:val="24"/>
        </w:rPr>
        <w:t xml:space="preserve"> iedzīvotāji varētu turpināt baudīt preču, kapitāla un pakalpojumu brīvu kustību, EM strādāja pie </w:t>
      </w:r>
      <w:r w:rsidRPr="00F16D33">
        <w:rPr>
          <w:b/>
          <w:bCs/>
          <w:color w:val="00859B"/>
          <w:szCs w:val="24"/>
        </w:rPr>
        <w:t>šķēršļu identificēšanas un novēršanas</w:t>
      </w:r>
      <w:r w:rsidR="00C248BE">
        <w:rPr>
          <w:b/>
          <w:bCs/>
          <w:color w:val="00859B"/>
          <w:szCs w:val="24"/>
        </w:rPr>
        <w:t xml:space="preserve"> </w:t>
      </w:r>
      <w:r w:rsidRPr="00885061">
        <w:rPr>
          <w:szCs w:val="24"/>
        </w:rPr>
        <w:t xml:space="preserve">minēto </w:t>
      </w:r>
      <w:r>
        <w:rPr>
          <w:szCs w:val="24"/>
        </w:rPr>
        <w:t>ES pamat</w:t>
      </w:r>
      <w:r w:rsidRPr="00885061">
        <w:rPr>
          <w:szCs w:val="24"/>
        </w:rPr>
        <w:t>brīvību</w:t>
      </w:r>
      <w:r>
        <w:rPr>
          <w:szCs w:val="24"/>
        </w:rPr>
        <w:t xml:space="preserve"> saglabāšanai</w:t>
      </w:r>
      <w:r w:rsidRPr="00885061">
        <w:rPr>
          <w:szCs w:val="24"/>
        </w:rPr>
        <w:t>.</w:t>
      </w:r>
      <w:r w:rsidR="00C248BE">
        <w:rPr>
          <w:szCs w:val="24"/>
        </w:rPr>
        <w:t xml:space="preserve"> </w:t>
      </w:r>
      <w:r w:rsidRPr="00885061">
        <w:rPr>
          <w:szCs w:val="24"/>
        </w:rPr>
        <w:t xml:space="preserve">Covid-19 pandēmija parādīja, cik svarīga ir ES valstu sadarbība brīvai preču un pakalpojumu kustības atjaunošanai un saglabāšanai. Vairākas valstis ieviesa nozīmīgus pārtikas, medicīnas preču un individuālo aizsardzības līdzekļu eksporta ierobežojumus, tādējādi radot barjeras vienotajā tirgū. Līdz ar to, EM pievērsa īpašu uzmanību ES paziņošanas procedūrām, kuras kalpo kā preventīvs un caurskatāms uzraudzības instruments, lai izvērtētu un novērstu tādu prasību noteikšanu normatīvajos aktos, kuras varētu radīt dažādus šķēršļus vai aizliegumus brīvai preču un pakalpojumu apritei. Šādā veidā </w:t>
      </w:r>
      <w:r>
        <w:rPr>
          <w:szCs w:val="24"/>
        </w:rPr>
        <w:t>EK</w:t>
      </w:r>
      <w:r w:rsidRPr="00885061">
        <w:rPr>
          <w:szCs w:val="24"/>
        </w:rPr>
        <w:t xml:space="preserve"> saņēma informāciju par ES valstīs pieņemtajiem ierobežojumiem preču (</w:t>
      </w:r>
      <w:r w:rsidRPr="0029754A">
        <w:rPr>
          <w:i/>
          <w:iCs/>
          <w:szCs w:val="24"/>
        </w:rPr>
        <w:t>Tehnisko noteikumu informācijas sistēmā</w:t>
      </w:r>
      <w:r w:rsidRPr="00885061">
        <w:rPr>
          <w:szCs w:val="24"/>
        </w:rPr>
        <w:t>) un pakalpojumu (</w:t>
      </w:r>
      <w:r w:rsidRPr="0029754A">
        <w:rPr>
          <w:i/>
          <w:iCs/>
          <w:szCs w:val="24"/>
        </w:rPr>
        <w:t>Iekšējā tirgus informācijas sistēmā</w:t>
      </w:r>
      <w:r w:rsidRPr="00885061">
        <w:rPr>
          <w:szCs w:val="24"/>
        </w:rPr>
        <w:t xml:space="preserve">) jomās. Minētās informācijas apmaiņas sistēmas atviegloja komunikāciju nacionālā līmenī. Līdz ar to, ES dalībvalstu paziņošana par pieņemtajiem nacionālajiem tiesību aktiem, palīdzēja novērst barjeras un pārrāvumus piegādes ķēdēs. Tā piemēram, </w:t>
      </w:r>
      <w:r w:rsidRPr="00885061">
        <w:rPr>
          <w:rFonts w:eastAsia="Times New Roman"/>
          <w:color w:val="000000"/>
          <w:szCs w:val="24"/>
          <w:lang w:eastAsia="lv-LV"/>
        </w:rPr>
        <w:t xml:space="preserve">2020. gada aprīlī, valstī izsludinātas ārkārtējas situācijas laikā, lai nodrošinātu nepārtrauktu izejvielu piegādi, valdība lēma par īslaicīgas atļaujas izsniegšanu etilspirta izvešanai ārpus Latvijas Republikas teritorijas. Atļaujas tika izsniegtas, lai uzraudzītu denaturēta etilspirta pieejamību dezinfekcijas </w:t>
      </w:r>
      <w:r w:rsidRPr="00885061">
        <w:rPr>
          <w:rFonts w:eastAsia="Times New Roman"/>
          <w:color w:val="000000"/>
          <w:szCs w:val="24"/>
          <w:lang w:eastAsia="lv-LV"/>
        </w:rPr>
        <w:lastRenderedPageBreak/>
        <w:t>līdzekļu ražošanai un nepieciešamības gadījumā steidzamā kārtībā nodrošinātu nepārtrauktu izejvielu pieejamību Latvijas tirgus vajadzībām.</w:t>
      </w:r>
    </w:p>
    <w:p w14:paraId="6D664A54" w14:textId="1A5D9F8F" w:rsidR="00F16D33" w:rsidRDefault="00F16D33" w:rsidP="00F16D33">
      <w:pPr>
        <w:spacing w:before="60" w:after="60" w:line="240" w:lineRule="auto"/>
        <w:jc w:val="both"/>
        <w:rPr>
          <w:szCs w:val="24"/>
        </w:rPr>
      </w:pPr>
      <w:r w:rsidRPr="00885061">
        <w:rPr>
          <w:szCs w:val="24"/>
        </w:rPr>
        <w:t xml:space="preserve">Lai </w:t>
      </w:r>
      <w:r w:rsidR="00A72FD0">
        <w:rPr>
          <w:szCs w:val="24"/>
        </w:rPr>
        <w:t>veidot</w:t>
      </w:r>
      <w:r w:rsidRPr="00885061">
        <w:rPr>
          <w:szCs w:val="24"/>
        </w:rPr>
        <w:t xml:space="preserve">u nepārtrauktu barjeru monitoringu būtisku preču un pakalpojumu pieejamības nodrošināšanai, īpaši pārtikas precēm, zālēm, kā arī individuālo aizsardzības līdzekļu un medicīnas aprīkojumam, EM atbalstīja EK 2020. gada 23. marta priekšlikumu </w:t>
      </w:r>
      <w:r w:rsidRPr="00F16D33">
        <w:rPr>
          <w:b/>
          <w:bCs/>
          <w:color w:val="00859B"/>
          <w:szCs w:val="24"/>
        </w:rPr>
        <w:t>Zaļā koridora izveidei</w:t>
      </w:r>
      <w:r w:rsidR="00176532">
        <w:rPr>
          <w:b/>
          <w:bCs/>
          <w:color w:val="00859B"/>
          <w:szCs w:val="24"/>
        </w:rPr>
        <w:t xml:space="preserve"> </w:t>
      </w:r>
      <w:r w:rsidRPr="00885061">
        <w:rPr>
          <w:szCs w:val="24"/>
        </w:rPr>
        <w:t xml:space="preserve">un nodrošināšanai, kura mērķis </w:t>
      </w:r>
      <w:r w:rsidR="00037A25">
        <w:rPr>
          <w:szCs w:val="24"/>
        </w:rPr>
        <w:t>bija</w:t>
      </w:r>
      <w:r w:rsidR="00037A25" w:rsidRPr="00885061">
        <w:rPr>
          <w:szCs w:val="24"/>
        </w:rPr>
        <w:t xml:space="preserve"> </w:t>
      </w:r>
      <w:r w:rsidRPr="00885061">
        <w:rPr>
          <w:szCs w:val="24"/>
        </w:rPr>
        <w:t xml:space="preserve">pandēmijas laikā novērst, preču un pakalpojumu piegādes kavējumus visā ES. </w:t>
      </w:r>
      <w:r w:rsidRPr="00885061">
        <w:rPr>
          <w:rFonts w:eastAsia="Times New Roman"/>
          <w:szCs w:val="24"/>
        </w:rPr>
        <w:t>Zaļais koridors paredz, ka valstu robežšķērsošanas vietām jābūt atvērtām, kā arī jāatvieglo robežšķērsošanas procedūras kravu transportlīdzekļiem, pārrobežu darbiniekiem u.tml.</w:t>
      </w:r>
    </w:p>
    <w:p w14:paraId="083E702E" w14:textId="77777777" w:rsidR="00F16D33" w:rsidRPr="00885061" w:rsidRDefault="00F16D33" w:rsidP="00F16D33">
      <w:pPr>
        <w:spacing w:before="60" w:after="60" w:line="240" w:lineRule="auto"/>
        <w:jc w:val="both"/>
        <w:rPr>
          <w:szCs w:val="24"/>
        </w:rPr>
      </w:pPr>
      <w:r w:rsidRPr="00885061">
        <w:rPr>
          <w:szCs w:val="24"/>
        </w:rPr>
        <w:t xml:space="preserve">Līdz ar Covid-19 ierobežojumiem, valsts iestādes tika noslogotas ar pandēmijas izraisīto problēmu risināšanu. 2020. gadā tas radīja </w:t>
      </w:r>
      <w:r>
        <w:rPr>
          <w:szCs w:val="24"/>
        </w:rPr>
        <w:t xml:space="preserve">nopietnus </w:t>
      </w:r>
      <w:r w:rsidRPr="00885061">
        <w:rPr>
          <w:szCs w:val="24"/>
        </w:rPr>
        <w:t xml:space="preserve">kavējumus vairāku ES valsts iestāžu pakalpojumu sniegšanā un ES pilsoņi un uzņēmēji aktīvāk sāka izmantot SOLVIT problēmu risināšanas instrumentu. </w:t>
      </w:r>
      <w:r w:rsidRPr="00F16D33">
        <w:rPr>
          <w:szCs w:val="24"/>
        </w:rPr>
        <w:t>SOLVIT palīdzēja rast ātru un praktisku risinājumu problēmām</w:t>
      </w:r>
      <w:r w:rsidRPr="00885061">
        <w:rPr>
          <w:szCs w:val="24"/>
        </w:rPr>
        <w:t>, kuras izraisīj</w:t>
      </w:r>
      <w:r>
        <w:rPr>
          <w:szCs w:val="24"/>
        </w:rPr>
        <w:t>a</w:t>
      </w:r>
      <w:r w:rsidRPr="00885061">
        <w:rPr>
          <w:szCs w:val="24"/>
        </w:rPr>
        <w:t xml:space="preserve"> valsts iestāžu darbība ES vienotajā tirgū, pārkāpjot vai nepareizi piemērojot ES tiesību normas. No 2020. gada marta Latvijas SOLVIT centrs saņēm</w:t>
      </w:r>
      <w:r>
        <w:rPr>
          <w:szCs w:val="24"/>
        </w:rPr>
        <w:t>a</w:t>
      </w:r>
      <w:r w:rsidRPr="00885061">
        <w:rPr>
          <w:szCs w:val="24"/>
        </w:rPr>
        <w:t xml:space="preserve"> 42 sūdzības no Latvijas pilsoņiem par kavējumiem un termiņu neievērošanu citu ES valstu publisko pakalpojumu sniegšanā (Covid-19 pabalsti, bezdarbnieka pabalsti, bērnu pabalsti, gala lēmuma izsniegšanas kavējumi, u.c.), 17 no tām tika pieņemtas un veiksmīgi novērstas.</w:t>
      </w:r>
    </w:p>
    <w:p w14:paraId="5E624B55" w14:textId="77777777" w:rsidR="00171F3A" w:rsidRPr="00F5511B" w:rsidRDefault="00171F3A" w:rsidP="00DC327A">
      <w:pPr>
        <w:spacing w:after="60" w:line="240" w:lineRule="auto"/>
        <w:jc w:val="both"/>
        <w:rPr>
          <w:rFonts w:eastAsia="Times New Roman" w:cs="Times New Roman"/>
          <w:szCs w:val="24"/>
          <w:highlight w:val="yellow"/>
        </w:rPr>
      </w:pPr>
    </w:p>
    <w:p w14:paraId="7BF0E5AD" w14:textId="77777777" w:rsidR="004E0D23" w:rsidRPr="00F5511B" w:rsidRDefault="004E0D23">
      <w:pPr>
        <w:spacing w:after="0" w:line="240" w:lineRule="auto"/>
        <w:rPr>
          <w:rFonts w:cs="Times New Roman"/>
          <w:szCs w:val="24"/>
          <w:highlight w:val="yellow"/>
        </w:rPr>
      </w:pPr>
      <w:r w:rsidRPr="00F5511B">
        <w:rPr>
          <w:rFonts w:cs="Times New Roman"/>
          <w:szCs w:val="24"/>
          <w:highlight w:val="yellow"/>
        </w:rPr>
        <w:br w:type="page"/>
      </w:r>
    </w:p>
    <w:p w14:paraId="63A809F8" w14:textId="5AAB0372" w:rsidR="00EF5410" w:rsidRDefault="00BC60D9" w:rsidP="008460D0">
      <w:pPr>
        <w:spacing w:before="60" w:after="60" w:line="240" w:lineRule="auto"/>
        <w:ind w:left="3686"/>
        <w:jc w:val="both"/>
        <w:rPr>
          <w:szCs w:val="24"/>
          <w:highlight w:val="yellow"/>
        </w:rPr>
      </w:pPr>
      <w:r>
        <w:rPr>
          <w:smallCaps/>
          <w:noProof/>
          <w:color w:val="00859B"/>
          <w:sz w:val="32"/>
          <w:szCs w:val="32"/>
          <w:highlight w:val="yellow"/>
          <w:lang w:eastAsia="lv-LV"/>
        </w:rPr>
        <w:lastRenderedPageBreak/>
        <mc:AlternateContent>
          <mc:Choice Requires="wps">
            <w:drawing>
              <wp:anchor distT="0" distB="0" distL="114300" distR="114300" simplePos="0" relativeHeight="251658256" behindDoc="0" locked="0" layoutInCell="1" allowOverlap="1" wp14:anchorId="771CE363" wp14:editId="23AA632A">
                <wp:simplePos x="0" y="0"/>
                <wp:positionH relativeFrom="margin">
                  <wp:posOffset>3810</wp:posOffset>
                </wp:positionH>
                <wp:positionV relativeFrom="paragraph">
                  <wp:posOffset>77470</wp:posOffset>
                </wp:positionV>
                <wp:extent cx="2164715" cy="958850"/>
                <wp:effectExtent l="0" t="0" r="6985" b="0"/>
                <wp:wrapNone/>
                <wp:docPr id="233"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4715" cy="958850"/>
                        </a:xfrm>
                        <a:prstGeom prst="round2DiagRect">
                          <a:avLst>
                            <a:gd name="adj1" fmla="val 8935"/>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73AFB56" w14:textId="77777777" w:rsidR="00003D52" w:rsidRPr="00FF7E4C" w:rsidRDefault="00003D52" w:rsidP="00BE6C4B">
                            <w:pPr>
                              <w:pStyle w:val="Heading1"/>
                              <w:numPr>
                                <w:ilvl w:val="0"/>
                                <w:numId w:val="17"/>
                              </w:numPr>
                              <w:ind w:left="357" w:hanging="357"/>
                            </w:pPr>
                            <w:bookmarkStart w:id="44" w:name="_Toc78790576"/>
                            <w:bookmarkStart w:id="45" w:name="_Toc78874275"/>
                            <w:bookmarkStart w:id="46" w:name="_Toc78874607"/>
                            <w:r>
                              <w:t>EM pārskats par finanšu resursu izlietojumu</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CE363" id="_x0000_s1031" style="position:absolute;left:0;text-align:left;margin-left:.3pt;margin-top:6.1pt;width:170.45pt;height:75.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958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" adj="-11796480,,5400" path="m85673,l2164715,r,l2164715,873177v,47316,-38357,85673,-85673,85673l,958850r,l,85673c,38357,38357,,85673,xe" fillcolor="#00859b" strokecolor="#62b1c6" strokeweight="1.5pt">
                <v:stroke joinstyle="miter"/>
                <v:formulas/>
                <v:path arrowok="t" o:connecttype="custom" o:connectlocs="85673,0;2164715,0;2164715,0;2164715,873177;2079042,958850;0,958850;0,958850;0,85673;85673,0" o:connectangles="0,0,0,0,0,0,0,0,0" textboxrect="0,0,2164715,958850"/>
                <v:textbox>
                  <w:txbxContent>
                    <w:p w14:paraId="173AFB56" w14:textId="77777777" w:rsidR="00003D52" w:rsidRPr="00FF7E4C" w:rsidRDefault="00003D52" w:rsidP="00BE6C4B">
                      <w:pPr>
                        <w:pStyle w:val="Heading1"/>
                        <w:numPr>
                          <w:ilvl w:val="0"/>
                          <w:numId w:val="17"/>
                        </w:numPr>
                        <w:ind w:left="357" w:hanging="357"/>
                      </w:pPr>
                      <w:bookmarkStart w:id="47" w:name="_Toc78790576"/>
                      <w:bookmarkStart w:id="48" w:name="_Toc78874275"/>
                      <w:bookmarkStart w:id="49" w:name="_Toc78874607"/>
                      <w:r>
                        <w:t>EM pārskats par finanšu resursu izlietojumu</w:t>
                      </w:r>
                      <w:bookmarkEnd w:id="47"/>
                      <w:bookmarkEnd w:id="48"/>
                      <w:bookmarkEnd w:id="49"/>
                    </w:p>
                  </w:txbxContent>
                </v:textbox>
                <w10:wrap anchorx="margin"/>
              </v:shape>
            </w:pict>
          </mc:Fallback>
        </mc:AlternateContent>
      </w:r>
    </w:p>
    <w:p w14:paraId="40934D21" w14:textId="3FE867D9" w:rsidR="00EF5410" w:rsidRPr="00EF5410" w:rsidRDefault="005B27B0" w:rsidP="008460D0">
      <w:pPr>
        <w:spacing w:before="60" w:after="60" w:line="240" w:lineRule="auto"/>
        <w:ind w:left="3686"/>
        <w:jc w:val="both"/>
        <w:rPr>
          <w:szCs w:val="24"/>
        </w:rPr>
      </w:pPr>
      <w:r w:rsidRPr="00EF5410">
        <w:rPr>
          <w:szCs w:val="24"/>
        </w:rPr>
        <w:t>EM</w:t>
      </w:r>
      <w:r w:rsidR="00037A25">
        <w:rPr>
          <w:szCs w:val="24"/>
        </w:rPr>
        <w:t xml:space="preserve"> </w:t>
      </w:r>
      <w:r w:rsidR="00FB4B57" w:rsidRPr="00EF5410">
        <w:t xml:space="preserve">pārskata periodā </w:t>
      </w:r>
      <w:r w:rsidRPr="00EF5410">
        <w:t xml:space="preserve">izmantojamos resursus raksturo finanšu </w:t>
      </w:r>
      <w:r w:rsidR="00861387" w:rsidRPr="00EF5410">
        <w:t xml:space="preserve">līdzekļu </w:t>
      </w:r>
      <w:r w:rsidRPr="00EF5410">
        <w:t>izlietojums</w:t>
      </w:r>
      <w:r w:rsidR="00EF5410" w:rsidRPr="00EF5410">
        <w:t>, kas</w:t>
      </w:r>
      <w:r w:rsidR="00037A25">
        <w:t xml:space="preserve"> </w:t>
      </w:r>
      <w:r w:rsidR="00EF5410" w:rsidRPr="007643AE">
        <w:rPr>
          <w:rFonts w:eastAsia="Times New Roman" w:cs="Times New Roman"/>
          <w:szCs w:val="24"/>
        </w:rPr>
        <w:t>Covid-19 infekcijas</w:t>
      </w:r>
      <w:r w:rsidR="00EF5410">
        <w:rPr>
          <w:rFonts w:eastAsia="Times New Roman" w:cs="Times New Roman"/>
          <w:szCs w:val="24"/>
        </w:rPr>
        <w:t xml:space="preserve"> izraisītās krīzes seku pārvarēšanai piešķirto līdzekļu dēļ būtiski atšķiras no citu gadu pieejamiem līdzekļiem un finansējuma </w:t>
      </w:r>
      <w:r w:rsidR="00EF5410" w:rsidRPr="00EF5410">
        <w:rPr>
          <w:rFonts w:eastAsia="Times New Roman" w:cs="Times New Roman"/>
          <w:szCs w:val="24"/>
        </w:rPr>
        <w:t>izlietojuma</w:t>
      </w:r>
      <w:r w:rsidR="00EF5410" w:rsidRPr="00EF5410">
        <w:t>.</w:t>
      </w:r>
    </w:p>
    <w:p w14:paraId="6E02C340" w14:textId="77777777" w:rsidR="000270C4" w:rsidRPr="00F5511B" w:rsidRDefault="000270C4" w:rsidP="008460D0">
      <w:pPr>
        <w:spacing w:before="60" w:after="60" w:line="240" w:lineRule="auto"/>
        <w:ind w:left="3686"/>
        <w:jc w:val="both"/>
        <w:rPr>
          <w:szCs w:val="28"/>
          <w:highlight w:val="yellow"/>
        </w:rPr>
      </w:pPr>
    </w:p>
    <w:tbl>
      <w:tblPr>
        <w:tblStyle w:val="TableGrid"/>
        <w:tblW w:w="9781" w:type="dxa"/>
        <w:tblLook w:val="04A0" w:firstRow="1" w:lastRow="0" w:firstColumn="1" w:lastColumn="0" w:noHBand="0" w:noVBand="1"/>
      </w:tblPr>
      <w:tblGrid>
        <w:gridCol w:w="4326"/>
        <w:gridCol w:w="5455"/>
      </w:tblGrid>
      <w:tr w:rsidR="00DE61A7" w:rsidRPr="00F5511B" w14:paraId="33B6EBB3" w14:textId="77777777" w:rsidTr="0085687D">
        <w:tc>
          <w:tcPr>
            <w:tcW w:w="9781" w:type="dxa"/>
            <w:gridSpan w:val="2"/>
            <w:tcBorders>
              <w:top w:val="nil"/>
              <w:left w:val="nil"/>
              <w:bottom w:val="nil"/>
              <w:right w:val="nil"/>
            </w:tcBorders>
            <w:shd w:val="clear" w:color="auto" w:fill="31849B" w:themeFill="accent5" w:themeFillShade="BF"/>
          </w:tcPr>
          <w:p w14:paraId="7B096D66" w14:textId="40192B1F" w:rsidR="00DE61A7" w:rsidRPr="00B44506" w:rsidRDefault="00D35150" w:rsidP="00BE6C4B">
            <w:pPr>
              <w:pStyle w:val="Heading2"/>
              <w:numPr>
                <w:ilvl w:val="1"/>
                <w:numId w:val="20"/>
              </w:numPr>
              <w:spacing w:before="120" w:after="120"/>
              <w:ind w:left="714" w:hanging="357"/>
              <w:rPr>
                <w:szCs w:val="24"/>
                <w:lang w:val="lv-LV"/>
              </w:rPr>
            </w:pPr>
            <w:bookmarkStart w:id="50" w:name="_Hlk45010019"/>
            <w:bookmarkStart w:id="51" w:name="_Hlk74737290"/>
            <w:r>
              <w:rPr>
                <w:szCs w:val="24"/>
                <w:lang w:val="lv-LV"/>
              </w:rPr>
              <w:t xml:space="preserve"> </w:t>
            </w:r>
            <w:bookmarkStart w:id="52" w:name="_Toc78874608"/>
            <w:r w:rsidR="00B44506" w:rsidRPr="00B44506">
              <w:rPr>
                <w:szCs w:val="24"/>
                <w:lang w:val="lv-LV"/>
              </w:rPr>
              <w:t>Valsts budžeta finansējums un tā</w:t>
            </w:r>
            <w:r w:rsidR="00DE61A7" w:rsidRPr="00B44506">
              <w:rPr>
                <w:b w:val="0"/>
                <w:szCs w:val="24"/>
                <w:lang w:val="lv-LV"/>
              </w:rPr>
              <w:t xml:space="preserve"> izlieto</w:t>
            </w:r>
            <w:r w:rsidR="007B0494" w:rsidRPr="00B44506">
              <w:rPr>
                <w:b w:val="0"/>
                <w:szCs w:val="24"/>
                <w:lang w:val="lv-LV"/>
              </w:rPr>
              <w:t>jums</w:t>
            </w:r>
            <w:bookmarkEnd w:id="52"/>
          </w:p>
        </w:tc>
      </w:tr>
      <w:tr w:rsidR="0015666E" w:rsidRPr="00F5511B" w14:paraId="3FA5A9B0" w14:textId="77777777" w:rsidTr="0085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6" w:type="dxa"/>
          </w:tcPr>
          <w:p w14:paraId="0B7CFF6F" w14:textId="77777777" w:rsidR="0015666E" w:rsidRPr="00F5511B" w:rsidRDefault="0015666E" w:rsidP="007448F1">
            <w:pPr>
              <w:pStyle w:val="ListParagraph"/>
              <w:spacing w:after="40"/>
              <w:ind w:left="0"/>
              <w:jc w:val="center"/>
              <w:rPr>
                <w:sz w:val="16"/>
                <w:szCs w:val="16"/>
                <w:highlight w:val="yellow"/>
              </w:rPr>
            </w:pPr>
          </w:p>
          <w:p w14:paraId="555FEACA" w14:textId="77777777" w:rsidR="001632EA" w:rsidRPr="0085687D" w:rsidRDefault="00E16FC3" w:rsidP="0015666E">
            <w:pPr>
              <w:pStyle w:val="ListParagraph"/>
              <w:spacing w:after="40"/>
              <w:ind w:left="0"/>
              <w:jc w:val="center"/>
              <w:rPr>
                <w:sz w:val="18"/>
                <w:szCs w:val="18"/>
              </w:rPr>
            </w:pPr>
            <w:r w:rsidRPr="00966D6A">
              <w:rPr>
                <w:b/>
                <w:bCs/>
                <w:sz w:val="18"/>
                <w:szCs w:val="18"/>
              </w:rPr>
              <w:t>8</w:t>
            </w:r>
            <w:r w:rsidR="0015666E" w:rsidRPr="00966D6A">
              <w:rPr>
                <w:b/>
                <w:bCs/>
                <w:sz w:val="18"/>
                <w:szCs w:val="18"/>
              </w:rPr>
              <w:t>.attēls.</w:t>
            </w:r>
            <w:r w:rsidR="0015666E" w:rsidRPr="0085687D">
              <w:rPr>
                <w:sz w:val="18"/>
                <w:szCs w:val="18"/>
              </w:rPr>
              <w:t xml:space="preserve"> EM faktisko izdevumu dinamika </w:t>
            </w:r>
          </w:p>
          <w:p w14:paraId="5BBF1A54" w14:textId="3F31BA63" w:rsidR="0015666E" w:rsidRPr="0085687D" w:rsidRDefault="0015666E" w:rsidP="0085687D">
            <w:pPr>
              <w:pStyle w:val="ListParagraph"/>
              <w:spacing w:after="40"/>
              <w:ind w:left="0"/>
              <w:jc w:val="center"/>
              <w:rPr>
                <w:sz w:val="16"/>
                <w:szCs w:val="16"/>
                <w:highlight w:val="yellow"/>
              </w:rPr>
            </w:pPr>
            <w:r w:rsidRPr="0085687D">
              <w:rPr>
                <w:sz w:val="18"/>
                <w:szCs w:val="18"/>
              </w:rPr>
              <w:t>pēc naudas plūsmas</w:t>
            </w:r>
            <w:r w:rsidR="00037A25">
              <w:rPr>
                <w:sz w:val="18"/>
                <w:szCs w:val="18"/>
              </w:rPr>
              <w:t xml:space="preserve"> uzskaites</w:t>
            </w:r>
            <w:r w:rsidR="00E16FC3">
              <w:rPr>
                <w:sz w:val="18"/>
                <w:szCs w:val="18"/>
              </w:rPr>
              <w:t>,</w:t>
            </w:r>
            <w:r w:rsidRPr="0085687D">
              <w:rPr>
                <w:sz w:val="18"/>
                <w:szCs w:val="18"/>
              </w:rPr>
              <w:t xml:space="preserve"> milj. </w:t>
            </w:r>
            <w:r w:rsidRPr="0085687D">
              <w:rPr>
                <w:i/>
                <w:iCs/>
                <w:sz w:val="18"/>
                <w:szCs w:val="18"/>
              </w:rPr>
              <w:t>euro</w:t>
            </w:r>
          </w:p>
        </w:tc>
        <w:tc>
          <w:tcPr>
            <w:tcW w:w="5455" w:type="dxa"/>
            <w:vMerge w:val="restart"/>
          </w:tcPr>
          <w:p w14:paraId="4D61E547" w14:textId="60D4FBA4" w:rsidR="0015666E" w:rsidRPr="00F5511B" w:rsidRDefault="0085687D" w:rsidP="0085687D">
            <w:pPr>
              <w:spacing w:before="120" w:after="60" w:line="240" w:lineRule="auto"/>
              <w:jc w:val="both"/>
              <w:rPr>
                <w:szCs w:val="28"/>
                <w:highlight w:val="yellow"/>
              </w:rPr>
            </w:pPr>
            <w:r w:rsidRPr="007643AE">
              <w:rPr>
                <w:rFonts w:eastAsia="Times New Roman" w:cs="Times New Roman"/>
                <w:szCs w:val="24"/>
              </w:rPr>
              <w:t xml:space="preserve">EM valsts pamatbudžeta naudas plūsmas izdevumi 2020. gada 12 mēnešos salīdzinot ar </w:t>
            </w:r>
            <w:r w:rsidR="006B49E1">
              <w:rPr>
                <w:rFonts w:eastAsia="Times New Roman" w:cs="Times New Roman"/>
                <w:szCs w:val="24"/>
              </w:rPr>
              <w:t xml:space="preserve">iepriekšējo </w:t>
            </w:r>
            <w:r w:rsidRPr="007643AE">
              <w:rPr>
                <w:rFonts w:eastAsia="Times New Roman" w:cs="Times New Roman"/>
                <w:szCs w:val="24"/>
              </w:rPr>
              <w:t>gadu ir palielinājušies par 208 571 934 </w:t>
            </w:r>
            <w:r w:rsidRPr="007643AE">
              <w:rPr>
                <w:rFonts w:eastAsia="Times New Roman" w:cs="Times New Roman"/>
                <w:i/>
                <w:iCs/>
                <w:szCs w:val="24"/>
              </w:rPr>
              <w:t>euro</w:t>
            </w:r>
            <w:r w:rsidRPr="007643AE">
              <w:rPr>
                <w:rFonts w:eastAsia="Times New Roman" w:cs="Times New Roman"/>
                <w:szCs w:val="24"/>
              </w:rPr>
              <w:t xml:space="preserve"> jeb 211%.</w:t>
            </w:r>
            <w:r w:rsidR="00037A25">
              <w:rPr>
                <w:rFonts w:eastAsia="Times New Roman" w:cs="Times New Roman"/>
                <w:szCs w:val="24"/>
              </w:rPr>
              <w:t xml:space="preserve"> </w:t>
            </w:r>
            <w:r w:rsidRPr="007643AE">
              <w:rPr>
                <w:rFonts w:eastAsia="Times New Roman" w:cs="Times New Roman"/>
                <w:szCs w:val="24"/>
              </w:rPr>
              <w:t>Izdevumi EM pamatfunkciju īstenošanai</w:t>
            </w:r>
            <w:r w:rsidR="0029754A">
              <w:rPr>
                <w:rFonts w:eastAsia="Times New Roman" w:cs="Times New Roman"/>
                <w:szCs w:val="24"/>
              </w:rPr>
              <w:t xml:space="preserve"> (</w:t>
            </w:r>
            <w:r w:rsidR="0029754A" w:rsidRPr="00966D6A">
              <w:rPr>
                <w:rFonts w:eastAsia="Times New Roman" w:cs="Times New Roman"/>
                <w:szCs w:val="24"/>
              </w:rPr>
              <w:t xml:space="preserve">sk. </w:t>
            </w:r>
            <w:r w:rsidR="00E16FC3" w:rsidRPr="00966D6A">
              <w:rPr>
                <w:rFonts w:eastAsia="Times New Roman" w:cs="Times New Roman"/>
                <w:szCs w:val="24"/>
              </w:rPr>
              <w:t>8</w:t>
            </w:r>
            <w:r w:rsidR="0029754A" w:rsidRPr="00966D6A">
              <w:rPr>
                <w:rFonts w:eastAsia="Times New Roman" w:cs="Times New Roman"/>
                <w:szCs w:val="24"/>
              </w:rPr>
              <w:t>.attēlu</w:t>
            </w:r>
            <w:r w:rsidR="0029754A">
              <w:rPr>
                <w:rFonts w:eastAsia="Times New Roman" w:cs="Times New Roman"/>
                <w:szCs w:val="24"/>
              </w:rPr>
              <w:t>)</w:t>
            </w:r>
            <w:r w:rsidRPr="007643AE">
              <w:rPr>
                <w:rFonts w:eastAsia="Times New Roman" w:cs="Times New Roman"/>
                <w:szCs w:val="24"/>
              </w:rPr>
              <w:t xml:space="preserve"> palielinājušies par 208 740 121 </w:t>
            </w:r>
            <w:r w:rsidRPr="007643AE">
              <w:rPr>
                <w:rFonts w:eastAsia="Times New Roman" w:cs="Times New Roman"/>
                <w:i/>
                <w:iCs/>
                <w:szCs w:val="24"/>
              </w:rPr>
              <w:t>euro</w:t>
            </w:r>
            <w:r w:rsidRPr="007643AE">
              <w:rPr>
                <w:rFonts w:eastAsia="Times New Roman" w:cs="Times New Roman"/>
                <w:szCs w:val="24"/>
              </w:rPr>
              <w:t>, kas galvenokārt saistīts ar Covid-19 infekcijas izplatības seku pārvarēšanai piešķirto finansējumu</w:t>
            </w:r>
            <w:r w:rsidR="00037A25">
              <w:rPr>
                <w:rFonts w:eastAsia="Times New Roman" w:cs="Times New Roman"/>
                <w:szCs w:val="24"/>
              </w:rPr>
              <w:t xml:space="preserve"> dažādām atbalsta programmām</w:t>
            </w:r>
            <w:r w:rsidRPr="007643AE">
              <w:rPr>
                <w:rFonts w:eastAsia="Times New Roman" w:cs="Times New Roman"/>
                <w:szCs w:val="24"/>
              </w:rPr>
              <w:t xml:space="preserve">. Savukārt, ES politiku instrumentu un ārvalstu finanšu palīdzības finansēto projektu un pasākumu īstenošanas izdevumi salīdzinājumā ar </w:t>
            </w:r>
            <w:r w:rsidR="006B49E1">
              <w:rPr>
                <w:rFonts w:eastAsia="Times New Roman" w:cs="Times New Roman"/>
                <w:szCs w:val="24"/>
              </w:rPr>
              <w:t xml:space="preserve">iepriekšējo </w:t>
            </w:r>
            <w:r w:rsidRPr="007643AE">
              <w:rPr>
                <w:rFonts w:eastAsia="Times New Roman" w:cs="Times New Roman"/>
                <w:szCs w:val="24"/>
              </w:rPr>
              <w:t>gadu samazinājušies par 168 187 </w:t>
            </w:r>
            <w:r w:rsidRPr="007643AE">
              <w:rPr>
                <w:rFonts w:eastAsia="Times New Roman" w:cs="Times New Roman"/>
                <w:i/>
                <w:iCs/>
                <w:szCs w:val="24"/>
              </w:rPr>
              <w:t>euro</w:t>
            </w:r>
            <w:r w:rsidRPr="007643AE">
              <w:rPr>
                <w:rFonts w:eastAsia="Times New Roman" w:cs="Times New Roman"/>
                <w:szCs w:val="24"/>
              </w:rPr>
              <w:t xml:space="preserve">, galvenokārt saistībā ar </w:t>
            </w:r>
            <w:r>
              <w:rPr>
                <w:rFonts w:eastAsia="Times New Roman" w:cs="Times New Roman"/>
                <w:szCs w:val="24"/>
              </w:rPr>
              <w:t>ERAF</w:t>
            </w:r>
            <w:r w:rsidRPr="007643AE">
              <w:rPr>
                <w:rFonts w:eastAsia="Times New Roman" w:cs="Times New Roman"/>
                <w:szCs w:val="24"/>
              </w:rPr>
              <w:t xml:space="preserve"> projektos aktivitātes samazināšanu un Latvijas pārstāvju ceļa izdevumu kompensācijas samazināšanu, dodoties uz </w:t>
            </w:r>
            <w:r>
              <w:rPr>
                <w:rFonts w:eastAsia="Times New Roman" w:cs="Times New Roman"/>
                <w:szCs w:val="24"/>
              </w:rPr>
              <w:t>ES</w:t>
            </w:r>
            <w:r w:rsidRPr="007643AE">
              <w:rPr>
                <w:rFonts w:eastAsia="Times New Roman" w:cs="Times New Roman"/>
                <w:szCs w:val="24"/>
              </w:rPr>
              <w:t xml:space="preserve"> Padomes darba grupu un Padomes sanāksmēm</w:t>
            </w:r>
            <w:r>
              <w:rPr>
                <w:rFonts w:eastAsia="Times New Roman" w:cs="Times New Roman"/>
                <w:szCs w:val="24"/>
              </w:rPr>
              <w:t>.</w:t>
            </w:r>
          </w:p>
        </w:tc>
      </w:tr>
      <w:tr w:rsidR="0015666E" w:rsidRPr="00F5511B" w14:paraId="1FBC5929" w14:textId="77777777" w:rsidTr="0085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6" w:type="dxa"/>
          </w:tcPr>
          <w:p w14:paraId="516B970F" w14:textId="77777777" w:rsidR="00C11556" w:rsidRPr="0085687D" w:rsidRDefault="00A23D92" w:rsidP="00C11556">
            <w:pPr>
              <w:pStyle w:val="ListParagraph"/>
              <w:spacing w:before="60" w:after="60"/>
              <w:ind w:left="0"/>
              <w:contextualSpacing w:val="0"/>
              <w:rPr>
                <w:sz w:val="16"/>
                <w:szCs w:val="16"/>
              </w:rPr>
            </w:pPr>
            <w:r w:rsidRPr="0085687D">
              <w:rPr>
                <w:noProof/>
                <w:lang w:val="en-US" w:eastAsia="en-US"/>
              </w:rPr>
              <w:drawing>
                <wp:inline distT="0" distB="0" distL="0" distR="0" wp14:anchorId="2A4C3352" wp14:editId="0FBF6901">
                  <wp:extent cx="2597150" cy="1695450"/>
                  <wp:effectExtent l="0" t="0" r="12700" b="0"/>
                  <wp:docPr id="23" name="Chart 23" descr="ghjdgjkhkm">
                    <a:extLst xmlns:a="http://schemas.openxmlformats.org/drawingml/2006/main">
                      <a:ext uri="{FF2B5EF4-FFF2-40B4-BE49-F238E27FC236}">
                        <a16:creationId xmlns:a16="http://schemas.microsoft.com/office/drawing/2014/main" id="{EF8F81A0-5179-46CD-9897-DD7D736AB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278EF74A" w14:textId="77777777" w:rsidR="00A23D92" w:rsidRPr="0085687D" w:rsidRDefault="0085687D" w:rsidP="0085687D">
            <w:pPr>
              <w:pStyle w:val="ListParagraph"/>
              <w:spacing w:before="60" w:after="60"/>
              <w:ind w:left="0"/>
              <w:contextualSpacing w:val="0"/>
              <w:rPr>
                <w:sz w:val="16"/>
                <w:szCs w:val="16"/>
              </w:rPr>
            </w:pPr>
            <w:r w:rsidRPr="0085687D">
              <w:rPr>
                <w:sz w:val="14"/>
                <w:szCs w:val="14"/>
              </w:rPr>
              <w:t>Avots: EM dati</w:t>
            </w:r>
          </w:p>
          <w:p w14:paraId="32B18762" w14:textId="77777777" w:rsidR="00A23D92" w:rsidRPr="0085687D" w:rsidRDefault="00A23D92" w:rsidP="00C11556">
            <w:pPr>
              <w:pStyle w:val="ListParagraph"/>
              <w:spacing w:before="60" w:after="60"/>
              <w:ind w:left="0"/>
              <w:contextualSpacing w:val="0"/>
              <w:rPr>
                <w:sz w:val="16"/>
                <w:szCs w:val="16"/>
              </w:rPr>
            </w:pPr>
          </w:p>
        </w:tc>
        <w:tc>
          <w:tcPr>
            <w:tcW w:w="5455" w:type="dxa"/>
            <w:vMerge/>
          </w:tcPr>
          <w:p w14:paraId="5FA3889A" w14:textId="77777777" w:rsidR="0015666E" w:rsidRPr="0085687D" w:rsidRDefault="0015666E" w:rsidP="007448F1">
            <w:pPr>
              <w:spacing w:before="20" w:after="20" w:line="240" w:lineRule="auto"/>
              <w:jc w:val="both"/>
              <w:rPr>
                <w:rFonts w:eastAsia="Franklin Gothic Book" w:cs="Times New Roman"/>
                <w:szCs w:val="24"/>
              </w:rPr>
            </w:pPr>
          </w:p>
        </w:tc>
      </w:tr>
    </w:tbl>
    <w:bookmarkEnd w:id="50"/>
    <w:p w14:paraId="17B52BE0" w14:textId="7897BA7D" w:rsidR="00054E86" w:rsidRPr="0025463C" w:rsidRDefault="005E1927" w:rsidP="00765BF9">
      <w:pPr>
        <w:spacing w:before="60" w:after="60" w:line="240" w:lineRule="auto"/>
        <w:jc w:val="both"/>
        <w:rPr>
          <w:rFonts w:eastAsia="Times New Roman" w:cs="Times New Roman"/>
          <w:szCs w:val="24"/>
        </w:rPr>
      </w:pPr>
      <w:r w:rsidRPr="0025463C">
        <w:rPr>
          <w:rFonts w:eastAsia="Times New Roman" w:cs="Times New Roman"/>
          <w:szCs w:val="24"/>
        </w:rPr>
        <w:t>Detalizētāk</w:t>
      </w:r>
      <w:r>
        <w:rPr>
          <w:rFonts w:eastAsia="Times New Roman" w:cs="Times New Roman"/>
          <w:szCs w:val="24"/>
        </w:rPr>
        <w:t>a</w:t>
      </w:r>
      <w:r w:rsidRPr="0025463C">
        <w:rPr>
          <w:rFonts w:eastAsia="Times New Roman" w:cs="Times New Roman"/>
          <w:szCs w:val="24"/>
        </w:rPr>
        <w:t xml:space="preserve"> </w:t>
      </w:r>
      <w:r w:rsidR="0085687D" w:rsidRPr="0025463C">
        <w:rPr>
          <w:rFonts w:eastAsia="Times New Roman" w:cs="Times New Roman"/>
          <w:szCs w:val="24"/>
        </w:rPr>
        <w:t>informācija par EM valsts budžeta finansējuma sadalījumu pa izdevumu veidiem pārskata periodā atspoguļota zemāk noradītajā tabulā (skat. 2. tabulu).</w:t>
      </w:r>
    </w:p>
    <w:bookmarkEnd w:id="51"/>
    <w:p w14:paraId="1C60E9C6" w14:textId="77777777" w:rsidR="008906ED" w:rsidRPr="0085687D" w:rsidRDefault="008906ED" w:rsidP="008906ED">
      <w:pPr>
        <w:spacing w:before="60" w:after="60" w:line="240" w:lineRule="auto"/>
        <w:jc w:val="both"/>
        <w:rPr>
          <w:rFonts w:eastAsia="Times New Roman" w:cs="Times New Roman"/>
          <w:sz w:val="16"/>
          <w:szCs w:val="16"/>
        </w:rPr>
      </w:pPr>
    </w:p>
    <w:p w14:paraId="4CF509A6" w14:textId="46503FC2" w:rsidR="008906ED" w:rsidRPr="00027FF4" w:rsidRDefault="008906ED" w:rsidP="0085687D">
      <w:pPr>
        <w:pStyle w:val="Heading1"/>
        <w:numPr>
          <w:ilvl w:val="0"/>
          <w:numId w:val="0"/>
        </w:numPr>
        <w:spacing w:after="60"/>
        <w:ind w:left="568" w:hanging="284"/>
        <w:jc w:val="center"/>
        <w:rPr>
          <w:sz w:val="20"/>
          <w:szCs w:val="20"/>
        </w:rPr>
      </w:pPr>
      <w:bookmarkStart w:id="53" w:name="_Toc76385264"/>
      <w:bookmarkStart w:id="54" w:name="_Toc76460589"/>
      <w:bookmarkStart w:id="55" w:name="_Toc76462996"/>
      <w:bookmarkStart w:id="56" w:name="_Toc76473151"/>
      <w:bookmarkStart w:id="57" w:name="_Toc76572822"/>
      <w:bookmarkStart w:id="58" w:name="_Toc78874211"/>
      <w:bookmarkStart w:id="59" w:name="_Toc78874609"/>
      <w:r w:rsidRPr="00027FF4">
        <w:rPr>
          <w:sz w:val="20"/>
          <w:szCs w:val="20"/>
        </w:rPr>
        <w:t>2. tabula. EM valsts budžeta finansējums un tā izlietojums 201</w:t>
      </w:r>
      <w:r>
        <w:rPr>
          <w:sz w:val="20"/>
          <w:szCs w:val="20"/>
        </w:rPr>
        <w:t>9</w:t>
      </w:r>
      <w:r w:rsidRPr="00027FF4">
        <w:rPr>
          <w:sz w:val="20"/>
          <w:szCs w:val="20"/>
        </w:rPr>
        <w:t>. un 20</w:t>
      </w:r>
      <w:r>
        <w:rPr>
          <w:sz w:val="20"/>
          <w:szCs w:val="20"/>
        </w:rPr>
        <w:t>20</w:t>
      </w:r>
      <w:r w:rsidRPr="00027FF4">
        <w:rPr>
          <w:sz w:val="20"/>
          <w:szCs w:val="20"/>
        </w:rPr>
        <w:t>.</w:t>
      </w:r>
      <w:r w:rsidR="00710613">
        <w:rPr>
          <w:rFonts w:hint="eastAsia"/>
          <w:sz w:val="20"/>
          <w:szCs w:val="20"/>
        </w:rPr>
        <w:t> </w:t>
      </w:r>
      <w:r w:rsidRPr="00027FF4">
        <w:rPr>
          <w:sz w:val="20"/>
          <w:szCs w:val="20"/>
        </w:rPr>
        <w:t xml:space="preserve">gadā, </w:t>
      </w:r>
      <w:r w:rsidRPr="00027FF4">
        <w:rPr>
          <w:i/>
          <w:sz w:val="20"/>
          <w:szCs w:val="20"/>
        </w:rPr>
        <w:t>euro</w:t>
      </w:r>
      <w:bookmarkEnd w:id="53"/>
      <w:bookmarkEnd w:id="54"/>
      <w:bookmarkEnd w:id="55"/>
      <w:bookmarkEnd w:id="56"/>
      <w:bookmarkEnd w:id="57"/>
      <w:bookmarkEnd w:id="58"/>
      <w:bookmarkEnd w:id="59"/>
    </w:p>
    <w:tbl>
      <w:tblPr>
        <w:tblStyle w:val="TableGrid"/>
        <w:tblW w:w="5000" w:type="pct"/>
        <w:tblLook w:val="04A0" w:firstRow="1" w:lastRow="0" w:firstColumn="1" w:lastColumn="0" w:noHBand="0" w:noVBand="1"/>
      </w:tblPr>
      <w:tblGrid>
        <w:gridCol w:w="729"/>
        <w:gridCol w:w="4377"/>
        <w:gridCol w:w="1604"/>
        <w:gridCol w:w="1458"/>
        <w:gridCol w:w="1460"/>
      </w:tblGrid>
      <w:tr w:rsidR="008906ED" w:rsidRPr="00027FF4" w14:paraId="1855D16B" w14:textId="77777777" w:rsidTr="008906ED">
        <w:trPr>
          <w:trHeight w:val="331"/>
          <w:tblHeader/>
        </w:trPr>
        <w:tc>
          <w:tcPr>
            <w:tcW w:w="379" w:type="pct"/>
            <w:vMerge w:val="restart"/>
            <w:shd w:val="clear" w:color="auto" w:fill="00859B"/>
            <w:vAlign w:val="center"/>
          </w:tcPr>
          <w:p w14:paraId="6F801266"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Nr.</w:t>
            </w:r>
          </w:p>
          <w:p w14:paraId="1F4EBEE1"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p.k.</w:t>
            </w:r>
          </w:p>
        </w:tc>
        <w:tc>
          <w:tcPr>
            <w:tcW w:w="2273" w:type="pct"/>
            <w:vMerge w:val="restart"/>
            <w:shd w:val="clear" w:color="auto" w:fill="00859B"/>
            <w:vAlign w:val="center"/>
          </w:tcPr>
          <w:p w14:paraId="2AFD7FE7"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Finansiālie rādītāji</w:t>
            </w:r>
          </w:p>
        </w:tc>
        <w:tc>
          <w:tcPr>
            <w:tcW w:w="833" w:type="pct"/>
            <w:vMerge w:val="restart"/>
            <w:shd w:val="clear" w:color="auto" w:fill="00859B"/>
            <w:vAlign w:val="center"/>
          </w:tcPr>
          <w:p w14:paraId="5A20834E"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201</w:t>
            </w:r>
            <w:r>
              <w:rPr>
                <w:rFonts w:cs="Times New Roman"/>
                <w:b/>
                <w:bCs/>
                <w:color w:val="FFFFFF" w:themeColor="background1"/>
                <w:sz w:val="18"/>
                <w:szCs w:val="18"/>
              </w:rPr>
              <w:t>9</w:t>
            </w:r>
            <w:r w:rsidRPr="00027FF4">
              <w:rPr>
                <w:rFonts w:cs="Times New Roman"/>
                <w:b/>
                <w:bCs/>
                <w:color w:val="FFFFFF" w:themeColor="background1"/>
                <w:sz w:val="18"/>
                <w:szCs w:val="18"/>
              </w:rPr>
              <w:t>.gadā (faktiskā izpilde)</w:t>
            </w:r>
          </w:p>
        </w:tc>
        <w:tc>
          <w:tcPr>
            <w:tcW w:w="1515" w:type="pct"/>
            <w:gridSpan w:val="2"/>
            <w:shd w:val="clear" w:color="auto" w:fill="00859B"/>
            <w:vAlign w:val="center"/>
          </w:tcPr>
          <w:p w14:paraId="2C5A1EA1"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20</w:t>
            </w:r>
            <w:r>
              <w:rPr>
                <w:rFonts w:cs="Times New Roman"/>
                <w:b/>
                <w:bCs/>
                <w:color w:val="FFFFFF" w:themeColor="background1"/>
                <w:sz w:val="18"/>
                <w:szCs w:val="18"/>
              </w:rPr>
              <w:t>20</w:t>
            </w:r>
            <w:r w:rsidRPr="00027FF4">
              <w:rPr>
                <w:rFonts w:cs="Times New Roman"/>
                <w:b/>
                <w:bCs/>
                <w:color w:val="FFFFFF" w:themeColor="background1"/>
                <w:sz w:val="18"/>
                <w:szCs w:val="18"/>
              </w:rPr>
              <w:t>.gadā</w:t>
            </w:r>
          </w:p>
        </w:tc>
      </w:tr>
      <w:tr w:rsidR="008906ED" w:rsidRPr="00027FF4" w14:paraId="20FCD1CA" w14:textId="77777777" w:rsidTr="008906ED">
        <w:trPr>
          <w:trHeight w:val="316"/>
          <w:tblHeader/>
        </w:trPr>
        <w:tc>
          <w:tcPr>
            <w:tcW w:w="379" w:type="pct"/>
            <w:vMerge/>
            <w:shd w:val="clear" w:color="auto" w:fill="00859B"/>
            <w:vAlign w:val="center"/>
          </w:tcPr>
          <w:p w14:paraId="2F4FC1ED" w14:textId="77777777" w:rsidR="008906ED" w:rsidRPr="00027FF4" w:rsidRDefault="008906ED" w:rsidP="008906ED">
            <w:pPr>
              <w:spacing w:after="0" w:line="240" w:lineRule="auto"/>
              <w:jc w:val="center"/>
              <w:rPr>
                <w:rFonts w:cs="Times New Roman"/>
                <w:b/>
                <w:bCs/>
                <w:color w:val="FFFFFF" w:themeColor="background1"/>
                <w:sz w:val="18"/>
                <w:szCs w:val="18"/>
              </w:rPr>
            </w:pPr>
          </w:p>
        </w:tc>
        <w:tc>
          <w:tcPr>
            <w:tcW w:w="2273" w:type="pct"/>
            <w:vMerge/>
            <w:shd w:val="clear" w:color="auto" w:fill="00859B"/>
            <w:vAlign w:val="center"/>
          </w:tcPr>
          <w:p w14:paraId="21CF6296" w14:textId="77777777" w:rsidR="008906ED" w:rsidRPr="00027FF4" w:rsidRDefault="008906ED" w:rsidP="008906ED">
            <w:pPr>
              <w:spacing w:after="0" w:line="240" w:lineRule="auto"/>
              <w:jc w:val="center"/>
              <w:rPr>
                <w:rFonts w:cs="Times New Roman"/>
                <w:b/>
                <w:color w:val="FFFFFF" w:themeColor="background1"/>
                <w:sz w:val="18"/>
                <w:szCs w:val="18"/>
              </w:rPr>
            </w:pPr>
          </w:p>
        </w:tc>
        <w:tc>
          <w:tcPr>
            <w:tcW w:w="833" w:type="pct"/>
            <w:vMerge/>
            <w:shd w:val="clear" w:color="auto" w:fill="00859B"/>
            <w:vAlign w:val="center"/>
          </w:tcPr>
          <w:p w14:paraId="2C05E4E4" w14:textId="77777777" w:rsidR="008906ED" w:rsidRPr="00027FF4" w:rsidRDefault="008906ED" w:rsidP="008906ED">
            <w:pPr>
              <w:spacing w:after="0" w:line="240" w:lineRule="auto"/>
              <w:jc w:val="center"/>
              <w:rPr>
                <w:rFonts w:cs="Times New Roman"/>
                <w:b/>
                <w:color w:val="FFFFFF" w:themeColor="background1"/>
                <w:sz w:val="18"/>
                <w:szCs w:val="18"/>
              </w:rPr>
            </w:pPr>
          </w:p>
        </w:tc>
        <w:tc>
          <w:tcPr>
            <w:tcW w:w="757" w:type="pct"/>
            <w:shd w:val="clear" w:color="auto" w:fill="00859B"/>
            <w:vAlign w:val="center"/>
          </w:tcPr>
          <w:p w14:paraId="792AD4D8" w14:textId="77777777" w:rsidR="008906ED" w:rsidRPr="00027FF4" w:rsidRDefault="008906ED" w:rsidP="008906ED">
            <w:pPr>
              <w:spacing w:after="0" w:line="240" w:lineRule="auto"/>
              <w:jc w:val="center"/>
              <w:rPr>
                <w:rFonts w:cs="Times New Roman"/>
                <w:b/>
                <w:color w:val="FFFFFF" w:themeColor="background1"/>
                <w:sz w:val="18"/>
                <w:szCs w:val="18"/>
              </w:rPr>
            </w:pPr>
            <w:r w:rsidRPr="00027FF4">
              <w:rPr>
                <w:rFonts w:cs="Times New Roman"/>
                <w:b/>
                <w:color w:val="FFFFFF" w:themeColor="background1"/>
                <w:sz w:val="18"/>
                <w:szCs w:val="18"/>
              </w:rPr>
              <w:t>apstiprināts</w:t>
            </w:r>
          </w:p>
        </w:tc>
        <w:tc>
          <w:tcPr>
            <w:tcW w:w="758" w:type="pct"/>
            <w:shd w:val="clear" w:color="auto" w:fill="00859B"/>
            <w:vAlign w:val="center"/>
          </w:tcPr>
          <w:p w14:paraId="7B345063" w14:textId="77777777" w:rsidR="008906ED" w:rsidRPr="00027FF4" w:rsidRDefault="008906ED" w:rsidP="008906ED">
            <w:pPr>
              <w:spacing w:after="0" w:line="240" w:lineRule="auto"/>
              <w:jc w:val="center"/>
              <w:rPr>
                <w:rFonts w:cs="Times New Roman"/>
                <w:b/>
                <w:color w:val="FFFFFF" w:themeColor="background1"/>
                <w:sz w:val="18"/>
                <w:szCs w:val="18"/>
              </w:rPr>
            </w:pPr>
            <w:r w:rsidRPr="00027FF4">
              <w:rPr>
                <w:rFonts w:cs="Times New Roman"/>
                <w:b/>
                <w:color w:val="FFFFFF" w:themeColor="background1"/>
                <w:sz w:val="18"/>
                <w:szCs w:val="18"/>
              </w:rPr>
              <w:t>faktiskā izpilde</w:t>
            </w:r>
          </w:p>
        </w:tc>
      </w:tr>
      <w:tr w:rsidR="008906ED" w:rsidRPr="00027FF4" w14:paraId="3A398B57" w14:textId="77777777" w:rsidTr="008906ED">
        <w:tc>
          <w:tcPr>
            <w:tcW w:w="379" w:type="pct"/>
            <w:shd w:val="clear" w:color="auto" w:fill="DAEEF3" w:themeFill="accent5" w:themeFillTint="33"/>
            <w:vAlign w:val="center"/>
          </w:tcPr>
          <w:p w14:paraId="1E08F48C" w14:textId="77777777" w:rsidR="008906ED" w:rsidRPr="00027FF4" w:rsidRDefault="008906ED" w:rsidP="007B58FB">
            <w:pPr>
              <w:spacing w:beforeLines="20" w:before="48" w:afterLines="20" w:after="48" w:line="240" w:lineRule="auto"/>
              <w:jc w:val="center"/>
              <w:rPr>
                <w:rFonts w:cs="Times New Roman"/>
                <w:sz w:val="18"/>
                <w:szCs w:val="18"/>
              </w:rPr>
            </w:pPr>
            <w:r w:rsidRPr="00027FF4">
              <w:rPr>
                <w:rFonts w:cs="Times New Roman"/>
                <w:b/>
                <w:bCs/>
                <w:sz w:val="18"/>
                <w:szCs w:val="18"/>
              </w:rPr>
              <w:t>1</w:t>
            </w:r>
            <w:r w:rsidRPr="00027FF4">
              <w:rPr>
                <w:rFonts w:cs="Times New Roman"/>
                <w:sz w:val="18"/>
                <w:szCs w:val="18"/>
              </w:rPr>
              <w:t>.</w:t>
            </w:r>
          </w:p>
        </w:tc>
        <w:tc>
          <w:tcPr>
            <w:tcW w:w="2273" w:type="pct"/>
            <w:shd w:val="clear" w:color="auto" w:fill="DAEEF3" w:themeFill="accent5" w:themeFillTint="33"/>
            <w:vAlign w:val="center"/>
          </w:tcPr>
          <w:p w14:paraId="589A613F" w14:textId="77777777" w:rsidR="008906ED" w:rsidRPr="00027FF4" w:rsidRDefault="008906ED" w:rsidP="007B58FB">
            <w:pPr>
              <w:spacing w:beforeLines="20" w:before="48" w:afterLines="20" w:after="48" w:line="240" w:lineRule="auto"/>
              <w:rPr>
                <w:rFonts w:cs="Times New Roman"/>
                <w:b/>
                <w:sz w:val="18"/>
                <w:szCs w:val="18"/>
              </w:rPr>
            </w:pPr>
            <w:r w:rsidRPr="00027FF4">
              <w:rPr>
                <w:rFonts w:cs="Times New Roman"/>
                <w:b/>
                <w:sz w:val="18"/>
                <w:szCs w:val="18"/>
              </w:rPr>
              <w:t>Finanšu resursi izdevumu segšanai (kopā)</w:t>
            </w:r>
          </w:p>
        </w:tc>
        <w:tc>
          <w:tcPr>
            <w:tcW w:w="833" w:type="pct"/>
            <w:shd w:val="clear" w:color="auto" w:fill="DAEEF3" w:themeFill="accent5" w:themeFillTint="33"/>
            <w:vAlign w:val="center"/>
          </w:tcPr>
          <w:p w14:paraId="3591852E" w14:textId="77777777" w:rsidR="008906ED" w:rsidRPr="00027FF4" w:rsidRDefault="008906ED" w:rsidP="007B58FB">
            <w:pPr>
              <w:spacing w:beforeLines="20" w:before="48" w:afterLines="20" w:after="48" w:line="240" w:lineRule="auto"/>
              <w:jc w:val="right"/>
              <w:rPr>
                <w:rFonts w:cs="Times New Roman"/>
                <w:b/>
                <w:bCs/>
                <w:sz w:val="18"/>
                <w:szCs w:val="18"/>
              </w:rPr>
            </w:pPr>
            <w:r w:rsidRPr="00027FF4">
              <w:rPr>
                <w:rFonts w:cs="Times New Roman"/>
                <w:b/>
                <w:bCs/>
                <w:sz w:val="18"/>
                <w:szCs w:val="18"/>
              </w:rPr>
              <w:t>99 038 866</w:t>
            </w:r>
          </w:p>
        </w:tc>
        <w:tc>
          <w:tcPr>
            <w:tcW w:w="757" w:type="pct"/>
            <w:shd w:val="clear" w:color="auto" w:fill="DAEEF3" w:themeFill="accent5" w:themeFillTint="33"/>
            <w:vAlign w:val="center"/>
          </w:tcPr>
          <w:p w14:paraId="2AAF00A4" w14:textId="77777777" w:rsidR="008906ED" w:rsidRPr="00027FF4" w:rsidRDefault="008906ED" w:rsidP="007B58FB">
            <w:pPr>
              <w:spacing w:beforeLines="20" w:before="48" w:afterLines="20" w:after="48" w:line="240" w:lineRule="auto"/>
              <w:jc w:val="right"/>
              <w:rPr>
                <w:rFonts w:cs="Times New Roman"/>
                <w:b/>
                <w:bCs/>
                <w:sz w:val="18"/>
                <w:szCs w:val="18"/>
              </w:rPr>
            </w:pPr>
            <w:r w:rsidRPr="003F47B5">
              <w:rPr>
                <w:rFonts w:cs="Times New Roman"/>
                <w:b/>
                <w:bCs/>
                <w:sz w:val="18"/>
                <w:szCs w:val="18"/>
              </w:rPr>
              <w:t>331</w:t>
            </w:r>
            <w:r w:rsidR="00710613">
              <w:rPr>
                <w:rFonts w:cs="Times New Roman"/>
                <w:b/>
                <w:bCs/>
                <w:sz w:val="18"/>
                <w:szCs w:val="18"/>
              </w:rPr>
              <w:t> </w:t>
            </w:r>
            <w:r w:rsidRPr="003F47B5">
              <w:rPr>
                <w:rFonts w:cs="Times New Roman"/>
                <w:b/>
                <w:bCs/>
                <w:sz w:val="18"/>
                <w:szCs w:val="18"/>
              </w:rPr>
              <w:t>865</w:t>
            </w:r>
            <w:r w:rsidR="00710613">
              <w:rPr>
                <w:rFonts w:cs="Times New Roman"/>
                <w:b/>
                <w:bCs/>
                <w:sz w:val="18"/>
                <w:szCs w:val="18"/>
              </w:rPr>
              <w:t> </w:t>
            </w:r>
            <w:r w:rsidRPr="003F47B5">
              <w:rPr>
                <w:rFonts w:cs="Times New Roman"/>
                <w:b/>
                <w:bCs/>
                <w:sz w:val="18"/>
                <w:szCs w:val="18"/>
              </w:rPr>
              <w:t>717</w:t>
            </w:r>
          </w:p>
        </w:tc>
        <w:tc>
          <w:tcPr>
            <w:tcW w:w="758" w:type="pct"/>
            <w:shd w:val="clear" w:color="auto" w:fill="DAEEF3" w:themeFill="accent5" w:themeFillTint="33"/>
            <w:vAlign w:val="center"/>
          </w:tcPr>
          <w:p w14:paraId="16B85FA2" w14:textId="77777777" w:rsidR="008906ED" w:rsidRPr="00027FF4" w:rsidRDefault="008906ED" w:rsidP="007B58FB">
            <w:pPr>
              <w:spacing w:beforeLines="20" w:before="48" w:afterLines="20" w:after="48" w:line="240" w:lineRule="auto"/>
              <w:jc w:val="right"/>
              <w:rPr>
                <w:rFonts w:cs="Times New Roman"/>
                <w:b/>
                <w:bCs/>
                <w:sz w:val="18"/>
                <w:szCs w:val="18"/>
              </w:rPr>
            </w:pPr>
            <w:r w:rsidRPr="002F0D4B">
              <w:rPr>
                <w:rFonts w:cs="Times New Roman"/>
                <w:b/>
                <w:bCs/>
                <w:sz w:val="18"/>
                <w:szCs w:val="18"/>
              </w:rPr>
              <w:t>310</w:t>
            </w:r>
            <w:r w:rsidR="00710613">
              <w:rPr>
                <w:rFonts w:cs="Times New Roman"/>
                <w:b/>
                <w:bCs/>
                <w:sz w:val="18"/>
                <w:szCs w:val="18"/>
              </w:rPr>
              <w:t> </w:t>
            </w:r>
            <w:r w:rsidRPr="002F0D4B">
              <w:rPr>
                <w:rFonts w:cs="Times New Roman"/>
                <w:b/>
                <w:bCs/>
                <w:sz w:val="18"/>
                <w:szCs w:val="18"/>
              </w:rPr>
              <w:t>555</w:t>
            </w:r>
            <w:r w:rsidR="00710613">
              <w:rPr>
                <w:rFonts w:cs="Times New Roman"/>
                <w:b/>
                <w:bCs/>
                <w:sz w:val="18"/>
                <w:szCs w:val="18"/>
              </w:rPr>
              <w:t> </w:t>
            </w:r>
            <w:r w:rsidRPr="002F0D4B">
              <w:rPr>
                <w:rFonts w:cs="Times New Roman"/>
                <w:b/>
                <w:bCs/>
                <w:sz w:val="18"/>
                <w:szCs w:val="18"/>
              </w:rPr>
              <w:t>339</w:t>
            </w:r>
          </w:p>
        </w:tc>
      </w:tr>
      <w:tr w:rsidR="008906ED" w:rsidRPr="00027FF4" w14:paraId="0610E256" w14:textId="77777777" w:rsidTr="008906ED">
        <w:tc>
          <w:tcPr>
            <w:tcW w:w="379" w:type="pct"/>
            <w:shd w:val="clear" w:color="auto" w:fill="auto"/>
          </w:tcPr>
          <w:p w14:paraId="4CA35901"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1.1.</w:t>
            </w:r>
          </w:p>
        </w:tc>
        <w:tc>
          <w:tcPr>
            <w:tcW w:w="2273" w:type="pct"/>
            <w:shd w:val="clear" w:color="auto" w:fill="auto"/>
            <w:vAlign w:val="center"/>
          </w:tcPr>
          <w:p w14:paraId="319A5162"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dotācijas no vispārējiem ieņēmumiem</w:t>
            </w:r>
          </w:p>
        </w:tc>
        <w:tc>
          <w:tcPr>
            <w:tcW w:w="833" w:type="pct"/>
            <w:shd w:val="clear" w:color="auto" w:fill="auto"/>
            <w:vAlign w:val="center"/>
          </w:tcPr>
          <w:p w14:paraId="0830E429"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92 719 604</w:t>
            </w:r>
          </w:p>
        </w:tc>
        <w:tc>
          <w:tcPr>
            <w:tcW w:w="757" w:type="pct"/>
            <w:shd w:val="clear" w:color="auto" w:fill="auto"/>
            <w:vAlign w:val="center"/>
          </w:tcPr>
          <w:p w14:paraId="56ADBE47"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326</w:t>
            </w:r>
            <w:r w:rsidR="00710613">
              <w:rPr>
                <w:rFonts w:cs="Times New Roman"/>
                <w:sz w:val="18"/>
                <w:szCs w:val="18"/>
              </w:rPr>
              <w:t> </w:t>
            </w:r>
            <w:r w:rsidRPr="003F47B5">
              <w:rPr>
                <w:rFonts w:cs="Times New Roman"/>
                <w:sz w:val="18"/>
                <w:szCs w:val="18"/>
              </w:rPr>
              <w:t>937</w:t>
            </w:r>
            <w:r w:rsidR="00710613">
              <w:rPr>
                <w:rFonts w:cs="Times New Roman"/>
                <w:sz w:val="18"/>
                <w:szCs w:val="18"/>
              </w:rPr>
              <w:t> </w:t>
            </w:r>
            <w:r w:rsidRPr="003F47B5">
              <w:rPr>
                <w:rFonts w:cs="Times New Roman"/>
                <w:sz w:val="18"/>
                <w:szCs w:val="18"/>
              </w:rPr>
              <w:t>873</w:t>
            </w:r>
          </w:p>
        </w:tc>
        <w:tc>
          <w:tcPr>
            <w:tcW w:w="758" w:type="pct"/>
            <w:shd w:val="clear" w:color="auto" w:fill="auto"/>
            <w:vAlign w:val="center"/>
          </w:tcPr>
          <w:p w14:paraId="62698B46"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305</w:t>
            </w:r>
            <w:r w:rsidR="00710613">
              <w:rPr>
                <w:rFonts w:cs="Times New Roman"/>
                <w:sz w:val="18"/>
                <w:szCs w:val="18"/>
              </w:rPr>
              <w:t> </w:t>
            </w:r>
            <w:r w:rsidRPr="002F0D4B">
              <w:rPr>
                <w:rFonts w:cs="Times New Roman"/>
                <w:sz w:val="18"/>
                <w:szCs w:val="18"/>
              </w:rPr>
              <w:t>482</w:t>
            </w:r>
            <w:r w:rsidR="00710613">
              <w:rPr>
                <w:rFonts w:cs="Times New Roman"/>
                <w:sz w:val="18"/>
                <w:szCs w:val="18"/>
              </w:rPr>
              <w:t> </w:t>
            </w:r>
            <w:r w:rsidRPr="002F0D4B">
              <w:rPr>
                <w:rFonts w:cs="Times New Roman"/>
                <w:sz w:val="18"/>
                <w:szCs w:val="18"/>
              </w:rPr>
              <w:t>941</w:t>
            </w:r>
          </w:p>
        </w:tc>
      </w:tr>
      <w:tr w:rsidR="008906ED" w:rsidRPr="00027FF4" w14:paraId="2775DDDA" w14:textId="77777777" w:rsidTr="008906ED">
        <w:tc>
          <w:tcPr>
            <w:tcW w:w="379" w:type="pct"/>
            <w:shd w:val="clear" w:color="auto" w:fill="auto"/>
          </w:tcPr>
          <w:p w14:paraId="50C7B1EB"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1.2.</w:t>
            </w:r>
          </w:p>
        </w:tc>
        <w:tc>
          <w:tcPr>
            <w:tcW w:w="2273" w:type="pct"/>
            <w:shd w:val="clear" w:color="auto" w:fill="auto"/>
            <w:vAlign w:val="center"/>
          </w:tcPr>
          <w:p w14:paraId="18015273"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maksas pakalpojumi un citi pašu ieņēmumi</w:t>
            </w:r>
          </w:p>
        </w:tc>
        <w:tc>
          <w:tcPr>
            <w:tcW w:w="833" w:type="pct"/>
            <w:shd w:val="clear" w:color="auto" w:fill="auto"/>
            <w:vAlign w:val="center"/>
          </w:tcPr>
          <w:p w14:paraId="05C4C399"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5 306 214</w:t>
            </w:r>
          </w:p>
        </w:tc>
        <w:tc>
          <w:tcPr>
            <w:tcW w:w="757" w:type="pct"/>
            <w:shd w:val="clear" w:color="auto" w:fill="auto"/>
            <w:vAlign w:val="center"/>
          </w:tcPr>
          <w:p w14:paraId="68907270"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3</w:t>
            </w:r>
            <w:r w:rsidR="00710613">
              <w:rPr>
                <w:rFonts w:cs="Times New Roman"/>
                <w:sz w:val="18"/>
                <w:szCs w:val="18"/>
              </w:rPr>
              <w:t> </w:t>
            </w:r>
            <w:r w:rsidRPr="003F47B5">
              <w:rPr>
                <w:rFonts w:cs="Times New Roman"/>
                <w:sz w:val="18"/>
                <w:szCs w:val="18"/>
              </w:rPr>
              <w:t>702</w:t>
            </w:r>
            <w:r w:rsidR="00710613">
              <w:rPr>
                <w:rFonts w:cs="Times New Roman"/>
                <w:sz w:val="18"/>
                <w:szCs w:val="18"/>
              </w:rPr>
              <w:t> </w:t>
            </w:r>
            <w:r w:rsidRPr="003F47B5">
              <w:rPr>
                <w:rFonts w:cs="Times New Roman"/>
                <w:sz w:val="18"/>
                <w:szCs w:val="18"/>
              </w:rPr>
              <w:t>098</w:t>
            </w:r>
          </w:p>
        </w:tc>
        <w:tc>
          <w:tcPr>
            <w:tcW w:w="758" w:type="pct"/>
            <w:shd w:val="clear" w:color="auto" w:fill="auto"/>
            <w:vAlign w:val="center"/>
          </w:tcPr>
          <w:p w14:paraId="088312D3"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4</w:t>
            </w:r>
            <w:r w:rsidR="00710613">
              <w:rPr>
                <w:rFonts w:cs="Times New Roman"/>
                <w:sz w:val="18"/>
                <w:szCs w:val="18"/>
              </w:rPr>
              <w:t> </w:t>
            </w:r>
            <w:r w:rsidRPr="002F0D4B">
              <w:rPr>
                <w:rFonts w:cs="Times New Roman"/>
                <w:sz w:val="18"/>
                <w:szCs w:val="18"/>
              </w:rPr>
              <w:t>198</w:t>
            </w:r>
            <w:r w:rsidR="00710613">
              <w:rPr>
                <w:rFonts w:cs="Times New Roman"/>
                <w:sz w:val="18"/>
                <w:szCs w:val="18"/>
              </w:rPr>
              <w:t> </w:t>
            </w:r>
            <w:r w:rsidRPr="002F0D4B">
              <w:rPr>
                <w:rFonts w:cs="Times New Roman"/>
                <w:sz w:val="18"/>
                <w:szCs w:val="18"/>
              </w:rPr>
              <w:t>051</w:t>
            </w:r>
          </w:p>
        </w:tc>
      </w:tr>
      <w:tr w:rsidR="008906ED" w:rsidRPr="00027FF4" w14:paraId="01385AC4" w14:textId="77777777" w:rsidTr="008906ED">
        <w:tc>
          <w:tcPr>
            <w:tcW w:w="379" w:type="pct"/>
            <w:shd w:val="clear" w:color="auto" w:fill="auto"/>
          </w:tcPr>
          <w:p w14:paraId="6FCCCCAF"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1.3.</w:t>
            </w:r>
          </w:p>
        </w:tc>
        <w:tc>
          <w:tcPr>
            <w:tcW w:w="2273" w:type="pct"/>
            <w:shd w:val="clear" w:color="auto" w:fill="auto"/>
            <w:vAlign w:val="center"/>
          </w:tcPr>
          <w:p w14:paraId="1ED54346"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ārvalstu finanšu palīdzība</w:t>
            </w:r>
          </w:p>
        </w:tc>
        <w:tc>
          <w:tcPr>
            <w:tcW w:w="833" w:type="pct"/>
            <w:shd w:val="clear" w:color="auto" w:fill="auto"/>
            <w:vAlign w:val="center"/>
          </w:tcPr>
          <w:p w14:paraId="768284E8"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652 125</w:t>
            </w:r>
          </w:p>
        </w:tc>
        <w:tc>
          <w:tcPr>
            <w:tcW w:w="757" w:type="pct"/>
            <w:shd w:val="clear" w:color="auto" w:fill="auto"/>
            <w:vAlign w:val="center"/>
          </w:tcPr>
          <w:p w14:paraId="0831A621"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1</w:t>
            </w:r>
            <w:r w:rsidR="00710613">
              <w:rPr>
                <w:rFonts w:cs="Times New Roman"/>
                <w:sz w:val="18"/>
                <w:szCs w:val="18"/>
              </w:rPr>
              <w:t> </w:t>
            </w:r>
            <w:r w:rsidRPr="003F47B5">
              <w:rPr>
                <w:rFonts w:cs="Times New Roman"/>
                <w:sz w:val="18"/>
                <w:szCs w:val="18"/>
              </w:rPr>
              <w:t>093</w:t>
            </w:r>
            <w:r w:rsidR="00710613">
              <w:rPr>
                <w:rFonts w:cs="Times New Roman"/>
                <w:sz w:val="18"/>
                <w:szCs w:val="18"/>
              </w:rPr>
              <w:t> </w:t>
            </w:r>
            <w:r w:rsidRPr="003F47B5">
              <w:rPr>
                <w:rFonts w:cs="Times New Roman"/>
                <w:sz w:val="18"/>
                <w:szCs w:val="18"/>
              </w:rPr>
              <w:t>061</w:t>
            </w:r>
          </w:p>
        </w:tc>
        <w:tc>
          <w:tcPr>
            <w:tcW w:w="758" w:type="pct"/>
            <w:shd w:val="clear" w:color="auto" w:fill="auto"/>
            <w:vAlign w:val="center"/>
          </w:tcPr>
          <w:p w14:paraId="73BEFE8D"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748</w:t>
            </w:r>
            <w:r w:rsidR="00710613">
              <w:rPr>
                <w:rFonts w:cs="Times New Roman"/>
                <w:sz w:val="18"/>
                <w:szCs w:val="18"/>
              </w:rPr>
              <w:t> </w:t>
            </w:r>
            <w:r w:rsidRPr="002F0D4B">
              <w:rPr>
                <w:rFonts w:cs="Times New Roman"/>
                <w:sz w:val="18"/>
                <w:szCs w:val="18"/>
              </w:rPr>
              <w:t>179</w:t>
            </w:r>
          </w:p>
        </w:tc>
      </w:tr>
      <w:tr w:rsidR="008906ED" w:rsidRPr="00027FF4" w14:paraId="5B440046" w14:textId="77777777" w:rsidTr="008906ED">
        <w:tc>
          <w:tcPr>
            <w:tcW w:w="379" w:type="pct"/>
            <w:shd w:val="clear" w:color="auto" w:fill="auto"/>
          </w:tcPr>
          <w:p w14:paraId="69FEC846"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1.4.</w:t>
            </w:r>
          </w:p>
        </w:tc>
        <w:tc>
          <w:tcPr>
            <w:tcW w:w="2273" w:type="pct"/>
            <w:shd w:val="clear" w:color="auto" w:fill="auto"/>
            <w:vAlign w:val="center"/>
          </w:tcPr>
          <w:p w14:paraId="6E5612AC"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transferti</w:t>
            </w:r>
          </w:p>
        </w:tc>
        <w:tc>
          <w:tcPr>
            <w:tcW w:w="833" w:type="pct"/>
            <w:shd w:val="clear" w:color="auto" w:fill="auto"/>
            <w:vAlign w:val="center"/>
          </w:tcPr>
          <w:p w14:paraId="771755B4"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360 923</w:t>
            </w:r>
          </w:p>
        </w:tc>
        <w:tc>
          <w:tcPr>
            <w:tcW w:w="757" w:type="pct"/>
            <w:shd w:val="clear" w:color="auto" w:fill="auto"/>
            <w:vAlign w:val="center"/>
          </w:tcPr>
          <w:p w14:paraId="553FD918"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132</w:t>
            </w:r>
            <w:r w:rsidR="00710613">
              <w:rPr>
                <w:rFonts w:cs="Times New Roman"/>
                <w:sz w:val="18"/>
                <w:szCs w:val="18"/>
              </w:rPr>
              <w:t> </w:t>
            </w:r>
            <w:r w:rsidRPr="003F47B5">
              <w:rPr>
                <w:rFonts w:cs="Times New Roman"/>
                <w:sz w:val="18"/>
                <w:szCs w:val="18"/>
              </w:rPr>
              <w:t>685</w:t>
            </w:r>
          </w:p>
        </w:tc>
        <w:tc>
          <w:tcPr>
            <w:tcW w:w="758" w:type="pct"/>
            <w:shd w:val="clear" w:color="auto" w:fill="auto"/>
            <w:vAlign w:val="center"/>
          </w:tcPr>
          <w:p w14:paraId="0D784D8E"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126</w:t>
            </w:r>
            <w:r w:rsidR="00710613">
              <w:rPr>
                <w:rFonts w:cs="Times New Roman"/>
                <w:sz w:val="18"/>
                <w:szCs w:val="18"/>
              </w:rPr>
              <w:t> </w:t>
            </w:r>
            <w:r w:rsidRPr="002F0D4B">
              <w:rPr>
                <w:rFonts w:cs="Times New Roman"/>
                <w:sz w:val="18"/>
                <w:szCs w:val="18"/>
              </w:rPr>
              <w:t>167</w:t>
            </w:r>
          </w:p>
        </w:tc>
      </w:tr>
      <w:tr w:rsidR="008906ED" w:rsidRPr="00027FF4" w14:paraId="364936FC" w14:textId="77777777" w:rsidTr="008906ED">
        <w:tc>
          <w:tcPr>
            <w:tcW w:w="379" w:type="pct"/>
            <w:shd w:val="clear" w:color="auto" w:fill="DAEEF3" w:themeFill="accent5" w:themeFillTint="33"/>
          </w:tcPr>
          <w:p w14:paraId="5ACB6667" w14:textId="77777777" w:rsidR="008906ED" w:rsidRPr="00027FF4" w:rsidRDefault="008906ED" w:rsidP="007B58FB">
            <w:pPr>
              <w:spacing w:beforeLines="20" w:before="48" w:afterLines="20" w:after="48" w:line="240" w:lineRule="auto"/>
              <w:jc w:val="center"/>
              <w:rPr>
                <w:rFonts w:cs="Times New Roman"/>
                <w:b/>
                <w:bCs/>
                <w:sz w:val="18"/>
                <w:szCs w:val="18"/>
              </w:rPr>
            </w:pPr>
            <w:r w:rsidRPr="00027FF4">
              <w:rPr>
                <w:rFonts w:cs="Times New Roman"/>
                <w:b/>
                <w:bCs/>
                <w:sz w:val="18"/>
                <w:szCs w:val="18"/>
              </w:rPr>
              <w:t>2.</w:t>
            </w:r>
          </w:p>
        </w:tc>
        <w:tc>
          <w:tcPr>
            <w:tcW w:w="2273" w:type="pct"/>
            <w:shd w:val="clear" w:color="auto" w:fill="DAEEF3" w:themeFill="accent5" w:themeFillTint="33"/>
            <w:vAlign w:val="center"/>
          </w:tcPr>
          <w:p w14:paraId="4824699D" w14:textId="77777777" w:rsidR="008906ED" w:rsidRPr="00027FF4" w:rsidRDefault="008906ED" w:rsidP="007B58FB">
            <w:pPr>
              <w:spacing w:beforeLines="20" w:before="48" w:afterLines="20" w:after="48" w:line="240" w:lineRule="auto"/>
              <w:rPr>
                <w:rFonts w:cs="Times New Roman"/>
                <w:b/>
                <w:sz w:val="18"/>
                <w:szCs w:val="18"/>
              </w:rPr>
            </w:pPr>
            <w:r w:rsidRPr="00027FF4">
              <w:rPr>
                <w:rFonts w:cs="Times New Roman"/>
                <w:b/>
                <w:sz w:val="18"/>
                <w:szCs w:val="18"/>
              </w:rPr>
              <w:t>Izdevumi (kopā)</w:t>
            </w:r>
          </w:p>
        </w:tc>
        <w:tc>
          <w:tcPr>
            <w:tcW w:w="833" w:type="pct"/>
            <w:shd w:val="clear" w:color="auto" w:fill="DAEEF3" w:themeFill="accent5" w:themeFillTint="33"/>
            <w:vAlign w:val="center"/>
          </w:tcPr>
          <w:p w14:paraId="37F490F7" w14:textId="77777777" w:rsidR="008906ED" w:rsidRPr="00027FF4" w:rsidRDefault="008906ED" w:rsidP="007B58FB">
            <w:pPr>
              <w:spacing w:beforeLines="20" w:before="48" w:afterLines="20" w:after="48" w:line="240" w:lineRule="auto"/>
              <w:jc w:val="right"/>
              <w:rPr>
                <w:rFonts w:cs="Times New Roman"/>
                <w:b/>
                <w:bCs/>
                <w:sz w:val="18"/>
                <w:szCs w:val="18"/>
              </w:rPr>
            </w:pPr>
            <w:r w:rsidRPr="00027FF4">
              <w:rPr>
                <w:rFonts w:cs="Times New Roman"/>
                <w:b/>
                <w:bCs/>
                <w:sz w:val="18"/>
                <w:szCs w:val="18"/>
              </w:rPr>
              <w:t>98 799 446</w:t>
            </w:r>
          </w:p>
        </w:tc>
        <w:tc>
          <w:tcPr>
            <w:tcW w:w="757" w:type="pct"/>
            <w:shd w:val="clear" w:color="auto" w:fill="DAEEF3" w:themeFill="accent5" w:themeFillTint="33"/>
            <w:vAlign w:val="center"/>
          </w:tcPr>
          <w:p w14:paraId="3C6A20E8" w14:textId="77777777" w:rsidR="008906ED" w:rsidRPr="00027FF4" w:rsidRDefault="008906ED" w:rsidP="007B58FB">
            <w:pPr>
              <w:spacing w:beforeLines="20" w:before="48" w:afterLines="20" w:after="48" w:line="240" w:lineRule="auto"/>
              <w:jc w:val="right"/>
              <w:rPr>
                <w:rFonts w:cs="Times New Roman"/>
                <w:b/>
                <w:bCs/>
                <w:sz w:val="18"/>
                <w:szCs w:val="18"/>
              </w:rPr>
            </w:pPr>
            <w:r w:rsidRPr="003F47B5">
              <w:rPr>
                <w:rFonts w:cs="Times New Roman"/>
                <w:b/>
                <w:bCs/>
                <w:sz w:val="18"/>
                <w:szCs w:val="18"/>
              </w:rPr>
              <w:t>332</w:t>
            </w:r>
            <w:r w:rsidR="00710613">
              <w:rPr>
                <w:rFonts w:cs="Times New Roman"/>
                <w:b/>
                <w:bCs/>
                <w:sz w:val="18"/>
                <w:szCs w:val="18"/>
              </w:rPr>
              <w:t> </w:t>
            </w:r>
            <w:r w:rsidRPr="003F47B5">
              <w:rPr>
                <w:rFonts w:cs="Times New Roman"/>
                <w:b/>
                <w:bCs/>
                <w:sz w:val="18"/>
                <w:szCs w:val="18"/>
              </w:rPr>
              <w:t>298</w:t>
            </w:r>
            <w:r w:rsidR="00710613">
              <w:rPr>
                <w:rFonts w:cs="Times New Roman"/>
                <w:b/>
                <w:bCs/>
                <w:sz w:val="18"/>
                <w:szCs w:val="18"/>
              </w:rPr>
              <w:t> </w:t>
            </w:r>
            <w:r w:rsidRPr="003F47B5">
              <w:rPr>
                <w:rFonts w:cs="Times New Roman"/>
                <w:b/>
                <w:bCs/>
                <w:sz w:val="18"/>
                <w:szCs w:val="18"/>
              </w:rPr>
              <w:t>957</w:t>
            </w:r>
          </w:p>
        </w:tc>
        <w:tc>
          <w:tcPr>
            <w:tcW w:w="758" w:type="pct"/>
            <w:shd w:val="clear" w:color="auto" w:fill="DAEEF3" w:themeFill="accent5" w:themeFillTint="33"/>
            <w:vAlign w:val="center"/>
          </w:tcPr>
          <w:p w14:paraId="4E7D4191" w14:textId="77777777" w:rsidR="008906ED" w:rsidRPr="00027FF4" w:rsidRDefault="008906ED" w:rsidP="007B58FB">
            <w:pPr>
              <w:spacing w:beforeLines="20" w:before="48" w:afterLines="20" w:after="48" w:line="240" w:lineRule="auto"/>
              <w:jc w:val="right"/>
              <w:rPr>
                <w:rFonts w:cs="Times New Roman"/>
                <w:b/>
                <w:bCs/>
                <w:sz w:val="18"/>
                <w:szCs w:val="18"/>
              </w:rPr>
            </w:pPr>
            <w:r w:rsidRPr="002F0D4B">
              <w:rPr>
                <w:rFonts w:cs="Times New Roman"/>
                <w:b/>
                <w:bCs/>
                <w:sz w:val="18"/>
                <w:szCs w:val="18"/>
              </w:rPr>
              <w:t>307</w:t>
            </w:r>
            <w:r w:rsidR="00710613">
              <w:rPr>
                <w:rFonts w:cs="Times New Roman"/>
                <w:b/>
                <w:bCs/>
                <w:sz w:val="18"/>
                <w:szCs w:val="18"/>
              </w:rPr>
              <w:t> </w:t>
            </w:r>
            <w:r w:rsidRPr="002F0D4B">
              <w:rPr>
                <w:rFonts w:cs="Times New Roman"/>
                <w:b/>
                <w:bCs/>
                <w:sz w:val="18"/>
                <w:szCs w:val="18"/>
              </w:rPr>
              <w:t>343</w:t>
            </w:r>
            <w:r w:rsidR="00710613">
              <w:rPr>
                <w:rFonts w:cs="Times New Roman"/>
                <w:b/>
                <w:bCs/>
                <w:sz w:val="18"/>
                <w:szCs w:val="18"/>
              </w:rPr>
              <w:t> </w:t>
            </w:r>
            <w:r w:rsidRPr="002F0D4B">
              <w:rPr>
                <w:rFonts w:cs="Times New Roman"/>
                <w:b/>
                <w:bCs/>
                <w:sz w:val="18"/>
                <w:szCs w:val="18"/>
              </w:rPr>
              <w:t>320</w:t>
            </w:r>
          </w:p>
        </w:tc>
      </w:tr>
      <w:tr w:rsidR="008906ED" w:rsidRPr="00027FF4" w14:paraId="61F9534D" w14:textId="77777777" w:rsidTr="008906ED">
        <w:tc>
          <w:tcPr>
            <w:tcW w:w="379" w:type="pct"/>
            <w:shd w:val="clear" w:color="auto" w:fill="auto"/>
          </w:tcPr>
          <w:p w14:paraId="31CF3D2F"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2.1.</w:t>
            </w:r>
          </w:p>
        </w:tc>
        <w:tc>
          <w:tcPr>
            <w:tcW w:w="2273" w:type="pct"/>
            <w:shd w:val="clear" w:color="auto" w:fill="auto"/>
            <w:vAlign w:val="center"/>
          </w:tcPr>
          <w:p w14:paraId="766B1388"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uzturēšanas izdevumi (kopā)</w:t>
            </w:r>
          </w:p>
        </w:tc>
        <w:tc>
          <w:tcPr>
            <w:tcW w:w="833" w:type="pct"/>
            <w:shd w:val="clear" w:color="auto" w:fill="auto"/>
            <w:vAlign w:val="center"/>
          </w:tcPr>
          <w:p w14:paraId="04D931FC"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96 611 690</w:t>
            </w:r>
          </w:p>
        </w:tc>
        <w:tc>
          <w:tcPr>
            <w:tcW w:w="757" w:type="pct"/>
            <w:shd w:val="clear" w:color="auto" w:fill="auto"/>
            <w:vAlign w:val="center"/>
          </w:tcPr>
          <w:p w14:paraId="1B5F417A"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328</w:t>
            </w:r>
            <w:r w:rsidR="00710613">
              <w:rPr>
                <w:rFonts w:cs="Times New Roman"/>
                <w:sz w:val="18"/>
                <w:szCs w:val="18"/>
              </w:rPr>
              <w:t> </w:t>
            </w:r>
            <w:r w:rsidRPr="003F47B5">
              <w:rPr>
                <w:rFonts w:cs="Times New Roman"/>
                <w:sz w:val="18"/>
                <w:szCs w:val="18"/>
              </w:rPr>
              <w:t>721</w:t>
            </w:r>
            <w:r w:rsidR="00710613">
              <w:rPr>
                <w:rFonts w:cs="Times New Roman"/>
                <w:sz w:val="18"/>
                <w:szCs w:val="18"/>
              </w:rPr>
              <w:t> </w:t>
            </w:r>
            <w:r w:rsidRPr="003F47B5">
              <w:rPr>
                <w:rFonts w:cs="Times New Roman"/>
                <w:sz w:val="18"/>
                <w:szCs w:val="18"/>
              </w:rPr>
              <w:t>234</w:t>
            </w:r>
          </w:p>
        </w:tc>
        <w:tc>
          <w:tcPr>
            <w:tcW w:w="758" w:type="pct"/>
            <w:shd w:val="clear" w:color="auto" w:fill="auto"/>
            <w:vAlign w:val="center"/>
          </w:tcPr>
          <w:p w14:paraId="305FB040"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304</w:t>
            </w:r>
            <w:r w:rsidR="00710613">
              <w:rPr>
                <w:rFonts w:cs="Times New Roman"/>
                <w:sz w:val="18"/>
                <w:szCs w:val="18"/>
              </w:rPr>
              <w:t> </w:t>
            </w:r>
            <w:r w:rsidRPr="002F0D4B">
              <w:rPr>
                <w:rFonts w:cs="Times New Roman"/>
                <w:sz w:val="18"/>
                <w:szCs w:val="18"/>
              </w:rPr>
              <w:t>003</w:t>
            </w:r>
            <w:r w:rsidR="00710613">
              <w:rPr>
                <w:rFonts w:cs="Times New Roman"/>
                <w:sz w:val="18"/>
                <w:szCs w:val="18"/>
              </w:rPr>
              <w:t> </w:t>
            </w:r>
            <w:r w:rsidRPr="002F0D4B">
              <w:rPr>
                <w:rFonts w:cs="Times New Roman"/>
                <w:sz w:val="18"/>
                <w:szCs w:val="18"/>
              </w:rPr>
              <w:t>628</w:t>
            </w:r>
          </w:p>
        </w:tc>
      </w:tr>
      <w:tr w:rsidR="008906ED" w:rsidRPr="00027FF4" w14:paraId="2A191713" w14:textId="77777777" w:rsidTr="008906ED">
        <w:tc>
          <w:tcPr>
            <w:tcW w:w="379" w:type="pct"/>
            <w:shd w:val="clear" w:color="auto" w:fill="auto"/>
          </w:tcPr>
          <w:p w14:paraId="34FD98D3" w14:textId="77777777" w:rsidR="008906ED" w:rsidRPr="00027FF4" w:rsidRDefault="008906ED" w:rsidP="007B58FB">
            <w:pPr>
              <w:spacing w:beforeLines="20" w:before="48" w:afterLines="20" w:after="48" w:line="240" w:lineRule="auto"/>
              <w:jc w:val="right"/>
              <w:rPr>
                <w:rFonts w:cs="Times New Roman"/>
                <w:b/>
                <w:sz w:val="18"/>
                <w:szCs w:val="18"/>
              </w:rPr>
            </w:pPr>
            <w:r w:rsidRPr="00027FF4">
              <w:rPr>
                <w:rFonts w:cs="Times New Roman"/>
                <w:b/>
                <w:sz w:val="18"/>
                <w:szCs w:val="18"/>
              </w:rPr>
              <w:t>2.1.1.</w:t>
            </w:r>
          </w:p>
        </w:tc>
        <w:tc>
          <w:tcPr>
            <w:tcW w:w="2273" w:type="pct"/>
            <w:shd w:val="clear" w:color="auto" w:fill="auto"/>
            <w:vAlign w:val="center"/>
          </w:tcPr>
          <w:p w14:paraId="7FDCA70C"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kārtējie izdevumi</w:t>
            </w:r>
          </w:p>
        </w:tc>
        <w:tc>
          <w:tcPr>
            <w:tcW w:w="833" w:type="pct"/>
            <w:shd w:val="clear" w:color="auto" w:fill="auto"/>
            <w:vAlign w:val="center"/>
          </w:tcPr>
          <w:p w14:paraId="4F0173BD"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64 570 083</w:t>
            </w:r>
          </w:p>
        </w:tc>
        <w:tc>
          <w:tcPr>
            <w:tcW w:w="757" w:type="pct"/>
            <w:shd w:val="clear" w:color="auto" w:fill="auto"/>
            <w:vAlign w:val="center"/>
          </w:tcPr>
          <w:p w14:paraId="05C20795" w14:textId="77777777" w:rsidR="008906ED" w:rsidRPr="00027FF4" w:rsidRDefault="008906ED" w:rsidP="007B58FB">
            <w:pPr>
              <w:spacing w:beforeLines="20" w:before="48" w:afterLines="20" w:after="48" w:line="240" w:lineRule="auto"/>
              <w:jc w:val="right"/>
              <w:rPr>
                <w:rFonts w:cs="Times New Roman"/>
                <w:sz w:val="18"/>
                <w:szCs w:val="18"/>
              </w:rPr>
            </w:pPr>
            <w:r w:rsidRPr="003F47B5">
              <w:rPr>
                <w:rFonts w:cs="Times New Roman"/>
                <w:sz w:val="18"/>
                <w:szCs w:val="18"/>
              </w:rPr>
              <w:t>70</w:t>
            </w:r>
            <w:r w:rsidR="00710613">
              <w:rPr>
                <w:rFonts w:cs="Times New Roman"/>
                <w:sz w:val="18"/>
                <w:szCs w:val="18"/>
              </w:rPr>
              <w:t> </w:t>
            </w:r>
            <w:r w:rsidRPr="003F47B5">
              <w:rPr>
                <w:rFonts w:cs="Times New Roman"/>
                <w:sz w:val="18"/>
                <w:szCs w:val="18"/>
              </w:rPr>
              <w:t>674</w:t>
            </w:r>
            <w:r w:rsidR="00710613">
              <w:rPr>
                <w:rFonts w:cs="Times New Roman"/>
                <w:sz w:val="18"/>
                <w:szCs w:val="18"/>
              </w:rPr>
              <w:t> </w:t>
            </w:r>
            <w:r w:rsidRPr="003F47B5">
              <w:rPr>
                <w:rFonts w:cs="Times New Roman"/>
                <w:sz w:val="18"/>
                <w:szCs w:val="18"/>
              </w:rPr>
              <w:t>672</w:t>
            </w:r>
          </w:p>
        </w:tc>
        <w:tc>
          <w:tcPr>
            <w:tcW w:w="758" w:type="pct"/>
            <w:shd w:val="clear" w:color="auto" w:fill="auto"/>
            <w:vAlign w:val="center"/>
          </w:tcPr>
          <w:p w14:paraId="7FA9A482"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62</w:t>
            </w:r>
            <w:r w:rsidR="00710613">
              <w:rPr>
                <w:rFonts w:cs="Times New Roman"/>
                <w:sz w:val="18"/>
                <w:szCs w:val="18"/>
              </w:rPr>
              <w:t> </w:t>
            </w:r>
            <w:r w:rsidRPr="002F0D4B">
              <w:rPr>
                <w:rFonts w:cs="Times New Roman"/>
                <w:sz w:val="18"/>
                <w:szCs w:val="18"/>
              </w:rPr>
              <w:t>454</w:t>
            </w:r>
            <w:r w:rsidR="00710613">
              <w:rPr>
                <w:rFonts w:cs="Times New Roman"/>
                <w:sz w:val="18"/>
                <w:szCs w:val="18"/>
              </w:rPr>
              <w:t> </w:t>
            </w:r>
            <w:r w:rsidRPr="002F0D4B">
              <w:rPr>
                <w:rFonts w:cs="Times New Roman"/>
                <w:sz w:val="18"/>
                <w:szCs w:val="18"/>
              </w:rPr>
              <w:t>554</w:t>
            </w:r>
          </w:p>
        </w:tc>
      </w:tr>
      <w:tr w:rsidR="008906ED" w:rsidRPr="00027FF4" w14:paraId="11E6268B" w14:textId="77777777" w:rsidTr="008906ED">
        <w:tc>
          <w:tcPr>
            <w:tcW w:w="379" w:type="pct"/>
            <w:shd w:val="clear" w:color="auto" w:fill="auto"/>
          </w:tcPr>
          <w:p w14:paraId="1F96F385" w14:textId="77777777" w:rsidR="008906ED" w:rsidRPr="00027FF4" w:rsidRDefault="008906ED" w:rsidP="007B58FB">
            <w:pPr>
              <w:spacing w:beforeLines="20" w:before="48" w:afterLines="20" w:after="48" w:line="240" w:lineRule="auto"/>
              <w:jc w:val="right"/>
              <w:rPr>
                <w:rFonts w:cs="Times New Roman"/>
                <w:b/>
                <w:sz w:val="18"/>
                <w:szCs w:val="18"/>
              </w:rPr>
            </w:pPr>
            <w:r w:rsidRPr="00027FF4">
              <w:rPr>
                <w:rFonts w:cs="Times New Roman"/>
                <w:b/>
                <w:sz w:val="18"/>
                <w:szCs w:val="18"/>
              </w:rPr>
              <w:t>2.1.2.</w:t>
            </w:r>
          </w:p>
        </w:tc>
        <w:tc>
          <w:tcPr>
            <w:tcW w:w="2273" w:type="pct"/>
            <w:shd w:val="clear" w:color="auto" w:fill="auto"/>
            <w:vAlign w:val="center"/>
          </w:tcPr>
          <w:p w14:paraId="7D08F0F5"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subsīdijas, dotācijas un sociālie pabalsti</w:t>
            </w:r>
          </w:p>
        </w:tc>
        <w:tc>
          <w:tcPr>
            <w:tcW w:w="833" w:type="pct"/>
            <w:shd w:val="clear" w:color="auto" w:fill="auto"/>
            <w:vAlign w:val="center"/>
          </w:tcPr>
          <w:p w14:paraId="5B10D752"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28 193 242</w:t>
            </w:r>
          </w:p>
        </w:tc>
        <w:tc>
          <w:tcPr>
            <w:tcW w:w="757" w:type="pct"/>
            <w:shd w:val="clear" w:color="auto" w:fill="auto"/>
            <w:vAlign w:val="center"/>
          </w:tcPr>
          <w:p w14:paraId="3021496B" w14:textId="77777777" w:rsidR="008906ED" w:rsidRPr="00027FF4" w:rsidRDefault="008906ED" w:rsidP="007B58FB">
            <w:pPr>
              <w:spacing w:beforeLines="20" w:before="48" w:afterLines="20" w:after="48" w:line="240" w:lineRule="auto"/>
              <w:jc w:val="right"/>
              <w:rPr>
                <w:rFonts w:cs="Times New Roman"/>
                <w:sz w:val="18"/>
                <w:szCs w:val="18"/>
              </w:rPr>
            </w:pPr>
            <w:r w:rsidRPr="000F4E1C">
              <w:rPr>
                <w:rFonts w:cs="Times New Roman"/>
                <w:sz w:val="18"/>
                <w:szCs w:val="18"/>
              </w:rPr>
              <w:t>252</w:t>
            </w:r>
            <w:r w:rsidR="00710613">
              <w:rPr>
                <w:rFonts w:cs="Times New Roman"/>
                <w:sz w:val="18"/>
                <w:szCs w:val="18"/>
              </w:rPr>
              <w:t> </w:t>
            </w:r>
            <w:r w:rsidRPr="000F4E1C">
              <w:rPr>
                <w:rFonts w:cs="Times New Roman"/>
                <w:sz w:val="18"/>
                <w:szCs w:val="18"/>
              </w:rPr>
              <w:t>361</w:t>
            </w:r>
            <w:r w:rsidR="00710613">
              <w:rPr>
                <w:rFonts w:cs="Times New Roman"/>
                <w:sz w:val="18"/>
                <w:szCs w:val="18"/>
              </w:rPr>
              <w:t> </w:t>
            </w:r>
            <w:r w:rsidRPr="000F4E1C">
              <w:rPr>
                <w:rFonts w:cs="Times New Roman"/>
                <w:sz w:val="18"/>
                <w:szCs w:val="18"/>
              </w:rPr>
              <w:t>969</w:t>
            </w:r>
          </w:p>
        </w:tc>
        <w:tc>
          <w:tcPr>
            <w:tcW w:w="758" w:type="pct"/>
            <w:shd w:val="clear" w:color="auto" w:fill="auto"/>
            <w:vAlign w:val="center"/>
          </w:tcPr>
          <w:p w14:paraId="080A658A"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236</w:t>
            </w:r>
            <w:r w:rsidR="00710613">
              <w:rPr>
                <w:rFonts w:cs="Times New Roman"/>
                <w:sz w:val="18"/>
                <w:szCs w:val="18"/>
              </w:rPr>
              <w:t> </w:t>
            </w:r>
            <w:r w:rsidRPr="002F0D4B">
              <w:rPr>
                <w:rFonts w:cs="Times New Roman"/>
                <w:sz w:val="18"/>
                <w:szCs w:val="18"/>
              </w:rPr>
              <w:t>265</w:t>
            </w:r>
            <w:r w:rsidR="00710613">
              <w:rPr>
                <w:rFonts w:cs="Times New Roman"/>
                <w:sz w:val="18"/>
                <w:szCs w:val="18"/>
              </w:rPr>
              <w:t> </w:t>
            </w:r>
            <w:r w:rsidRPr="002F0D4B">
              <w:rPr>
                <w:rFonts w:cs="Times New Roman"/>
                <w:sz w:val="18"/>
                <w:szCs w:val="18"/>
              </w:rPr>
              <w:t>224</w:t>
            </w:r>
          </w:p>
        </w:tc>
      </w:tr>
      <w:tr w:rsidR="008906ED" w:rsidRPr="00027FF4" w14:paraId="390559A5" w14:textId="77777777" w:rsidTr="008906ED">
        <w:trPr>
          <w:trHeight w:val="227"/>
        </w:trPr>
        <w:tc>
          <w:tcPr>
            <w:tcW w:w="379" w:type="pct"/>
            <w:shd w:val="clear" w:color="auto" w:fill="auto"/>
          </w:tcPr>
          <w:p w14:paraId="456159F1" w14:textId="77777777" w:rsidR="008906ED" w:rsidRPr="00027FF4" w:rsidRDefault="008906ED" w:rsidP="007B58FB">
            <w:pPr>
              <w:spacing w:beforeLines="20" w:before="48" w:afterLines="20" w:after="48" w:line="240" w:lineRule="auto"/>
              <w:jc w:val="right"/>
              <w:rPr>
                <w:rFonts w:cs="Times New Roman"/>
                <w:b/>
                <w:sz w:val="18"/>
                <w:szCs w:val="18"/>
              </w:rPr>
            </w:pPr>
            <w:r w:rsidRPr="00027FF4">
              <w:rPr>
                <w:rFonts w:cs="Times New Roman"/>
                <w:b/>
                <w:sz w:val="18"/>
                <w:szCs w:val="18"/>
              </w:rPr>
              <w:t>2.1.3.</w:t>
            </w:r>
          </w:p>
        </w:tc>
        <w:tc>
          <w:tcPr>
            <w:tcW w:w="2273" w:type="pct"/>
            <w:shd w:val="clear" w:color="auto" w:fill="auto"/>
            <w:vAlign w:val="center"/>
          </w:tcPr>
          <w:p w14:paraId="42C45C46"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kārtējie maksājumi Eiropas Kopienas budžetā un starptautiskā sadarbība</w:t>
            </w:r>
          </w:p>
        </w:tc>
        <w:tc>
          <w:tcPr>
            <w:tcW w:w="833" w:type="pct"/>
            <w:shd w:val="clear" w:color="auto" w:fill="auto"/>
            <w:vAlign w:val="center"/>
          </w:tcPr>
          <w:p w14:paraId="0214CE96"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575 459</w:t>
            </w:r>
          </w:p>
        </w:tc>
        <w:tc>
          <w:tcPr>
            <w:tcW w:w="757" w:type="pct"/>
            <w:shd w:val="clear" w:color="auto" w:fill="auto"/>
            <w:vAlign w:val="center"/>
          </w:tcPr>
          <w:p w14:paraId="73460C35" w14:textId="77777777" w:rsidR="008906ED" w:rsidRPr="00027FF4" w:rsidRDefault="008906ED" w:rsidP="007B58FB">
            <w:pPr>
              <w:spacing w:beforeLines="20" w:before="48" w:afterLines="20" w:after="48" w:line="240" w:lineRule="auto"/>
              <w:jc w:val="right"/>
              <w:rPr>
                <w:rFonts w:cs="Times New Roman"/>
                <w:sz w:val="18"/>
                <w:szCs w:val="18"/>
              </w:rPr>
            </w:pPr>
            <w:r w:rsidRPr="000F4E1C">
              <w:rPr>
                <w:rFonts w:cs="Times New Roman"/>
                <w:sz w:val="18"/>
                <w:szCs w:val="18"/>
              </w:rPr>
              <w:t>316</w:t>
            </w:r>
            <w:r w:rsidR="00710613">
              <w:rPr>
                <w:rFonts w:cs="Times New Roman"/>
                <w:sz w:val="18"/>
                <w:szCs w:val="18"/>
              </w:rPr>
              <w:t> </w:t>
            </w:r>
            <w:r w:rsidRPr="000F4E1C">
              <w:rPr>
                <w:rFonts w:cs="Times New Roman"/>
                <w:sz w:val="18"/>
                <w:szCs w:val="18"/>
              </w:rPr>
              <w:t>800</w:t>
            </w:r>
          </w:p>
        </w:tc>
        <w:tc>
          <w:tcPr>
            <w:tcW w:w="758" w:type="pct"/>
            <w:shd w:val="clear" w:color="auto" w:fill="auto"/>
            <w:vAlign w:val="center"/>
          </w:tcPr>
          <w:p w14:paraId="614F448A"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286</w:t>
            </w:r>
            <w:r w:rsidR="00710613">
              <w:rPr>
                <w:rFonts w:cs="Times New Roman"/>
                <w:sz w:val="18"/>
                <w:szCs w:val="18"/>
              </w:rPr>
              <w:t> </w:t>
            </w:r>
            <w:r w:rsidRPr="002F0D4B">
              <w:rPr>
                <w:rFonts w:cs="Times New Roman"/>
                <w:sz w:val="18"/>
                <w:szCs w:val="18"/>
              </w:rPr>
              <w:t>366</w:t>
            </w:r>
          </w:p>
        </w:tc>
      </w:tr>
      <w:tr w:rsidR="008906ED" w:rsidRPr="00027FF4" w14:paraId="768670B9" w14:textId="77777777" w:rsidTr="008906ED">
        <w:tc>
          <w:tcPr>
            <w:tcW w:w="379" w:type="pct"/>
            <w:shd w:val="clear" w:color="auto" w:fill="auto"/>
          </w:tcPr>
          <w:p w14:paraId="1D4CDDEB" w14:textId="77777777" w:rsidR="008906ED" w:rsidRPr="00027FF4" w:rsidRDefault="008906ED" w:rsidP="007B58FB">
            <w:pPr>
              <w:spacing w:beforeLines="20" w:before="48" w:afterLines="20" w:after="48" w:line="240" w:lineRule="auto"/>
              <w:jc w:val="right"/>
              <w:rPr>
                <w:rFonts w:cs="Times New Roman"/>
                <w:b/>
                <w:sz w:val="18"/>
                <w:szCs w:val="18"/>
              </w:rPr>
            </w:pPr>
            <w:r w:rsidRPr="00027FF4">
              <w:rPr>
                <w:rFonts w:cs="Times New Roman"/>
                <w:b/>
                <w:sz w:val="18"/>
                <w:szCs w:val="18"/>
              </w:rPr>
              <w:t>2.1.4.</w:t>
            </w:r>
          </w:p>
        </w:tc>
        <w:tc>
          <w:tcPr>
            <w:tcW w:w="2273" w:type="pct"/>
            <w:shd w:val="clear" w:color="auto" w:fill="auto"/>
            <w:vAlign w:val="center"/>
          </w:tcPr>
          <w:p w14:paraId="28EA4515"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transferti</w:t>
            </w:r>
          </w:p>
        </w:tc>
        <w:tc>
          <w:tcPr>
            <w:tcW w:w="833" w:type="pct"/>
            <w:shd w:val="clear" w:color="auto" w:fill="auto"/>
            <w:vAlign w:val="center"/>
          </w:tcPr>
          <w:p w14:paraId="3E68FFC2"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3 272 906</w:t>
            </w:r>
          </w:p>
        </w:tc>
        <w:tc>
          <w:tcPr>
            <w:tcW w:w="757" w:type="pct"/>
            <w:shd w:val="clear" w:color="auto" w:fill="auto"/>
            <w:vAlign w:val="center"/>
          </w:tcPr>
          <w:p w14:paraId="5D289A1B" w14:textId="77777777" w:rsidR="008906ED" w:rsidRPr="00027FF4" w:rsidRDefault="008906ED" w:rsidP="007B58FB">
            <w:pPr>
              <w:spacing w:beforeLines="20" w:before="48" w:afterLines="20" w:after="48" w:line="240" w:lineRule="auto"/>
              <w:jc w:val="right"/>
              <w:rPr>
                <w:rFonts w:cs="Times New Roman"/>
                <w:sz w:val="18"/>
                <w:szCs w:val="18"/>
              </w:rPr>
            </w:pPr>
            <w:r w:rsidRPr="004C7C47">
              <w:rPr>
                <w:rFonts w:cs="Times New Roman"/>
                <w:sz w:val="18"/>
                <w:szCs w:val="18"/>
              </w:rPr>
              <w:t>5</w:t>
            </w:r>
            <w:r w:rsidR="00710613">
              <w:rPr>
                <w:rFonts w:cs="Times New Roman"/>
                <w:sz w:val="18"/>
                <w:szCs w:val="18"/>
              </w:rPr>
              <w:t> </w:t>
            </w:r>
            <w:r w:rsidRPr="004C7C47">
              <w:rPr>
                <w:rFonts w:cs="Times New Roman"/>
                <w:sz w:val="18"/>
                <w:szCs w:val="18"/>
              </w:rPr>
              <w:t>367</w:t>
            </w:r>
            <w:r w:rsidR="00710613">
              <w:rPr>
                <w:rFonts w:cs="Times New Roman"/>
                <w:sz w:val="18"/>
                <w:szCs w:val="18"/>
              </w:rPr>
              <w:t> </w:t>
            </w:r>
            <w:r w:rsidRPr="004C7C47">
              <w:rPr>
                <w:rFonts w:cs="Times New Roman"/>
                <w:sz w:val="18"/>
                <w:szCs w:val="18"/>
              </w:rPr>
              <w:t>793</w:t>
            </w:r>
          </w:p>
        </w:tc>
        <w:tc>
          <w:tcPr>
            <w:tcW w:w="758" w:type="pct"/>
            <w:shd w:val="clear" w:color="auto" w:fill="auto"/>
            <w:vAlign w:val="center"/>
          </w:tcPr>
          <w:p w14:paraId="79ACD579"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4</w:t>
            </w:r>
            <w:r w:rsidR="00710613">
              <w:rPr>
                <w:rFonts w:cs="Times New Roman"/>
                <w:sz w:val="18"/>
                <w:szCs w:val="18"/>
              </w:rPr>
              <w:t> </w:t>
            </w:r>
            <w:r w:rsidRPr="002F0D4B">
              <w:rPr>
                <w:rFonts w:cs="Times New Roman"/>
                <w:sz w:val="18"/>
                <w:szCs w:val="18"/>
              </w:rPr>
              <w:t>997</w:t>
            </w:r>
            <w:r w:rsidR="00710613">
              <w:rPr>
                <w:rFonts w:cs="Times New Roman"/>
                <w:sz w:val="18"/>
                <w:szCs w:val="18"/>
              </w:rPr>
              <w:t> </w:t>
            </w:r>
            <w:r w:rsidRPr="002F0D4B">
              <w:rPr>
                <w:rFonts w:cs="Times New Roman"/>
                <w:sz w:val="18"/>
                <w:szCs w:val="18"/>
              </w:rPr>
              <w:t>484</w:t>
            </w:r>
          </w:p>
        </w:tc>
      </w:tr>
      <w:tr w:rsidR="008906ED" w:rsidRPr="00027FF4" w14:paraId="62EA9B87" w14:textId="77777777" w:rsidTr="008906ED">
        <w:trPr>
          <w:trHeight w:val="283"/>
        </w:trPr>
        <w:tc>
          <w:tcPr>
            <w:tcW w:w="379" w:type="pct"/>
            <w:shd w:val="clear" w:color="auto" w:fill="auto"/>
          </w:tcPr>
          <w:p w14:paraId="1E9F6D75" w14:textId="77777777" w:rsidR="008906ED" w:rsidRPr="00027FF4" w:rsidRDefault="008906ED" w:rsidP="007B58FB">
            <w:pPr>
              <w:spacing w:beforeLines="20" w:before="48" w:afterLines="20" w:after="48" w:line="240" w:lineRule="auto"/>
              <w:jc w:val="center"/>
              <w:rPr>
                <w:rFonts w:cs="Times New Roman"/>
                <w:b/>
                <w:sz w:val="18"/>
                <w:szCs w:val="18"/>
              </w:rPr>
            </w:pPr>
            <w:r w:rsidRPr="00027FF4">
              <w:rPr>
                <w:rFonts w:cs="Times New Roman"/>
                <w:b/>
                <w:sz w:val="18"/>
                <w:szCs w:val="18"/>
              </w:rPr>
              <w:t>2.2.</w:t>
            </w:r>
          </w:p>
        </w:tc>
        <w:tc>
          <w:tcPr>
            <w:tcW w:w="2273" w:type="pct"/>
            <w:shd w:val="clear" w:color="auto" w:fill="auto"/>
            <w:vAlign w:val="center"/>
          </w:tcPr>
          <w:p w14:paraId="6536EBE8" w14:textId="77777777" w:rsidR="008906ED" w:rsidRPr="00027FF4" w:rsidRDefault="008906ED" w:rsidP="007B58FB">
            <w:pPr>
              <w:spacing w:beforeLines="20" w:before="48" w:afterLines="20" w:after="48" w:line="240" w:lineRule="auto"/>
              <w:rPr>
                <w:rFonts w:cs="Times New Roman"/>
                <w:sz w:val="18"/>
                <w:szCs w:val="18"/>
              </w:rPr>
            </w:pPr>
            <w:r w:rsidRPr="00027FF4">
              <w:rPr>
                <w:rFonts w:cs="Times New Roman"/>
                <w:sz w:val="18"/>
                <w:szCs w:val="18"/>
              </w:rPr>
              <w:t>izdevumi kapitālieguldījumiem</w:t>
            </w:r>
          </w:p>
        </w:tc>
        <w:tc>
          <w:tcPr>
            <w:tcW w:w="833" w:type="pct"/>
            <w:shd w:val="clear" w:color="auto" w:fill="auto"/>
            <w:vAlign w:val="center"/>
          </w:tcPr>
          <w:p w14:paraId="07050B49" w14:textId="77777777" w:rsidR="008906ED" w:rsidRPr="00027FF4" w:rsidRDefault="008906ED" w:rsidP="007B58FB">
            <w:pPr>
              <w:spacing w:beforeLines="20" w:before="48" w:afterLines="20" w:after="48" w:line="240" w:lineRule="auto"/>
              <w:jc w:val="right"/>
              <w:rPr>
                <w:rFonts w:cs="Times New Roman"/>
                <w:sz w:val="18"/>
                <w:szCs w:val="18"/>
              </w:rPr>
            </w:pPr>
            <w:r w:rsidRPr="00027FF4">
              <w:rPr>
                <w:rFonts w:cs="Times New Roman"/>
                <w:sz w:val="18"/>
                <w:szCs w:val="18"/>
              </w:rPr>
              <w:t>2 187 756</w:t>
            </w:r>
          </w:p>
        </w:tc>
        <w:tc>
          <w:tcPr>
            <w:tcW w:w="757" w:type="pct"/>
            <w:shd w:val="clear" w:color="auto" w:fill="auto"/>
            <w:vAlign w:val="center"/>
          </w:tcPr>
          <w:p w14:paraId="678EA77D" w14:textId="77777777" w:rsidR="008906ED" w:rsidRPr="00027FF4" w:rsidRDefault="008906ED" w:rsidP="007B58FB">
            <w:pPr>
              <w:spacing w:beforeLines="20" w:before="48" w:afterLines="20" w:after="48" w:line="240" w:lineRule="auto"/>
              <w:jc w:val="right"/>
              <w:rPr>
                <w:rFonts w:cs="Times New Roman"/>
                <w:sz w:val="18"/>
                <w:szCs w:val="18"/>
              </w:rPr>
            </w:pPr>
            <w:r w:rsidRPr="004C7C47">
              <w:rPr>
                <w:rFonts w:cs="Times New Roman"/>
                <w:sz w:val="18"/>
                <w:szCs w:val="18"/>
              </w:rPr>
              <w:t>3</w:t>
            </w:r>
            <w:r w:rsidR="00710613">
              <w:rPr>
                <w:rFonts w:cs="Times New Roman"/>
                <w:sz w:val="18"/>
                <w:szCs w:val="18"/>
              </w:rPr>
              <w:t> </w:t>
            </w:r>
            <w:r w:rsidRPr="004C7C47">
              <w:rPr>
                <w:rFonts w:cs="Times New Roman"/>
                <w:sz w:val="18"/>
                <w:szCs w:val="18"/>
              </w:rPr>
              <w:t>577</w:t>
            </w:r>
            <w:r w:rsidR="00710613">
              <w:rPr>
                <w:rFonts w:cs="Times New Roman"/>
                <w:sz w:val="18"/>
                <w:szCs w:val="18"/>
              </w:rPr>
              <w:t> </w:t>
            </w:r>
            <w:r w:rsidRPr="004C7C47">
              <w:rPr>
                <w:rFonts w:cs="Times New Roman"/>
                <w:sz w:val="18"/>
                <w:szCs w:val="18"/>
              </w:rPr>
              <w:t>723</w:t>
            </w:r>
          </w:p>
        </w:tc>
        <w:tc>
          <w:tcPr>
            <w:tcW w:w="758" w:type="pct"/>
            <w:shd w:val="clear" w:color="auto" w:fill="auto"/>
            <w:vAlign w:val="center"/>
          </w:tcPr>
          <w:p w14:paraId="66BC5A8C" w14:textId="77777777" w:rsidR="008906ED" w:rsidRPr="00027FF4" w:rsidRDefault="008906ED" w:rsidP="007B58FB">
            <w:pPr>
              <w:spacing w:beforeLines="20" w:before="48" w:afterLines="20" w:after="48" w:line="240" w:lineRule="auto"/>
              <w:jc w:val="right"/>
              <w:rPr>
                <w:rFonts w:cs="Times New Roman"/>
                <w:sz w:val="18"/>
                <w:szCs w:val="18"/>
              </w:rPr>
            </w:pPr>
            <w:r w:rsidRPr="002F0D4B">
              <w:rPr>
                <w:rFonts w:cs="Times New Roman"/>
                <w:sz w:val="18"/>
                <w:szCs w:val="18"/>
              </w:rPr>
              <w:t>3</w:t>
            </w:r>
            <w:r w:rsidR="00710613">
              <w:rPr>
                <w:rFonts w:cs="Times New Roman"/>
                <w:sz w:val="18"/>
                <w:szCs w:val="18"/>
              </w:rPr>
              <w:t> </w:t>
            </w:r>
            <w:r w:rsidRPr="002F0D4B">
              <w:rPr>
                <w:rFonts w:cs="Times New Roman"/>
                <w:sz w:val="18"/>
                <w:szCs w:val="18"/>
              </w:rPr>
              <w:t>339</w:t>
            </w:r>
            <w:r w:rsidR="00710613">
              <w:rPr>
                <w:rFonts w:cs="Times New Roman"/>
                <w:sz w:val="18"/>
                <w:szCs w:val="18"/>
              </w:rPr>
              <w:t> </w:t>
            </w:r>
            <w:r w:rsidRPr="002F0D4B">
              <w:rPr>
                <w:rFonts w:cs="Times New Roman"/>
                <w:sz w:val="18"/>
                <w:szCs w:val="18"/>
              </w:rPr>
              <w:t>692</w:t>
            </w:r>
          </w:p>
        </w:tc>
      </w:tr>
      <w:tr w:rsidR="008906ED" w:rsidRPr="00027FF4" w14:paraId="29B62A8A" w14:textId="77777777" w:rsidTr="008906ED">
        <w:trPr>
          <w:trHeight w:val="283"/>
        </w:trPr>
        <w:tc>
          <w:tcPr>
            <w:tcW w:w="379" w:type="pct"/>
            <w:shd w:val="clear" w:color="auto" w:fill="DAEEF3" w:themeFill="accent5" w:themeFillTint="33"/>
          </w:tcPr>
          <w:p w14:paraId="5D5D6EBF" w14:textId="77777777" w:rsidR="008906ED" w:rsidRPr="00027FF4" w:rsidRDefault="008906ED" w:rsidP="007B58FB">
            <w:pPr>
              <w:spacing w:beforeLines="20" w:before="48" w:afterLines="20" w:after="48" w:line="240" w:lineRule="auto"/>
              <w:jc w:val="center"/>
              <w:rPr>
                <w:rFonts w:cs="Times New Roman"/>
                <w:b/>
                <w:bCs/>
                <w:sz w:val="18"/>
                <w:szCs w:val="18"/>
              </w:rPr>
            </w:pPr>
            <w:r w:rsidRPr="00027FF4">
              <w:rPr>
                <w:rFonts w:cs="Times New Roman"/>
                <w:b/>
                <w:bCs/>
                <w:sz w:val="18"/>
                <w:szCs w:val="18"/>
              </w:rPr>
              <w:t>3.</w:t>
            </w:r>
          </w:p>
        </w:tc>
        <w:tc>
          <w:tcPr>
            <w:tcW w:w="2273" w:type="pct"/>
            <w:shd w:val="clear" w:color="auto" w:fill="DAEEF3" w:themeFill="accent5" w:themeFillTint="33"/>
            <w:vAlign w:val="center"/>
          </w:tcPr>
          <w:p w14:paraId="646E7405" w14:textId="77777777" w:rsidR="008906ED" w:rsidRPr="00027FF4" w:rsidRDefault="008906ED" w:rsidP="007B58FB">
            <w:pPr>
              <w:spacing w:beforeLines="20" w:before="48" w:afterLines="20" w:after="48" w:line="240" w:lineRule="auto"/>
              <w:rPr>
                <w:rFonts w:cs="Times New Roman"/>
                <w:b/>
                <w:bCs/>
                <w:sz w:val="18"/>
                <w:szCs w:val="18"/>
              </w:rPr>
            </w:pPr>
            <w:r w:rsidRPr="00027FF4">
              <w:rPr>
                <w:rFonts w:cs="Times New Roman"/>
                <w:b/>
                <w:bCs/>
                <w:sz w:val="18"/>
                <w:szCs w:val="18"/>
              </w:rPr>
              <w:t>Finansēšana (kopā)</w:t>
            </w:r>
          </w:p>
        </w:tc>
        <w:tc>
          <w:tcPr>
            <w:tcW w:w="833" w:type="pct"/>
            <w:shd w:val="clear" w:color="auto" w:fill="DAEEF3" w:themeFill="accent5" w:themeFillTint="33"/>
            <w:vAlign w:val="center"/>
          </w:tcPr>
          <w:p w14:paraId="7C65CD76" w14:textId="77777777" w:rsidR="008906ED" w:rsidRPr="00027FF4" w:rsidRDefault="008906ED" w:rsidP="007B58FB">
            <w:pPr>
              <w:spacing w:beforeLines="20" w:before="48" w:afterLines="20" w:after="48" w:line="240" w:lineRule="auto"/>
              <w:jc w:val="center"/>
              <w:rPr>
                <w:rFonts w:cs="Times New Roman"/>
                <w:b/>
                <w:bCs/>
                <w:sz w:val="18"/>
                <w:szCs w:val="18"/>
              </w:rPr>
            </w:pPr>
          </w:p>
        </w:tc>
        <w:tc>
          <w:tcPr>
            <w:tcW w:w="757" w:type="pct"/>
            <w:shd w:val="clear" w:color="auto" w:fill="DAEEF3" w:themeFill="accent5" w:themeFillTint="33"/>
            <w:vAlign w:val="center"/>
          </w:tcPr>
          <w:p w14:paraId="68882C6A" w14:textId="77777777" w:rsidR="008906ED" w:rsidRPr="00027FF4" w:rsidRDefault="008906ED" w:rsidP="007B58FB">
            <w:pPr>
              <w:spacing w:beforeLines="20" w:before="48" w:afterLines="20" w:after="48" w:line="240" w:lineRule="auto"/>
              <w:jc w:val="right"/>
              <w:rPr>
                <w:rFonts w:cs="Times New Roman"/>
                <w:b/>
                <w:bCs/>
                <w:sz w:val="18"/>
                <w:szCs w:val="18"/>
              </w:rPr>
            </w:pPr>
            <w:r w:rsidRPr="004C7C47">
              <w:rPr>
                <w:rFonts w:cs="Times New Roman"/>
                <w:b/>
                <w:bCs/>
                <w:sz w:val="18"/>
                <w:szCs w:val="18"/>
              </w:rPr>
              <w:t>433</w:t>
            </w:r>
            <w:r w:rsidR="00710613">
              <w:rPr>
                <w:rFonts w:cs="Times New Roman"/>
                <w:b/>
                <w:bCs/>
                <w:sz w:val="18"/>
                <w:szCs w:val="18"/>
              </w:rPr>
              <w:t> </w:t>
            </w:r>
            <w:r w:rsidRPr="004C7C47">
              <w:rPr>
                <w:rFonts w:cs="Times New Roman"/>
                <w:b/>
                <w:bCs/>
                <w:sz w:val="18"/>
                <w:szCs w:val="18"/>
              </w:rPr>
              <w:t>240</w:t>
            </w:r>
          </w:p>
        </w:tc>
        <w:tc>
          <w:tcPr>
            <w:tcW w:w="758" w:type="pct"/>
            <w:shd w:val="clear" w:color="auto" w:fill="DAEEF3" w:themeFill="accent5" w:themeFillTint="33"/>
            <w:vAlign w:val="center"/>
          </w:tcPr>
          <w:p w14:paraId="4B1CC4C9" w14:textId="77777777" w:rsidR="008906ED" w:rsidRPr="00027FF4" w:rsidRDefault="008906ED" w:rsidP="007B58FB">
            <w:pPr>
              <w:spacing w:beforeLines="20" w:before="48" w:afterLines="20" w:after="48" w:line="240" w:lineRule="auto"/>
              <w:jc w:val="center"/>
              <w:rPr>
                <w:rFonts w:cs="Times New Roman"/>
                <w:b/>
                <w:bCs/>
                <w:sz w:val="18"/>
                <w:szCs w:val="18"/>
              </w:rPr>
            </w:pPr>
          </w:p>
        </w:tc>
      </w:tr>
    </w:tbl>
    <w:p w14:paraId="4C8AA99A" w14:textId="77777777" w:rsidR="008906ED" w:rsidRPr="00027FF4" w:rsidRDefault="008906ED" w:rsidP="008906ED">
      <w:pPr>
        <w:spacing w:before="40" w:after="40" w:line="240" w:lineRule="auto"/>
        <w:rPr>
          <w:rFonts w:cs="Times New Roman"/>
          <w:i/>
          <w:sz w:val="18"/>
          <w:szCs w:val="18"/>
        </w:rPr>
      </w:pPr>
      <w:r w:rsidRPr="00027FF4">
        <w:rPr>
          <w:rFonts w:cs="Times New Roman"/>
          <w:i/>
          <w:sz w:val="18"/>
          <w:szCs w:val="18"/>
        </w:rPr>
        <w:t>Avots: EM</w:t>
      </w:r>
      <w:r>
        <w:rPr>
          <w:rFonts w:cs="Times New Roman"/>
          <w:i/>
          <w:sz w:val="18"/>
          <w:szCs w:val="18"/>
        </w:rPr>
        <w:t xml:space="preserve"> dati</w:t>
      </w:r>
    </w:p>
    <w:p w14:paraId="7E995EFF" w14:textId="706A5D74" w:rsidR="008906ED" w:rsidRDefault="008906ED" w:rsidP="008906ED">
      <w:pPr>
        <w:spacing w:after="120" w:line="240" w:lineRule="auto"/>
        <w:rPr>
          <w:rFonts w:cs="Times New Roman"/>
          <w:i/>
          <w:sz w:val="18"/>
          <w:szCs w:val="18"/>
        </w:rPr>
      </w:pPr>
    </w:p>
    <w:p w14:paraId="24ACC931" w14:textId="68E14393" w:rsidR="00045FE7" w:rsidRDefault="00130838" w:rsidP="0044719C">
      <w:pPr>
        <w:spacing w:before="60" w:after="60" w:line="240" w:lineRule="auto"/>
        <w:jc w:val="both"/>
        <w:rPr>
          <w:rFonts w:eastAsia="Times New Roman" w:cs="Times New Roman"/>
          <w:szCs w:val="24"/>
        </w:rPr>
      </w:pPr>
      <w:bookmarkStart w:id="60" w:name="_Hlk78810443"/>
      <w:r>
        <w:rPr>
          <w:rFonts w:eastAsia="Times New Roman" w:cs="Times New Roman"/>
          <w:szCs w:val="24"/>
        </w:rPr>
        <w:t>R</w:t>
      </w:r>
      <w:r w:rsidR="00351C82">
        <w:rPr>
          <w:rFonts w:eastAsia="Times New Roman" w:cs="Times New Roman"/>
          <w:szCs w:val="24"/>
        </w:rPr>
        <w:t xml:space="preserve">aksturojot pārskata periodā EM pieejamos resursus izdevumu segšanai, </w:t>
      </w:r>
      <w:r>
        <w:rPr>
          <w:rFonts w:eastAsia="Times New Roman" w:cs="Times New Roman"/>
          <w:szCs w:val="24"/>
        </w:rPr>
        <w:t xml:space="preserve">nepieciešams </w:t>
      </w:r>
      <w:r w:rsidR="00351C82">
        <w:rPr>
          <w:rFonts w:eastAsia="Times New Roman" w:cs="Times New Roman"/>
          <w:szCs w:val="24"/>
        </w:rPr>
        <w:t>pieminēt</w:t>
      </w:r>
      <w:r>
        <w:rPr>
          <w:rFonts w:eastAsia="Times New Roman" w:cs="Times New Roman"/>
          <w:szCs w:val="24"/>
        </w:rPr>
        <w:t xml:space="preserve"> </w:t>
      </w:r>
      <w:r w:rsidR="00351C82">
        <w:rPr>
          <w:rFonts w:eastAsia="Times New Roman" w:cs="Times New Roman"/>
          <w:szCs w:val="24"/>
        </w:rPr>
        <w:t xml:space="preserve">saskaņā ar </w:t>
      </w:r>
      <w:hyperlink r:id="rId106" w:history="1">
        <w:r w:rsidR="005E1927" w:rsidRPr="008460D0">
          <w:rPr>
            <w:rStyle w:val="Hyperlink"/>
            <w:rFonts w:eastAsia="Times New Roman" w:cs="Times New Roman"/>
            <w:i/>
            <w:iCs/>
            <w:color w:val="00859B"/>
            <w:szCs w:val="24"/>
          </w:rPr>
          <w:t>likumu “Par valsts budžetu 2020. gadam</w:t>
        </w:r>
      </w:hyperlink>
      <w:r w:rsidR="005E1927" w:rsidRPr="008460D0">
        <w:rPr>
          <w:rFonts w:eastAsia="Times New Roman" w:cs="Times New Roman"/>
          <w:i/>
          <w:iCs/>
          <w:color w:val="00859B"/>
          <w:szCs w:val="24"/>
        </w:rPr>
        <w:t>”</w:t>
      </w:r>
      <w:r w:rsidR="005E1927">
        <w:rPr>
          <w:rFonts w:eastAsia="Times New Roman" w:cs="Times New Roman"/>
          <w:i/>
          <w:iCs/>
          <w:color w:val="00859B"/>
          <w:szCs w:val="24"/>
        </w:rPr>
        <w:t xml:space="preserve"> </w:t>
      </w:r>
      <w:r w:rsidR="005E1927" w:rsidRPr="00FB4B57">
        <w:rPr>
          <w:rFonts w:eastAsia="Times New Roman" w:cs="Times New Roman"/>
          <w:szCs w:val="24"/>
        </w:rPr>
        <w:t xml:space="preserve">valsts pamatbudžetā </w:t>
      </w:r>
      <w:r w:rsidR="00DC3AD9">
        <w:rPr>
          <w:rFonts w:eastAsia="Times New Roman" w:cs="Times New Roman"/>
          <w:szCs w:val="24"/>
        </w:rPr>
        <w:t xml:space="preserve">2020. gadā </w:t>
      </w:r>
      <w:r w:rsidR="00A8067B">
        <w:rPr>
          <w:rFonts w:eastAsia="Times New Roman" w:cs="Times New Roman"/>
          <w:szCs w:val="24"/>
        </w:rPr>
        <w:t xml:space="preserve">EM resora ietvaros </w:t>
      </w:r>
      <w:r w:rsidR="005E1927" w:rsidRPr="00FB4B57">
        <w:rPr>
          <w:rFonts w:eastAsia="Times New Roman" w:cs="Times New Roman"/>
          <w:szCs w:val="24"/>
        </w:rPr>
        <w:t>iemaksātas valsts</w:t>
      </w:r>
      <w:r w:rsidR="005E1927" w:rsidRPr="007643AE">
        <w:rPr>
          <w:rFonts w:eastAsia="Times New Roman" w:cs="Times New Roman"/>
          <w:szCs w:val="24"/>
        </w:rPr>
        <w:t xml:space="preserve"> nodevas</w:t>
      </w:r>
      <w:r w:rsidR="004D3B50">
        <w:rPr>
          <w:rFonts w:eastAsia="Times New Roman" w:cs="Times New Roman"/>
          <w:szCs w:val="24"/>
        </w:rPr>
        <w:t xml:space="preserve"> kopā 30,56 milj.</w:t>
      </w:r>
      <w:r w:rsidR="003001DE">
        <w:rPr>
          <w:rFonts w:eastAsia="Times New Roman" w:cs="Times New Roman"/>
          <w:szCs w:val="24"/>
        </w:rPr>
        <w:t> </w:t>
      </w:r>
      <w:r w:rsidR="004D3B50" w:rsidRPr="004D3B50">
        <w:rPr>
          <w:rFonts w:eastAsia="Times New Roman" w:cs="Times New Roman"/>
          <w:i/>
          <w:iCs/>
          <w:szCs w:val="24"/>
        </w:rPr>
        <w:t>euro</w:t>
      </w:r>
      <w:r w:rsidR="004D3B50">
        <w:rPr>
          <w:rFonts w:eastAsia="Times New Roman" w:cs="Times New Roman"/>
          <w:szCs w:val="24"/>
        </w:rPr>
        <w:t xml:space="preserve"> apmērā</w:t>
      </w:r>
      <w:r w:rsidR="00A8067B">
        <w:rPr>
          <w:rFonts w:eastAsia="Times New Roman" w:cs="Times New Roman"/>
          <w:szCs w:val="24"/>
        </w:rPr>
        <w:t>. Tika iemaksāta valsts nodeva</w:t>
      </w:r>
      <w:r w:rsidR="005E1927" w:rsidRPr="007643AE">
        <w:rPr>
          <w:rFonts w:eastAsia="Times New Roman" w:cs="Times New Roman"/>
          <w:szCs w:val="24"/>
        </w:rPr>
        <w:t xml:space="preserve"> par naftas produktu drošības rezervju uzturēšanu</w:t>
      </w:r>
      <w:r w:rsidR="00DC3AD9">
        <w:rPr>
          <w:rFonts w:eastAsia="Times New Roman" w:cs="Times New Roman"/>
          <w:szCs w:val="24"/>
        </w:rPr>
        <w:t xml:space="preserve"> 18 367 </w:t>
      </w:r>
      <w:r w:rsidR="00AB0452">
        <w:rPr>
          <w:rFonts w:eastAsia="Times New Roman" w:cs="Times New Roman"/>
          <w:szCs w:val="24"/>
        </w:rPr>
        <w:t>884 </w:t>
      </w:r>
      <w:r w:rsidR="00DC3AD9" w:rsidRPr="00DC3AD9">
        <w:rPr>
          <w:rFonts w:eastAsia="Times New Roman" w:cs="Times New Roman"/>
          <w:i/>
          <w:iCs/>
          <w:szCs w:val="24"/>
        </w:rPr>
        <w:t>euro</w:t>
      </w:r>
      <w:r w:rsidR="00A8067B">
        <w:rPr>
          <w:rFonts w:eastAsia="Times New Roman" w:cs="Times New Roman"/>
          <w:szCs w:val="24"/>
        </w:rPr>
        <w:t xml:space="preserve">, </w:t>
      </w:r>
      <w:r w:rsidR="00DC3AD9">
        <w:rPr>
          <w:rFonts w:eastAsia="Times New Roman" w:cs="Times New Roman"/>
          <w:szCs w:val="24"/>
        </w:rPr>
        <w:t xml:space="preserve">praktiski </w:t>
      </w:r>
      <w:r w:rsidR="00974E4D">
        <w:rPr>
          <w:rFonts w:eastAsia="Times New Roman" w:cs="Times New Roman"/>
          <w:szCs w:val="24"/>
        </w:rPr>
        <w:t xml:space="preserve">tā iemaksāta </w:t>
      </w:r>
      <w:r w:rsidR="00DC3AD9">
        <w:rPr>
          <w:rFonts w:eastAsia="Times New Roman" w:cs="Times New Roman"/>
          <w:szCs w:val="24"/>
        </w:rPr>
        <w:t xml:space="preserve">tik pat lielā </w:t>
      </w:r>
      <w:r w:rsidR="00A26031">
        <w:rPr>
          <w:rFonts w:eastAsia="Times New Roman" w:cs="Times New Roman"/>
          <w:szCs w:val="24"/>
        </w:rPr>
        <w:lastRenderedPageBreak/>
        <w:t>apmērā</w:t>
      </w:r>
      <w:r w:rsidR="00DC3AD9">
        <w:rPr>
          <w:rFonts w:eastAsia="Times New Roman" w:cs="Times New Roman"/>
          <w:szCs w:val="24"/>
        </w:rPr>
        <w:t xml:space="preserve"> kā iepriekšējā gadā</w:t>
      </w:r>
      <w:r w:rsidR="00A8067B">
        <w:rPr>
          <w:rFonts w:eastAsia="Times New Roman" w:cs="Times New Roman"/>
          <w:szCs w:val="24"/>
        </w:rPr>
        <w:t xml:space="preserve"> (</w:t>
      </w:r>
      <w:r w:rsidR="00A706EC">
        <w:rPr>
          <w:rFonts w:eastAsia="Times New Roman" w:cs="Times New Roman"/>
          <w:szCs w:val="24"/>
        </w:rPr>
        <w:t xml:space="preserve">2019.gadā – </w:t>
      </w:r>
      <w:r w:rsidR="00A8067B" w:rsidRPr="00A8067B">
        <w:rPr>
          <w:rFonts w:eastAsia="Times New Roman" w:cs="Times New Roman"/>
          <w:szCs w:val="24"/>
        </w:rPr>
        <w:t>18</w:t>
      </w:r>
      <w:r w:rsidR="00A8067B">
        <w:rPr>
          <w:rFonts w:eastAsia="Times New Roman" w:cs="Times New Roman"/>
          <w:szCs w:val="24"/>
        </w:rPr>
        <w:t> </w:t>
      </w:r>
      <w:r w:rsidR="00A8067B" w:rsidRPr="00A8067B">
        <w:rPr>
          <w:rFonts w:eastAsia="Times New Roman" w:cs="Times New Roman"/>
          <w:szCs w:val="24"/>
        </w:rPr>
        <w:t>581</w:t>
      </w:r>
      <w:r w:rsidR="00A8067B">
        <w:rPr>
          <w:rFonts w:eastAsia="Times New Roman" w:cs="Times New Roman"/>
          <w:szCs w:val="24"/>
        </w:rPr>
        <w:t> </w:t>
      </w:r>
      <w:r w:rsidR="00A8067B" w:rsidRPr="00A8067B">
        <w:rPr>
          <w:rFonts w:eastAsia="Times New Roman" w:cs="Times New Roman"/>
          <w:szCs w:val="24"/>
        </w:rPr>
        <w:t>198</w:t>
      </w:r>
      <w:r w:rsidR="00A8067B">
        <w:rPr>
          <w:rFonts w:eastAsia="Times New Roman" w:cs="Times New Roman"/>
          <w:szCs w:val="24"/>
        </w:rPr>
        <w:t> </w:t>
      </w:r>
      <w:r w:rsidR="00A8067B" w:rsidRPr="00A8067B">
        <w:rPr>
          <w:rFonts w:eastAsia="Times New Roman" w:cs="Times New Roman"/>
          <w:i/>
          <w:iCs/>
          <w:szCs w:val="24"/>
        </w:rPr>
        <w:t>euro</w:t>
      </w:r>
      <w:r w:rsidR="00A8067B" w:rsidRPr="00974E4D">
        <w:rPr>
          <w:rFonts w:eastAsia="Times New Roman" w:cs="Times New Roman"/>
          <w:szCs w:val="24"/>
        </w:rPr>
        <w:t>)</w:t>
      </w:r>
      <w:r w:rsidR="00DC3AD9">
        <w:rPr>
          <w:rFonts w:eastAsia="Times New Roman" w:cs="Times New Roman"/>
          <w:szCs w:val="24"/>
        </w:rPr>
        <w:t>, jo uzturamais nafta</w:t>
      </w:r>
      <w:r w:rsidR="00A8067B">
        <w:rPr>
          <w:rFonts w:eastAsia="Times New Roman" w:cs="Times New Roman"/>
          <w:szCs w:val="24"/>
        </w:rPr>
        <w:t>s</w:t>
      </w:r>
      <w:r w:rsidR="00DC3AD9">
        <w:rPr>
          <w:rFonts w:eastAsia="Times New Roman" w:cs="Times New Roman"/>
          <w:szCs w:val="24"/>
        </w:rPr>
        <w:t xml:space="preserve"> </w:t>
      </w:r>
      <w:r w:rsidR="00DC3AD9" w:rsidRPr="007643AE">
        <w:rPr>
          <w:rFonts w:eastAsia="Times New Roman" w:cs="Times New Roman"/>
          <w:szCs w:val="24"/>
        </w:rPr>
        <w:t>produktu drošības rezervju</w:t>
      </w:r>
      <w:r w:rsidR="00DC3AD9">
        <w:rPr>
          <w:rFonts w:eastAsia="Times New Roman" w:cs="Times New Roman"/>
          <w:szCs w:val="24"/>
        </w:rPr>
        <w:t xml:space="preserve"> apjoms bija līdzvērtīgs</w:t>
      </w:r>
      <w:r w:rsidR="00A8067B">
        <w:rPr>
          <w:rFonts w:eastAsia="Times New Roman" w:cs="Times New Roman"/>
          <w:szCs w:val="24"/>
        </w:rPr>
        <w:t>;</w:t>
      </w:r>
      <w:r w:rsidR="00A8067B" w:rsidRPr="007643AE">
        <w:rPr>
          <w:rFonts w:eastAsia="Times New Roman" w:cs="Times New Roman"/>
          <w:szCs w:val="24"/>
        </w:rPr>
        <w:t xml:space="preserve"> </w:t>
      </w:r>
      <w:r w:rsidR="00974E4D">
        <w:rPr>
          <w:rFonts w:eastAsia="Times New Roman" w:cs="Times New Roman"/>
          <w:szCs w:val="24"/>
        </w:rPr>
        <w:t xml:space="preserve">nodeva </w:t>
      </w:r>
      <w:r w:rsidR="005E1927" w:rsidRPr="007643AE">
        <w:rPr>
          <w:rFonts w:eastAsia="Times New Roman" w:cs="Times New Roman"/>
          <w:szCs w:val="24"/>
        </w:rPr>
        <w:t xml:space="preserve">par reģistrācijas darbībām būvkomersantu </w:t>
      </w:r>
      <w:r w:rsidR="005E1927" w:rsidRPr="0025463C">
        <w:rPr>
          <w:rFonts w:eastAsia="Times New Roman" w:cs="Times New Roman"/>
          <w:szCs w:val="24"/>
        </w:rPr>
        <w:t>reģistrā</w:t>
      </w:r>
      <w:r w:rsidR="002754CD">
        <w:rPr>
          <w:rFonts w:eastAsia="Times New Roman" w:cs="Times New Roman"/>
          <w:szCs w:val="24"/>
        </w:rPr>
        <w:t xml:space="preserve"> </w:t>
      </w:r>
      <w:r w:rsidR="00DC3AD9">
        <w:rPr>
          <w:rFonts w:eastAsia="Times New Roman" w:cs="Times New Roman"/>
          <w:szCs w:val="24"/>
        </w:rPr>
        <w:t>3 552 443 </w:t>
      </w:r>
      <w:r w:rsidR="00DC3AD9" w:rsidRPr="00DC3AD9">
        <w:rPr>
          <w:rFonts w:eastAsia="Times New Roman" w:cs="Times New Roman"/>
          <w:i/>
          <w:iCs/>
          <w:szCs w:val="24"/>
        </w:rPr>
        <w:t>euro</w:t>
      </w:r>
      <w:r w:rsidR="00DC3AD9">
        <w:rPr>
          <w:rFonts w:eastAsia="Times New Roman" w:cs="Times New Roman"/>
          <w:i/>
          <w:iCs/>
          <w:szCs w:val="24"/>
        </w:rPr>
        <w:t xml:space="preserve"> </w:t>
      </w:r>
      <w:r w:rsidR="00974E4D" w:rsidRPr="00974E4D">
        <w:rPr>
          <w:rFonts w:eastAsia="Times New Roman" w:cs="Times New Roman"/>
          <w:szCs w:val="24"/>
        </w:rPr>
        <w:t>(</w:t>
      </w:r>
      <w:r w:rsidR="00AB0452">
        <w:rPr>
          <w:rFonts w:eastAsia="Times New Roman" w:cs="Times New Roman"/>
          <w:szCs w:val="24"/>
        </w:rPr>
        <w:t xml:space="preserve">2019.gadā – </w:t>
      </w:r>
      <w:r w:rsidR="00DC3AD9" w:rsidRPr="00974E4D">
        <w:rPr>
          <w:rFonts w:eastAsia="Times New Roman" w:cs="Times New Roman"/>
          <w:szCs w:val="24"/>
        </w:rPr>
        <w:t>3</w:t>
      </w:r>
      <w:r w:rsidR="00AB0452">
        <w:rPr>
          <w:rFonts w:eastAsia="Times New Roman" w:cs="Times New Roman"/>
          <w:szCs w:val="24"/>
        </w:rPr>
        <w:t> </w:t>
      </w:r>
      <w:r w:rsidR="00DC3AD9" w:rsidRPr="00974E4D">
        <w:rPr>
          <w:rFonts w:eastAsia="Times New Roman" w:cs="Times New Roman"/>
          <w:szCs w:val="24"/>
        </w:rPr>
        <w:t>778</w:t>
      </w:r>
      <w:r w:rsidR="00AB0452">
        <w:rPr>
          <w:rFonts w:eastAsia="Times New Roman" w:cs="Times New Roman"/>
          <w:szCs w:val="24"/>
        </w:rPr>
        <w:t> </w:t>
      </w:r>
      <w:r w:rsidR="00DC3AD9" w:rsidRPr="00974E4D">
        <w:rPr>
          <w:rFonts w:eastAsia="Times New Roman" w:cs="Times New Roman"/>
          <w:szCs w:val="24"/>
        </w:rPr>
        <w:t>024</w:t>
      </w:r>
      <w:r w:rsidR="00AB0452">
        <w:rPr>
          <w:rFonts w:eastAsia="Times New Roman" w:cs="Times New Roman"/>
          <w:szCs w:val="24"/>
        </w:rPr>
        <w:t> </w:t>
      </w:r>
      <w:r w:rsidR="00AB0452" w:rsidRPr="00AB0452">
        <w:rPr>
          <w:rFonts w:eastAsia="Times New Roman" w:cs="Times New Roman"/>
          <w:i/>
          <w:iCs/>
          <w:szCs w:val="24"/>
        </w:rPr>
        <w:t>euro</w:t>
      </w:r>
      <w:r w:rsidR="00CC472C">
        <w:rPr>
          <w:rFonts w:eastAsia="Times New Roman" w:cs="Times New Roman"/>
          <w:szCs w:val="24"/>
        </w:rPr>
        <w:t>, kas saistīts ar faktisko r</w:t>
      </w:r>
      <w:r w:rsidR="00CC472C" w:rsidRPr="007643AE">
        <w:rPr>
          <w:rFonts w:eastAsia="Times New Roman" w:cs="Times New Roman"/>
          <w:szCs w:val="24"/>
        </w:rPr>
        <w:t>eģistrācijas darbīb</w:t>
      </w:r>
      <w:r w:rsidR="00CC472C">
        <w:rPr>
          <w:rFonts w:eastAsia="Times New Roman" w:cs="Times New Roman"/>
          <w:szCs w:val="24"/>
        </w:rPr>
        <w:t>u apjomu</w:t>
      </w:r>
      <w:r w:rsidR="00CC472C" w:rsidRPr="007643AE">
        <w:rPr>
          <w:rFonts w:eastAsia="Times New Roman" w:cs="Times New Roman"/>
          <w:szCs w:val="24"/>
        </w:rPr>
        <w:t xml:space="preserve"> būvkomersantu </w:t>
      </w:r>
      <w:r w:rsidR="00CC472C" w:rsidRPr="0025463C">
        <w:rPr>
          <w:rFonts w:eastAsia="Times New Roman" w:cs="Times New Roman"/>
          <w:szCs w:val="24"/>
        </w:rPr>
        <w:t>reģistrā</w:t>
      </w:r>
      <w:r w:rsidR="00A26031" w:rsidRPr="00974E4D">
        <w:rPr>
          <w:rFonts w:eastAsia="Times New Roman" w:cs="Times New Roman"/>
          <w:szCs w:val="24"/>
        </w:rPr>
        <w:t>)</w:t>
      </w:r>
      <w:r w:rsidR="00A26031">
        <w:rPr>
          <w:rFonts w:eastAsia="Times New Roman" w:cs="Times New Roman"/>
          <w:szCs w:val="24"/>
        </w:rPr>
        <w:t>;</w:t>
      </w:r>
      <w:r w:rsidR="00A26031" w:rsidRPr="0025463C">
        <w:rPr>
          <w:rFonts w:eastAsia="Times New Roman" w:cs="Times New Roman"/>
          <w:szCs w:val="24"/>
        </w:rPr>
        <w:t xml:space="preserve"> </w:t>
      </w:r>
      <w:bookmarkStart w:id="61" w:name="_Hlk78468968"/>
      <w:r w:rsidR="00A26031">
        <w:rPr>
          <w:rFonts w:eastAsia="Times New Roman" w:cs="Times New Roman"/>
          <w:szCs w:val="24"/>
        </w:rPr>
        <w:t xml:space="preserve">nodeva </w:t>
      </w:r>
      <w:r w:rsidR="005E1927" w:rsidRPr="0025463C">
        <w:rPr>
          <w:rFonts w:eastAsia="Times New Roman" w:cs="Times New Roman"/>
          <w:szCs w:val="24"/>
        </w:rPr>
        <w:t>par licences izsniegšanu nebanku kreditēšanas un parādu atgūšanas pakalpojumu sniegšanai, kredīta starpnieka vai tā pārstāvja reģistrāciju</w:t>
      </w:r>
      <w:r w:rsidR="004D3B50">
        <w:rPr>
          <w:rFonts w:eastAsia="Times New Roman" w:cs="Times New Roman"/>
          <w:szCs w:val="24"/>
        </w:rPr>
        <w:t xml:space="preserve"> kopā </w:t>
      </w:r>
      <w:r w:rsidR="00442B4A">
        <w:t>2 302 264</w:t>
      </w:r>
      <w:r w:rsidR="004D3B50">
        <w:rPr>
          <w:rFonts w:eastAsia="Times New Roman" w:cs="Times New Roman"/>
          <w:szCs w:val="24"/>
        </w:rPr>
        <w:t> </w:t>
      </w:r>
      <w:r w:rsidR="004D3B50" w:rsidRPr="00442B4A">
        <w:rPr>
          <w:rFonts w:eastAsia="Times New Roman" w:cs="Times New Roman"/>
          <w:i/>
          <w:iCs/>
          <w:szCs w:val="24"/>
        </w:rPr>
        <w:t>euro</w:t>
      </w:r>
      <w:r w:rsidR="004D3B50">
        <w:rPr>
          <w:rFonts w:eastAsia="Times New Roman" w:cs="Times New Roman"/>
          <w:szCs w:val="24"/>
        </w:rPr>
        <w:t xml:space="preserve"> (2019.gadā –</w:t>
      </w:r>
      <w:r w:rsidR="00045FE7">
        <w:rPr>
          <w:rFonts w:eastAsia="Times New Roman" w:cs="Times New Roman"/>
          <w:szCs w:val="24"/>
        </w:rPr>
        <w:t xml:space="preserve"> </w:t>
      </w:r>
      <w:r w:rsidR="00045FE7" w:rsidRPr="00E046CB">
        <w:rPr>
          <w:rFonts w:eastAsia="Times New Roman"/>
          <w:szCs w:val="24"/>
          <w:lang w:eastAsia="lv-LV"/>
        </w:rPr>
        <w:t xml:space="preserve">nodeva </w:t>
      </w:r>
      <w:r w:rsidR="00A67D95">
        <w:rPr>
          <w:rFonts w:eastAsia="Times New Roman"/>
          <w:szCs w:val="24"/>
          <w:lang w:eastAsia="lv-LV"/>
        </w:rPr>
        <w:t>iemaksāta kopā</w:t>
      </w:r>
      <w:r w:rsidR="00045FE7">
        <w:rPr>
          <w:rFonts w:eastAsia="Times New Roman"/>
          <w:szCs w:val="24"/>
          <w:lang w:eastAsia="lv-LV"/>
        </w:rPr>
        <w:t xml:space="preserve"> </w:t>
      </w:r>
      <w:r w:rsidR="00442B4A">
        <w:t>1 021 869 </w:t>
      </w:r>
      <w:r w:rsidR="00A67D95" w:rsidRPr="00A67D95">
        <w:rPr>
          <w:rFonts w:eastAsia="Times New Roman"/>
          <w:i/>
          <w:iCs/>
          <w:szCs w:val="24"/>
          <w:lang w:eastAsia="lv-LV"/>
        </w:rPr>
        <w:t>euro</w:t>
      </w:r>
      <w:r w:rsidR="00A67D95" w:rsidRPr="00A67D95">
        <w:rPr>
          <w:rFonts w:eastAsia="Times New Roman"/>
          <w:szCs w:val="24"/>
          <w:lang w:eastAsia="lv-LV"/>
        </w:rPr>
        <w:t>, kas saistīts ar attiecīgajam</w:t>
      </w:r>
      <w:r w:rsidR="00A67D95">
        <w:rPr>
          <w:rFonts w:eastAsia="Times New Roman"/>
          <w:szCs w:val="24"/>
          <w:lang w:eastAsia="lv-LV"/>
        </w:rPr>
        <w:t xml:space="preserve"> periodam saistošo pienākumu iemaksāt nodevu mazākam komersantu skaitam</w:t>
      </w:r>
      <w:r w:rsidR="004D3B50">
        <w:rPr>
          <w:rFonts w:eastAsia="Times New Roman" w:cs="Times New Roman"/>
          <w:szCs w:val="24"/>
        </w:rPr>
        <w:t>)</w:t>
      </w:r>
      <w:bookmarkEnd w:id="61"/>
      <w:r w:rsidR="004D3B50">
        <w:rPr>
          <w:rFonts w:eastAsia="Times New Roman" w:cs="Times New Roman"/>
          <w:szCs w:val="24"/>
        </w:rPr>
        <w:t xml:space="preserve">; nodeva </w:t>
      </w:r>
      <w:r w:rsidR="005E1927" w:rsidRPr="0025463C">
        <w:rPr>
          <w:rFonts w:eastAsia="Times New Roman" w:cs="Times New Roman"/>
          <w:szCs w:val="24"/>
        </w:rPr>
        <w:t>par speciālās atļaujas (licences) izsniegšanu tūrisma aģentam un tūrisma operatoram</w:t>
      </w:r>
      <w:r w:rsidR="004D3B50">
        <w:rPr>
          <w:rFonts w:eastAsia="Times New Roman" w:cs="Times New Roman"/>
          <w:szCs w:val="24"/>
        </w:rPr>
        <w:t xml:space="preserve"> 17 480 </w:t>
      </w:r>
      <w:r w:rsidR="004D3B50" w:rsidRPr="004D3B50">
        <w:rPr>
          <w:rFonts w:eastAsia="Times New Roman" w:cs="Times New Roman"/>
          <w:i/>
          <w:iCs/>
          <w:szCs w:val="24"/>
        </w:rPr>
        <w:t>euro</w:t>
      </w:r>
      <w:r w:rsidR="004D3B50">
        <w:rPr>
          <w:rFonts w:eastAsia="Times New Roman" w:cs="Times New Roman"/>
          <w:szCs w:val="24"/>
        </w:rPr>
        <w:t xml:space="preserve"> (</w:t>
      </w:r>
      <w:r w:rsidR="00045FE7">
        <w:rPr>
          <w:rFonts w:eastAsia="Times New Roman" w:cs="Times New Roman"/>
          <w:szCs w:val="24"/>
        </w:rPr>
        <w:t xml:space="preserve">bez izmaiņām salīdzinot ar </w:t>
      </w:r>
      <w:r w:rsidR="004D3B50">
        <w:rPr>
          <w:rFonts w:eastAsia="Times New Roman" w:cs="Times New Roman"/>
          <w:szCs w:val="24"/>
        </w:rPr>
        <w:t>2019.gad</w:t>
      </w:r>
      <w:r w:rsidR="00045FE7">
        <w:rPr>
          <w:rFonts w:eastAsia="Times New Roman" w:cs="Times New Roman"/>
          <w:szCs w:val="24"/>
        </w:rPr>
        <w:t>u</w:t>
      </w:r>
      <w:r w:rsidR="004D3B50">
        <w:rPr>
          <w:rFonts w:eastAsia="Times New Roman" w:cs="Times New Roman"/>
          <w:szCs w:val="24"/>
        </w:rPr>
        <w:t>)</w:t>
      </w:r>
      <w:r w:rsidR="00974E4D">
        <w:rPr>
          <w:rFonts w:eastAsia="Times New Roman" w:cs="Times New Roman"/>
          <w:szCs w:val="24"/>
        </w:rPr>
        <w:t>;</w:t>
      </w:r>
      <w:r w:rsidR="00974E4D" w:rsidRPr="0025463C">
        <w:rPr>
          <w:rFonts w:eastAsia="Times New Roman" w:cs="Times New Roman"/>
          <w:szCs w:val="24"/>
        </w:rPr>
        <w:t xml:space="preserve"> </w:t>
      </w:r>
      <w:r w:rsidR="00A26031" w:rsidRPr="002754CD">
        <w:rPr>
          <w:rFonts w:eastAsia="Times New Roman" w:cs="Times New Roman"/>
          <w:color w:val="000000"/>
          <w:szCs w:val="24"/>
          <w:lang w:eastAsia="lv-LV"/>
        </w:rPr>
        <w:t>nodeva par apvienošanās izvērtēšanu</w:t>
      </w:r>
      <w:r w:rsidR="00A26031">
        <w:rPr>
          <w:rFonts w:eastAsia="Times New Roman" w:cs="Times New Roman"/>
          <w:color w:val="000000"/>
          <w:szCs w:val="24"/>
          <w:lang w:eastAsia="lv-LV"/>
        </w:rPr>
        <w:t xml:space="preserve"> 48 000 </w:t>
      </w:r>
      <w:r w:rsidR="00A26031" w:rsidRPr="00A26031">
        <w:rPr>
          <w:rFonts w:eastAsia="Times New Roman" w:cs="Times New Roman"/>
          <w:i/>
          <w:iCs/>
          <w:color w:val="000000"/>
          <w:szCs w:val="24"/>
          <w:lang w:eastAsia="lv-LV"/>
        </w:rPr>
        <w:t>euro</w:t>
      </w:r>
      <w:r w:rsidR="00A26031">
        <w:rPr>
          <w:rFonts w:eastAsia="Times New Roman" w:cs="Times New Roman"/>
          <w:color w:val="000000"/>
          <w:szCs w:val="24"/>
          <w:lang w:eastAsia="lv-LV"/>
        </w:rPr>
        <w:t xml:space="preserve"> (</w:t>
      </w:r>
      <w:r w:rsidR="00A26031">
        <w:rPr>
          <w:rFonts w:eastAsia="Times New Roman" w:cs="Times New Roman"/>
          <w:szCs w:val="24"/>
        </w:rPr>
        <w:t>2019.gadā – 50 </w:t>
      </w:r>
      <w:r w:rsidR="00A26031" w:rsidRPr="00974E4D">
        <w:rPr>
          <w:rFonts w:eastAsia="Times New Roman" w:cs="Times New Roman"/>
          <w:szCs w:val="24"/>
        </w:rPr>
        <w:t>0</w:t>
      </w:r>
      <w:r w:rsidR="00A26031">
        <w:rPr>
          <w:rFonts w:eastAsia="Times New Roman" w:cs="Times New Roman"/>
          <w:szCs w:val="24"/>
        </w:rPr>
        <w:t>00 </w:t>
      </w:r>
      <w:r w:rsidR="00A26031" w:rsidRPr="00AB0452">
        <w:rPr>
          <w:rFonts w:eastAsia="Times New Roman" w:cs="Times New Roman"/>
          <w:i/>
          <w:iCs/>
          <w:szCs w:val="24"/>
        </w:rPr>
        <w:t>euro</w:t>
      </w:r>
      <w:r w:rsidR="00A26031">
        <w:rPr>
          <w:rFonts w:eastAsia="Times New Roman" w:cs="Times New Roman"/>
          <w:color w:val="000000"/>
          <w:szCs w:val="24"/>
          <w:lang w:eastAsia="lv-LV"/>
        </w:rPr>
        <w:t>);</w:t>
      </w:r>
      <w:r w:rsidR="00A26031" w:rsidRPr="002754CD">
        <w:rPr>
          <w:rFonts w:eastAsia="Times New Roman" w:cs="Times New Roman"/>
          <w:color w:val="000000"/>
          <w:szCs w:val="24"/>
          <w:lang w:eastAsia="lv-LV"/>
        </w:rPr>
        <w:t xml:space="preserve"> </w:t>
      </w:r>
      <w:r w:rsidR="00974E4D">
        <w:rPr>
          <w:rFonts w:eastAsia="Times New Roman" w:cs="Times New Roman"/>
          <w:szCs w:val="24"/>
        </w:rPr>
        <w:t xml:space="preserve">nodeva </w:t>
      </w:r>
      <w:r w:rsidR="005E1927" w:rsidRPr="0025463C">
        <w:rPr>
          <w:rFonts w:eastAsia="Times New Roman" w:cs="Times New Roman"/>
          <w:szCs w:val="24"/>
        </w:rPr>
        <w:t xml:space="preserve">par energoefektivitātes veicināšanu </w:t>
      </w:r>
      <w:r w:rsidR="00A8067B">
        <w:rPr>
          <w:rFonts w:eastAsia="Times New Roman" w:cs="Times New Roman"/>
          <w:szCs w:val="24"/>
        </w:rPr>
        <w:t>16 174 </w:t>
      </w:r>
      <w:r w:rsidR="00A8067B" w:rsidRPr="00A8067B">
        <w:rPr>
          <w:rFonts w:eastAsia="Times New Roman" w:cs="Times New Roman"/>
          <w:i/>
          <w:iCs/>
          <w:szCs w:val="24"/>
        </w:rPr>
        <w:t>euro</w:t>
      </w:r>
      <w:r w:rsidR="00A8067B">
        <w:rPr>
          <w:rFonts w:eastAsia="Times New Roman" w:cs="Times New Roman"/>
          <w:szCs w:val="24"/>
        </w:rPr>
        <w:t xml:space="preserve"> </w:t>
      </w:r>
      <w:r w:rsidR="00CC472C">
        <w:rPr>
          <w:rFonts w:eastAsia="Times New Roman" w:cs="Times New Roman"/>
          <w:szCs w:val="24"/>
        </w:rPr>
        <w:t>(</w:t>
      </w:r>
      <w:r w:rsidR="00934D25">
        <w:rPr>
          <w:rFonts w:eastAsia="Times New Roman" w:cs="Times New Roman"/>
          <w:szCs w:val="24"/>
        </w:rPr>
        <w:t xml:space="preserve">tas </w:t>
      </w:r>
      <w:r w:rsidR="00A8067B">
        <w:rPr>
          <w:rFonts w:eastAsia="Times New Roman" w:cs="Times New Roman"/>
          <w:szCs w:val="24"/>
        </w:rPr>
        <w:t>veido būtiski mazākus ieņēmumus salīdzinot ar 2019.gadā</w:t>
      </w:r>
      <w:r w:rsidR="00974E4D">
        <w:rPr>
          <w:rFonts w:eastAsia="Times New Roman" w:cs="Times New Roman"/>
          <w:szCs w:val="24"/>
        </w:rPr>
        <w:t xml:space="preserve"> iemaksāto </w:t>
      </w:r>
      <w:r w:rsidR="00CC472C">
        <w:rPr>
          <w:rFonts w:eastAsia="Times New Roman" w:cs="Times New Roman"/>
          <w:szCs w:val="24"/>
        </w:rPr>
        <w:t xml:space="preserve">– </w:t>
      </w:r>
      <w:r w:rsidR="00974E4D" w:rsidRPr="002754CD">
        <w:rPr>
          <w:rFonts w:eastAsia="Times New Roman" w:cs="Times New Roman"/>
          <w:color w:val="000000"/>
          <w:szCs w:val="24"/>
          <w:lang w:eastAsia="lv-LV"/>
        </w:rPr>
        <w:t>430</w:t>
      </w:r>
      <w:r w:rsidR="00974E4D">
        <w:rPr>
          <w:rFonts w:eastAsia="Times New Roman" w:cs="Times New Roman"/>
          <w:color w:val="000000"/>
          <w:szCs w:val="24"/>
          <w:lang w:eastAsia="lv-LV"/>
        </w:rPr>
        <w:t> </w:t>
      </w:r>
      <w:r w:rsidR="00974E4D" w:rsidRPr="002754CD">
        <w:rPr>
          <w:rFonts w:eastAsia="Times New Roman" w:cs="Times New Roman"/>
          <w:color w:val="000000"/>
          <w:szCs w:val="24"/>
          <w:lang w:eastAsia="lv-LV"/>
        </w:rPr>
        <w:t>084</w:t>
      </w:r>
      <w:r w:rsidR="00974E4D">
        <w:rPr>
          <w:rFonts w:eastAsia="Times New Roman" w:cs="Times New Roman"/>
          <w:color w:val="000000"/>
          <w:szCs w:val="24"/>
          <w:lang w:eastAsia="lv-LV"/>
        </w:rPr>
        <w:t> </w:t>
      </w:r>
      <w:r w:rsidR="00974E4D" w:rsidRPr="00974E4D">
        <w:rPr>
          <w:rFonts w:eastAsia="Times New Roman" w:cs="Times New Roman"/>
          <w:i/>
          <w:iCs/>
          <w:color w:val="000000"/>
          <w:szCs w:val="24"/>
          <w:lang w:eastAsia="lv-LV"/>
        </w:rPr>
        <w:t>euro</w:t>
      </w:r>
      <w:r w:rsidR="00934D25">
        <w:rPr>
          <w:rFonts w:eastAsia="Times New Roman" w:cs="Times New Roman"/>
          <w:szCs w:val="24"/>
        </w:rPr>
        <w:t xml:space="preserve">, kas saistīts ar iepriekšējā gadā ievērojami lielāku uzņēmumu skaitu, kam tika piemērota </w:t>
      </w:r>
      <w:r w:rsidR="00934D25" w:rsidRPr="0025463C">
        <w:rPr>
          <w:rFonts w:eastAsia="Times New Roman" w:cs="Times New Roman"/>
          <w:szCs w:val="24"/>
        </w:rPr>
        <w:t>energoefektivitātes</w:t>
      </w:r>
      <w:r w:rsidR="00934D25">
        <w:rPr>
          <w:rFonts w:eastAsia="Times New Roman" w:cs="Times New Roman"/>
          <w:szCs w:val="24"/>
        </w:rPr>
        <w:t xml:space="preserve"> nodeva)</w:t>
      </w:r>
      <w:r w:rsidR="00AB0452">
        <w:rPr>
          <w:rFonts w:eastAsia="Times New Roman" w:cs="Times New Roman"/>
          <w:szCs w:val="24"/>
        </w:rPr>
        <w:t>, kā arī</w:t>
      </w:r>
      <w:r w:rsidR="00A8067B">
        <w:rPr>
          <w:rFonts w:eastAsia="Times New Roman" w:cs="Times New Roman"/>
          <w:szCs w:val="24"/>
        </w:rPr>
        <w:t xml:space="preserve"> </w:t>
      </w:r>
      <w:r w:rsidR="00AB0452">
        <w:rPr>
          <w:rFonts w:eastAsia="Times New Roman" w:cs="Times New Roman"/>
          <w:szCs w:val="24"/>
        </w:rPr>
        <w:t xml:space="preserve">nodeva </w:t>
      </w:r>
      <w:r w:rsidR="005E1927" w:rsidRPr="0025463C">
        <w:rPr>
          <w:rFonts w:eastAsia="Times New Roman" w:cs="Times New Roman"/>
          <w:szCs w:val="24"/>
        </w:rPr>
        <w:t>par elektroenerģijas ražošanai piešķirtā valsts atbalsta izlietošanas uzraudzību</w:t>
      </w:r>
      <w:r w:rsidR="00AB0452">
        <w:rPr>
          <w:rFonts w:eastAsia="Times New Roman" w:cs="Times New Roman"/>
          <w:szCs w:val="24"/>
        </w:rPr>
        <w:t xml:space="preserve"> 523 207 </w:t>
      </w:r>
      <w:r w:rsidR="00AB0452" w:rsidRPr="00AB0452">
        <w:rPr>
          <w:rFonts w:eastAsia="Times New Roman" w:cs="Times New Roman"/>
          <w:i/>
          <w:iCs/>
          <w:szCs w:val="24"/>
        </w:rPr>
        <w:t>euro</w:t>
      </w:r>
      <w:r w:rsidR="00AB0452">
        <w:rPr>
          <w:rFonts w:eastAsia="Times New Roman" w:cs="Times New Roman"/>
          <w:szCs w:val="24"/>
        </w:rPr>
        <w:t xml:space="preserve"> apmērā</w:t>
      </w:r>
      <w:r w:rsidR="005E1927" w:rsidRPr="0025463C">
        <w:rPr>
          <w:rFonts w:eastAsia="Times New Roman" w:cs="Times New Roman"/>
          <w:szCs w:val="24"/>
        </w:rPr>
        <w:t xml:space="preserve">. </w:t>
      </w:r>
      <w:bookmarkEnd w:id="60"/>
    </w:p>
    <w:p w14:paraId="3B90304A" w14:textId="46253BB2" w:rsidR="0044719C" w:rsidRDefault="0044719C" w:rsidP="0044719C">
      <w:pPr>
        <w:spacing w:before="60" w:after="60" w:line="240" w:lineRule="auto"/>
        <w:jc w:val="both"/>
        <w:rPr>
          <w:rFonts w:cs="Times New Roman"/>
          <w:i/>
          <w:sz w:val="18"/>
          <w:szCs w:val="18"/>
        </w:rPr>
      </w:pPr>
      <w:r>
        <w:rPr>
          <w:rFonts w:eastAsia="Times New Roman" w:cs="Times New Roman"/>
          <w:szCs w:val="24"/>
        </w:rPr>
        <w:t>Savukārt</w:t>
      </w:r>
      <w:r w:rsidR="005E1927">
        <w:rPr>
          <w:rFonts w:eastAsia="Times New Roman" w:cs="Times New Roman"/>
          <w:szCs w:val="24"/>
        </w:rPr>
        <w:t>,</w:t>
      </w:r>
      <w:r w:rsidRPr="0025463C">
        <w:rPr>
          <w:rFonts w:eastAsia="Times New Roman" w:cs="Times New Roman"/>
          <w:szCs w:val="24"/>
        </w:rPr>
        <w:t xml:space="preserve"> informācija par EM valsts budžeta finansējuma sadalījumu </w:t>
      </w:r>
      <w:r w:rsidR="005E1927" w:rsidRPr="0025463C">
        <w:rPr>
          <w:rFonts w:eastAsia="Times New Roman" w:cs="Times New Roman"/>
          <w:szCs w:val="24"/>
        </w:rPr>
        <w:t xml:space="preserve">pārskata periodā par valsts budžeta izdevumiem </w:t>
      </w:r>
      <w:r w:rsidRPr="0025463C">
        <w:rPr>
          <w:rFonts w:eastAsia="Times New Roman" w:cs="Times New Roman"/>
          <w:szCs w:val="24"/>
        </w:rPr>
        <w:t>programmu griezumā atspoguļota zemāk noradītajā tabulā (skat. 3. tabulu)</w:t>
      </w:r>
      <w:r w:rsidR="005E1927">
        <w:rPr>
          <w:rFonts w:eastAsia="Times New Roman" w:cs="Times New Roman"/>
          <w:szCs w:val="24"/>
        </w:rPr>
        <w:t>, kurā budžet</w:t>
      </w:r>
      <w:r w:rsidR="00351C82">
        <w:rPr>
          <w:rFonts w:eastAsia="Times New Roman" w:cs="Times New Roman"/>
          <w:szCs w:val="24"/>
        </w:rPr>
        <w:t>a</w:t>
      </w:r>
      <w:r w:rsidR="005E1927">
        <w:rPr>
          <w:rFonts w:eastAsia="Times New Roman" w:cs="Times New Roman"/>
          <w:szCs w:val="24"/>
        </w:rPr>
        <w:t xml:space="preserve"> programmas 35.00.00 “</w:t>
      </w:r>
      <w:r w:rsidR="005E1927" w:rsidRPr="00351C82">
        <w:rPr>
          <w:rFonts w:eastAsia="Times New Roman" w:cs="Times New Roman"/>
          <w:szCs w:val="24"/>
        </w:rPr>
        <w:t>Valsts atbalsta programmas</w:t>
      </w:r>
      <w:r w:rsidR="005E1927">
        <w:rPr>
          <w:rFonts w:eastAsia="Times New Roman" w:cs="Times New Roman"/>
          <w:szCs w:val="24"/>
        </w:rPr>
        <w:t xml:space="preserve">” </w:t>
      </w:r>
      <w:r w:rsidR="00BC3D16">
        <w:rPr>
          <w:rFonts w:eastAsia="Times New Roman" w:cs="Times New Roman"/>
          <w:szCs w:val="24"/>
        </w:rPr>
        <w:t>un 99.00.00 “</w:t>
      </w:r>
      <w:r w:rsidR="00BC3D16" w:rsidRPr="00BC3D16">
        <w:rPr>
          <w:rFonts w:eastAsia="Times New Roman" w:cs="Times New Roman"/>
          <w:szCs w:val="24"/>
        </w:rPr>
        <w:t>Līdzekļu neparedzētiem gadījumiem izlietojums</w:t>
      </w:r>
      <w:r w:rsidR="00BC3D16">
        <w:rPr>
          <w:rFonts w:eastAsia="Times New Roman" w:cs="Times New Roman"/>
          <w:szCs w:val="24"/>
        </w:rPr>
        <w:t xml:space="preserve">” </w:t>
      </w:r>
      <w:r w:rsidR="004E29AF">
        <w:rPr>
          <w:rFonts w:eastAsia="Times New Roman" w:cs="Times New Roman"/>
          <w:szCs w:val="24"/>
        </w:rPr>
        <w:t>saistīts</w:t>
      </w:r>
      <w:r w:rsidR="005E1927">
        <w:rPr>
          <w:rFonts w:eastAsia="Times New Roman" w:cs="Times New Roman"/>
          <w:szCs w:val="24"/>
        </w:rPr>
        <w:t xml:space="preserve"> </w:t>
      </w:r>
      <w:r w:rsidR="004E29AF">
        <w:rPr>
          <w:rFonts w:eastAsia="Times New Roman" w:cs="Times New Roman"/>
          <w:szCs w:val="24"/>
        </w:rPr>
        <w:t xml:space="preserve">ar </w:t>
      </w:r>
      <w:r w:rsidR="005E1927">
        <w:rPr>
          <w:rFonts w:eastAsia="Times New Roman" w:cs="Times New Roman"/>
          <w:szCs w:val="24"/>
        </w:rPr>
        <w:t xml:space="preserve">Covid-19 </w:t>
      </w:r>
      <w:r w:rsidR="005E1927" w:rsidRPr="007643AE">
        <w:rPr>
          <w:rFonts w:eastAsia="Times New Roman" w:cs="Times New Roman"/>
          <w:szCs w:val="24"/>
        </w:rPr>
        <w:t>izplatības seku pārvarēšan</w:t>
      </w:r>
      <w:r w:rsidR="004E29AF">
        <w:rPr>
          <w:rFonts w:eastAsia="Times New Roman" w:cs="Times New Roman"/>
          <w:szCs w:val="24"/>
        </w:rPr>
        <w:t>u</w:t>
      </w:r>
      <w:r w:rsidR="005E1927">
        <w:rPr>
          <w:rFonts w:eastAsia="Times New Roman" w:cs="Times New Roman"/>
          <w:szCs w:val="24"/>
        </w:rPr>
        <w:t>,</w:t>
      </w:r>
      <w:r w:rsidR="005E1927" w:rsidRPr="007643AE">
        <w:rPr>
          <w:rFonts w:eastAsia="Times New Roman" w:cs="Times New Roman"/>
          <w:szCs w:val="24"/>
        </w:rPr>
        <w:t xml:space="preserve"> </w:t>
      </w:r>
      <w:r w:rsidR="00BC3D16" w:rsidRPr="007643AE">
        <w:rPr>
          <w:rFonts w:eastAsia="Times New Roman" w:cs="Times New Roman"/>
          <w:szCs w:val="24"/>
        </w:rPr>
        <w:t>piešķirt</w:t>
      </w:r>
      <w:r w:rsidR="00BC3D16">
        <w:rPr>
          <w:rFonts w:eastAsia="Times New Roman" w:cs="Times New Roman"/>
          <w:szCs w:val="24"/>
        </w:rPr>
        <w:t>ā</w:t>
      </w:r>
      <w:r w:rsidR="00BC3D16" w:rsidRPr="007643AE">
        <w:rPr>
          <w:rFonts w:eastAsia="Times New Roman" w:cs="Times New Roman"/>
          <w:szCs w:val="24"/>
        </w:rPr>
        <w:t xml:space="preserve"> </w:t>
      </w:r>
      <w:r w:rsidR="005E1927" w:rsidRPr="007643AE">
        <w:rPr>
          <w:rFonts w:eastAsia="Times New Roman" w:cs="Times New Roman"/>
          <w:szCs w:val="24"/>
        </w:rPr>
        <w:t>finansējum</w:t>
      </w:r>
      <w:r w:rsidR="00BC3D16">
        <w:rPr>
          <w:rFonts w:eastAsia="Times New Roman" w:cs="Times New Roman"/>
          <w:szCs w:val="24"/>
        </w:rPr>
        <w:t>a izlietojum</w:t>
      </w:r>
      <w:r w:rsidR="005E1927">
        <w:rPr>
          <w:rFonts w:eastAsia="Times New Roman" w:cs="Times New Roman"/>
          <w:szCs w:val="24"/>
        </w:rPr>
        <w:t xml:space="preserve">s </w:t>
      </w:r>
      <w:r w:rsidR="00BC3D16">
        <w:rPr>
          <w:rFonts w:eastAsia="Times New Roman" w:cs="Times New Roman"/>
          <w:szCs w:val="24"/>
        </w:rPr>
        <w:t xml:space="preserve">attiecīgi </w:t>
      </w:r>
      <w:r w:rsidR="00351C82" w:rsidRPr="00351C82">
        <w:rPr>
          <w:rFonts w:eastAsia="Times New Roman"/>
          <w:color w:val="000000" w:themeColor="text1"/>
          <w:szCs w:val="24"/>
          <w:lang w:eastAsia="lv-LV"/>
        </w:rPr>
        <w:t xml:space="preserve">146 milj. </w:t>
      </w:r>
      <w:r w:rsidR="00351C82" w:rsidRPr="00351C82">
        <w:rPr>
          <w:rFonts w:eastAsia="Times New Roman"/>
          <w:i/>
          <w:iCs/>
          <w:color w:val="000000" w:themeColor="text1"/>
          <w:szCs w:val="24"/>
          <w:lang w:eastAsia="lv-LV"/>
        </w:rPr>
        <w:t>euro</w:t>
      </w:r>
      <w:r w:rsidR="00351C82" w:rsidRPr="00351C82">
        <w:rPr>
          <w:rFonts w:eastAsia="Times New Roman"/>
          <w:color w:val="000000" w:themeColor="text1"/>
          <w:szCs w:val="24"/>
          <w:lang w:eastAsia="lv-LV"/>
        </w:rPr>
        <w:t xml:space="preserve"> </w:t>
      </w:r>
      <w:r w:rsidR="00BC3D16">
        <w:rPr>
          <w:rFonts w:eastAsia="Times New Roman"/>
          <w:color w:val="000000" w:themeColor="text1"/>
          <w:szCs w:val="24"/>
          <w:lang w:eastAsia="lv-LV"/>
        </w:rPr>
        <w:t xml:space="preserve">un </w:t>
      </w:r>
      <w:r w:rsidR="00BC3D16" w:rsidRPr="00BC3D16">
        <w:rPr>
          <w:rFonts w:eastAsia="Times New Roman"/>
          <w:color w:val="000000" w:themeColor="text1"/>
          <w:szCs w:val="24"/>
          <w:lang w:eastAsia="lv-LV"/>
        </w:rPr>
        <w:t>75</w:t>
      </w:r>
      <w:r w:rsidR="00BC3D16">
        <w:rPr>
          <w:rFonts w:eastAsia="Times New Roman"/>
          <w:color w:val="000000" w:themeColor="text1"/>
          <w:szCs w:val="24"/>
          <w:lang w:eastAsia="lv-LV"/>
        </w:rPr>
        <w:t>,</w:t>
      </w:r>
      <w:r w:rsidR="00BC3D16" w:rsidRPr="00BC3D16">
        <w:rPr>
          <w:rFonts w:eastAsia="Times New Roman"/>
          <w:color w:val="000000" w:themeColor="text1"/>
          <w:szCs w:val="24"/>
          <w:lang w:eastAsia="lv-LV"/>
        </w:rPr>
        <w:t>7 </w:t>
      </w:r>
      <w:r w:rsidR="00BC3D16">
        <w:rPr>
          <w:rFonts w:eastAsia="Times New Roman"/>
          <w:color w:val="000000" w:themeColor="text1"/>
          <w:szCs w:val="24"/>
          <w:lang w:eastAsia="lv-LV"/>
        </w:rPr>
        <w:t xml:space="preserve">milj. </w:t>
      </w:r>
      <w:r w:rsidR="00BC3D16" w:rsidRPr="00BC3D16">
        <w:rPr>
          <w:rFonts w:eastAsia="Times New Roman"/>
          <w:i/>
          <w:iCs/>
          <w:color w:val="000000" w:themeColor="text1"/>
          <w:szCs w:val="24"/>
          <w:lang w:eastAsia="lv-LV"/>
        </w:rPr>
        <w:t>euro</w:t>
      </w:r>
      <w:r w:rsidR="00BC3D16" w:rsidRPr="00BC3D16">
        <w:rPr>
          <w:rFonts w:eastAsia="Times New Roman"/>
          <w:color w:val="000000" w:themeColor="text1"/>
          <w:szCs w:val="24"/>
          <w:lang w:eastAsia="lv-LV"/>
        </w:rPr>
        <w:t xml:space="preserve"> </w:t>
      </w:r>
      <w:r w:rsidR="00351C82" w:rsidRPr="00351C82">
        <w:rPr>
          <w:rFonts w:eastAsia="Times New Roman"/>
          <w:color w:val="000000" w:themeColor="text1"/>
          <w:szCs w:val="24"/>
          <w:lang w:eastAsia="lv-LV"/>
        </w:rPr>
        <w:t>apmērā</w:t>
      </w:r>
      <w:r w:rsidR="00351C82">
        <w:rPr>
          <w:rFonts w:eastAsia="Times New Roman"/>
          <w:color w:val="000000" w:themeColor="text1"/>
          <w:sz w:val="18"/>
          <w:szCs w:val="18"/>
          <w:lang w:eastAsia="lv-LV"/>
        </w:rPr>
        <w:t xml:space="preserve"> </w:t>
      </w:r>
      <w:r w:rsidR="005E1927">
        <w:rPr>
          <w:rFonts w:eastAsia="Times New Roman" w:cs="Times New Roman"/>
          <w:szCs w:val="24"/>
        </w:rPr>
        <w:t>dažādām atbalsta programmām</w:t>
      </w:r>
      <w:r w:rsidRPr="0025463C">
        <w:rPr>
          <w:rFonts w:eastAsia="Times New Roman" w:cs="Times New Roman"/>
          <w:szCs w:val="24"/>
        </w:rPr>
        <w:t>.</w:t>
      </w:r>
    </w:p>
    <w:p w14:paraId="06D8B9A0" w14:textId="77777777" w:rsidR="0044719C" w:rsidRPr="00027FF4" w:rsidRDefault="0044719C" w:rsidP="008906ED">
      <w:pPr>
        <w:spacing w:after="120" w:line="240" w:lineRule="auto"/>
        <w:rPr>
          <w:rFonts w:cs="Times New Roman"/>
          <w:i/>
          <w:sz w:val="18"/>
          <w:szCs w:val="18"/>
        </w:rPr>
      </w:pPr>
    </w:p>
    <w:p w14:paraId="5CDE459C" w14:textId="79F09B0A" w:rsidR="008906ED" w:rsidRPr="00027FF4" w:rsidRDefault="008906ED" w:rsidP="0085687D">
      <w:pPr>
        <w:pStyle w:val="Heading1"/>
        <w:numPr>
          <w:ilvl w:val="0"/>
          <w:numId w:val="0"/>
        </w:numPr>
        <w:spacing w:after="60"/>
        <w:ind w:left="568" w:hanging="284"/>
        <w:jc w:val="center"/>
        <w:rPr>
          <w:b w:val="0"/>
          <w:sz w:val="20"/>
          <w:szCs w:val="20"/>
        </w:rPr>
      </w:pPr>
      <w:bookmarkStart w:id="62" w:name="_Toc76385265"/>
      <w:bookmarkStart w:id="63" w:name="_Toc76460590"/>
      <w:bookmarkStart w:id="64" w:name="_Toc76462997"/>
      <w:bookmarkStart w:id="65" w:name="_Toc76473152"/>
      <w:bookmarkStart w:id="66" w:name="_Toc76572823"/>
      <w:bookmarkStart w:id="67" w:name="_Toc78874212"/>
      <w:bookmarkStart w:id="68" w:name="_Toc78874610"/>
      <w:r w:rsidRPr="00027FF4">
        <w:rPr>
          <w:sz w:val="20"/>
          <w:szCs w:val="20"/>
        </w:rPr>
        <w:t>3. tabula. EM valsts budžeta izdevumi 201</w:t>
      </w:r>
      <w:r>
        <w:rPr>
          <w:sz w:val="20"/>
          <w:szCs w:val="20"/>
        </w:rPr>
        <w:t>9</w:t>
      </w:r>
      <w:r w:rsidRPr="00027FF4">
        <w:rPr>
          <w:sz w:val="20"/>
          <w:szCs w:val="20"/>
        </w:rPr>
        <w:t>. un 20</w:t>
      </w:r>
      <w:r>
        <w:rPr>
          <w:sz w:val="20"/>
          <w:szCs w:val="20"/>
        </w:rPr>
        <w:t>20</w:t>
      </w:r>
      <w:r w:rsidRPr="00027FF4">
        <w:rPr>
          <w:sz w:val="20"/>
          <w:szCs w:val="20"/>
        </w:rPr>
        <w:t>.</w:t>
      </w:r>
      <w:r w:rsidR="00710613">
        <w:rPr>
          <w:rFonts w:hint="eastAsia"/>
          <w:sz w:val="20"/>
          <w:szCs w:val="20"/>
        </w:rPr>
        <w:t> </w:t>
      </w:r>
      <w:r w:rsidRPr="00027FF4">
        <w:rPr>
          <w:sz w:val="20"/>
          <w:szCs w:val="20"/>
        </w:rPr>
        <w:t xml:space="preserve">gadā sadalījumā pa budžeta programmām, </w:t>
      </w:r>
      <w:r w:rsidRPr="00027FF4">
        <w:rPr>
          <w:i/>
          <w:sz w:val="20"/>
          <w:szCs w:val="20"/>
        </w:rPr>
        <w:t>euro</w:t>
      </w:r>
      <w:bookmarkEnd w:id="62"/>
      <w:bookmarkEnd w:id="63"/>
      <w:bookmarkEnd w:id="64"/>
      <w:bookmarkEnd w:id="65"/>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5041"/>
        <w:gridCol w:w="1417"/>
        <w:gridCol w:w="1410"/>
      </w:tblGrid>
      <w:tr w:rsidR="008906ED" w:rsidRPr="00027FF4" w14:paraId="076D7E0A" w14:textId="77777777" w:rsidTr="008906ED">
        <w:trPr>
          <w:trHeight w:val="549"/>
          <w:tblHeader/>
        </w:trPr>
        <w:tc>
          <w:tcPr>
            <w:tcW w:w="914" w:type="pct"/>
            <w:shd w:val="clear" w:color="auto" w:fill="00859B"/>
            <w:vAlign w:val="center"/>
          </w:tcPr>
          <w:p w14:paraId="56215DF1"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Programmas/ apakšprogrammas kods</w:t>
            </w:r>
          </w:p>
        </w:tc>
        <w:tc>
          <w:tcPr>
            <w:tcW w:w="2617" w:type="pct"/>
            <w:shd w:val="clear" w:color="auto" w:fill="00859B"/>
            <w:vAlign w:val="center"/>
          </w:tcPr>
          <w:p w14:paraId="591DD272"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Programmas/ apakšprogrammas nosaukums</w:t>
            </w:r>
          </w:p>
        </w:tc>
        <w:tc>
          <w:tcPr>
            <w:tcW w:w="736" w:type="pct"/>
            <w:shd w:val="clear" w:color="auto" w:fill="00859B"/>
            <w:vAlign w:val="center"/>
          </w:tcPr>
          <w:p w14:paraId="681F4ED5"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201</w:t>
            </w:r>
            <w:r>
              <w:rPr>
                <w:rFonts w:cs="Times New Roman"/>
                <w:b/>
                <w:bCs/>
                <w:color w:val="FFFFFF" w:themeColor="background1"/>
                <w:sz w:val="18"/>
                <w:szCs w:val="18"/>
              </w:rPr>
              <w:t>9</w:t>
            </w:r>
            <w:r w:rsidRPr="00027FF4">
              <w:rPr>
                <w:rFonts w:cs="Times New Roman"/>
                <w:b/>
                <w:bCs/>
                <w:color w:val="FFFFFF" w:themeColor="background1"/>
                <w:sz w:val="18"/>
                <w:szCs w:val="18"/>
              </w:rPr>
              <w:t>.gadā</w:t>
            </w:r>
          </w:p>
          <w:p w14:paraId="14201F0B"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faktiski izpildīts</w:t>
            </w:r>
          </w:p>
        </w:tc>
        <w:tc>
          <w:tcPr>
            <w:tcW w:w="732" w:type="pct"/>
            <w:shd w:val="clear" w:color="auto" w:fill="00859B"/>
            <w:vAlign w:val="center"/>
          </w:tcPr>
          <w:p w14:paraId="2F539E6C"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20</w:t>
            </w:r>
            <w:r>
              <w:rPr>
                <w:rFonts w:cs="Times New Roman"/>
                <w:b/>
                <w:bCs/>
                <w:color w:val="FFFFFF" w:themeColor="background1"/>
                <w:sz w:val="18"/>
                <w:szCs w:val="18"/>
              </w:rPr>
              <w:t>20</w:t>
            </w:r>
            <w:r w:rsidRPr="00027FF4">
              <w:rPr>
                <w:rFonts w:cs="Times New Roman"/>
                <w:b/>
                <w:bCs/>
                <w:color w:val="FFFFFF" w:themeColor="background1"/>
                <w:sz w:val="18"/>
                <w:szCs w:val="18"/>
              </w:rPr>
              <w:t>.gadā</w:t>
            </w:r>
          </w:p>
          <w:p w14:paraId="35F15C44" w14:textId="77777777" w:rsidR="008906ED" w:rsidRPr="00027FF4" w:rsidRDefault="008906ED" w:rsidP="008906ED">
            <w:pPr>
              <w:spacing w:after="0" w:line="240" w:lineRule="auto"/>
              <w:jc w:val="center"/>
              <w:rPr>
                <w:rFonts w:cs="Times New Roman"/>
                <w:b/>
                <w:bCs/>
                <w:color w:val="FFFFFF" w:themeColor="background1"/>
                <w:sz w:val="18"/>
                <w:szCs w:val="18"/>
              </w:rPr>
            </w:pPr>
            <w:r w:rsidRPr="00027FF4">
              <w:rPr>
                <w:rFonts w:cs="Times New Roman"/>
                <w:b/>
                <w:bCs/>
                <w:color w:val="FFFFFF" w:themeColor="background1"/>
                <w:sz w:val="18"/>
                <w:szCs w:val="18"/>
              </w:rPr>
              <w:t>faktiski izpildīts</w:t>
            </w:r>
          </w:p>
        </w:tc>
      </w:tr>
      <w:tr w:rsidR="008906ED" w:rsidRPr="00027FF4" w14:paraId="71182413" w14:textId="77777777" w:rsidTr="008906ED">
        <w:trPr>
          <w:trHeight w:val="322"/>
        </w:trPr>
        <w:tc>
          <w:tcPr>
            <w:tcW w:w="3532" w:type="pct"/>
            <w:gridSpan w:val="2"/>
            <w:shd w:val="clear" w:color="auto" w:fill="DAEEF3" w:themeFill="accent5" w:themeFillTint="33"/>
            <w:vAlign w:val="center"/>
          </w:tcPr>
          <w:p w14:paraId="0E88F73D" w14:textId="77777777" w:rsidR="008906ED" w:rsidRPr="00027FF4" w:rsidRDefault="008906ED" w:rsidP="008906ED">
            <w:pPr>
              <w:spacing w:before="20" w:after="20"/>
              <w:jc w:val="right"/>
              <w:rPr>
                <w:rFonts w:cs="Times New Roman"/>
                <w:b/>
                <w:bCs/>
                <w:sz w:val="18"/>
                <w:szCs w:val="18"/>
              </w:rPr>
            </w:pPr>
            <w:r w:rsidRPr="00027FF4">
              <w:rPr>
                <w:rFonts w:cs="Times New Roman"/>
                <w:b/>
                <w:bCs/>
                <w:sz w:val="18"/>
                <w:szCs w:val="18"/>
              </w:rPr>
              <w:t>Kopā</w:t>
            </w:r>
          </w:p>
        </w:tc>
        <w:tc>
          <w:tcPr>
            <w:tcW w:w="736" w:type="pct"/>
            <w:shd w:val="clear" w:color="auto" w:fill="DAEEF3" w:themeFill="accent5" w:themeFillTint="33"/>
            <w:vAlign w:val="center"/>
          </w:tcPr>
          <w:p w14:paraId="37819C14" w14:textId="77777777" w:rsidR="008906ED" w:rsidRPr="00027FF4" w:rsidRDefault="008906ED" w:rsidP="008906ED">
            <w:pPr>
              <w:spacing w:before="20" w:after="20"/>
              <w:jc w:val="right"/>
              <w:rPr>
                <w:b/>
                <w:bCs/>
                <w:sz w:val="18"/>
                <w:szCs w:val="18"/>
              </w:rPr>
            </w:pPr>
            <w:r w:rsidRPr="00027FF4">
              <w:rPr>
                <w:b/>
                <w:bCs/>
                <w:sz w:val="18"/>
                <w:szCs w:val="18"/>
              </w:rPr>
              <w:t>98 799 446</w:t>
            </w:r>
          </w:p>
        </w:tc>
        <w:tc>
          <w:tcPr>
            <w:tcW w:w="732" w:type="pct"/>
            <w:shd w:val="clear" w:color="auto" w:fill="DAEEF3" w:themeFill="accent5" w:themeFillTint="33"/>
            <w:vAlign w:val="center"/>
          </w:tcPr>
          <w:p w14:paraId="024D7899" w14:textId="77777777" w:rsidR="008906ED" w:rsidRPr="00027FF4" w:rsidRDefault="008906ED" w:rsidP="008906ED">
            <w:pPr>
              <w:spacing w:before="20" w:after="20"/>
              <w:jc w:val="right"/>
              <w:rPr>
                <w:b/>
                <w:bCs/>
                <w:sz w:val="18"/>
                <w:szCs w:val="18"/>
              </w:rPr>
            </w:pPr>
            <w:r w:rsidRPr="00441E62">
              <w:rPr>
                <w:b/>
                <w:bCs/>
                <w:sz w:val="18"/>
                <w:szCs w:val="18"/>
              </w:rPr>
              <w:t>307</w:t>
            </w:r>
            <w:r w:rsidR="00710613">
              <w:rPr>
                <w:b/>
                <w:bCs/>
                <w:sz w:val="18"/>
                <w:szCs w:val="18"/>
              </w:rPr>
              <w:t> </w:t>
            </w:r>
            <w:r w:rsidRPr="00441E62">
              <w:rPr>
                <w:b/>
                <w:bCs/>
                <w:sz w:val="18"/>
                <w:szCs w:val="18"/>
              </w:rPr>
              <w:t>343</w:t>
            </w:r>
            <w:r w:rsidR="00710613">
              <w:rPr>
                <w:b/>
                <w:bCs/>
                <w:sz w:val="18"/>
                <w:szCs w:val="18"/>
              </w:rPr>
              <w:t> </w:t>
            </w:r>
            <w:r w:rsidRPr="00441E62">
              <w:rPr>
                <w:b/>
                <w:bCs/>
                <w:sz w:val="18"/>
                <w:szCs w:val="18"/>
              </w:rPr>
              <w:t>320</w:t>
            </w:r>
          </w:p>
        </w:tc>
      </w:tr>
      <w:tr w:rsidR="008906ED" w:rsidRPr="00027FF4" w14:paraId="39D91C8A" w14:textId="77777777" w:rsidTr="008906ED">
        <w:tc>
          <w:tcPr>
            <w:tcW w:w="914" w:type="pct"/>
            <w:shd w:val="clear" w:color="auto" w:fill="auto"/>
            <w:vAlign w:val="center"/>
          </w:tcPr>
          <w:p w14:paraId="462CEA56"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20.00.00</w:t>
            </w:r>
          </w:p>
        </w:tc>
        <w:tc>
          <w:tcPr>
            <w:tcW w:w="2617" w:type="pct"/>
            <w:shd w:val="clear" w:color="auto" w:fill="auto"/>
            <w:vAlign w:val="center"/>
          </w:tcPr>
          <w:p w14:paraId="4426B258"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Būvniecība</w:t>
            </w:r>
          </w:p>
        </w:tc>
        <w:tc>
          <w:tcPr>
            <w:tcW w:w="736" w:type="pct"/>
            <w:shd w:val="clear" w:color="auto" w:fill="auto"/>
            <w:vAlign w:val="center"/>
          </w:tcPr>
          <w:p w14:paraId="1B94B04A" w14:textId="77777777" w:rsidR="008906ED" w:rsidRPr="00027FF4" w:rsidRDefault="008906ED" w:rsidP="008906ED">
            <w:pPr>
              <w:spacing w:before="20" w:after="20"/>
              <w:jc w:val="right"/>
              <w:rPr>
                <w:sz w:val="18"/>
                <w:szCs w:val="18"/>
              </w:rPr>
            </w:pPr>
            <w:r w:rsidRPr="00027FF4">
              <w:rPr>
                <w:sz w:val="18"/>
                <w:szCs w:val="18"/>
              </w:rPr>
              <w:t>3 533 255</w:t>
            </w:r>
          </w:p>
        </w:tc>
        <w:tc>
          <w:tcPr>
            <w:tcW w:w="732" w:type="pct"/>
            <w:shd w:val="clear" w:color="auto" w:fill="auto"/>
            <w:vAlign w:val="center"/>
          </w:tcPr>
          <w:p w14:paraId="323BC3F3" w14:textId="77777777" w:rsidR="008906ED" w:rsidRPr="00027FF4" w:rsidRDefault="008906ED" w:rsidP="008906ED">
            <w:pPr>
              <w:spacing w:before="20" w:after="20"/>
              <w:jc w:val="right"/>
              <w:rPr>
                <w:sz w:val="18"/>
                <w:szCs w:val="18"/>
              </w:rPr>
            </w:pPr>
            <w:r w:rsidRPr="00441E62">
              <w:rPr>
                <w:sz w:val="18"/>
                <w:szCs w:val="18"/>
              </w:rPr>
              <w:t>3</w:t>
            </w:r>
            <w:r w:rsidR="00710613">
              <w:rPr>
                <w:sz w:val="18"/>
                <w:szCs w:val="18"/>
              </w:rPr>
              <w:t> </w:t>
            </w:r>
            <w:r w:rsidRPr="00441E62">
              <w:rPr>
                <w:sz w:val="18"/>
                <w:szCs w:val="18"/>
              </w:rPr>
              <w:t>299</w:t>
            </w:r>
            <w:r w:rsidR="00710613">
              <w:rPr>
                <w:sz w:val="18"/>
                <w:szCs w:val="18"/>
              </w:rPr>
              <w:t> </w:t>
            </w:r>
            <w:r w:rsidRPr="00441E62">
              <w:rPr>
                <w:sz w:val="18"/>
                <w:szCs w:val="18"/>
              </w:rPr>
              <w:t>383</w:t>
            </w:r>
          </w:p>
        </w:tc>
      </w:tr>
      <w:tr w:rsidR="008906ED" w:rsidRPr="00027FF4" w14:paraId="473F0F00" w14:textId="77777777" w:rsidTr="008906ED">
        <w:tc>
          <w:tcPr>
            <w:tcW w:w="914" w:type="pct"/>
            <w:shd w:val="clear" w:color="auto" w:fill="auto"/>
            <w:vAlign w:val="center"/>
          </w:tcPr>
          <w:p w14:paraId="5928BD1D"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24.00.00</w:t>
            </w:r>
          </w:p>
        </w:tc>
        <w:tc>
          <w:tcPr>
            <w:tcW w:w="2617" w:type="pct"/>
            <w:shd w:val="clear" w:color="auto" w:fill="auto"/>
            <w:vAlign w:val="center"/>
          </w:tcPr>
          <w:p w14:paraId="0AEBD95B"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Statistiskās informācijas nodrošināšana</w:t>
            </w:r>
          </w:p>
        </w:tc>
        <w:tc>
          <w:tcPr>
            <w:tcW w:w="736" w:type="pct"/>
            <w:shd w:val="clear" w:color="auto" w:fill="auto"/>
            <w:vAlign w:val="center"/>
          </w:tcPr>
          <w:p w14:paraId="14FE270B"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10 195 126</w:t>
            </w:r>
          </w:p>
        </w:tc>
        <w:tc>
          <w:tcPr>
            <w:tcW w:w="732" w:type="pct"/>
            <w:shd w:val="clear" w:color="auto" w:fill="auto"/>
            <w:vAlign w:val="center"/>
          </w:tcPr>
          <w:p w14:paraId="752C8033"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9</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901</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786</w:t>
            </w:r>
          </w:p>
        </w:tc>
      </w:tr>
      <w:tr w:rsidR="008906ED" w:rsidRPr="00027FF4" w14:paraId="26AD56A1" w14:textId="77777777" w:rsidTr="008906ED">
        <w:trPr>
          <w:trHeight w:val="340"/>
        </w:trPr>
        <w:tc>
          <w:tcPr>
            <w:tcW w:w="914" w:type="pct"/>
            <w:shd w:val="clear" w:color="auto" w:fill="auto"/>
            <w:vAlign w:val="center"/>
          </w:tcPr>
          <w:p w14:paraId="592F512F"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26.00.00</w:t>
            </w:r>
          </w:p>
        </w:tc>
        <w:tc>
          <w:tcPr>
            <w:tcW w:w="2617" w:type="pct"/>
            <w:shd w:val="clear" w:color="auto" w:fill="auto"/>
            <w:vAlign w:val="center"/>
          </w:tcPr>
          <w:p w14:paraId="074A5E48" w14:textId="77777777" w:rsidR="008906ED" w:rsidRPr="00027FF4" w:rsidRDefault="008906ED" w:rsidP="008906ED">
            <w:pPr>
              <w:spacing w:before="20" w:after="20" w:line="240" w:lineRule="auto"/>
              <w:rPr>
                <w:rFonts w:eastAsia="Times New Roman" w:cs="Times New Roman"/>
                <w:sz w:val="18"/>
                <w:szCs w:val="18"/>
                <w:lang w:eastAsia="lv-LV"/>
              </w:rPr>
            </w:pPr>
            <w:r w:rsidRPr="00027FF4">
              <w:rPr>
                <w:rFonts w:eastAsia="Times New Roman" w:cs="Times New Roman"/>
                <w:sz w:val="18"/>
                <w:szCs w:val="18"/>
                <w:lang w:eastAsia="lv-LV"/>
              </w:rPr>
              <w:t>Godīgas konkurences nodrošināšana, iekšējā tirgus un patērētāju tiesību aizsardzība</w:t>
            </w:r>
          </w:p>
        </w:tc>
        <w:tc>
          <w:tcPr>
            <w:tcW w:w="736" w:type="pct"/>
            <w:shd w:val="clear" w:color="auto" w:fill="auto"/>
            <w:vAlign w:val="center"/>
          </w:tcPr>
          <w:p w14:paraId="4B0F9A57"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4 588 054</w:t>
            </w:r>
          </w:p>
        </w:tc>
        <w:tc>
          <w:tcPr>
            <w:tcW w:w="732" w:type="pct"/>
            <w:shd w:val="clear" w:color="auto" w:fill="auto"/>
            <w:vAlign w:val="center"/>
          </w:tcPr>
          <w:p w14:paraId="30A0DF90"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4</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428</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482</w:t>
            </w:r>
          </w:p>
        </w:tc>
      </w:tr>
      <w:tr w:rsidR="008906ED" w:rsidRPr="00027FF4" w14:paraId="3D2594F9" w14:textId="77777777" w:rsidTr="008906ED">
        <w:tc>
          <w:tcPr>
            <w:tcW w:w="914" w:type="pct"/>
            <w:shd w:val="clear" w:color="auto" w:fill="auto"/>
            <w:vAlign w:val="center"/>
          </w:tcPr>
          <w:p w14:paraId="62E1249F"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26.01.00</w:t>
            </w:r>
          </w:p>
        </w:tc>
        <w:tc>
          <w:tcPr>
            <w:tcW w:w="2617" w:type="pct"/>
            <w:shd w:val="clear" w:color="auto" w:fill="auto"/>
            <w:vAlign w:val="center"/>
          </w:tcPr>
          <w:p w14:paraId="7246C233" w14:textId="77777777" w:rsidR="008906ED" w:rsidRPr="00027FF4" w:rsidRDefault="008906ED" w:rsidP="008906ED">
            <w:pPr>
              <w:spacing w:before="20" w:after="20"/>
              <w:rPr>
                <w:rFonts w:eastAsia="Times New Roman" w:cs="Times New Roman"/>
                <w:i/>
                <w:iCs/>
                <w:sz w:val="16"/>
                <w:szCs w:val="16"/>
                <w:lang w:eastAsia="lv-LV"/>
              </w:rPr>
            </w:pPr>
            <w:r w:rsidRPr="00027FF4">
              <w:rPr>
                <w:rFonts w:eastAsia="Times New Roman" w:cs="Times New Roman"/>
                <w:i/>
                <w:iCs/>
                <w:sz w:val="16"/>
                <w:szCs w:val="16"/>
                <w:lang w:eastAsia="lv-LV"/>
              </w:rPr>
              <w:t>Iekšējais tirgus un patērētāju tiesību aizsardzība</w:t>
            </w:r>
          </w:p>
        </w:tc>
        <w:tc>
          <w:tcPr>
            <w:tcW w:w="736" w:type="pct"/>
            <w:shd w:val="clear" w:color="auto" w:fill="auto"/>
            <w:vAlign w:val="center"/>
          </w:tcPr>
          <w:p w14:paraId="1F950196" w14:textId="77777777" w:rsidR="008906ED" w:rsidRPr="00027FF4" w:rsidRDefault="008906ED" w:rsidP="008906ED">
            <w:pPr>
              <w:spacing w:before="20" w:after="20"/>
              <w:jc w:val="right"/>
              <w:rPr>
                <w:sz w:val="16"/>
                <w:szCs w:val="16"/>
              </w:rPr>
            </w:pPr>
            <w:r w:rsidRPr="00027FF4">
              <w:rPr>
                <w:rFonts w:eastAsia="Times New Roman"/>
                <w:i/>
                <w:iCs/>
                <w:color w:val="000000" w:themeColor="text1"/>
                <w:sz w:val="16"/>
                <w:szCs w:val="16"/>
                <w:lang w:eastAsia="lv-LV"/>
              </w:rPr>
              <w:t>2 802 080</w:t>
            </w:r>
          </w:p>
        </w:tc>
        <w:tc>
          <w:tcPr>
            <w:tcW w:w="732" w:type="pct"/>
            <w:shd w:val="clear" w:color="auto" w:fill="auto"/>
            <w:vAlign w:val="center"/>
          </w:tcPr>
          <w:p w14:paraId="326A9010" w14:textId="77777777" w:rsidR="008906ED" w:rsidRPr="00027FF4" w:rsidRDefault="008906ED" w:rsidP="008906ED">
            <w:pPr>
              <w:spacing w:before="20" w:after="20"/>
              <w:jc w:val="right"/>
              <w:rPr>
                <w:rFonts w:eastAsia="Times New Roman"/>
                <w:i/>
                <w:iCs/>
                <w:color w:val="000000" w:themeColor="text1"/>
                <w:sz w:val="16"/>
                <w:szCs w:val="16"/>
                <w:lang w:eastAsia="lv-LV"/>
              </w:rPr>
            </w:pPr>
            <w:r w:rsidRPr="00441E62">
              <w:rPr>
                <w:rFonts w:eastAsia="Times New Roman"/>
                <w:i/>
                <w:iCs/>
                <w:color w:val="000000" w:themeColor="text1"/>
                <w:sz w:val="16"/>
                <w:szCs w:val="16"/>
                <w:lang w:eastAsia="lv-LV"/>
              </w:rPr>
              <w:t>2</w:t>
            </w:r>
            <w:r w:rsidR="00710613">
              <w:rPr>
                <w:rFonts w:eastAsia="Times New Roman"/>
                <w:i/>
                <w:iCs/>
                <w:color w:val="000000" w:themeColor="text1"/>
                <w:sz w:val="16"/>
                <w:szCs w:val="16"/>
                <w:lang w:eastAsia="lv-LV"/>
              </w:rPr>
              <w:t> </w:t>
            </w:r>
            <w:r w:rsidRPr="00441E62">
              <w:rPr>
                <w:rFonts w:eastAsia="Times New Roman"/>
                <w:i/>
                <w:iCs/>
                <w:color w:val="000000" w:themeColor="text1"/>
                <w:sz w:val="16"/>
                <w:szCs w:val="16"/>
                <w:lang w:eastAsia="lv-LV"/>
              </w:rPr>
              <w:t>750</w:t>
            </w:r>
            <w:r w:rsidR="00710613">
              <w:rPr>
                <w:rFonts w:eastAsia="Times New Roman"/>
                <w:i/>
                <w:iCs/>
                <w:color w:val="000000" w:themeColor="text1"/>
                <w:sz w:val="16"/>
                <w:szCs w:val="16"/>
                <w:lang w:eastAsia="lv-LV"/>
              </w:rPr>
              <w:t> </w:t>
            </w:r>
            <w:r w:rsidRPr="00441E62">
              <w:rPr>
                <w:rFonts w:eastAsia="Times New Roman"/>
                <w:i/>
                <w:iCs/>
                <w:color w:val="000000" w:themeColor="text1"/>
                <w:sz w:val="16"/>
                <w:szCs w:val="16"/>
                <w:lang w:eastAsia="lv-LV"/>
              </w:rPr>
              <w:t>87</w:t>
            </w:r>
            <w:r>
              <w:rPr>
                <w:rFonts w:eastAsia="Times New Roman"/>
                <w:i/>
                <w:iCs/>
                <w:color w:val="000000" w:themeColor="text1"/>
                <w:sz w:val="16"/>
                <w:szCs w:val="16"/>
                <w:lang w:eastAsia="lv-LV"/>
              </w:rPr>
              <w:t>4</w:t>
            </w:r>
          </w:p>
        </w:tc>
      </w:tr>
      <w:tr w:rsidR="008906ED" w:rsidRPr="00027FF4" w14:paraId="2D7F24F8" w14:textId="77777777" w:rsidTr="008906ED">
        <w:tc>
          <w:tcPr>
            <w:tcW w:w="914" w:type="pct"/>
            <w:shd w:val="clear" w:color="auto" w:fill="auto"/>
            <w:vAlign w:val="center"/>
          </w:tcPr>
          <w:p w14:paraId="65D0E228"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26.02.00</w:t>
            </w:r>
          </w:p>
        </w:tc>
        <w:tc>
          <w:tcPr>
            <w:tcW w:w="2617" w:type="pct"/>
            <w:shd w:val="clear" w:color="auto" w:fill="auto"/>
            <w:vAlign w:val="center"/>
          </w:tcPr>
          <w:p w14:paraId="1981003C" w14:textId="77777777" w:rsidR="008906ED" w:rsidRPr="00027FF4" w:rsidRDefault="008906ED" w:rsidP="008906ED">
            <w:pPr>
              <w:spacing w:before="20" w:after="20"/>
              <w:rPr>
                <w:rFonts w:eastAsia="Times New Roman" w:cs="Times New Roman"/>
                <w:i/>
                <w:iCs/>
                <w:sz w:val="16"/>
                <w:szCs w:val="16"/>
                <w:lang w:eastAsia="lv-LV"/>
              </w:rPr>
            </w:pPr>
            <w:r w:rsidRPr="00027FF4">
              <w:rPr>
                <w:rFonts w:eastAsia="Times New Roman" w:cs="Times New Roman"/>
                <w:i/>
                <w:iCs/>
                <w:sz w:val="16"/>
                <w:szCs w:val="16"/>
                <w:lang w:eastAsia="lv-LV"/>
              </w:rPr>
              <w:t>Konkurences politikas ieviešana</w:t>
            </w:r>
          </w:p>
        </w:tc>
        <w:tc>
          <w:tcPr>
            <w:tcW w:w="736" w:type="pct"/>
            <w:shd w:val="clear" w:color="auto" w:fill="auto"/>
            <w:vAlign w:val="center"/>
          </w:tcPr>
          <w:p w14:paraId="04F2C043" w14:textId="77777777" w:rsidR="008906ED" w:rsidRPr="00027FF4" w:rsidRDefault="008906ED" w:rsidP="008906ED">
            <w:pPr>
              <w:spacing w:before="20" w:after="20"/>
              <w:jc w:val="right"/>
              <w:rPr>
                <w:i/>
                <w:iCs/>
                <w:sz w:val="16"/>
                <w:szCs w:val="16"/>
              </w:rPr>
            </w:pPr>
            <w:r w:rsidRPr="00027FF4">
              <w:rPr>
                <w:i/>
                <w:iCs/>
                <w:sz w:val="16"/>
                <w:szCs w:val="16"/>
              </w:rPr>
              <w:t>1 399 497</w:t>
            </w:r>
          </w:p>
        </w:tc>
        <w:tc>
          <w:tcPr>
            <w:tcW w:w="732" w:type="pct"/>
            <w:shd w:val="clear" w:color="auto" w:fill="auto"/>
            <w:vAlign w:val="center"/>
          </w:tcPr>
          <w:p w14:paraId="6FC6823C" w14:textId="77777777" w:rsidR="008906ED" w:rsidRPr="00027FF4" w:rsidRDefault="008906ED" w:rsidP="008906ED">
            <w:pPr>
              <w:spacing w:before="20" w:after="20"/>
              <w:jc w:val="right"/>
              <w:rPr>
                <w:i/>
                <w:iCs/>
                <w:sz w:val="16"/>
                <w:szCs w:val="16"/>
              </w:rPr>
            </w:pPr>
            <w:r w:rsidRPr="00441E62">
              <w:rPr>
                <w:i/>
                <w:iCs/>
                <w:sz w:val="16"/>
                <w:szCs w:val="16"/>
              </w:rPr>
              <w:t>1</w:t>
            </w:r>
            <w:r w:rsidR="00710613">
              <w:rPr>
                <w:i/>
                <w:iCs/>
                <w:sz w:val="16"/>
                <w:szCs w:val="16"/>
              </w:rPr>
              <w:t> </w:t>
            </w:r>
            <w:r w:rsidRPr="00441E62">
              <w:rPr>
                <w:i/>
                <w:iCs/>
                <w:sz w:val="16"/>
                <w:szCs w:val="16"/>
              </w:rPr>
              <w:t>291</w:t>
            </w:r>
            <w:r w:rsidR="00710613">
              <w:rPr>
                <w:i/>
                <w:iCs/>
                <w:sz w:val="16"/>
                <w:szCs w:val="16"/>
              </w:rPr>
              <w:t> </w:t>
            </w:r>
            <w:r w:rsidRPr="00441E62">
              <w:rPr>
                <w:i/>
                <w:iCs/>
                <w:sz w:val="16"/>
                <w:szCs w:val="16"/>
              </w:rPr>
              <w:t>132</w:t>
            </w:r>
          </w:p>
        </w:tc>
      </w:tr>
      <w:tr w:rsidR="008906ED" w:rsidRPr="00027FF4" w14:paraId="2DDFBA83" w14:textId="77777777" w:rsidTr="008906ED">
        <w:tc>
          <w:tcPr>
            <w:tcW w:w="914" w:type="pct"/>
            <w:shd w:val="clear" w:color="auto" w:fill="auto"/>
            <w:vAlign w:val="center"/>
          </w:tcPr>
          <w:p w14:paraId="01BA0A9A"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26.04.00</w:t>
            </w:r>
          </w:p>
        </w:tc>
        <w:tc>
          <w:tcPr>
            <w:tcW w:w="2617" w:type="pct"/>
            <w:shd w:val="clear" w:color="auto" w:fill="auto"/>
            <w:vAlign w:val="center"/>
          </w:tcPr>
          <w:p w14:paraId="59355484" w14:textId="77777777" w:rsidR="008906ED" w:rsidRPr="00027FF4" w:rsidRDefault="008906ED" w:rsidP="008906ED">
            <w:pPr>
              <w:spacing w:before="20" w:after="20"/>
              <w:rPr>
                <w:rFonts w:eastAsia="Times New Roman" w:cs="Times New Roman"/>
                <w:i/>
                <w:iCs/>
                <w:sz w:val="16"/>
                <w:szCs w:val="16"/>
                <w:lang w:eastAsia="lv-LV"/>
              </w:rPr>
            </w:pPr>
            <w:r w:rsidRPr="00027FF4">
              <w:rPr>
                <w:rFonts w:eastAsia="Times New Roman" w:cs="Times New Roman"/>
                <w:i/>
                <w:iCs/>
                <w:sz w:val="16"/>
                <w:szCs w:val="16"/>
                <w:lang w:eastAsia="lv-LV"/>
              </w:rPr>
              <w:t>Atbilstības novērtēšana un kvalitātes nodrošināšana</w:t>
            </w:r>
          </w:p>
        </w:tc>
        <w:tc>
          <w:tcPr>
            <w:tcW w:w="736" w:type="pct"/>
            <w:shd w:val="clear" w:color="auto" w:fill="auto"/>
            <w:vAlign w:val="center"/>
          </w:tcPr>
          <w:p w14:paraId="6DF829FD" w14:textId="77777777" w:rsidR="008906ED" w:rsidRPr="00027FF4" w:rsidRDefault="008906ED" w:rsidP="008906ED">
            <w:pPr>
              <w:spacing w:before="20" w:after="20"/>
              <w:jc w:val="right"/>
              <w:rPr>
                <w:i/>
                <w:iCs/>
                <w:sz w:val="16"/>
                <w:szCs w:val="16"/>
              </w:rPr>
            </w:pPr>
            <w:r w:rsidRPr="00027FF4">
              <w:rPr>
                <w:rFonts w:eastAsia="Times New Roman"/>
                <w:i/>
                <w:color w:val="000000" w:themeColor="text1"/>
                <w:sz w:val="16"/>
                <w:szCs w:val="16"/>
                <w:lang w:eastAsia="lv-LV"/>
              </w:rPr>
              <w:t>386 477</w:t>
            </w:r>
          </w:p>
        </w:tc>
        <w:tc>
          <w:tcPr>
            <w:tcW w:w="732" w:type="pct"/>
            <w:shd w:val="clear" w:color="auto" w:fill="auto"/>
            <w:vAlign w:val="center"/>
          </w:tcPr>
          <w:p w14:paraId="646FBE2D" w14:textId="77777777" w:rsidR="008906ED" w:rsidRPr="00027FF4" w:rsidRDefault="008906ED" w:rsidP="008906ED">
            <w:pPr>
              <w:spacing w:before="20" w:after="20"/>
              <w:jc w:val="right"/>
              <w:rPr>
                <w:rFonts w:eastAsia="Times New Roman"/>
                <w:i/>
                <w:color w:val="000000" w:themeColor="text1"/>
                <w:sz w:val="16"/>
                <w:szCs w:val="16"/>
                <w:lang w:eastAsia="lv-LV"/>
              </w:rPr>
            </w:pPr>
            <w:r w:rsidRPr="00441E62">
              <w:rPr>
                <w:rFonts w:eastAsia="Times New Roman"/>
                <w:i/>
                <w:color w:val="000000" w:themeColor="text1"/>
                <w:sz w:val="16"/>
                <w:szCs w:val="16"/>
                <w:lang w:eastAsia="lv-LV"/>
              </w:rPr>
              <w:t>386</w:t>
            </w:r>
            <w:r w:rsidR="00710613">
              <w:rPr>
                <w:rFonts w:eastAsia="Times New Roman"/>
                <w:i/>
                <w:color w:val="000000" w:themeColor="text1"/>
                <w:sz w:val="16"/>
                <w:szCs w:val="16"/>
                <w:lang w:eastAsia="lv-LV"/>
              </w:rPr>
              <w:t> </w:t>
            </w:r>
            <w:r w:rsidRPr="00441E62">
              <w:rPr>
                <w:rFonts w:eastAsia="Times New Roman"/>
                <w:i/>
                <w:color w:val="000000" w:themeColor="text1"/>
                <w:sz w:val="16"/>
                <w:szCs w:val="16"/>
                <w:lang w:eastAsia="lv-LV"/>
              </w:rPr>
              <w:t>476</w:t>
            </w:r>
          </w:p>
        </w:tc>
      </w:tr>
      <w:tr w:rsidR="008906ED" w:rsidRPr="00027FF4" w14:paraId="1771DC1F" w14:textId="77777777" w:rsidTr="008906ED">
        <w:tc>
          <w:tcPr>
            <w:tcW w:w="914" w:type="pct"/>
            <w:shd w:val="clear" w:color="auto" w:fill="auto"/>
            <w:vAlign w:val="center"/>
          </w:tcPr>
          <w:p w14:paraId="7B02F839"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27.00.00</w:t>
            </w:r>
          </w:p>
        </w:tc>
        <w:tc>
          <w:tcPr>
            <w:tcW w:w="2617" w:type="pct"/>
            <w:shd w:val="clear" w:color="auto" w:fill="auto"/>
            <w:vAlign w:val="center"/>
          </w:tcPr>
          <w:p w14:paraId="3BF98B3C"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 xml:space="preserve">Valsts atbalsta politikas ieviešana </w:t>
            </w:r>
          </w:p>
        </w:tc>
        <w:tc>
          <w:tcPr>
            <w:tcW w:w="736" w:type="pct"/>
            <w:shd w:val="clear" w:color="auto" w:fill="auto"/>
            <w:vAlign w:val="center"/>
          </w:tcPr>
          <w:p w14:paraId="6F5F3F41" w14:textId="77777777" w:rsidR="008906ED" w:rsidRPr="00027FF4" w:rsidRDefault="008906ED" w:rsidP="008906ED">
            <w:pPr>
              <w:spacing w:before="20" w:after="20"/>
              <w:jc w:val="right"/>
              <w:rPr>
                <w:sz w:val="18"/>
                <w:szCs w:val="18"/>
              </w:rPr>
            </w:pPr>
            <w:r w:rsidRPr="00027FF4">
              <w:rPr>
                <w:sz w:val="18"/>
                <w:szCs w:val="18"/>
              </w:rPr>
              <w:t>1 070 544</w:t>
            </w:r>
          </w:p>
        </w:tc>
        <w:tc>
          <w:tcPr>
            <w:tcW w:w="732" w:type="pct"/>
            <w:shd w:val="clear" w:color="auto" w:fill="auto"/>
            <w:vAlign w:val="center"/>
          </w:tcPr>
          <w:p w14:paraId="340AA53D" w14:textId="77777777" w:rsidR="008906ED" w:rsidRPr="00027FF4" w:rsidRDefault="008906ED" w:rsidP="008906ED">
            <w:pPr>
              <w:spacing w:before="20" w:after="20"/>
              <w:jc w:val="right"/>
              <w:rPr>
                <w:sz w:val="18"/>
                <w:szCs w:val="18"/>
              </w:rPr>
            </w:pPr>
            <w:r w:rsidRPr="00441E62">
              <w:rPr>
                <w:sz w:val="18"/>
                <w:szCs w:val="18"/>
              </w:rPr>
              <w:t>1</w:t>
            </w:r>
            <w:r w:rsidR="00710613">
              <w:rPr>
                <w:sz w:val="18"/>
                <w:szCs w:val="18"/>
              </w:rPr>
              <w:t> </w:t>
            </w:r>
            <w:r w:rsidRPr="00441E62">
              <w:rPr>
                <w:sz w:val="18"/>
                <w:szCs w:val="18"/>
              </w:rPr>
              <w:t>091</w:t>
            </w:r>
            <w:r w:rsidR="00710613">
              <w:rPr>
                <w:sz w:val="18"/>
                <w:szCs w:val="18"/>
              </w:rPr>
              <w:t> </w:t>
            </w:r>
            <w:r w:rsidRPr="00441E62">
              <w:rPr>
                <w:sz w:val="18"/>
                <w:szCs w:val="18"/>
              </w:rPr>
              <w:t>103</w:t>
            </w:r>
          </w:p>
        </w:tc>
      </w:tr>
      <w:tr w:rsidR="008906ED" w:rsidRPr="00027FF4" w14:paraId="6AB05B94" w14:textId="77777777" w:rsidTr="008906ED">
        <w:tc>
          <w:tcPr>
            <w:tcW w:w="914" w:type="pct"/>
            <w:shd w:val="clear" w:color="auto" w:fill="auto"/>
            <w:vAlign w:val="center"/>
          </w:tcPr>
          <w:p w14:paraId="06164544" w14:textId="77777777" w:rsidR="008906ED" w:rsidRPr="00027FF4" w:rsidRDefault="008906ED" w:rsidP="008906ED">
            <w:pPr>
              <w:spacing w:before="20" w:after="20"/>
              <w:jc w:val="center"/>
              <w:rPr>
                <w:rFonts w:eastAsia="Times New Roman" w:cs="Times New Roman"/>
                <w:sz w:val="16"/>
                <w:szCs w:val="16"/>
                <w:lang w:eastAsia="lv-LV"/>
              </w:rPr>
            </w:pPr>
            <w:r w:rsidRPr="00027FF4">
              <w:rPr>
                <w:rFonts w:eastAsia="Times New Roman" w:cs="Times New Roman"/>
                <w:i/>
                <w:iCs/>
                <w:sz w:val="16"/>
                <w:szCs w:val="16"/>
                <w:lang w:eastAsia="lv-LV"/>
              </w:rPr>
              <w:t>27.12.00</w:t>
            </w:r>
          </w:p>
        </w:tc>
        <w:tc>
          <w:tcPr>
            <w:tcW w:w="2617" w:type="pct"/>
            <w:shd w:val="clear" w:color="auto" w:fill="auto"/>
            <w:vAlign w:val="center"/>
          </w:tcPr>
          <w:p w14:paraId="1F6BF76E" w14:textId="77777777" w:rsidR="008906ED" w:rsidRPr="00027FF4" w:rsidRDefault="008906ED" w:rsidP="008906ED">
            <w:pPr>
              <w:spacing w:before="20" w:after="20"/>
              <w:rPr>
                <w:rFonts w:eastAsia="Times New Roman" w:cs="Times New Roman"/>
                <w:sz w:val="16"/>
                <w:szCs w:val="16"/>
                <w:lang w:eastAsia="lv-LV"/>
              </w:rPr>
            </w:pPr>
            <w:r w:rsidRPr="00027FF4">
              <w:rPr>
                <w:rFonts w:eastAsia="Times New Roman" w:cs="Times New Roman"/>
                <w:i/>
                <w:iCs/>
                <w:sz w:val="16"/>
                <w:szCs w:val="16"/>
                <w:lang w:eastAsia="lv-LV"/>
              </w:rPr>
              <w:t>LIAA darbības nodrošināšana</w:t>
            </w:r>
          </w:p>
        </w:tc>
        <w:tc>
          <w:tcPr>
            <w:tcW w:w="736" w:type="pct"/>
            <w:shd w:val="clear" w:color="auto" w:fill="auto"/>
            <w:vAlign w:val="center"/>
          </w:tcPr>
          <w:p w14:paraId="0BFFF382" w14:textId="77777777" w:rsidR="008906ED" w:rsidRPr="00027FF4" w:rsidRDefault="008906ED" w:rsidP="008906ED">
            <w:pPr>
              <w:spacing w:before="20" w:after="20"/>
              <w:jc w:val="right"/>
              <w:rPr>
                <w:i/>
                <w:sz w:val="16"/>
                <w:szCs w:val="16"/>
              </w:rPr>
            </w:pPr>
            <w:r w:rsidRPr="00027FF4">
              <w:rPr>
                <w:rFonts w:eastAsia="Times New Roman"/>
                <w:i/>
                <w:iCs/>
                <w:color w:val="000000" w:themeColor="text1"/>
                <w:sz w:val="16"/>
                <w:szCs w:val="16"/>
                <w:lang w:eastAsia="lv-LV"/>
              </w:rPr>
              <w:t>1 070 544</w:t>
            </w:r>
          </w:p>
        </w:tc>
        <w:tc>
          <w:tcPr>
            <w:tcW w:w="732" w:type="pct"/>
            <w:shd w:val="clear" w:color="auto" w:fill="auto"/>
            <w:vAlign w:val="center"/>
          </w:tcPr>
          <w:p w14:paraId="752D6CB5" w14:textId="77777777" w:rsidR="008906ED" w:rsidRPr="00027FF4" w:rsidRDefault="008906ED" w:rsidP="008906ED">
            <w:pPr>
              <w:spacing w:before="20" w:after="20"/>
              <w:jc w:val="right"/>
              <w:rPr>
                <w:rFonts w:eastAsia="Times New Roman"/>
                <w:i/>
                <w:iCs/>
                <w:color w:val="000000" w:themeColor="text1"/>
                <w:sz w:val="16"/>
                <w:szCs w:val="16"/>
                <w:lang w:eastAsia="lv-LV"/>
              </w:rPr>
            </w:pPr>
            <w:r w:rsidRPr="00441E62">
              <w:rPr>
                <w:rFonts w:eastAsia="Times New Roman"/>
                <w:i/>
                <w:iCs/>
                <w:color w:val="000000" w:themeColor="text1"/>
                <w:sz w:val="16"/>
                <w:szCs w:val="16"/>
                <w:lang w:eastAsia="lv-LV"/>
              </w:rPr>
              <w:t>1</w:t>
            </w:r>
            <w:r w:rsidR="00710613">
              <w:rPr>
                <w:rFonts w:eastAsia="Times New Roman"/>
                <w:i/>
                <w:iCs/>
                <w:color w:val="000000" w:themeColor="text1"/>
                <w:sz w:val="16"/>
                <w:szCs w:val="16"/>
                <w:lang w:eastAsia="lv-LV"/>
              </w:rPr>
              <w:t> </w:t>
            </w:r>
            <w:r w:rsidRPr="00441E62">
              <w:rPr>
                <w:rFonts w:eastAsia="Times New Roman"/>
                <w:i/>
                <w:iCs/>
                <w:color w:val="000000" w:themeColor="text1"/>
                <w:sz w:val="16"/>
                <w:szCs w:val="16"/>
                <w:lang w:eastAsia="lv-LV"/>
              </w:rPr>
              <w:t>091</w:t>
            </w:r>
            <w:r w:rsidR="00710613">
              <w:rPr>
                <w:rFonts w:eastAsia="Times New Roman"/>
                <w:i/>
                <w:iCs/>
                <w:color w:val="000000" w:themeColor="text1"/>
                <w:sz w:val="16"/>
                <w:szCs w:val="16"/>
                <w:lang w:eastAsia="lv-LV"/>
              </w:rPr>
              <w:t> </w:t>
            </w:r>
            <w:r w:rsidRPr="00441E62">
              <w:rPr>
                <w:rFonts w:eastAsia="Times New Roman"/>
                <w:i/>
                <w:iCs/>
                <w:color w:val="000000" w:themeColor="text1"/>
                <w:sz w:val="16"/>
                <w:szCs w:val="16"/>
                <w:lang w:eastAsia="lv-LV"/>
              </w:rPr>
              <w:t>103</w:t>
            </w:r>
          </w:p>
        </w:tc>
      </w:tr>
      <w:tr w:rsidR="008906ED" w:rsidRPr="00027FF4" w14:paraId="7EF16306" w14:textId="77777777" w:rsidTr="008906ED">
        <w:tc>
          <w:tcPr>
            <w:tcW w:w="914" w:type="pct"/>
            <w:shd w:val="clear" w:color="auto" w:fill="auto"/>
            <w:vAlign w:val="center"/>
          </w:tcPr>
          <w:p w14:paraId="0AB6387A"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28.00.00</w:t>
            </w:r>
          </w:p>
        </w:tc>
        <w:tc>
          <w:tcPr>
            <w:tcW w:w="2617" w:type="pct"/>
            <w:shd w:val="clear" w:color="auto" w:fill="auto"/>
            <w:vAlign w:val="center"/>
          </w:tcPr>
          <w:p w14:paraId="0BA14F87"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Ārējās ekonomiskās politikas ieviešana</w:t>
            </w:r>
          </w:p>
        </w:tc>
        <w:tc>
          <w:tcPr>
            <w:tcW w:w="736" w:type="pct"/>
            <w:shd w:val="clear" w:color="auto" w:fill="auto"/>
            <w:vAlign w:val="center"/>
          </w:tcPr>
          <w:p w14:paraId="4674B227"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4 112 602</w:t>
            </w:r>
          </w:p>
        </w:tc>
        <w:tc>
          <w:tcPr>
            <w:tcW w:w="732" w:type="pct"/>
            <w:shd w:val="clear" w:color="auto" w:fill="auto"/>
            <w:vAlign w:val="center"/>
          </w:tcPr>
          <w:p w14:paraId="05E36048"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4</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159</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459</w:t>
            </w:r>
          </w:p>
        </w:tc>
      </w:tr>
      <w:tr w:rsidR="008906ED" w:rsidRPr="00027FF4" w14:paraId="4D0A0DA6" w14:textId="77777777" w:rsidTr="008906ED">
        <w:tc>
          <w:tcPr>
            <w:tcW w:w="914" w:type="pct"/>
            <w:shd w:val="clear" w:color="auto" w:fill="auto"/>
            <w:vAlign w:val="center"/>
          </w:tcPr>
          <w:p w14:paraId="0D70D837"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29.00.00</w:t>
            </w:r>
          </w:p>
        </w:tc>
        <w:tc>
          <w:tcPr>
            <w:tcW w:w="2617" w:type="pct"/>
            <w:shd w:val="clear" w:color="auto" w:fill="auto"/>
            <w:vAlign w:val="center"/>
          </w:tcPr>
          <w:p w14:paraId="3D237359"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Enerģētikas politika</w:t>
            </w:r>
          </w:p>
        </w:tc>
        <w:tc>
          <w:tcPr>
            <w:tcW w:w="736" w:type="pct"/>
            <w:shd w:val="clear" w:color="auto" w:fill="auto"/>
            <w:vAlign w:val="center"/>
          </w:tcPr>
          <w:p w14:paraId="140CEE1C"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37 146 875</w:t>
            </w:r>
          </w:p>
        </w:tc>
        <w:tc>
          <w:tcPr>
            <w:tcW w:w="732" w:type="pct"/>
            <w:shd w:val="clear" w:color="auto" w:fill="auto"/>
            <w:vAlign w:val="center"/>
          </w:tcPr>
          <w:p w14:paraId="4F17544E"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36</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676</w:t>
            </w:r>
            <w:r w:rsidR="00710613">
              <w:rPr>
                <w:rFonts w:eastAsia="Times New Roman"/>
                <w:color w:val="000000" w:themeColor="text1"/>
                <w:sz w:val="18"/>
                <w:szCs w:val="18"/>
                <w:lang w:eastAsia="lv-LV"/>
              </w:rPr>
              <w:t> </w:t>
            </w:r>
            <w:r w:rsidRPr="00441E62">
              <w:rPr>
                <w:rFonts w:eastAsia="Times New Roman"/>
                <w:color w:val="000000" w:themeColor="text1"/>
                <w:sz w:val="18"/>
                <w:szCs w:val="18"/>
                <w:lang w:eastAsia="lv-LV"/>
              </w:rPr>
              <w:t>082</w:t>
            </w:r>
          </w:p>
        </w:tc>
      </w:tr>
      <w:tr w:rsidR="008906ED" w:rsidRPr="00027FF4" w14:paraId="26DE4C52" w14:textId="77777777" w:rsidTr="008906ED">
        <w:tc>
          <w:tcPr>
            <w:tcW w:w="914" w:type="pct"/>
            <w:shd w:val="clear" w:color="auto" w:fill="auto"/>
            <w:vAlign w:val="center"/>
          </w:tcPr>
          <w:p w14:paraId="15BA86ED"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29.01.00</w:t>
            </w:r>
          </w:p>
        </w:tc>
        <w:tc>
          <w:tcPr>
            <w:tcW w:w="2617" w:type="pct"/>
            <w:shd w:val="clear" w:color="auto" w:fill="auto"/>
            <w:vAlign w:val="center"/>
          </w:tcPr>
          <w:p w14:paraId="2FD701F9"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Naftas produktu rezervju uzturēšana</w:t>
            </w:r>
          </w:p>
        </w:tc>
        <w:tc>
          <w:tcPr>
            <w:tcW w:w="736" w:type="pct"/>
            <w:shd w:val="clear" w:color="auto" w:fill="auto"/>
            <w:vAlign w:val="center"/>
          </w:tcPr>
          <w:p w14:paraId="6673790F" w14:textId="77777777" w:rsidR="008906ED" w:rsidRPr="00027FF4" w:rsidRDefault="008906ED" w:rsidP="008906ED">
            <w:pPr>
              <w:spacing w:before="20" w:after="20"/>
              <w:jc w:val="right"/>
              <w:rPr>
                <w:sz w:val="16"/>
                <w:szCs w:val="16"/>
              </w:rPr>
            </w:pPr>
            <w:r w:rsidRPr="00027FF4">
              <w:rPr>
                <w:i/>
                <w:sz w:val="16"/>
                <w:szCs w:val="16"/>
              </w:rPr>
              <w:t>23 144 080</w:t>
            </w:r>
          </w:p>
        </w:tc>
        <w:tc>
          <w:tcPr>
            <w:tcW w:w="732" w:type="pct"/>
            <w:shd w:val="clear" w:color="auto" w:fill="auto"/>
            <w:vAlign w:val="center"/>
          </w:tcPr>
          <w:p w14:paraId="76F818DA" w14:textId="77777777" w:rsidR="008906ED" w:rsidRPr="00027FF4" w:rsidRDefault="008906ED" w:rsidP="008906ED">
            <w:pPr>
              <w:spacing w:before="20" w:after="20"/>
              <w:jc w:val="right"/>
              <w:rPr>
                <w:i/>
                <w:sz w:val="16"/>
                <w:szCs w:val="16"/>
              </w:rPr>
            </w:pPr>
            <w:r w:rsidRPr="00441E62">
              <w:rPr>
                <w:i/>
                <w:sz w:val="16"/>
                <w:szCs w:val="16"/>
              </w:rPr>
              <w:t>24</w:t>
            </w:r>
            <w:r w:rsidR="00710613">
              <w:rPr>
                <w:i/>
                <w:sz w:val="16"/>
                <w:szCs w:val="16"/>
              </w:rPr>
              <w:t> </w:t>
            </w:r>
            <w:r w:rsidRPr="00441E62">
              <w:rPr>
                <w:i/>
                <w:sz w:val="16"/>
                <w:szCs w:val="16"/>
              </w:rPr>
              <w:t>199</w:t>
            </w:r>
            <w:r w:rsidR="00710613">
              <w:rPr>
                <w:i/>
                <w:sz w:val="16"/>
                <w:szCs w:val="16"/>
              </w:rPr>
              <w:t> </w:t>
            </w:r>
            <w:r w:rsidRPr="00441E62">
              <w:rPr>
                <w:i/>
                <w:sz w:val="16"/>
                <w:szCs w:val="16"/>
              </w:rPr>
              <w:t>490</w:t>
            </w:r>
          </w:p>
        </w:tc>
      </w:tr>
      <w:tr w:rsidR="008906ED" w:rsidRPr="00027FF4" w14:paraId="0B293AA0" w14:textId="77777777" w:rsidTr="008906ED">
        <w:tc>
          <w:tcPr>
            <w:tcW w:w="914" w:type="pct"/>
            <w:shd w:val="clear" w:color="auto" w:fill="auto"/>
            <w:vAlign w:val="center"/>
          </w:tcPr>
          <w:p w14:paraId="3922B9A2"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29.02.00</w:t>
            </w:r>
          </w:p>
        </w:tc>
        <w:tc>
          <w:tcPr>
            <w:tcW w:w="2617" w:type="pct"/>
            <w:shd w:val="clear" w:color="auto" w:fill="auto"/>
            <w:vAlign w:val="center"/>
          </w:tcPr>
          <w:p w14:paraId="04385F83"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Elektroenerģijas lietotāju atbalsts</w:t>
            </w:r>
          </w:p>
        </w:tc>
        <w:tc>
          <w:tcPr>
            <w:tcW w:w="736" w:type="pct"/>
            <w:shd w:val="clear" w:color="auto" w:fill="auto"/>
            <w:vAlign w:val="center"/>
          </w:tcPr>
          <w:p w14:paraId="01B4C809" w14:textId="77777777" w:rsidR="008906ED" w:rsidRPr="00027FF4" w:rsidRDefault="008906ED" w:rsidP="008906ED">
            <w:pPr>
              <w:spacing w:before="20" w:after="20"/>
              <w:jc w:val="right"/>
              <w:rPr>
                <w:sz w:val="16"/>
                <w:szCs w:val="16"/>
              </w:rPr>
            </w:pPr>
            <w:r w:rsidRPr="00027FF4">
              <w:rPr>
                <w:i/>
                <w:sz w:val="16"/>
                <w:szCs w:val="16"/>
              </w:rPr>
              <w:t>12 065 378</w:t>
            </w:r>
          </w:p>
        </w:tc>
        <w:tc>
          <w:tcPr>
            <w:tcW w:w="732" w:type="pct"/>
            <w:shd w:val="clear" w:color="auto" w:fill="auto"/>
            <w:vAlign w:val="center"/>
          </w:tcPr>
          <w:p w14:paraId="0F6AB187" w14:textId="77777777" w:rsidR="008906ED" w:rsidRPr="00027FF4" w:rsidRDefault="008906ED" w:rsidP="008906ED">
            <w:pPr>
              <w:spacing w:before="20" w:after="20"/>
              <w:jc w:val="right"/>
              <w:rPr>
                <w:i/>
                <w:sz w:val="16"/>
                <w:szCs w:val="16"/>
              </w:rPr>
            </w:pPr>
            <w:r w:rsidRPr="00441E62">
              <w:rPr>
                <w:i/>
                <w:sz w:val="16"/>
                <w:szCs w:val="16"/>
              </w:rPr>
              <w:t>10</w:t>
            </w:r>
            <w:r w:rsidR="00710613">
              <w:rPr>
                <w:i/>
                <w:sz w:val="16"/>
                <w:szCs w:val="16"/>
              </w:rPr>
              <w:t> </w:t>
            </w:r>
            <w:r w:rsidRPr="00441E62">
              <w:rPr>
                <w:i/>
                <w:sz w:val="16"/>
                <w:szCs w:val="16"/>
              </w:rPr>
              <w:t>055</w:t>
            </w:r>
            <w:r w:rsidR="00710613">
              <w:rPr>
                <w:i/>
                <w:sz w:val="16"/>
                <w:szCs w:val="16"/>
              </w:rPr>
              <w:t> </w:t>
            </w:r>
            <w:r w:rsidRPr="00441E62">
              <w:rPr>
                <w:i/>
                <w:sz w:val="16"/>
                <w:szCs w:val="16"/>
              </w:rPr>
              <w:t>958</w:t>
            </w:r>
          </w:p>
        </w:tc>
      </w:tr>
      <w:tr w:rsidR="008906ED" w:rsidRPr="00027FF4" w14:paraId="41BADE8A" w14:textId="77777777" w:rsidTr="008906ED">
        <w:tc>
          <w:tcPr>
            <w:tcW w:w="914" w:type="pct"/>
            <w:shd w:val="clear" w:color="auto" w:fill="auto"/>
            <w:vAlign w:val="center"/>
          </w:tcPr>
          <w:p w14:paraId="47BAC78B"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29.04.00</w:t>
            </w:r>
          </w:p>
        </w:tc>
        <w:tc>
          <w:tcPr>
            <w:tcW w:w="2617" w:type="pct"/>
            <w:shd w:val="clear" w:color="auto" w:fill="auto"/>
            <w:vAlign w:val="center"/>
          </w:tcPr>
          <w:p w14:paraId="6385FAE8"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Energoefektivitātes politikas ieviešana</w:t>
            </w:r>
          </w:p>
        </w:tc>
        <w:tc>
          <w:tcPr>
            <w:tcW w:w="736" w:type="pct"/>
            <w:shd w:val="clear" w:color="auto" w:fill="auto"/>
            <w:vAlign w:val="center"/>
          </w:tcPr>
          <w:p w14:paraId="25F78733" w14:textId="77777777" w:rsidR="008906ED" w:rsidRPr="00027FF4" w:rsidRDefault="008906ED" w:rsidP="008906ED">
            <w:pPr>
              <w:spacing w:before="20" w:after="20"/>
              <w:jc w:val="right"/>
              <w:rPr>
                <w:rFonts w:eastAsia="Times New Roman"/>
                <w:i/>
                <w:color w:val="000000" w:themeColor="text1"/>
                <w:sz w:val="16"/>
                <w:szCs w:val="16"/>
                <w:lang w:eastAsia="lv-LV"/>
              </w:rPr>
            </w:pPr>
            <w:r w:rsidRPr="00027FF4">
              <w:rPr>
                <w:i/>
                <w:sz w:val="16"/>
                <w:szCs w:val="16"/>
              </w:rPr>
              <w:t>423 241</w:t>
            </w:r>
          </w:p>
        </w:tc>
        <w:tc>
          <w:tcPr>
            <w:tcW w:w="732" w:type="pct"/>
            <w:shd w:val="clear" w:color="auto" w:fill="auto"/>
            <w:vAlign w:val="center"/>
          </w:tcPr>
          <w:p w14:paraId="240A7F1A" w14:textId="77777777" w:rsidR="008906ED" w:rsidRPr="00027FF4" w:rsidRDefault="008906ED" w:rsidP="008906ED">
            <w:pPr>
              <w:spacing w:before="20" w:after="20"/>
              <w:jc w:val="right"/>
              <w:rPr>
                <w:i/>
                <w:sz w:val="16"/>
                <w:szCs w:val="16"/>
              </w:rPr>
            </w:pPr>
            <w:r w:rsidRPr="00441E62">
              <w:rPr>
                <w:i/>
                <w:sz w:val="16"/>
                <w:szCs w:val="16"/>
              </w:rPr>
              <w:t>16</w:t>
            </w:r>
            <w:r w:rsidR="00710613">
              <w:rPr>
                <w:i/>
                <w:sz w:val="16"/>
                <w:szCs w:val="16"/>
              </w:rPr>
              <w:t> </w:t>
            </w:r>
            <w:r w:rsidRPr="00441E62">
              <w:rPr>
                <w:i/>
                <w:sz w:val="16"/>
                <w:szCs w:val="16"/>
              </w:rPr>
              <w:t>174</w:t>
            </w:r>
          </w:p>
        </w:tc>
      </w:tr>
      <w:tr w:rsidR="008906ED" w:rsidRPr="00027FF4" w14:paraId="2831FD44" w14:textId="77777777" w:rsidTr="008906ED">
        <w:tc>
          <w:tcPr>
            <w:tcW w:w="914" w:type="pct"/>
            <w:shd w:val="clear" w:color="auto" w:fill="auto"/>
            <w:vAlign w:val="center"/>
          </w:tcPr>
          <w:p w14:paraId="38F822A9"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29.05.00</w:t>
            </w:r>
          </w:p>
        </w:tc>
        <w:tc>
          <w:tcPr>
            <w:tcW w:w="2617" w:type="pct"/>
            <w:shd w:val="clear" w:color="auto" w:fill="auto"/>
            <w:vAlign w:val="center"/>
          </w:tcPr>
          <w:p w14:paraId="22566EA9"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Valsts pētījumu programma enerģētikā</w:t>
            </w:r>
          </w:p>
        </w:tc>
        <w:tc>
          <w:tcPr>
            <w:tcW w:w="736" w:type="pct"/>
            <w:shd w:val="clear" w:color="auto" w:fill="auto"/>
            <w:vAlign w:val="center"/>
          </w:tcPr>
          <w:p w14:paraId="68E004E3" w14:textId="77777777" w:rsidR="008906ED" w:rsidRPr="00027FF4" w:rsidRDefault="008906ED" w:rsidP="008906ED">
            <w:pPr>
              <w:spacing w:before="20" w:after="20"/>
              <w:jc w:val="right"/>
              <w:rPr>
                <w:rFonts w:eastAsia="Times New Roman"/>
                <w:i/>
                <w:color w:val="000000" w:themeColor="text1"/>
                <w:sz w:val="16"/>
                <w:szCs w:val="16"/>
                <w:lang w:eastAsia="lv-LV"/>
              </w:rPr>
            </w:pPr>
            <w:r w:rsidRPr="00027FF4">
              <w:rPr>
                <w:i/>
                <w:sz w:val="16"/>
                <w:szCs w:val="16"/>
              </w:rPr>
              <w:t>1 514 176</w:t>
            </w:r>
          </w:p>
        </w:tc>
        <w:tc>
          <w:tcPr>
            <w:tcW w:w="732" w:type="pct"/>
            <w:shd w:val="clear" w:color="auto" w:fill="auto"/>
            <w:vAlign w:val="center"/>
          </w:tcPr>
          <w:p w14:paraId="75285AD8" w14:textId="77777777" w:rsidR="008906ED" w:rsidRPr="00027FF4" w:rsidRDefault="008906ED" w:rsidP="008906ED">
            <w:pPr>
              <w:spacing w:before="20" w:after="20"/>
              <w:jc w:val="right"/>
              <w:rPr>
                <w:i/>
                <w:sz w:val="16"/>
                <w:szCs w:val="16"/>
              </w:rPr>
            </w:pPr>
            <w:r w:rsidRPr="00441E62">
              <w:rPr>
                <w:i/>
                <w:sz w:val="16"/>
                <w:szCs w:val="16"/>
              </w:rPr>
              <w:t>1</w:t>
            </w:r>
            <w:r w:rsidR="0062427E">
              <w:rPr>
                <w:i/>
                <w:sz w:val="16"/>
                <w:szCs w:val="16"/>
              </w:rPr>
              <w:t> </w:t>
            </w:r>
            <w:r w:rsidRPr="00441E62">
              <w:rPr>
                <w:i/>
                <w:sz w:val="16"/>
                <w:szCs w:val="16"/>
              </w:rPr>
              <w:t>510</w:t>
            </w:r>
            <w:r w:rsidR="0062427E">
              <w:rPr>
                <w:i/>
                <w:sz w:val="16"/>
                <w:szCs w:val="16"/>
              </w:rPr>
              <w:t> </w:t>
            </w:r>
            <w:r w:rsidRPr="00441E62">
              <w:rPr>
                <w:i/>
                <w:sz w:val="16"/>
                <w:szCs w:val="16"/>
              </w:rPr>
              <w:t>525</w:t>
            </w:r>
          </w:p>
        </w:tc>
      </w:tr>
      <w:tr w:rsidR="008906ED" w:rsidRPr="00027FF4" w14:paraId="19660379" w14:textId="77777777" w:rsidTr="008906ED">
        <w:tc>
          <w:tcPr>
            <w:tcW w:w="914" w:type="pct"/>
            <w:shd w:val="clear" w:color="auto" w:fill="auto"/>
            <w:vAlign w:val="center"/>
          </w:tcPr>
          <w:p w14:paraId="20CDE9A7"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29.0</w:t>
            </w:r>
            <w:r>
              <w:rPr>
                <w:rFonts w:eastAsia="Times New Roman" w:cs="Times New Roman"/>
                <w:i/>
                <w:iCs/>
                <w:sz w:val="16"/>
                <w:szCs w:val="16"/>
                <w:lang w:eastAsia="lv-LV"/>
              </w:rPr>
              <w:t>6</w:t>
            </w:r>
            <w:r w:rsidRPr="00027FF4">
              <w:rPr>
                <w:rFonts w:eastAsia="Times New Roman" w:cs="Times New Roman"/>
                <w:i/>
                <w:iCs/>
                <w:sz w:val="16"/>
                <w:szCs w:val="16"/>
                <w:lang w:eastAsia="lv-LV"/>
              </w:rPr>
              <w:t>.00</w:t>
            </w:r>
          </w:p>
        </w:tc>
        <w:tc>
          <w:tcPr>
            <w:tcW w:w="2617" w:type="pct"/>
            <w:shd w:val="clear" w:color="auto" w:fill="auto"/>
            <w:vAlign w:val="center"/>
          </w:tcPr>
          <w:p w14:paraId="16897E3E" w14:textId="77777777" w:rsidR="008906ED" w:rsidRPr="00027FF4" w:rsidRDefault="008906ED" w:rsidP="008906ED">
            <w:pPr>
              <w:spacing w:before="20" w:after="20"/>
              <w:rPr>
                <w:rFonts w:eastAsia="Times New Roman" w:cs="Times New Roman"/>
                <w:i/>
                <w:sz w:val="16"/>
                <w:szCs w:val="16"/>
                <w:lang w:eastAsia="lv-LV"/>
              </w:rPr>
            </w:pPr>
            <w:r w:rsidRPr="00441E62">
              <w:rPr>
                <w:rFonts w:eastAsia="Times New Roman" w:cs="Times New Roman"/>
                <w:i/>
                <w:sz w:val="16"/>
                <w:szCs w:val="16"/>
                <w:lang w:eastAsia="lv-LV"/>
              </w:rPr>
              <w:t>Enerģētikas jautājumu administrēšana</w:t>
            </w:r>
          </w:p>
        </w:tc>
        <w:tc>
          <w:tcPr>
            <w:tcW w:w="736" w:type="pct"/>
            <w:shd w:val="clear" w:color="auto" w:fill="auto"/>
            <w:vAlign w:val="center"/>
          </w:tcPr>
          <w:p w14:paraId="33BCCA72" w14:textId="77777777" w:rsidR="008906ED" w:rsidRPr="00027FF4" w:rsidRDefault="008906ED" w:rsidP="008906ED">
            <w:pPr>
              <w:spacing w:before="20" w:after="20"/>
              <w:jc w:val="right"/>
              <w:rPr>
                <w:i/>
                <w:sz w:val="16"/>
                <w:szCs w:val="16"/>
              </w:rPr>
            </w:pPr>
            <w:r>
              <w:rPr>
                <w:i/>
                <w:sz w:val="16"/>
                <w:szCs w:val="16"/>
              </w:rPr>
              <w:t>-</w:t>
            </w:r>
          </w:p>
        </w:tc>
        <w:tc>
          <w:tcPr>
            <w:tcW w:w="732" w:type="pct"/>
            <w:shd w:val="clear" w:color="auto" w:fill="auto"/>
            <w:vAlign w:val="center"/>
          </w:tcPr>
          <w:p w14:paraId="6CAF3A8C" w14:textId="77777777" w:rsidR="008906ED" w:rsidRPr="00441E62" w:rsidRDefault="008906ED" w:rsidP="008906ED">
            <w:pPr>
              <w:spacing w:before="20" w:after="20"/>
              <w:jc w:val="right"/>
              <w:rPr>
                <w:i/>
                <w:sz w:val="16"/>
                <w:szCs w:val="16"/>
              </w:rPr>
            </w:pPr>
            <w:r w:rsidRPr="00441E62">
              <w:rPr>
                <w:i/>
                <w:sz w:val="16"/>
                <w:szCs w:val="16"/>
              </w:rPr>
              <w:t>893</w:t>
            </w:r>
            <w:r w:rsidR="0062427E">
              <w:rPr>
                <w:i/>
                <w:sz w:val="16"/>
                <w:szCs w:val="16"/>
              </w:rPr>
              <w:t> </w:t>
            </w:r>
            <w:r w:rsidRPr="00441E62">
              <w:rPr>
                <w:i/>
                <w:sz w:val="16"/>
                <w:szCs w:val="16"/>
              </w:rPr>
              <w:t>935</w:t>
            </w:r>
          </w:p>
        </w:tc>
      </w:tr>
      <w:tr w:rsidR="008906ED" w:rsidRPr="00027FF4" w14:paraId="735A03F1" w14:textId="77777777" w:rsidTr="008906ED">
        <w:tc>
          <w:tcPr>
            <w:tcW w:w="914" w:type="pct"/>
            <w:shd w:val="clear" w:color="auto" w:fill="auto"/>
            <w:vAlign w:val="center"/>
          </w:tcPr>
          <w:p w14:paraId="79A0011C"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30.00.00</w:t>
            </w:r>
          </w:p>
        </w:tc>
        <w:tc>
          <w:tcPr>
            <w:tcW w:w="2617" w:type="pct"/>
            <w:shd w:val="clear" w:color="auto" w:fill="auto"/>
            <w:vAlign w:val="center"/>
          </w:tcPr>
          <w:p w14:paraId="0A578C4E"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Tūrisma politikas ieviešana</w:t>
            </w:r>
          </w:p>
        </w:tc>
        <w:tc>
          <w:tcPr>
            <w:tcW w:w="736" w:type="pct"/>
            <w:shd w:val="clear" w:color="auto" w:fill="auto"/>
            <w:vAlign w:val="center"/>
          </w:tcPr>
          <w:p w14:paraId="5BAE4CFF"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728 679</w:t>
            </w:r>
          </w:p>
        </w:tc>
        <w:tc>
          <w:tcPr>
            <w:tcW w:w="732" w:type="pct"/>
            <w:shd w:val="clear" w:color="auto" w:fill="auto"/>
            <w:vAlign w:val="center"/>
          </w:tcPr>
          <w:p w14:paraId="48CCC979"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670</w:t>
            </w:r>
            <w:r w:rsidR="0062427E">
              <w:rPr>
                <w:rFonts w:eastAsia="Times New Roman"/>
                <w:color w:val="000000" w:themeColor="text1"/>
                <w:sz w:val="18"/>
                <w:szCs w:val="18"/>
                <w:lang w:eastAsia="lv-LV"/>
              </w:rPr>
              <w:t> </w:t>
            </w:r>
            <w:r w:rsidRPr="00441E62">
              <w:rPr>
                <w:rFonts w:eastAsia="Times New Roman"/>
                <w:color w:val="000000" w:themeColor="text1"/>
                <w:sz w:val="18"/>
                <w:szCs w:val="18"/>
                <w:lang w:eastAsia="lv-LV"/>
              </w:rPr>
              <w:t>999</w:t>
            </w:r>
          </w:p>
        </w:tc>
      </w:tr>
      <w:tr w:rsidR="008906ED" w:rsidRPr="00027FF4" w14:paraId="77B37BEE" w14:textId="77777777" w:rsidTr="008906ED">
        <w:tc>
          <w:tcPr>
            <w:tcW w:w="914" w:type="pct"/>
            <w:shd w:val="clear" w:color="auto" w:fill="auto"/>
            <w:vAlign w:val="center"/>
          </w:tcPr>
          <w:p w14:paraId="5F561E59"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33.00.00</w:t>
            </w:r>
          </w:p>
        </w:tc>
        <w:tc>
          <w:tcPr>
            <w:tcW w:w="2617" w:type="pct"/>
            <w:shd w:val="clear" w:color="auto" w:fill="auto"/>
            <w:vAlign w:val="center"/>
          </w:tcPr>
          <w:p w14:paraId="05D72875"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Ekonomikas attīstības programma</w:t>
            </w:r>
          </w:p>
        </w:tc>
        <w:tc>
          <w:tcPr>
            <w:tcW w:w="736" w:type="pct"/>
            <w:shd w:val="clear" w:color="auto" w:fill="auto"/>
            <w:vAlign w:val="center"/>
          </w:tcPr>
          <w:p w14:paraId="2A37C81A"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11 751 712</w:t>
            </w:r>
          </w:p>
        </w:tc>
        <w:tc>
          <w:tcPr>
            <w:tcW w:w="732" w:type="pct"/>
            <w:shd w:val="clear" w:color="auto" w:fill="auto"/>
            <w:vAlign w:val="center"/>
          </w:tcPr>
          <w:p w14:paraId="39045EBE"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429</w:t>
            </w:r>
            <w:r w:rsidR="0062427E">
              <w:rPr>
                <w:rFonts w:eastAsia="Times New Roman"/>
                <w:color w:val="000000" w:themeColor="text1"/>
                <w:sz w:val="18"/>
                <w:szCs w:val="18"/>
                <w:lang w:eastAsia="lv-LV"/>
              </w:rPr>
              <w:t> </w:t>
            </w:r>
            <w:r w:rsidRPr="00441E62">
              <w:rPr>
                <w:rFonts w:eastAsia="Times New Roman"/>
                <w:color w:val="000000" w:themeColor="text1"/>
                <w:sz w:val="18"/>
                <w:szCs w:val="18"/>
                <w:lang w:eastAsia="lv-LV"/>
              </w:rPr>
              <w:t>969</w:t>
            </w:r>
          </w:p>
        </w:tc>
      </w:tr>
      <w:tr w:rsidR="008906ED" w:rsidRPr="00027FF4" w14:paraId="5A2DECB6" w14:textId="77777777" w:rsidTr="008906ED">
        <w:tc>
          <w:tcPr>
            <w:tcW w:w="914" w:type="pct"/>
            <w:shd w:val="clear" w:color="auto" w:fill="auto"/>
            <w:vAlign w:val="center"/>
          </w:tcPr>
          <w:p w14:paraId="3BA662A8"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34.00.00</w:t>
            </w:r>
          </w:p>
        </w:tc>
        <w:tc>
          <w:tcPr>
            <w:tcW w:w="2617" w:type="pct"/>
            <w:shd w:val="clear" w:color="auto" w:fill="auto"/>
            <w:vAlign w:val="center"/>
          </w:tcPr>
          <w:p w14:paraId="792390FB"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Iemaksas starptautiskajās organizācijās</w:t>
            </w:r>
          </w:p>
        </w:tc>
        <w:tc>
          <w:tcPr>
            <w:tcW w:w="736" w:type="pct"/>
            <w:shd w:val="clear" w:color="auto" w:fill="auto"/>
            <w:vAlign w:val="center"/>
          </w:tcPr>
          <w:p w14:paraId="647DF819"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201 824</w:t>
            </w:r>
          </w:p>
        </w:tc>
        <w:tc>
          <w:tcPr>
            <w:tcW w:w="732" w:type="pct"/>
            <w:shd w:val="clear" w:color="auto" w:fill="auto"/>
            <w:vAlign w:val="center"/>
          </w:tcPr>
          <w:p w14:paraId="4FA3CE4B" w14:textId="77777777" w:rsidR="008906ED" w:rsidRPr="00027FF4"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199</w:t>
            </w:r>
            <w:r w:rsidR="0062427E">
              <w:rPr>
                <w:rFonts w:eastAsia="Times New Roman"/>
                <w:color w:val="000000" w:themeColor="text1"/>
                <w:sz w:val="18"/>
                <w:szCs w:val="18"/>
                <w:lang w:eastAsia="lv-LV"/>
              </w:rPr>
              <w:t> </w:t>
            </w:r>
            <w:r w:rsidRPr="00441E62">
              <w:rPr>
                <w:rFonts w:eastAsia="Times New Roman"/>
                <w:color w:val="000000" w:themeColor="text1"/>
                <w:sz w:val="18"/>
                <w:szCs w:val="18"/>
                <w:lang w:eastAsia="lv-LV"/>
              </w:rPr>
              <w:t>649</w:t>
            </w:r>
          </w:p>
        </w:tc>
      </w:tr>
      <w:tr w:rsidR="008906ED" w:rsidRPr="00027FF4" w14:paraId="64F14BD6" w14:textId="77777777" w:rsidTr="008906ED">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EDED750" w14:textId="77777777" w:rsidR="008906ED" w:rsidRPr="00027FF4" w:rsidRDefault="008906ED" w:rsidP="008906ED">
            <w:pPr>
              <w:spacing w:before="20" w:after="20"/>
              <w:jc w:val="center"/>
              <w:rPr>
                <w:rFonts w:eastAsia="Times New Roman" w:cs="Times New Roman"/>
                <w:sz w:val="18"/>
                <w:szCs w:val="18"/>
                <w:lang w:eastAsia="lv-LV"/>
              </w:rPr>
            </w:pPr>
            <w:r>
              <w:rPr>
                <w:rFonts w:eastAsia="Times New Roman" w:cs="Times New Roman"/>
                <w:sz w:val="18"/>
                <w:szCs w:val="18"/>
                <w:lang w:eastAsia="lv-LV"/>
              </w:rPr>
              <w:t>35.00.00</w:t>
            </w:r>
          </w:p>
        </w:tc>
        <w:tc>
          <w:tcPr>
            <w:tcW w:w="2617" w:type="pct"/>
            <w:tcBorders>
              <w:top w:val="single" w:sz="4" w:space="0" w:color="auto"/>
              <w:left w:val="single" w:sz="4" w:space="0" w:color="auto"/>
              <w:bottom w:val="single" w:sz="4" w:space="0" w:color="auto"/>
              <w:right w:val="single" w:sz="4" w:space="0" w:color="auto"/>
            </w:tcBorders>
            <w:shd w:val="clear" w:color="auto" w:fill="auto"/>
            <w:vAlign w:val="center"/>
          </w:tcPr>
          <w:p w14:paraId="35F6DFB2" w14:textId="77777777" w:rsidR="008906ED" w:rsidRPr="00027FF4" w:rsidRDefault="008906ED" w:rsidP="008906ED">
            <w:pPr>
              <w:spacing w:before="20" w:after="20"/>
              <w:rPr>
                <w:rFonts w:eastAsia="Times New Roman" w:cs="Times New Roman"/>
                <w:sz w:val="18"/>
                <w:szCs w:val="18"/>
                <w:lang w:eastAsia="lv-LV"/>
              </w:rPr>
            </w:pPr>
            <w:r w:rsidRPr="00441E62">
              <w:rPr>
                <w:rFonts w:eastAsia="Times New Roman" w:cs="Times New Roman"/>
                <w:sz w:val="18"/>
                <w:szCs w:val="18"/>
                <w:lang w:eastAsia="lv-LV"/>
              </w:rPr>
              <w:t>Valsts atbalsta programmas</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5AF07C04" w14:textId="77777777" w:rsidR="008906ED" w:rsidRPr="00027FF4" w:rsidRDefault="008906ED" w:rsidP="008906ED">
            <w:pPr>
              <w:spacing w:before="20" w:after="20"/>
              <w:jc w:val="right"/>
              <w:rPr>
                <w:rFonts w:eastAsia="Times New Roman"/>
                <w:color w:val="000000" w:themeColor="text1"/>
                <w:sz w:val="18"/>
                <w:szCs w:val="18"/>
                <w:lang w:eastAsia="lv-LV"/>
              </w:rPr>
            </w:pPr>
            <w:r>
              <w:rPr>
                <w:rFonts w:eastAsia="Times New Roman"/>
                <w:color w:val="000000" w:themeColor="text1"/>
                <w:sz w:val="18"/>
                <w:szCs w:val="18"/>
                <w:lang w:eastAsia="lv-LV"/>
              </w:rPr>
              <w:t>-</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56D282D0" w14:textId="77777777" w:rsidR="008906ED" w:rsidRPr="00441E62" w:rsidRDefault="008906ED" w:rsidP="008906ED">
            <w:pPr>
              <w:spacing w:before="20" w:after="20"/>
              <w:jc w:val="right"/>
              <w:rPr>
                <w:rFonts w:eastAsia="Times New Roman"/>
                <w:color w:val="000000" w:themeColor="text1"/>
                <w:sz w:val="18"/>
                <w:szCs w:val="18"/>
                <w:lang w:eastAsia="lv-LV"/>
              </w:rPr>
            </w:pPr>
            <w:r w:rsidRPr="00441E62">
              <w:rPr>
                <w:rFonts w:eastAsia="Times New Roman"/>
                <w:color w:val="000000" w:themeColor="text1"/>
                <w:sz w:val="18"/>
                <w:szCs w:val="18"/>
                <w:lang w:eastAsia="lv-LV"/>
              </w:rPr>
              <w:t>146</w:t>
            </w:r>
            <w:r w:rsidR="0062427E">
              <w:rPr>
                <w:rFonts w:eastAsia="Times New Roman"/>
                <w:color w:val="000000" w:themeColor="text1"/>
                <w:sz w:val="18"/>
                <w:szCs w:val="18"/>
                <w:lang w:eastAsia="lv-LV"/>
              </w:rPr>
              <w:t> </w:t>
            </w:r>
            <w:r w:rsidRPr="00441E62">
              <w:rPr>
                <w:rFonts w:eastAsia="Times New Roman"/>
                <w:color w:val="000000" w:themeColor="text1"/>
                <w:sz w:val="18"/>
                <w:szCs w:val="18"/>
                <w:lang w:eastAsia="lv-LV"/>
              </w:rPr>
              <w:t>075</w:t>
            </w:r>
            <w:r w:rsidR="0062427E">
              <w:rPr>
                <w:rFonts w:eastAsia="Times New Roman"/>
                <w:color w:val="000000" w:themeColor="text1"/>
                <w:sz w:val="18"/>
                <w:szCs w:val="18"/>
                <w:lang w:eastAsia="lv-LV"/>
              </w:rPr>
              <w:t> </w:t>
            </w:r>
            <w:r w:rsidRPr="00441E62">
              <w:rPr>
                <w:rFonts w:eastAsia="Times New Roman"/>
                <w:color w:val="000000" w:themeColor="text1"/>
                <w:sz w:val="18"/>
                <w:szCs w:val="18"/>
                <w:lang w:eastAsia="lv-LV"/>
              </w:rPr>
              <w:t>000</w:t>
            </w:r>
          </w:p>
        </w:tc>
      </w:tr>
      <w:tr w:rsidR="008906ED" w:rsidRPr="00027FF4" w14:paraId="2C94ADD5" w14:textId="77777777" w:rsidTr="008906ED">
        <w:tc>
          <w:tcPr>
            <w:tcW w:w="914" w:type="pct"/>
            <w:shd w:val="clear" w:color="auto" w:fill="auto"/>
            <w:vAlign w:val="center"/>
          </w:tcPr>
          <w:p w14:paraId="17F74EA0" w14:textId="77777777" w:rsidR="008906ED" w:rsidRPr="00027FF4" w:rsidRDefault="008906ED" w:rsidP="008906ED">
            <w:pPr>
              <w:spacing w:before="20" w:after="20"/>
              <w:jc w:val="center"/>
              <w:rPr>
                <w:rFonts w:eastAsia="Times New Roman" w:cs="Times New Roman"/>
                <w:sz w:val="18"/>
                <w:szCs w:val="18"/>
                <w:lang w:eastAsia="lv-LV"/>
              </w:rPr>
            </w:pPr>
            <w:r w:rsidRPr="00027FF4">
              <w:rPr>
                <w:rFonts w:eastAsia="Times New Roman" w:cs="Times New Roman"/>
                <w:sz w:val="18"/>
                <w:szCs w:val="18"/>
                <w:lang w:eastAsia="lv-LV"/>
              </w:rPr>
              <w:t>61.00.00</w:t>
            </w:r>
          </w:p>
        </w:tc>
        <w:tc>
          <w:tcPr>
            <w:tcW w:w="2617" w:type="pct"/>
            <w:shd w:val="clear" w:color="auto" w:fill="auto"/>
            <w:vAlign w:val="center"/>
          </w:tcPr>
          <w:p w14:paraId="05900999"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Kohēzijas fonda (KF) projektu un pasākumu īstenošana</w:t>
            </w:r>
          </w:p>
        </w:tc>
        <w:tc>
          <w:tcPr>
            <w:tcW w:w="736" w:type="pct"/>
            <w:shd w:val="clear" w:color="auto" w:fill="auto"/>
            <w:vAlign w:val="center"/>
          </w:tcPr>
          <w:p w14:paraId="01CCF246" w14:textId="77777777" w:rsidR="008906ED" w:rsidRPr="00027FF4" w:rsidRDefault="008906ED" w:rsidP="008906ED">
            <w:pPr>
              <w:spacing w:before="20" w:after="20"/>
              <w:jc w:val="right"/>
              <w:rPr>
                <w:rFonts w:eastAsia="Times New Roman"/>
                <w:color w:val="000000" w:themeColor="text1"/>
                <w:sz w:val="18"/>
                <w:szCs w:val="18"/>
                <w:lang w:eastAsia="lv-LV"/>
              </w:rPr>
            </w:pPr>
            <w:r w:rsidRPr="00027FF4">
              <w:rPr>
                <w:rFonts w:eastAsia="Times New Roman"/>
                <w:color w:val="000000" w:themeColor="text1"/>
                <w:sz w:val="18"/>
                <w:szCs w:val="18"/>
                <w:lang w:eastAsia="lv-LV"/>
              </w:rPr>
              <w:t>2 363</w:t>
            </w:r>
          </w:p>
        </w:tc>
        <w:tc>
          <w:tcPr>
            <w:tcW w:w="732" w:type="pct"/>
            <w:shd w:val="clear" w:color="auto" w:fill="auto"/>
            <w:vAlign w:val="center"/>
          </w:tcPr>
          <w:p w14:paraId="2E772A0B" w14:textId="77777777" w:rsidR="008906ED" w:rsidRPr="00027FF4" w:rsidRDefault="008906ED" w:rsidP="008906ED">
            <w:pPr>
              <w:spacing w:before="20" w:after="20"/>
              <w:jc w:val="right"/>
              <w:rPr>
                <w:rFonts w:eastAsia="Times New Roman"/>
                <w:color w:val="000000" w:themeColor="text1"/>
                <w:sz w:val="18"/>
                <w:szCs w:val="18"/>
                <w:lang w:eastAsia="lv-LV"/>
              </w:rPr>
            </w:pPr>
            <w:r>
              <w:rPr>
                <w:rFonts w:eastAsia="Times New Roman"/>
                <w:color w:val="000000" w:themeColor="text1"/>
                <w:sz w:val="18"/>
                <w:szCs w:val="18"/>
                <w:lang w:eastAsia="lv-LV"/>
              </w:rPr>
              <w:t>-</w:t>
            </w:r>
          </w:p>
        </w:tc>
      </w:tr>
      <w:tr w:rsidR="008906ED" w:rsidRPr="00027FF4" w14:paraId="671B0E62" w14:textId="77777777" w:rsidTr="008906ED">
        <w:tc>
          <w:tcPr>
            <w:tcW w:w="914" w:type="pct"/>
            <w:shd w:val="clear" w:color="auto" w:fill="auto"/>
            <w:vAlign w:val="center"/>
          </w:tcPr>
          <w:p w14:paraId="5EDD99F2"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61.06.00</w:t>
            </w:r>
          </w:p>
        </w:tc>
        <w:tc>
          <w:tcPr>
            <w:tcW w:w="2617" w:type="pct"/>
            <w:shd w:val="clear" w:color="auto" w:fill="auto"/>
            <w:vAlign w:val="center"/>
          </w:tcPr>
          <w:p w14:paraId="7667C362" w14:textId="77777777" w:rsidR="008906ED" w:rsidRPr="00027FF4" w:rsidRDefault="008906ED" w:rsidP="008906ED">
            <w:pPr>
              <w:spacing w:before="20" w:after="20"/>
              <w:rPr>
                <w:rFonts w:eastAsia="Times New Roman" w:cs="Times New Roman"/>
                <w:i/>
                <w:iCs/>
                <w:sz w:val="16"/>
                <w:szCs w:val="16"/>
                <w:lang w:eastAsia="lv-LV"/>
              </w:rPr>
            </w:pPr>
            <w:r w:rsidRPr="00027FF4">
              <w:rPr>
                <w:rFonts w:eastAsia="Times New Roman" w:cs="Times New Roman"/>
                <w:i/>
                <w:iCs/>
                <w:sz w:val="16"/>
                <w:szCs w:val="16"/>
                <w:lang w:eastAsia="lv-LV"/>
              </w:rPr>
              <w:t>Kohēzijas fonda (KF) projekti (2007-2013)</w:t>
            </w:r>
          </w:p>
        </w:tc>
        <w:tc>
          <w:tcPr>
            <w:tcW w:w="736" w:type="pct"/>
            <w:shd w:val="clear" w:color="auto" w:fill="auto"/>
            <w:vAlign w:val="center"/>
          </w:tcPr>
          <w:p w14:paraId="05BF8B14" w14:textId="77777777" w:rsidR="008906ED" w:rsidRPr="00027FF4" w:rsidRDefault="008906ED" w:rsidP="008906ED">
            <w:pPr>
              <w:spacing w:before="20" w:after="20"/>
              <w:jc w:val="right"/>
              <w:rPr>
                <w:rFonts w:eastAsia="Times New Roman"/>
                <w:i/>
                <w:iCs/>
                <w:color w:val="000000" w:themeColor="text1"/>
                <w:sz w:val="16"/>
                <w:szCs w:val="16"/>
                <w:lang w:eastAsia="lv-LV"/>
              </w:rPr>
            </w:pPr>
            <w:r w:rsidRPr="00027FF4">
              <w:rPr>
                <w:rFonts w:eastAsia="Times New Roman"/>
                <w:i/>
                <w:iCs/>
                <w:color w:val="000000" w:themeColor="text1"/>
                <w:sz w:val="16"/>
                <w:szCs w:val="16"/>
                <w:lang w:eastAsia="lv-LV"/>
              </w:rPr>
              <w:t>2 363</w:t>
            </w:r>
          </w:p>
        </w:tc>
        <w:tc>
          <w:tcPr>
            <w:tcW w:w="732" w:type="pct"/>
            <w:shd w:val="clear" w:color="auto" w:fill="auto"/>
            <w:vAlign w:val="center"/>
          </w:tcPr>
          <w:p w14:paraId="20473723" w14:textId="77777777" w:rsidR="008906ED" w:rsidRPr="00027FF4" w:rsidRDefault="008906ED" w:rsidP="008906ED">
            <w:pPr>
              <w:spacing w:before="20" w:after="20"/>
              <w:jc w:val="right"/>
              <w:rPr>
                <w:rFonts w:eastAsia="Times New Roman"/>
                <w:i/>
                <w:iCs/>
                <w:color w:val="000000" w:themeColor="text1"/>
                <w:sz w:val="16"/>
                <w:szCs w:val="16"/>
                <w:lang w:eastAsia="lv-LV"/>
              </w:rPr>
            </w:pPr>
            <w:r>
              <w:rPr>
                <w:rFonts w:eastAsia="Times New Roman"/>
                <w:i/>
                <w:iCs/>
                <w:color w:val="000000" w:themeColor="text1"/>
                <w:sz w:val="16"/>
                <w:szCs w:val="16"/>
                <w:lang w:eastAsia="lv-LV"/>
              </w:rPr>
              <w:t>-</w:t>
            </w:r>
          </w:p>
        </w:tc>
      </w:tr>
      <w:tr w:rsidR="008906ED" w:rsidRPr="00027FF4" w14:paraId="08C02ECC" w14:textId="77777777" w:rsidTr="008906ED">
        <w:tc>
          <w:tcPr>
            <w:tcW w:w="914" w:type="pct"/>
            <w:shd w:val="clear" w:color="auto" w:fill="auto"/>
            <w:vAlign w:val="center"/>
          </w:tcPr>
          <w:p w14:paraId="1403A92F"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62.00.00</w:t>
            </w:r>
          </w:p>
        </w:tc>
        <w:tc>
          <w:tcPr>
            <w:tcW w:w="2617" w:type="pct"/>
            <w:shd w:val="clear" w:color="auto" w:fill="auto"/>
            <w:vAlign w:val="center"/>
          </w:tcPr>
          <w:p w14:paraId="6B7E32E8"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ERAF projektu un pasākumu īstenošana</w:t>
            </w:r>
          </w:p>
        </w:tc>
        <w:tc>
          <w:tcPr>
            <w:tcW w:w="736" w:type="pct"/>
            <w:shd w:val="clear" w:color="auto" w:fill="auto"/>
            <w:vAlign w:val="center"/>
          </w:tcPr>
          <w:p w14:paraId="6373EF62"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16 721 817</w:t>
            </w:r>
          </w:p>
        </w:tc>
        <w:tc>
          <w:tcPr>
            <w:tcW w:w="732" w:type="pct"/>
            <w:shd w:val="clear" w:color="auto" w:fill="auto"/>
            <w:vAlign w:val="center"/>
          </w:tcPr>
          <w:p w14:paraId="71B35B3D" w14:textId="77777777" w:rsidR="008906ED" w:rsidRPr="00027FF4" w:rsidRDefault="008906ED" w:rsidP="008906ED">
            <w:pPr>
              <w:spacing w:before="20" w:after="20"/>
              <w:jc w:val="right"/>
              <w:rPr>
                <w:rFonts w:eastAsia="Times New Roman"/>
                <w:color w:val="000000" w:themeColor="text1"/>
                <w:sz w:val="18"/>
                <w:szCs w:val="18"/>
                <w:lang w:eastAsia="lv-LV"/>
              </w:rPr>
            </w:pPr>
            <w:r w:rsidRPr="00847CCA">
              <w:rPr>
                <w:rFonts w:eastAsia="Times New Roman"/>
                <w:color w:val="000000" w:themeColor="text1"/>
                <w:sz w:val="18"/>
                <w:szCs w:val="18"/>
                <w:lang w:eastAsia="lv-LV"/>
              </w:rPr>
              <w:t>16</w:t>
            </w:r>
            <w:r w:rsidR="0062427E">
              <w:rPr>
                <w:rFonts w:eastAsia="Times New Roman"/>
                <w:color w:val="000000" w:themeColor="text1"/>
                <w:sz w:val="18"/>
                <w:szCs w:val="18"/>
                <w:lang w:eastAsia="lv-LV"/>
              </w:rPr>
              <w:t> </w:t>
            </w:r>
            <w:r w:rsidRPr="00847CCA">
              <w:rPr>
                <w:rFonts w:eastAsia="Times New Roman"/>
                <w:color w:val="000000" w:themeColor="text1"/>
                <w:sz w:val="18"/>
                <w:szCs w:val="18"/>
                <w:lang w:eastAsia="lv-LV"/>
              </w:rPr>
              <w:t>174</w:t>
            </w:r>
            <w:r w:rsidR="0062427E">
              <w:rPr>
                <w:rFonts w:eastAsia="Times New Roman"/>
                <w:color w:val="000000" w:themeColor="text1"/>
                <w:sz w:val="18"/>
                <w:szCs w:val="18"/>
                <w:lang w:eastAsia="lv-LV"/>
              </w:rPr>
              <w:t> </w:t>
            </w:r>
            <w:r w:rsidRPr="00847CCA">
              <w:rPr>
                <w:rFonts w:eastAsia="Times New Roman"/>
                <w:color w:val="000000" w:themeColor="text1"/>
                <w:sz w:val="18"/>
                <w:szCs w:val="18"/>
                <w:lang w:eastAsia="lv-LV"/>
              </w:rPr>
              <w:t>226</w:t>
            </w:r>
          </w:p>
        </w:tc>
      </w:tr>
      <w:tr w:rsidR="008906ED" w:rsidRPr="00027FF4" w14:paraId="70206B7E" w14:textId="77777777" w:rsidTr="008906ED">
        <w:tc>
          <w:tcPr>
            <w:tcW w:w="914" w:type="pct"/>
            <w:shd w:val="clear" w:color="auto" w:fill="auto"/>
            <w:vAlign w:val="center"/>
          </w:tcPr>
          <w:p w14:paraId="4FCFF07F" w14:textId="77777777" w:rsidR="008906ED" w:rsidRPr="00027FF4" w:rsidRDefault="008906ED" w:rsidP="008906ED">
            <w:pPr>
              <w:spacing w:before="20" w:after="20"/>
              <w:jc w:val="center"/>
              <w:rPr>
                <w:rFonts w:eastAsia="Times New Roman" w:cs="Times New Roman"/>
                <w:iCs/>
                <w:sz w:val="16"/>
                <w:szCs w:val="16"/>
                <w:lang w:eastAsia="lv-LV"/>
              </w:rPr>
            </w:pPr>
            <w:r w:rsidRPr="00027FF4">
              <w:rPr>
                <w:rFonts w:eastAsia="Times New Roman" w:cs="Times New Roman"/>
                <w:i/>
                <w:iCs/>
                <w:sz w:val="16"/>
                <w:szCs w:val="16"/>
                <w:lang w:eastAsia="lv-LV"/>
              </w:rPr>
              <w:t>62.07.00</w:t>
            </w:r>
          </w:p>
        </w:tc>
        <w:tc>
          <w:tcPr>
            <w:tcW w:w="2617" w:type="pct"/>
            <w:shd w:val="clear" w:color="auto" w:fill="auto"/>
            <w:vAlign w:val="center"/>
          </w:tcPr>
          <w:p w14:paraId="774A0E4D" w14:textId="77777777" w:rsidR="008906ED" w:rsidRPr="00027FF4" w:rsidRDefault="008906ED" w:rsidP="008906ED">
            <w:pPr>
              <w:spacing w:before="20" w:after="20"/>
              <w:rPr>
                <w:rFonts w:eastAsia="Times New Roman" w:cs="Times New Roman"/>
                <w:sz w:val="16"/>
                <w:szCs w:val="16"/>
                <w:lang w:eastAsia="lv-LV"/>
              </w:rPr>
            </w:pPr>
            <w:r w:rsidRPr="00027FF4">
              <w:rPr>
                <w:rFonts w:eastAsia="Times New Roman" w:cs="Times New Roman"/>
                <w:i/>
                <w:sz w:val="16"/>
                <w:szCs w:val="16"/>
                <w:lang w:eastAsia="lv-LV"/>
              </w:rPr>
              <w:t>ERAF projekti (2014-2020)</w:t>
            </w:r>
          </w:p>
        </w:tc>
        <w:tc>
          <w:tcPr>
            <w:tcW w:w="736" w:type="pct"/>
            <w:shd w:val="clear" w:color="auto" w:fill="auto"/>
            <w:vAlign w:val="center"/>
          </w:tcPr>
          <w:p w14:paraId="6F139BD4" w14:textId="77777777" w:rsidR="008906ED" w:rsidRPr="00027FF4" w:rsidRDefault="008906ED" w:rsidP="008906ED">
            <w:pPr>
              <w:spacing w:before="20" w:after="20"/>
              <w:jc w:val="right"/>
              <w:rPr>
                <w:i/>
                <w:sz w:val="16"/>
                <w:szCs w:val="16"/>
              </w:rPr>
            </w:pPr>
            <w:r w:rsidRPr="00027FF4">
              <w:rPr>
                <w:i/>
                <w:sz w:val="16"/>
                <w:szCs w:val="16"/>
              </w:rPr>
              <w:t>16 023 352</w:t>
            </w:r>
          </w:p>
        </w:tc>
        <w:tc>
          <w:tcPr>
            <w:tcW w:w="732" w:type="pct"/>
            <w:shd w:val="clear" w:color="auto" w:fill="auto"/>
            <w:vAlign w:val="center"/>
          </w:tcPr>
          <w:p w14:paraId="5E4DF798" w14:textId="77777777" w:rsidR="008906ED" w:rsidRPr="00027FF4" w:rsidRDefault="008906ED" w:rsidP="008906ED">
            <w:pPr>
              <w:spacing w:before="20" w:after="20"/>
              <w:jc w:val="right"/>
              <w:rPr>
                <w:i/>
                <w:sz w:val="16"/>
                <w:szCs w:val="16"/>
              </w:rPr>
            </w:pPr>
            <w:r w:rsidRPr="0002467A">
              <w:rPr>
                <w:i/>
                <w:sz w:val="16"/>
                <w:szCs w:val="16"/>
              </w:rPr>
              <w:t>15</w:t>
            </w:r>
            <w:r w:rsidR="0062427E">
              <w:rPr>
                <w:i/>
                <w:sz w:val="16"/>
                <w:szCs w:val="16"/>
              </w:rPr>
              <w:t> </w:t>
            </w:r>
            <w:r w:rsidRPr="0002467A">
              <w:rPr>
                <w:i/>
                <w:sz w:val="16"/>
                <w:szCs w:val="16"/>
              </w:rPr>
              <w:t>601</w:t>
            </w:r>
            <w:r w:rsidR="0062427E">
              <w:rPr>
                <w:i/>
                <w:sz w:val="16"/>
                <w:szCs w:val="16"/>
              </w:rPr>
              <w:t> </w:t>
            </w:r>
            <w:r w:rsidRPr="0002467A">
              <w:rPr>
                <w:i/>
                <w:sz w:val="16"/>
                <w:szCs w:val="16"/>
              </w:rPr>
              <w:t>65</w:t>
            </w:r>
            <w:r>
              <w:rPr>
                <w:i/>
                <w:sz w:val="16"/>
                <w:szCs w:val="16"/>
              </w:rPr>
              <w:t>5</w:t>
            </w:r>
          </w:p>
        </w:tc>
      </w:tr>
      <w:tr w:rsidR="008906ED" w:rsidRPr="00027FF4" w14:paraId="126DC95D" w14:textId="77777777" w:rsidTr="008906ED">
        <w:tc>
          <w:tcPr>
            <w:tcW w:w="914" w:type="pct"/>
            <w:shd w:val="clear" w:color="auto" w:fill="auto"/>
            <w:vAlign w:val="center"/>
          </w:tcPr>
          <w:p w14:paraId="26C8A27B"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62.20.00</w:t>
            </w:r>
          </w:p>
        </w:tc>
        <w:tc>
          <w:tcPr>
            <w:tcW w:w="2617" w:type="pct"/>
            <w:shd w:val="clear" w:color="auto" w:fill="auto"/>
            <w:vAlign w:val="center"/>
          </w:tcPr>
          <w:p w14:paraId="7A0E1D20"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Tehniskā palīdzība ERAF apgūšanai (2014-2020)</w:t>
            </w:r>
          </w:p>
        </w:tc>
        <w:tc>
          <w:tcPr>
            <w:tcW w:w="736" w:type="pct"/>
            <w:shd w:val="clear" w:color="auto" w:fill="auto"/>
            <w:vAlign w:val="center"/>
          </w:tcPr>
          <w:p w14:paraId="0A8049AB" w14:textId="77777777" w:rsidR="008906ED" w:rsidRPr="00027FF4" w:rsidRDefault="008906ED" w:rsidP="008906ED">
            <w:pPr>
              <w:spacing w:before="20" w:after="20"/>
              <w:jc w:val="right"/>
              <w:rPr>
                <w:i/>
                <w:sz w:val="16"/>
                <w:szCs w:val="16"/>
              </w:rPr>
            </w:pPr>
            <w:r w:rsidRPr="00027FF4">
              <w:rPr>
                <w:i/>
                <w:sz w:val="16"/>
                <w:szCs w:val="16"/>
              </w:rPr>
              <w:t>698 465</w:t>
            </w:r>
          </w:p>
        </w:tc>
        <w:tc>
          <w:tcPr>
            <w:tcW w:w="732" w:type="pct"/>
            <w:shd w:val="clear" w:color="auto" w:fill="auto"/>
            <w:vAlign w:val="center"/>
          </w:tcPr>
          <w:p w14:paraId="7696CE1B" w14:textId="77777777" w:rsidR="008906ED" w:rsidRPr="00027FF4" w:rsidRDefault="008906ED" w:rsidP="008906ED">
            <w:pPr>
              <w:spacing w:before="20" w:after="20"/>
              <w:jc w:val="right"/>
              <w:rPr>
                <w:i/>
                <w:sz w:val="16"/>
                <w:szCs w:val="16"/>
              </w:rPr>
            </w:pPr>
            <w:r w:rsidRPr="0002467A">
              <w:rPr>
                <w:i/>
                <w:sz w:val="16"/>
                <w:szCs w:val="16"/>
              </w:rPr>
              <w:t>572</w:t>
            </w:r>
            <w:r w:rsidR="0062427E">
              <w:rPr>
                <w:i/>
                <w:sz w:val="16"/>
                <w:szCs w:val="16"/>
              </w:rPr>
              <w:t> </w:t>
            </w:r>
            <w:r w:rsidRPr="0002467A">
              <w:rPr>
                <w:i/>
                <w:sz w:val="16"/>
                <w:szCs w:val="16"/>
              </w:rPr>
              <w:t>571</w:t>
            </w:r>
          </w:p>
        </w:tc>
      </w:tr>
      <w:tr w:rsidR="008906ED" w:rsidRPr="00027FF4" w14:paraId="01F0184E" w14:textId="77777777" w:rsidTr="008906ED">
        <w:tc>
          <w:tcPr>
            <w:tcW w:w="914" w:type="pct"/>
            <w:shd w:val="clear" w:color="auto" w:fill="auto"/>
            <w:vAlign w:val="center"/>
          </w:tcPr>
          <w:p w14:paraId="18D2A976"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63.00.00</w:t>
            </w:r>
          </w:p>
        </w:tc>
        <w:tc>
          <w:tcPr>
            <w:tcW w:w="2617" w:type="pct"/>
            <w:shd w:val="clear" w:color="auto" w:fill="auto"/>
            <w:vAlign w:val="center"/>
          </w:tcPr>
          <w:p w14:paraId="64BBE1F1"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ESF projektu un pasākumu īstenošana</w:t>
            </w:r>
          </w:p>
        </w:tc>
        <w:tc>
          <w:tcPr>
            <w:tcW w:w="736" w:type="pct"/>
            <w:shd w:val="clear" w:color="auto" w:fill="auto"/>
            <w:vAlign w:val="center"/>
          </w:tcPr>
          <w:p w14:paraId="16D7BEBC" w14:textId="77777777" w:rsidR="008906ED" w:rsidRPr="00027FF4" w:rsidRDefault="008906ED" w:rsidP="008906ED">
            <w:pPr>
              <w:spacing w:before="20" w:after="20"/>
              <w:jc w:val="right"/>
              <w:rPr>
                <w:sz w:val="18"/>
                <w:szCs w:val="18"/>
              </w:rPr>
            </w:pPr>
            <w:r w:rsidRPr="00027FF4">
              <w:rPr>
                <w:sz w:val="18"/>
                <w:szCs w:val="18"/>
              </w:rPr>
              <w:t>198 829</w:t>
            </w:r>
          </w:p>
        </w:tc>
        <w:tc>
          <w:tcPr>
            <w:tcW w:w="732" w:type="pct"/>
            <w:shd w:val="clear" w:color="auto" w:fill="auto"/>
            <w:vAlign w:val="center"/>
          </w:tcPr>
          <w:p w14:paraId="6DBCE027" w14:textId="77777777" w:rsidR="008906ED" w:rsidRPr="00027FF4" w:rsidRDefault="008906ED" w:rsidP="008906ED">
            <w:pPr>
              <w:spacing w:before="20" w:after="20"/>
              <w:jc w:val="right"/>
              <w:rPr>
                <w:sz w:val="18"/>
                <w:szCs w:val="18"/>
              </w:rPr>
            </w:pPr>
            <w:r w:rsidRPr="0002467A">
              <w:rPr>
                <w:sz w:val="18"/>
                <w:szCs w:val="18"/>
              </w:rPr>
              <w:t>65</w:t>
            </w:r>
            <w:r w:rsidR="0062427E">
              <w:rPr>
                <w:sz w:val="18"/>
                <w:szCs w:val="18"/>
              </w:rPr>
              <w:t> </w:t>
            </w:r>
            <w:r w:rsidRPr="0002467A">
              <w:rPr>
                <w:sz w:val="18"/>
                <w:szCs w:val="18"/>
              </w:rPr>
              <w:t>981</w:t>
            </w:r>
          </w:p>
        </w:tc>
      </w:tr>
      <w:tr w:rsidR="008906ED" w:rsidRPr="00027FF4" w14:paraId="2A184AB1" w14:textId="77777777" w:rsidTr="008906ED">
        <w:tc>
          <w:tcPr>
            <w:tcW w:w="914" w:type="pct"/>
            <w:shd w:val="clear" w:color="auto" w:fill="auto"/>
            <w:vAlign w:val="center"/>
          </w:tcPr>
          <w:p w14:paraId="72E11D9B"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63.07.00</w:t>
            </w:r>
          </w:p>
        </w:tc>
        <w:tc>
          <w:tcPr>
            <w:tcW w:w="2617" w:type="pct"/>
            <w:shd w:val="clear" w:color="auto" w:fill="auto"/>
            <w:vAlign w:val="center"/>
          </w:tcPr>
          <w:p w14:paraId="4139C922"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ESF projekti (2014-2020)</w:t>
            </w:r>
          </w:p>
        </w:tc>
        <w:tc>
          <w:tcPr>
            <w:tcW w:w="736" w:type="pct"/>
            <w:shd w:val="clear" w:color="auto" w:fill="auto"/>
            <w:vAlign w:val="center"/>
          </w:tcPr>
          <w:p w14:paraId="60E5F7A3" w14:textId="77777777" w:rsidR="008906ED" w:rsidRPr="00027FF4" w:rsidRDefault="008906ED" w:rsidP="008906ED">
            <w:pPr>
              <w:spacing w:before="20" w:after="20"/>
              <w:jc w:val="right"/>
              <w:rPr>
                <w:i/>
                <w:sz w:val="16"/>
                <w:szCs w:val="16"/>
              </w:rPr>
            </w:pPr>
            <w:r w:rsidRPr="00027FF4">
              <w:rPr>
                <w:i/>
                <w:sz w:val="16"/>
                <w:szCs w:val="16"/>
              </w:rPr>
              <w:t>137 068</w:t>
            </w:r>
          </w:p>
        </w:tc>
        <w:tc>
          <w:tcPr>
            <w:tcW w:w="732" w:type="pct"/>
            <w:shd w:val="clear" w:color="auto" w:fill="auto"/>
            <w:vAlign w:val="center"/>
          </w:tcPr>
          <w:p w14:paraId="715A23B2" w14:textId="77777777" w:rsidR="008906ED" w:rsidRPr="00027FF4" w:rsidRDefault="008906ED" w:rsidP="008906ED">
            <w:pPr>
              <w:spacing w:before="20" w:after="20"/>
              <w:jc w:val="right"/>
              <w:rPr>
                <w:i/>
                <w:sz w:val="16"/>
                <w:szCs w:val="16"/>
              </w:rPr>
            </w:pPr>
            <w:r w:rsidRPr="0002467A">
              <w:rPr>
                <w:i/>
                <w:sz w:val="16"/>
                <w:szCs w:val="16"/>
              </w:rPr>
              <w:t>1</w:t>
            </w:r>
            <w:r w:rsidR="0062427E">
              <w:rPr>
                <w:i/>
                <w:sz w:val="16"/>
                <w:szCs w:val="16"/>
              </w:rPr>
              <w:t>1 </w:t>
            </w:r>
            <w:r w:rsidRPr="0002467A">
              <w:rPr>
                <w:i/>
                <w:sz w:val="16"/>
                <w:szCs w:val="16"/>
              </w:rPr>
              <w:t>739</w:t>
            </w:r>
          </w:p>
        </w:tc>
      </w:tr>
      <w:tr w:rsidR="008906ED" w:rsidRPr="00027FF4" w14:paraId="004D9D7E" w14:textId="77777777" w:rsidTr="008906ED">
        <w:tc>
          <w:tcPr>
            <w:tcW w:w="914" w:type="pct"/>
            <w:shd w:val="clear" w:color="auto" w:fill="auto"/>
            <w:vAlign w:val="center"/>
          </w:tcPr>
          <w:p w14:paraId="00F638DA"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63.20.00</w:t>
            </w:r>
          </w:p>
        </w:tc>
        <w:tc>
          <w:tcPr>
            <w:tcW w:w="2617" w:type="pct"/>
            <w:shd w:val="clear" w:color="auto" w:fill="auto"/>
            <w:vAlign w:val="center"/>
          </w:tcPr>
          <w:p w14:paraId="00EFC0CA"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Tehniskā palīdzība ESF apgūšanai (2014-2020)</w:t>
            </w:r>
          </w:p>
        </w:tc>
        <w:tc>
          <w:tcPr>
            <w:tcW w:w="736" w:type="pct"/>
            <w:shd w:val="clear" w:color="auto" w:fill="auto"/>
            <w:vAlign w:val="center"/>
          </w:tcPr>
          <w:p w14:paraId="08C3C4B4" w14:textId="77777777" w:rsidR="008906ED" w:rsidRPr="00027FF4" w:rsidRDefault="008906ED" w:rsidP="008906ED">
            <w:pPr>
              <w:spacing w:before="20" w:after="20"/>
              <w:jc w:val="right"/>
              <w:rPr>
                <w:i/>
                <w:sz w:val="16"/>
                <w:szCs w:val="16"/>
              </w:rPr>
            </w:pPr>
            <w:r w:rsidRPr="00027FF4">
              <w:rPr>
                <w:rFonts w:eastAsia="Times New Roman"/>
                <w:i/>
                <w:color w:val="000000" w:themeColor="text1"/>
                <w:sz w:val="16"/>
                <w:szCs w:val="16"/>
                <w:lang w:eastAsia="lv-LV"/>
              </w:rPr>
              <w:t>61 761</w:t>
            </w:r>
          </w:p>
        </w:tc>
        <w:tc>
          <w:tcPr>
            <w:tcW w:w="732" w:type="pct"/>
            <w:shd w:val="clear" w:color="auto" w:fill="auto"/>
            <w:vAlign w:val="center"/>
          </w:tcPr>
          <w:p w14:paraId="595DD8A8" w14:textId="77777777" w:rsidR="008906ED" w:rsidRPr="00027FF4" w:rsidRDefault="008906ED" w:rsidP="008906ED">
            <w:pPr>
              <w:spacing w:before="20" w:after="20"/>
              <w:jc w:val="right"/>
              <w:rPr>
                <w:rFonts w:eastAsia="Times New Roman"/>
                <w:i/>
                <w:color w:val="000000" w:themeColor="text1"/>
                <w:sz w:val="16"/>
                <w:szCs w:val="16"/>
                <w:lang w:eastAsia="lv-LV"/>
              </w:rPr>
            </w:pPr>
            <w:r w:rsidRPr="0002467A">
              <w:rPr>
                <w:rFonts w:eastAsia="Times New Roman"/>
                <w:i/>
                <w:color w:val="000000" w:themeColor="text1"/>
                <w:sz w:val="16"/>
                <w:szCs w:val="16"/>
                <w:lang w:eastAsia="lv-LV"/>
              </w:rPr>
              <w:t>54</w:t>
            </w:r>
            <w:r w:rsidR="0062427E">
              <w:rPr>
                <w:rFonts w:eastAsia="Times New Roman"/>
                <w:i/>
                <w:color w:val="000000" w:themeColor="text1"/>
                <w:sz w:val="16"/>
                <w:szCs w:val="16"/>
                <w:lang w:eastAsia="lv-LV"/>
              </w:rPr>
              <w:t> </w:t>
            </w:r>
            <w:r w:rsidRPr="0002467A">
              <w:rPr>
                <w:rFonts w:eastAsia="Times New Roman"/>
                <w:i/>
                <w:color w:val="000000" w:themeColor="text1"/>
                <w:sz w:val="16"/>
                <w:szCs w:val="16"/>
                <w:lang w:eastAsia="lv-LV"/>
              </w:rPr>
              <w:t>242</w:t>
            </w:r>
          </w:p>
        </w:tc>
      </w:tr>
      <w:tr w:rsidR="008906ED" w:rsidRPr="00027FF4" w14:paraId="6D0E092F" w14:textId="77777777" w:rsidTr="008906ED">
        <w:tc>
          <w:tcPr>
            <w:tcW w:w="914" w:type="pct"/>
            <w:shd w:val="clear" w:color="auto" w:fill="auto"/>
            <w:vAlign w:val="center"/>
          </w:tcPr>
          <w:p w14:paraId="3C9F99D4"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67.00.00</w:t>
            </w:r>
          </w:p>
        </w:tc>
        <w:tc>
          <w:tcPr>
            <w:tcW w:w="2617" w:type="pct"/>
            <w:shd w:val="clear" w:color="auto" w:fill="auto"/>
            <w:vAlign w:val="center"/>
          </w:tcPr>
          <w:p w14:paraId="51DD368E"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Eiropas Kopienas iniciatīvas projektu un pasākumu īstenošana</w:t>
            </w:r>
          </w:p>
        </w:tc>
        <w:tc>
          <w:tcPr>
            <w:tcW w:w="736" w:type="pct"/>
            <w:shd w:val="clear" w:color="auto" w:fill="auto"/>
            <w:vAlign w:val="center"/>
          </w:tcPr>
          <w:p w14:paraId="2E82B3F6"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1 660 864</w:t>
            </w:r>
          </w:p>
        </w:tc>
        <w:tc>
          <w:tcPr>
            <w:tcW w:w="732" w:type="pct"/>
            <w:shd w:val="clear" w:color="auto" w:fill="auto"/>
            <w:vAlign w:val="center"/>
          </w:tcPr>
          <w:p w14:paraId="673EBE0E" w14:textId="77777777" w:rsidR="008906ED" w:rsidRPr="00027FF4" w:rsidRDefault="008906ED" w:rsidP="008906ED">
            <w:pPr>
              <w:spacing w:before="20" w:after="20"/>
              <w:jc w:val="right"/>
              <w:rPr>
                <w:rFonts w:eastAsia="Times New Roman"/>
                <w:color w:val="000000" w:themeColor="text1"/>
                <w:sz w:val="18"/>
                <w:szCs w:val="18"/>
                <w:lang w:eastAsia="lv-LV"/>
              </w:rPr>
            </w:pPr>
            <w:r w:rsidRPr="0002467A">
              <w:rPr>
                <w:rFonts w:eastAsia="Times New Roman"/>
                <w:color w:val="000000" w:themeColor="text1"/>
                <w:sz w:val="18"/>
                <w:szCs w:val="18"/>
                <w:lang w:eastAsia="lv-LV"/>
              </w:rPr>
              <w:t>2</w:t>
            </w:r>
            <w:r w:rsidR="0062427E">
              <w:rPr>
                <w:rFonts w:eastAsia="Times New Roman"/>
                <w:color w:val="000000" w:themeColor="text1"/>
                <w:sz w:val="18"/>
                <w:szCs w:val="18"/>
                <w:lang w:eastAsia="lv-LV"/>
              </w:rPr>
              <w:t> </w:t>
            </w:r>
            <w:r w:rsidRPr="0002467A">
              <w:rPr>
                <w:rFonts w:eastAsia="Times New Roman"/>
                <w:color w:val="000000" w:themeColor="text1"/>
                <w:sz w:val="18"/>
                <w:szCs w:val="18"/>
                <w:lang w:eastAsia="lv-LV"/>
              </w:rPr>
              <w:t>081</w:t>
            </w:r>
            <w:r w:rsidR="0062427E">
              <w:rPr>
                <w:rFonts w:eastAsia="Times New Roman"/>
                <w:color w:val="000000" w:themeColor="text1"/>
                <w:sz w:val="18"/>
                <w:szCs w:val="18"/>
                <w:lang w:eastAsia="lv-LV"/>
              </w:rPr>
              <w:t> </w:t>
            </w:r>
            <w:r w:rsidRPr="0002467A">
              <w:rPr>
                <w:rFonts w:eastAsia="Times New Roman"/>
                <w:color w:val="000000" w:themeColor="text1"/>
                <w:sz w:val="18"/>
                <w:szCs w:val="18"/>
                <w:lang w:eastAsia="lv-LV"/>
              </w:rPr>
              <w:t>062</w:t>
            </w:r>
          </w:p>
        </w:tc>
      </w:tr>
      <w:tr w:rsidR="008906ED" w:rsidRPr="00027FF4" w14:paraId="562A7B64" w14:textId="77777777" w:rsidTr="008906ED">
        <w:tc>
          <w:tcPr>
            <w:tcW w:w="914" w:type="pct"/>
            <w:shd w:val="clear" w:color="auto" w:fill="auto"/>
            <w:vAlign w:val="center"/>
          </w:tcPr>
          <w:p w14:paraId="4E8331B5"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lastRenderedPageBreak/>
              <w:t>67.02.00</w:t>
            </w:r>
          </w:p>
        </w:tc>
        <w:tc>
          <w:tcPr>
            <w:tcW w:w="2617" w:type="pct"/>
            <w:shd w:val="clear" w:color="auto" w:fill="auto"/>
            <w:vAlign w:val="center"/>
          </w:tcPr>
          <w:p w14:paraId="1A16BA4F"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Atmaksa valsts pamatbudžetā par Eiropas Kopienas iniciatīvu finansējumu (2007-2013)</w:t>
            </w:r>
          </w:p>
        </w:tc>
        <w:tc>
          <w:tcPr>
            <w:tcW w:w="736" w:type="pct"/>
            <w:shd w:val="clear" w:color="auto" w:fill="auto"/>
            <w:vAlign w:val="center"/>
          </w:tcPr>
          <w:p w14:paraId="74F61C19" w14:textId="77777777" w:rsidR="008906ED" w:rsidRPr="00027FF4" w:rsidRDefault="008906ED" w:rsidP="008906ED">
            <w:pPr>
              <w:spacing w:before="20" w:after="20"/>
              <w:jc w:val="right"/>
              <w:rPr>
                <w:i/>
                <w:iCs/>
                <w:sz w:val="16"/>
                <w:szCs w:val="16"/>
              </w:rPr>
            </w:pPr>
            <w:r w:rsidRPr="00027FF4">
              <w:rPr>
                <w:i/>
                <w:iCs/>
                <w:sz w:val="16"/>
                <w:szCs w:val="16"/>
              </w:rPr>
              <w:t>7 817</w:t>
            </w:r>
          </w:p>
        </w:tc>
        <w:tc>
          <w:tcPr>
            <w:tcW w:w="732" w:type="pct"/>
            <w:shd w:val="clear" w:color="auto" w:fill="auto"/>
            <w:vAlign w:val="center"/>
          </w:tcPr>
          <w:p w14:paraId="20A0DC27" w14:textId="77777777" w:rsidR="008906ED" w:rsidRPr="00027FF4" w:rsidRDefault="008906ED" w:rsidP="008906ED">
            <w:pPr>
              <w:spacing w:before="20" w:after="20"/>
              <w:jc w:val="right"/>
              <w:rPr>
                <w:i/>
                <w:iCs/>
                <w:sz w:val="16"/>
                <w:szCs w:val="16"/>
              </w:rPr>
            </w:pPr>
            <w:r w:rsidRPr="0002467A">
              <w:rPr>
                <w:i/>
                <w:iCs/>
                <w:sz w:val="16"/>
                <w:szCs w:val="16"/>
              </w:rPr>
              <w:t>54</w:t>
            </w:r>
            <w:r w:rsidR="0062427E">
              <w:rPr>
                <w:i/>
                <w:iCs/>
                <w:sz w:val="16"/>
                <w:szCs w:val="16"/>
              </w:rPr>
              <w:t> </w:t>
            </w:r>
            <w:r w:rsidRPr="0002467A">
              <w:rPr>
                <w:i/>
                <w:iCs/>
                <w:sz w:val="16"/>
                <w:szCs w:val="16"/>
              </w:rPr>
              <w:t>891</w:t>
            </w:r>
          </w:p>
        </w:tc>
      </w:tr>
      <w:tr w:rsidR="008906ED" w:rsidRPr="00027FF4" w14:paraId="2DA8F615" w14:textId="77777777" w:rsidTr="008906ED">
        <w:tc>
          <w:tcPr>
            <w:tcW w:w="914" w:type="pct"/>
            <w:shd w:val="clear" w:color="auto" w:fill="auto"/>
            <w:vAlign w:val="center"/>
          </w:tcPr>
          <w:p w14:paraId="36CC8026"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67.06.00</w:t>
            </w:r>
          </w:p>
        </w:tc>
        <w:tc>
          <w:tcPr>
            <w:tcW w:w="2617" w:type="pct"/>
            <w:shd w:val="clear" w:color="auto" w:fill="auto"/>
            <w:vAlign w:val="center"/>
          </w:tcPr>
          <w:p w14:paraId="5E5CFCF5"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Eiropas Kopienas iniciatīvas projekti</w:t>
            </w:r>
          </w:p>
        </w:tc>
        <w:tc>
          <w:tcPr>
            <w:tcW w:w="736" w:type="pct"/>
            <w:shd w:val="clear" w:color="auto" w:fill="auto"/>
            <w:vAlign w:val="center"/>
          </w:tcPr>
          <w:p w14:paraId="306123F6" w14:textId="77777777" w:rsidR="008906ED" w:rsidRPr="00027FF4" w:rsidRDefault="008906ED" w:rsidP="008906ED">
            <w:pPr>
              <w:spacing w:before="20" w:after="20"/>
              <w:jc w:val="right"/>
              <w:rPr>
                <w:i/>
                <w:iCs/>
                <w:sz w:val="16"/>
                <w:szCs w:val="16"/>
              </w:rPr>
            </w:pPr>
            <w:r w:rsidRPr="00027FF4">
              <w:rPr>
                <w:i/>
                <w:sz w:val="16"/>
                <w:szCs w:val="16"/>
              </w:rPr>
              <w:t>1 653 047</w:t>
            </w:r>
          </w:p>
        </w:tc>
        <w:tc>
          <w:tcPr>
            <w:tcW w:w="732" w:type="pct"/>
            <w:shd w:val="clear" w:color="auto" w:fill="auto"/>
            <w:vAlign w:val="center"/>
          </w:tcPr>
          <w:p w14:paraId="19AD6FDB" w14:textId="77777777" w:rsidR="008906ED" w:rsidRPr="00027FF4" w:rsidRDefault="008906ED" w:rsidP="008906ED">
            <w:pPr>
              <w:spacing w:before="20" w:after="20"/>
              <w:jc w:val="right"/>
              <w:rPr>
                <w:i/>
                <w:sz w:val="16"/>
                <w:szCs w:val="16"/>
              </w:rPr>
            </w:pPr>
            <w:r w:rsidRPr="0002467A">
              <w:rPr>
                <w:i/>
                <w:sz w:val="16"/>
                <w:szCs w:val="16"/>
              </w:rPr>
              <w:t>2</w:t>
            </w:r>
            <w:r w:rsidR="0062427E">
              <w:rPr>
                <w:i/>
                <w:sz w:val="16"/>
                <w:szCs w:val="16"/>
              </w:rPr>
              <w:t> </w:t>
            </w:r>
            <w:r w:rsidRPr="0002467A">
              <w:rPr>
                <w:i/>
                <w:sz w:val="16"/>
                <w:szCs w:val="16"/>
              </w:rPr>
              <w:t>026</w:t>
            </w:r>
            <w:r w:rsidR="0062427E">
              <w:rPr>
                <w:i/>
                <w:sz w:val="16"/>
                <w:szCs w:val="16"/>
              </w:rPr>
              <w:t> </w:t>
            </w:r>
            <w:r w:rsidRPr="0002467A">
              <w:rPr>
                <w:i/>
                <w:sz w:val="16"/>
                <w:szCs w:val="16"/>
              </w:rPr>
              <w:t>171</w:t>
            </w:r>
          </w:p>
        </w:tc>
      </w:tr>
      <w:tr w:rsidR="008906ED" w:rsidRPr="00027FF4" w14:paraId="28A23EB1" w14:textId="77777777" w:rsidTr="008906ED">
        <w:trPr>
          <w:trHeight w:val="454"/>
        </w:trPr>
        <w:tc>
          <w:tcPr>
            <w:tcW w:w="914" w:type="pct"/>
            <w:shd w:val="clear" w:color="auto" w:fill="auto"/>
            <w:vAlign w:val="center"/>
          </w:tcPr>
          <w:p w14:paraId="45F54F15"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69.00.00</w:t>
            </w:r>
          </w:p>
        </w:tc>
        <w:tc>
          <w:tcPr>
            <w:tcW w:w="2617" w:type="pct"/>
            <w:shd w:val="clear" w:color="auto" w:fill="auto"/>
            <w:vAlign w:val="center"/>
          </w:tcPr>
          <w:p w14:paraId="6EE7AF18" w14:textId="77777777" w:rsidR="008906ED" w:rsidRPr="00027FF4" w:rsidRDefault="008906ED" w:rsidP="008906ED">
            <w:pPr>
              <w:spacing w:before="20" w:after="20" w:line="240" w:lineRule="auto"/>
              <w:rPr>
                <w:rFonts w:eastAsia="Times New Roman" w:cs="Times New Roman"/>
                <w:sz w:val="18"/>
                <w:szCs w:val="18"/>
                <w:lang w:eastAsia="lv-LV"/>
              </w:rPr>
            </w:pPr>
            <w:r w:rsidRPr="00027FF4">
              <w:rPr>
                <w:rFonts w:eastAsia="Times New Roman" w:cs="Times New Roman"/>
                <w:sz w:val="18"/>
                <w:szCs w:val="18"/>
                <w:lang w:eastAsia="lv-LV"/>
              </w:rPr>
              <w:t>Mērķa „Eiropas teritoriālā sadarbība” pārrobežu sadarbības programmu, projektu un pasākumu īstenošana</w:t>
            </w:r>
          </w:p>
        </w:tc>
        <w:tc>
          <w:tcPr>
            <w:tcW w:w="736" w:type="pct"/>
            <w:shd w:val="clear" w:color="auto" w:fill="auto"/>
            <w:vAlign w:val="center"/>
          </w:tcPr>
          <w:p w14:paraId="49351D16"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586 141</w:t>
            </w:r>
          </w:p>
        </w:tc>
        <w:tc>
          <w:tcPr>
            <w:tcW w:w="732" w:type="pct"/>
            <w:shd w:val="clear" w:color="auto" w:fill="auto"/>
            <w:vAlign w:val="center"/>
          </w:tcPr>
          <w:p w14:paraId="15A9A817" w14:textId="77777777" w:rsidR="008906ED" w:rsidRPr="00027FF4" w:rsidRDefault="008906ED" w:rsidP="008906ED">
            <w:pPr>
              <w:spacing w:before="20" w:after="20"/>
              <w:jc w:val="right"/>
              <w:rPr>
                <w:rFonts w:eastAsia="Times New Roman"/>
                <w:color w:val="000000" w:themeColor="text1"/>
                <w:sz w:val="18"/>
                <w:szCs w:val="18"/>
                <w:lang w:eastAsia="lv-LV"/>
              </w:rPr>
            </w:pPr>
            <w:r w:rsidRPr="0002467A">
              <w:rPr>
                <w:rFonts w:eastAsia="Times New Roman"/>
                <w:color w:val="000000" w:themeColor="text1"/>
                <w:sz w:val="18"/>
                <w:szCs w:val="18"/>
                <w:lang w:eastAsia="lv-LV"/>
              </w:rPr>
              <w:t>622</w:t>
            </w:r>
            <w:r w:rsidR="0062427E">
              <w:rPr>
                <w:rFonts w:eastAsia="Times New Roman"/>
                <w:color w:val="000000" w:themeColor="text1"/>
                <w:sz w:val="18"/>
                <w:szCs w:val="18"/>
                <w:lang w:eastAsia="lv-LV"/>
              </w:rPr>
              <w:t> </w:t>
            </w:r>
            <w:r w:rsidRPr="0002467A">
              <w:rPr>
                <w:rFonts w:eastAsia="Times New Roman"/>
                <w:color w:val="000000" w:themeColor="text1"/>
                <w:sz w:val="18"/>
                <w:szCs w:val="18"/>
                <w:lang w:eastAsia="lv-LV"/>
              </w:rPr>
              <w:t>674</w:t>
            </w:r>
          </w:p>
        </w:tc>
      </w:tr>
      <w:tr w:rsidR="008906ED" w:rsidRPr="00027FF4" w14:paraId="4F5C7113" w14:textId="77777777" w:rsidTr="008906ED">
        <w:tc>
          <w:tcPr>
            <w:tcW w:w="914" w:type="pct"/>
            <w:shd w:val="clear" w:color="auto" w:fill="auto"/>
            <w:vAlign w:val="center"/>
          </w:tcPr>
          <w:p w14:paraId="734BD8F3"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69.02.00</w:t>
            </w:r>
          </w:p>
        </w:tc>
        <w:tc>
          <w:tcPr>
            <w:tcW w:w="2617" w:type="pct"/>
            <w:shd w:val="clear" w:color="auto" w:fill="auto"/>
            <w:vAlign w:val="center"/>
          </w:tcPr>
          <w:p w14:paraId="3FCEDB83" w14:textId="77777777" w:rsidR="008906ED" w:rsidRPr="00027FF4" w:rsidRDefault="008906ED" w:rsidP="008906ED">
            <w:pPr>
              <w:spacing w:before="20" w:after="20" w:line="240" w:lineRule="auto"/>
              <w:rPr>
                <w:rFonts w:eastAsia="Times New Roman" w:cs="Times New Roman"/>
                <w:i/>
                <w:sz w:val="16"/>
                <w:szCs w:val="16"/>
                <w:lang w:eastAsia="lv-LV"/>
              </w:rPr>
            </w:pPr>
            <w:r w:rsidRPr="00027FF4">
              <w:rPr>
                <w:rFonts w:eastAsia="Times New Roman" w:cs="Times New Roman"/>
                <w:i/>
                <w:sz w:val="16"/>
                <w:szCs w:val="16"/>
                <w:lang w:eastAsia="lv-LV"/>
              </w:rPr>
              <w:t>Atmaksas valsts pamatbudžetā par mērķa „Eiropas teritoriālā sadarbība” pārrobežu sadarbības programmu, projektu un pasākumu īstenošanu</w:t>
            </w:r>
          </w:p>
        </w:tc>
        <w:tc>
          <w:tcPr>
            <w:tcW w:w="736" w:type="pct"/>
            <w:shd w:val="clear" w:color="auto" w:fill="auto"/>
            <w:vAlign w:val="center"/>
          </w:tcPr>
          <w:p w14:paraId="7DC80687" w14:textId="77777777" w:rsidR="008906ED" w:rsidRPr="00027FF4" w:rsidRDefault="008906ED" w:rsidP="008906ED">
            <w:pPr>
              <w:spacing w:before="20" w:after="20"/>
              <w:jc w:val="right"/>
              <w:rPr>
                <w:i/>
                <w:iCs/>
                <w:sz w:val="16"/>
                <w:szCs w:val="16"/>
              </w:rPr>
            </w:pPr>
            <w:r w:rsidRPr="00027FF4">
              <w:rPr>
                <w:rFonts w:eastAsia="Times New Roman"/>
                <w:i/>
                <w:color w:val="000000" w:themeColor="text1"/>
                <w:sz w:val="16"/>
                <w:szCs w:val="16"/>
                <w:lang w:eastAsia="lv-LV"/>
              </w:rPr>
              <w:t>207 648</w:t>
            </w:r>
          </w:p>
        </w:tc>
        <w:tc>
          <w:tcPr>
            <w:tcW w:w="732" w:type="pct"/>
            <w:shd w:val="clear" w:color="auto" w:fill="auto"/>
            <w:vAlign w:val="center"/>
          </w:tcPr>
          <w:p w14:paraId="7DAF765B" w14:textId="77777777" w:rsidR="008906ED" w:rsidRPr="00027FF4" w:rsidRDefault="008906ED" w:rsidP="008906ED">
            <w:pPr>
              <w:spacing w:before="20" w:after="20"/>
              <w:jc w:val="right"/>
              <w:rPr>
                <w:rFonts w:eastAsia="Times New Roman"/>
                <w:i/>
                <w:color w:val="000000" w:themeColor="text1"/>
                <w:sz w:val="16"/>
                <w:szCs w:val="16"/>
                <w:lang w:eastAsia="lv-LV"/>
              </w:rPr>
            </w:pPr>
            <w:r w:rsidRPr="0002467A">
              <w:rPr>
                <w:rFonts w:eastAsia="Times New Roman"/>
                <w:i/>
                <w:color w:val="000000" w:themeColor="text1"/>
                <w:sz w:val="16"/>
                <w:szCs w:val="16"/>
                <w:lang w:eastAsia="lv-LV"/>
              </w:rPr>
              <w:t>263</w:t>
            </w:r>
            <w:r w:rsidR="0062427E">
              <w:rPr>
                <w:rFonts w:eastAsia="Times New Roman"/>
                <w:i/>
                <w:color w:val="000000" w:themeColor="text1"/>
                <w:sz w:val="16"/>
                <w:szCs w:val="16"/>
                <w:lang w:eastAsia="lv-LV"/>
              </w:rPr>
              <w:t> </w:t>
            </w:r>
            <w:r w:rsidRPr="0002467A">
              <w:rPr>
                <w:rFonts w:eastAsia="Times New Roman"/>
                <w:i/>
                <w:color w:val="000000" w:themeColor="text1"/>
                <w:sz w:val="16"/>
                <w:szCs w:val="16"/>
                <w:lang w:eastAsia="lv-LV"/>
              </w:rPr>
              <w:t>409</w:t>
            </w:r>
          </w:p>
        </w:tc>
      </w:tr>
      <w:tr w:rsidR="008906ED" w:rsidRPr="00027FF4" w14:paraId="13CF379D" w14:textId="77777777" w:rsidTr="008906ED">
        <w:tc>
          <w:tcPr>
            <w:tcW w:w="914" w:type="pct"/>
            <w:shd w:val="clear" w:color="auto" w:fill="auto"/>
            <w:vAlign w:val="center"/>
          </w:tcPr>
          <w:p w14:paraId="286AD506"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69.03.00</w:t>
            </w:r>
          </w:p>
        </w:tc>
        <w:tc>
          <w:tcPr>
            <w:tcW w:w="2617" w:type="pct"/>
            <w:shd w:val="clear" w:color="auto" w:fill="auto"/>
            <w:vAlign w:val="center"/>
          </w:tcPr>
          <w:p w14:paraId="257B08F8" w14:textId="77777777" w:rsidR="008906ED" w:rsidRPr="00027FF4" w:rsidRDefault="008906ED" w:rsidP="008906ED">
            <w:pPr>
              <w:spacing w:before="20" w:after="20" w:line="240" w:lineRule="auto"/>
              <w:rPr>
                <w:rFonts w:eastAsia="Times New Roman" w:cs="Times New Roman"/>
                <w:i/>
                <w:sz w:val="16"/>
                <w:szCs w:val="16"/>
                <w:lang w:eastAsia="lv-LV"/>
              </w:rPr>
            </w:pPr>
            <w:r w:rsidRPr="00027FF4">
              <w:rPr>
                <w:rFonts w:eastAsia="Times New Roman" w:cs="Times New Roman"/>
                <w:i/>
                <w:sz w:val="16"/>
                <w:szCs w:val="16"/>
                <w:lang w:eastAsia="lv-LV"/>
              </w:rPr>
              <w:t>Atmaksa mērķa „Eiropas teritoriālā sadarbība” finansējuma saņēmējam par veiktajiem izdevumiem no ārvalstu finanšu palīdzības</w:t>
            </w:r>
          </w:p>
        </w:tc>
        <w:tc>
          <w:tcPr>
            <w:tcW w:w="736" w:type="pct"/>
            <w:shd w:val="clear" w:color="auto" w:fill="auto"/>
            <w:vAlign w:val="center"/>
          </w:tcPr>
          <w:p w14:paraId="7C13D800" w14:textId="77777777" w:rsidR="008906ED" w:rsidRPr="00027FF4" w:rsidRDefault="008906ED" w:rsidP="008906ED">
            <w:pPr>
              <w:spacing w:before="20" w:after="20"/>
              <w:jc w:val="right"/>
              <w:rPr>
                <w:i/>
                <w:iCs/>
                <w:sz w:val="16"/>
                <w:szCs w:val="16"/>
              </w:rPr>
            </w:pPr>
            <w:r w:rsidRPr="00027FF4">
              <w:rPr>
                <w:rFonts w:eastAsia="Times New Roman"/>
                <w:i/>
                <w:color w:val="000000" w:themeColor="text1"/>
                <w:sz w:val="16"/>
                <w:szCs w:val="16"/>
                <w:lang w:eastAsia="lv-LV"/>
              </w:rPr>
              <w:t>88 634</w:t>
            </w:r>
          </w:p>
        </w:tc>
        <w:tc>
          <w:tcPr>
            <w:tcW w:w="732" w:type="pct"/>
            <w:shd w:val="clear" w:color="auto" w:fill="auto"/>
            <w:vAlign w:val="center"/>
          </w:tcPr>
          <w:p w14:paraId="205263E6" w14:textId="77777777" w:rsidR="008906ED" w:rsidRPr="00027FF4" w:rsidRDefault="008906ED" w:rsidP="008906ED">
            <w:pPr>
              <w:spacing w:before="20" w:after="20"/>
              <w:jc w:val="right"/>
              <w:rPr>
                <w:rFonts w:eastAsia="Times New Roman"/>
                <w:i/>
                <w:color w:val="000000" w:themeColor="text1"/>
                <w:sz w:val="16"/>
                <w:szCs w:val="16"/>
                <w:lang w:eastAsia="lv-LV"/>
              </w:rPr>
            </w:pPr>
            <w:r w:rsidRPr="0002467A">
              <w:rPr>
                <w:rFonts w:eastAsia="Times New Roman"/>
                <w:i/>
                <w:color w:val="000000" w:themeColor="text1"/>
                <w:sz w:val="16"/>
                <w:szCs w:val="16"/>
                <w:lang w:eastAsia="lv-LV"/>
              </w:rPr>
              <w:t>86</w:t>
            </w:r>
            <w:r w:rsidR="0062427E">
              <w:rPr>
                <w:rFonts w:eastAsia="Times New Roman"/>
                <w:i/>
                <w:color w:val="000000" w:themeColor="text1"/>
                <w:sz w:val="16"/>
                <w:szCs w:val="16"/>
                <w:lang w:eastAsia="lv-LV"/>
              </w:rPr>
              <w:t> </w:t>
            </w:r>
            <w:r w:rsidRPr="0002467A">
              <w:rPr>
                <w:rFonts w:eastAsia="Times New Roman"/>
                <w:i/>
                <w:color w:val="000000" w:themeColor="text1"/>
                <w:sz w:val="16"/>
                <w:szCs w:val="16"/>
                <w:lang w:eastAsia="lv-LV"/>
              </w:rPr>
              <w:t>717</w:t>
            </w:r>
          </w:p>
        </w:tc>
      </w:tr>
      <w:tr w:rsidR="008906ED" w:rsidRPr="00027FF4" w14:paraId="6D979B77" w14:textId="77777777" w:rsidTr="008906ED">
        <w:tc>
          <w:tcPr>
            <w:tcW w:w="914" w:type="pct"/>
            <w:shd w:val="clear" w:color="auto" w:fill="auto"/>
            <w:vAlign w:val="center"/>
          </w:tcPr>
          <w:p w14:paraId="0F953956"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69.06.00</w:t>
            </w:r>
          </w:p>
        </w:tc>
        <w:tc>
          <w:tcPr>
            <w:tcW w:w="2617" w:type="pct"/>
            <w:shd w:val="clear" w:color="auto" w:fill="auto"/>
            <w:vAlign w:val="center"/>
          </w:tcPr>
          <w:p w14:paraId="6AC54DAA" w14:textId="77777777" w:rsidR="008906ED" w:rsidRPr="00027FF4" w:rsidRDefault="008906ED" w:rsidP="008906ED">
            <w:pPr>
              <w:spacing w:before="20" w:after="20"/>
              <w:rPr>
                <w:rFonts w:eastAsia="Times New Roman" w:cs="Times New Roman"/>
                <w:i/>
                <w:sz w:val="16"/>
                <w:szCs w:val="16"/>
                <w:lang w:eastAsia="lv-LV"/>
              </w:rPr>
            </w:pPr>
            <w:r w:rsidRPr="00027FF4">
              <w:rPr>
                <w:rFonts w:eastAsia="Times New Roman" w:cs="Times New Roman"/>
                <w:i/>
                <w:sz w:val="16"/>
                <w:szCs w:val="16"/>
                <w:lang w:eastAsia="lv-LV"/>
              </w:rPr>
              <w:t>Mērķa „Eiropas teritoriālā sadarbība” pārrobežu sadarbības projekti</w:t>
            </w:r>
          </w:p>
        </w:tc>
        <w:tc>
          <w:tcPr>
            <w:tcW w:w="736" w:type="pct"/>
            <w:shd w:val="clear" w:color="auto" w:fill="auto"/>
            <w:vAlign w:val="center"/>
          </w:tcPr>
          <w:p w14:paraId="2E416028" w14:textId="77777777" w:rsidR="008906ED" w:rsidRPr="00027FF4" w:rsidRDefault="008906ED" w:rsidP="008906ED">
            <w:pPr>
              <w:spacing w:before="20" w:after="20"/>
              <w:jc w:val="right"/>
              <w:rPr>
                <w:i/>
                <w:iCs/>
                <w:sz w:val="16"/>
                <w:szCs w:val="16"/>
              </w:rPr>
            </w:pPr>
            <w:r w:rsidRPr="00027FF4">
              <w:rPr>
                <w:i/>
                <w:iCs/>
                <w:sz w:val="16"/>
                <w:szCs w:val="16"/>
              </w:rPr>
              <w:t>289 859</w:t>
            </w:r>
          </w:p>
        </w:tc>
        <w:tc>
          <w:tcPr>
            <w:tcW w:w="732" w:type="pct"/>
            <w:shd w:val="clear" w:color="auto" w:fill="auto"/>
            <w:vAlign w:val="center"/>
          </w:tcPr>
          <w:p w14:paraId="1D129981" w14:textId="77777777" w:rsidR="008906ED" w:rsidRPr="00027FF4" w:rsidRDefault="008906ED" w:rsidP="008906ED">
            <w:pPr>
              <w:spacing w:before="20" w:after="20"/>
              <w:jc w:val="right"/>
              <w:rPr>
                <w:i/>
                <w:iCs/>
                <w:sz w:val="16"/>
                <w:szCs w:val="16"/>
              </w:rPr>
            </w:pPr>
            <w:r w:rsidRPr="00077C37">
              <w:rPr>
                <w:i/>
                <w:iCs/>
                <w:sz w:val="16"/>
                <w:szCs w:val="16"/>
              </w:rPr>
              <w:t>272</w:t>
            </w:r>
            <w:r w:rsidR="0062427E">
              <w:rPr>
                <w:i/>
                <w:iCs/>
                <w:sz w:val="16"/>
                <w:szCs w:val="16"/>
              </w:rPr>
              <w:t> </w:t>
            </w:r>
            <w:r w:rsidRPr="00077C37">
              <w:rPr>
                <w:i/>
                <w:iCs/>
                <w:sz w:val="16"/>
                <w:szCs w:val="16"/>
              </w:rPr>
              <w:t>54</w:t>
            </w:r>
            <w:r>
              <w:rPr>
                <w:i/>
                <w:iCs/>
                <w:sz w:val="16"/>
                <w:szCs w:val="16"/>
              </w:rPr>
              <w:t>8</w:t>
            </w:r>
          </w:p>
        </w:tc>
      </w:tr>
      <w:tr w:rsidR="008906ED" w:rsidRPr="00027FF4" w14:paraId="11FCB3FC" w14:textId="77777777" w:rsidTr="008906ED">
        <w:tc>
          <w:tcPr>
            <w:tcW w:w="914" w:type="pct"/>
            <w:shd w:val="clear" w:color="auto" w:fill="auto"/>
            <w:vAlign w:val="center"/>
          </w:tcPr>
          <w:p w14:paraId="6C340782"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70.00.00</w:t>
            </w:r>
          </w:p>
        </w:tc>
        <w:tc>
          <w:tcPr>
            <w:tcW w:w="2617" w:type="pct"/>
            <w:shd w:val="clear" w:color="auto" w:fill="auto"/>
            <w:vAlign w:val="center"/>
          </w:tcPr>
          <w:p w14:paraId="2310F9FE" w14:textId="77777777" w:rsidR="008906ED" w:rsidRPr="00027FF4" w:rsidRDefault="008906ED" w:rsidP="008906ED">
            <w:pPr>
              <w:spacing w:before="20" w:after="20"/>
              <w:rPr>
                <w:rFonts w:eastAsia="Times New Roman" w:cs="Times New Roman"/>
                <w:sz w:val="18"/>
                <w:szCs w:val="18"/>
                <w:lang w:eastAsia="lv-LV"/>
              </w:rPr>
            </w:pPr>
            <w:r w:rsidRPr="00027FF4">
              <w:rPr>
                <w:rFonts w:eastAsia="Times New Roman" w:cs="Times New Roman"/>
                <w:sz w:val="18"/>
                <w:szCs w:val="18"/>
                <w:lang w:eastAsia="lv-LV"/>
              </w:rPr>
              <w:t>Citu ES politiku instrumentu projektu un pasākumu īstenošana</w:t>
            </w:r>
          </w:p>
        </w:tc>
        <w:tc>
          <w:tcPr>
            <w:tcW w:w="736" w:type="pct"/>
            <w:shd w:val="clear" w:color="auto" w:fill="auto"/>
            <w:vAlign w:val="center"/>
          </w:tcPr>
          <w:p w14:paraId="5D53512D" w14:textId="77777777" w:rsidR="008906ED" w:rsidRPr="00027FF4" w:rsidRDefault="008906ED" w:rsidP="008906ED">
            <w:pPr>
              <w:spacing w:before="20" w:after="20"/>
              <w:jc w:val="right"/>
              <w:rPr>
                <w:sz w:val="18"/>
                <w:szCs w:val="18"/>
              </w:rPr>
            </w:pPr>
            <w:r w:rsidRPr="00027FF4">
              <w:rPr>
                <w:rFonts w:eastAsia="Times New Roman"/>
                <w:color w:val="000000" w:themeColor="text1"/>
                <w:sz w:val="18"/>
                <w:szCs w:val="18"/>
                <w:lang w:eastAsia="lv-LV"/>
              </w:rPr>
              <w:t>30 242</w:t>
            </w:r>
          </w:p>
        </w:tc>
        <w:tc>
          <w:tcPr>
            <w:tcW w:w="732" w:type="pct"/>
            <w:shd w:val="clear" w:color="auto" w:fill="auto"/>
            <w:vAlign w:val="center"/>
          </w:tcPr>
          <w:p w14:paraId="605E0543" w14:textId="77777777" w:rsidR="008906ED" w:rsidRPr="00027FF4" w:rsidRDefault="008906ED" w:rsidP="008906ED">
            <w:pPr>
              <w:spacing w:before="20" w:after="20"/>
              <w:jc w:val="right"/>
              <w:rPr>
                <w:rFonts w:eastAsia="Times New Roman"/>
                <w:color w:val="000000" w:themeColor="text1"/>
                <w:sz w:val="18"/>
                <w:szCs w:val="18"/>
                <w:lang w:eastAsia="lv-LV"/>
              </w:rPr>
            </w:pPr>
            <w:r w:rsidRPr="00077C37">
              <w:rPr>
                <w:rFonts w:eastAsia="Times New Roman"/>
                <w:color w:val="000000" w:themeColor="text1"/>
                <w:sz w:val="18"/>
                <w:szCs w:val="18"/>
                <w:lang w:eastAsia="lv-LV"/>
              </w:rPr>
              <w:t>7</w:t>
            </w:r>
            <w:r w:rsidR="0062427E">
              <w:rPr>
                <w:rFonts w:eastAsia="Times New Roman"/>
                <w:color w:val="000000" w:themeColor="text1"/>
                <w:sz w:val="18"/>
                <w:szCs w:val="18"/>
                <w:lang w:eastAsia="lv-LV"/>
              </w:rPr>
              <w:t> </w:t>
            </w:r>
            <w:r w:rsidRPr="00077C37">
              <w:rPr>
                <w:rFonts w:eastAsia="Times New Roman"/>
                <w:color w:val="000000" w:themeColor="text1"/>
                <w:sz w:val="18"/>
                <w:szCs w:val="18"/>
                <w:lang w:eastAsia="lv-LV"/>
              </w:rPr>
              <w:t>163</w:t>
            </w:r>
          </w:p>
        </w:tc>
      </w:tr>
      <w:tr w:rsidR="008906ED" w:rsidRPr="00027FF4" w14:paraId="663D4A16" w14:textId="77777777" w:rsidTr="008906ED">
        <w:tc>
          <w:tcPr>
            <w:tcW w:w="914" w:type="pct"/>
            <w:shd w:val="clear" w:color="auto" w:fill="auto"/>
            <w:vAlign w:val="center"/>
          </w:tcPr>
          <w:p w14:paraId="26917974"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70.06.00</w:t>
            </w:r>
          </w:p>
        </w:tc>
        <w:tc>
          <w:tcPr>
            <w:tcW w:w="2617" w:type="pct"/>
            <w:shd w:val="clear" w:color="auto" w:fill="auto"/>
            <w:vAlign w:val="center"/>
          </w:tcPr>
          <w:p w14:paraId="35ED25BE" w14:textId="77777777" w:rsidR="008906ED" w:rsidRPr="00027FF4" w:rsidRDefault="008906ED" w:rsidP="008906ED">
            <w:pPr>
              <w:spacing w:before="20" w:after="20" w:line="240" w:lineRule="auto"/>
              <w:rPr>
                <w:rFonts w:eastAsia="Times New Roman" w:cs="Times New Roman"/>
                <w:i/>
                <w:sz w:val="16"/>
                <w:szCs w:val="16"/>
                <w:lang w:eastAsia="lv-LV"/>
              </w:rPr>
            </w:pPr>
            <w:r w:rsidRPr="00027FF4">
              <w:rPr>
                <w:rFonts w:eastAsia="Times New Roman" w:cs="Times New Roman"/>
                <w:i/>
                <w:sz w:val="16"/>
                <w:szCs w:val="16"/>
                <w:lang w:eastAsia="lv-LV"/>
              </w:rPr>
              <w:t>Latvijas pārstāvju ceļa izdevumu kompensācija dodoties uz ES Padomes darba grupu sanāksmēm</w:t>
            </w:r>
          </w:p>
        </w:tc>
        <w:tc>
          <w:tcPr>
            <w:tcW w:w="736" w:type="pct"/>
            <w:shd w:val="clear" w:color="auto" w:fill="auto"/>
            <w:vAlign w:val="center"/>
          </w:tcPr>
          <w:p w14:paraId="65CDB241" w14:textId="77777777" w:rsidR="008906ED" w:rsidRPr="00027FF4" w:rsidRDefault="008906ED" w:rsidP="008906ED">
            <w:pPr>
              <w:spacing w:before="20" w:after="20"/>
              <w:jc w:val="right"/>
              <w:rPr>
                <w:i/>
                <w:iCs/>
                <w:sz w:val="16"/>
                <w:szCs w:val="16"/>
              </w:rPr>
            </w:pPr>
            <w:r w:rsidRPr="00027FF4">
              <w:rPr>
                <w:rFonts w:eastAsia="Times New Roman"/>
                <w:i/>
                <w:color w:val="000000" w:themeColor="text1"/>
                <w:sz w:val="16"/>
                <w:szCs w:val="16"/>
                <w:lang w:eastAsia="lv-LV"/>
              </w:rPr>
              <w:t>30 242</w:t>
            </w:r>
          </w:p>
        </w:tc>
        <w:tc>
          <w:tcPr>
            <w:tcW w:w="732" w:type="pct"/>
            <w:shd w:val="clear" w:color="auto" w:fill="auto"/>
            <w:vAlign w:val="center"/>
          </w:tcPr>
          <w:p w14:paraId="1F3C455A" w14:textId="77777777" w:rsidR="008906ED" w:rsidRPr="00027FF4" w:rsidRDefault="008906ED" w:rsidP="008906ED">
            <w:pPr>
              <w:spacing w:before="20" w:after="20"/>
              <w:jc w:val="right"/>
              <w:rPr>
                <w:rFonts w:eastAsia="Times New Roman"/>
                <w:i/>
                <w:color w:val="000000" w:themeColor="text1"/>
                <w:sz w:val="16"/>
                <w:szCs w:val="16"/>
                <w:lang w:eastAsia="lv-LV"/>
              </w:rPr>
            </w:pPr>
            <w:r w:rsidRPr="00077C37">
              <w:rPr>
                <w:rFonts w:eastAsia="Times New Roman"/>
                <w:i/>
                <w:color w:val="000000" w:themeColor="text1"/>
                <w:sz w:val="16"/>
                <w:szCs w:val="16"/>
                <w:lang w:eastAsia="lv-LV"/>
              </w:rPr>
              <w:t>7</w:t>
            </w:r>
            <w:r w:rsidR="0062427E">
              <w:rPr>
                <w:rFonts w:eastAsia="Times New Roman"/>
                <w:i/>
                <w:color w:val="000000" w:themeColor="text1"/>
                <w:sz w:val="16"/>
                <w:szCs w:val="16"/>
                <w:lang w:eastAsia="lv-LV"/>
              </w:rPr>
              <w:t> </w:t>
            </w:r>
            <w:r w:rsidRPr="00077C37">
              <w:rPr>
                <w:rFonts w:eastAsia="Times New Roman"/>
                <w:i/>
                <w:color w:val="000000" w:themeColor="text1"/>
                <w:sz w:val="16"/>
                <w:szCs w:val="16"/>
                <w:lang w:eastAsia="lv-LV"/>
              </w:rPr>
              <w:t>163</w:t>
            </w:r>
          </w:p>
        </w:tc>
      </w:tr>
      <w:tr w:rsidR="008906ED" w:rsidRPr="00027FF4" w14:paraId="1F5EB49C" w14:textId="77777777" w:rsidTr="008906ED">
        <w:tc>
          <w:tcPr>
            <w:tcW w:w="914" w:type="pct"/>
            <w:shd w:val="clear" w:color="auto" w:fill="auto"/>
            <w:vAlign w:val="center"/>
          </w:tcPr>
          <w:p w14:paraId="58501744" w14:textId="77777777" w:rsidR="008906ED" w:rsidRPr="00027FF4" w:rsidRDefault="008906ED" w:rsidP="008906ED">
            <w:pPr>
              <w:spacing w:before="20" w:after="20"/>
              <w:jc w:val="center"/>
              <w:rPr>
                <w:rFonts w:eastAsia="Times New Roman" w:cs="Times New Roman"/>
                <w:iCs/>
                <w:sz w:val="18"/>
                <w:szCs w:val="18"/>
                <w:lang w:eastAsia="lv-LV"/>
              </w:rPr>
            </w:pPr>
            <w:r w:rsidRPr="00027FF4">
              <w:rPr>
                <w:rFonts w:eastAsia="Times New Roman" w:cs="Times New Roman"/>
                <w:iCs/>
                <w:sz w:val="18"/>
                <w:szCs w:val="18"/>
                <w:lang w:eastAsia="lv-LV"/>
              </w:rPr>
              <w:t>71.00.00</w:t>
            </w:r>
          </w:p>
        </w:tc>
        <w:tc>
          <w:tcPr>
            <w:tcW w:w="2617" w:type="pct"/>
            <w:shd w:val="clear" w:color="auto" w:fill="auto"/>
            <w:vAlign w:val="center"/>
          </w:tcPr>
          <w:p w14:paraId="13996D6A" w14:textId="77777777" w:rsidR="008906ED" w:rsidRPr="00027FF4" w:rsidRDefault="008906ED" w:rsidP="008906ED">
            <w:pPr>
              <w:spacing w:before="20" w:after="20" w:line="240" w:lineRule="auto"/>
              <w:rPr>
                <w:rFonts w:eastAsia="Times New Roman" w:cs="Times New Roman"/>
                <w:sz w:val="18"/>
                <w:szCs w:val="18"/>
                <w:lang w:eastAsia="lv-LV"/>
              </w:rPr>
            </w:pPr>
            <w:r w:rsidRPr="00027FF4">
              <w:rPr>
                <w:rFonts w:eastAsia="Times New Roman" w:cs="Times New Roman"/>
                <w:sz w:val="18"/>
                <w:szCs w:val="18"/>
                <w:lang w:eastAsia="lv-LV"/>
              </w:rPr>
              <w:t>EEZ finanšu instrumenta un Norvēģijas valdības divpusējā finanšu instrumenta finansēto programmu, projektu un pasākumu īstenošana</w:t>
            </w:r>
          </w:p>
        </w:tc>
        <w:tc>
          <w:tcPr>
            <w:tcW w:w="736" w:type="pct"/>
            <w:shd w:val="clear" w:color="auto" w:fill="auto"/>
            <w:vAlign w:val="center"/>
          </w:tcPr>
          <w:p w14:paraId="00072998" w14:textId="77777777" w:rsidR="008906ED" w:rsidRPr="00027FF4" w:rsidRDefault="008906ED" w:rsidP="008906ED">
            <w:pPr>
              <w:spacing w:before="20" w:after="20"/>
              <w:jc w:val="right"/>
              <w:rPr>
                <w:sz w:val="18"/>
                <w:szCs w:val="18"/>
              </w:rPr>
            </w:pPr>
            <w:r w:rsidRPr="00027FF4">
              <w:rPr>
                <w:sz w:val="18"/>
                <w:szCs w:val="18"/>
              </w:rPr>
              <w:t>66 936</w:t>
            </w:r>
          </w:p>
        </w:tc>
        <w:tc>
          <w:tcPr>
            <w:tcW w:w="732" w:type="pct"/>
            <w:shd w:val="clear" w:color="auto" w:fill="auto"/>
            <w:vAlign w:val="center"/>
          </w:tcPr>
          <w:p w14:paraId="2DD35488" w14:textId="77777777" w:rsidR="008906ED" w:rsidRPr="00027FF4" w:rsidRDefault="008906ED" w:rsidP="008906ED">
            <w:pPr>
              <w:spacing w:before="20" w:after="20"/>
              <w:jc w:val="right"/>
              <w:rPr>
                <w:sz w:val="18"/>
                <w:szCs w:val="18"/>
              </w:rPr>
            </w:pPr>
            <w:r w:rsidRPr="00077C37">
              <w:rPr>
                <w:sz w:val="18"/>
                <w:szCs w:val="18"/>
              </w:rPr>
              <w:t>147</w:t>
            </w:r>
            <w:r>
              <w:rPr>
                <w:sz w:val="18"/>
                <w:szCs w:val="18"/>
              </w:rPr>
              <w:t> </w:t>
            </w:r>
            <w:r w:rsidRPr="00077C37">
              <w:rPr>
                <w:sz w:val="18"/>
                <w:szCs w:val="18"/>
              </w:rPr>
              <w:t>897</w:t>
            </w:r>
          </w:p>
        </w:tc>
      </w:tr>
      <w:tr w:rsidR="008906ED" w:rsidRPr="00027FF4" w14:paraId="05F746C6" w14:textId="77777777" w:rsidTr="008906ED">
        <w:tc>
          <w:tcPr>
            <w:tcW w:w="914" w:type="pct"/>
            <w:shd w:val="clear" w:color="auto" w:fill="auto"/>
            <w:vAlign w:val="center"/>
          </w:tcPr>
          <w:p w14:paraId="0F438590" w14:textId="77777777" w:rsidR="008906ED" w:rsidRPr="00027FF4" w:rsidRDefault="008906ED" w:rsidP="008906ED">
            <w:pPr>
              <w:spacing w:before="20" w:after="20"/>
              <w:jc w:val="center"/>
              <w:rPr>
                <w:rFonts w:eastAsia="Times New Roman" w:cs="Times New Roman"/>
                <w:i/>
                <w:iCs/>
                <w:sz w:val="16"/>
                <w:szCs w:val="16"/>
                <w:lang w:eastAsia="lv-LV"/>
              </w:rPr>
            </w:pPr>
            <w:r w:rsidRPr="00027FF4">
              <w:rPr>
                <w:rFonts w:eastAsia="Times New Roman" w:cs="Times New Roman"/>
                <w:i/>
                <w:iCs/>
                <w:sz w:val="16"/>
                <w:szCs w:val="16"/>
                <w:lang w:eastAsia="lv-LV"/>
              </w:rPr>
              <w:t>71.06.00</w:t>
            </w:r>
          </w:p>
        </w:tc>
        <w:tc>
          <w:tcPr>
            <w:tcW w:w="2617" w:type="pct"/>
            <w:shd w:val="clear" w:color="auto" w:fill="auto"/>
            <w:vAlign w:val="center"/>
          </w:tcPr>
          <w:p w14:paraId="2C67A454" w14:textId="77777777" w:rsidR="008906ED" w:rsidRPr="00027FF4" w:rsidRDefault="008906ED" w:rsidP="008906ED">
            <w:pPr>
              <w:spacing w:before="20" w:after="20" w:line="240" w:lineRule="auto"/>
              <w:rPr>
                <w:rFonts w:eastAsia="Times New Roman" w:cs="Times New Roman"/>
                <w:i/>
                <w:sz w:val="16"/>
                <w:szCs w:val="16"/>
                <w:lang w:eastAsia="lv-LV"/>
              </w:rPr>
            </w:pPr>
            <w:r w:rsidRPr="00027FF4">
              <w:rPr>
                <w:rFonts w:eastAsia="Times New Roman" w:cs="Times New Roman"/>
                <w:i/>
                <w:sz w:val="16"/>
                <w:szCs w:val="16"/>
                <w:lang w:eastAsia="lv-LV"/>
              </w:rPr>
              <w:t>EEZ finanšu instrumenta un Norvēģijas valdības divpusējā finanšu instrumenta finansētie projekti</w:t>
            </w:r>
          </w:p>
        </w:tc>
        <w:tc>
          <w:tcPr>
            <w:tcW w:w="736" w:type="pct"/>
            <w:shd w:val="clear" w:color="auto" w:fill="auto"/>
            <w:vAlign w:val="center"/>
          </w:tcPr>
          <w:p w14:paraId="1F17FB24" w14:textId="77777777" w:rsidR="008906ED" w:rsidRPr="00027FF4" w:rsidRDefault="008906ED" w:rsidP="008906ED">
            <w:pPr>
              <w:spacing w:before="20" w:after="20"/>
              <w:jc w:val="right"/>
              <w:rPr>
                <w:i/>
                <w:iCs/>
                <w:sz w:val="16"/>
                <w:szCs w:val="16"/>
              </w:rPr>
            </w:pPr>
            <w:r w:rsidRPr="00027FF4">
              <w:rPr>
                <w:i/>
                <w:iCs/>
                <w:sz w:val="16"/>
                <w:szCs w:val="16"/>
              </w:rPr>
              <w:t>66 936</w:t>
            </w:r>
          </w:p>
        </w:tc>
        <w:tc>
          <w:tcPr>
            <w:tcW w:w="732" w:type="pct"/>
            <w:shd w:val="clear" w:color="auto" w:fill="auto"/>
            <w:vAlign w:val="center"/>
          </w:tcPr>
          <w:p w14:paraId="760A58A2" w14:textId="77777777" w:rsidR="008906ED" w:rsidRPr="00027FF4" w:rsidRDefault="008906ED" w:rsidP="008906ED">
            <w:pPr>
              <w:spacing w:before="20" w:after="20"/>
              <w:jc w:val="right"/>
              <w:rPr>
                <w:i/>
                <w:iCs/>
                <w:sz w:val="16"/>
                <w:szCs w:val="16"/>
              </w:rPr>
            </w:pPr>
            <w:r w:rsidRPr="00077C37">
              <w:rPr>
                <w:i/>
                <w:iCs/>
                <w:sz w:val="16"/>
                <w:szCs w:val="16"/>
              </w:rPr>
              <w:t>147</w:t>
            </w:r>
            <w:r>
              <w:rPr>
                <w:i/>
                <w:iCs/>
                <w:sz w:val="16"/>
                <w:szCs w:val="16"/>
              </w:rPr>
              <w:t> </w:t>
            </w:r>
            <w:r w:rsidRPr="00077C37">
              <w:rPr>
                <w:i/>
                <w:iCs/>
                <w:sz w:val="16"/>
                <w:szCs w:val="16"/>
              </w:rPr>
              <w:t>897</w:t>
            </w:r>
          </w:p>
        </w:tc>
      </w:tr>
      <w:tr w:rsidR="008906ED" w:rsidRPr="00027FF4" w14:paraId="6A070AFF" w14:textId="77777777" w:rsidTr="008906ED">
        <w:tc>
          <w:tcPr>
            <w:tcW w:w="914" w:type="pct"/>
            <w:shd w:val="clear" w:color="auto" w:fill="auto"/>
            <w:vAlign w:val="center"/>
          </w:tcPr>
          <w:p w14:paraId="7A62E095" w14:textId="77777777" w:rsidR="008906ED" w:rsidRPr="00027FF4" w:rsidRDefault="008906ED" w:rsidP="008906ED">
            <w:pPr>
              <w:spacing w:before="20" w:after="20"/>
              <w:jc w:val="center"/>
              <w:rPr>
                <w:iCs/>
                <w:sz w:val="18"/>
                <w:szCs w:val="18"/>
              </w:rPr>
            </w:pPr>
            <w:r w:rsidRPr="00027FF4">
              <w:rPr>
                <w:iCs/>
                <w:sz w:val="18"/>
                <w:szCs w:val="18"/>
              </w:rPr>
              <w:t>97.00.00</w:t>
            </w:r>
          </w:p>
        </w:tc>
        <w:tc>
          <w:tcPr>
            <w:tcW w:w="2617" w:type="pct"/>
            <w:shd w:val="clear" w:color="auto" w:fill="auto"/>
            <w:vAlign w:val="center"/>
          </w:tcPr>
          <w:p w14:paraId="3E4EBF59" w14:textId="77777777" w:rsidR="008906ED" w:rsidRPr="00027FF4" w:rsidRDefault="008906ED" w:rsidP="008906ED">
            <w:pPr>
              <w:spacing w:before="20" w:after="20"/>
              <w:rPr>
                <w:iCs/>
                <w:sz w:val="18"/>
                <w:szCs w:val="18"/>
              </w:rPr>
            </w:pPr>
            <w:r w:rsidRPr="00027FF4">
              <w:rPr>
                <w:iCs/>
                <w:sz w:val="18"/>
                <w:szCs w:val="18"/>
              </w:rPr>
              <w:t>Nozaru vadība un politikas plānošana</w:t>
            </w:r>
          </w:p>
        </w:tc>
        <w:tc>
          <w:tcPr>
            <w:tcW w:w="736" w:type="pct"/>
            <w:shd w:val="clear" w:color="auto" w:fill="auto"/>
            <w:vAlign w:val="center"/>
          </w:tcPr>
          <w:p w14:paraId="6E0F7FB0" w14:textId="77777777" w:rsidR="008906ED" w:rsidRPr="00027FF4" w:rsidRDefault="008906ED" w:rsidP="008906ED">
            <w:pPr>
              <w:spacing w:before="20" w:after="20"/>
              <w:jc w:val="right"/>
              <w:rPr>
                <w:iCs/>
                <w:sz w:val="18"/>
                <w:szCs w:val="18"/>
              </w:rPr>
            </w:pPr>
            <w:r w:rsidRPr="00027FF4">
              <w:rPr>
                <w:iCs/>
                <w:sz w:val="18"/>
                <w:szCs w:val="18"/>
              </w:rPr>
              <w:t>6 015 167</w:t>
            </w:r>
          </w:p>
        </w:tc>
        <w:tc>
          <w:tcPr>
            <w:tcW w:w="732" w:type="pct"/>
            <w:shd w:val="clear" w:color="auto" w:fill="auto"/>
            <w:vAlign w:val="center"/>
          </w:tcPr>
          <w:p w14:paraId="63A27247" w14:textId="77777777" w:rsidR="008906ED" w:rsidRPr="00027FF4" w:rsidRDefault="008906ED" w:rsidP="008906ED">
            <w:pPr>
              <w:spacing w:before="20" w:after="20"/>
              <w:jc w:val="right"/>
              <w:rPr>
                <w:iCs/>
                <w:sz w:val="18"/>
                <w:szCs w:val="18"/>
              </w:rPr>
            </w:pPr>
            <w:r w:rsidRPr="00847CCA">
              <w:rPr>
                <w:iCs/>
                <w:sz w:val="18"/>
                <w:szCs w:val="18"/>
              </w:rPr>
              <w:t>5</w:t>
            </w:r>
            <w:r>
              <w:rPr>
                <w:iCs/>
                <w:sz w:val="18"/>
                <w:szCs w:val="18"/>
              </w:rPr>
              <w:t> </w:t>
            </w:r>
            <w:r w:rsidRPr="00847CCA">
              <w:rPr>
                <w:iCs/>
                <w:sz w:val="18"/>
                <w:szCs w:val="18"/>
              </w:rPr>
              <w:t>635</w:t>
            </w:r>
            <w:r>
              <w:rPr>
                <w:iCs/>
                <w:sz w:val="18"/>
                <w:szCs w:val="18"/>
              </w:rPr>
              <w:t> </w:t>
            </w:r>
            <w:r w:rsidRPr="00847CCA">
              <w:rPr>
                <w:iCs/>
                <w:sz w:val="18"/>
                <w:szCs w:val="18"/>
              </w:rPr>
              <w:t>482</w:t>
            </w:r>
          </w:p>
        </w:tc>
      </w:tr>
      <w:tr w:rsidR="008906ED" w:rsidRPr="00027FF4" w14:paraId="2682B9D3" w14:textId="77777777" w:rsidTr="008906ED">
        <w:tc>
          <w:tcPr>
            <w:tcW w:w="914" w:type="pct"/>
            <w:shd w:val="clear" w:color="auto" w:fill="auto"/>
            <w:vAlign w:val="center"/>
          </w:tcPr>
          <w:p w14:paraId="2B3DC67C" w14:textId="77777777" w:rsidR="008906ED" w:rsidRPr="00027FF4" w:rsidRDefault="008906ED" w:rsidP="008906ED">
            <w:pPr>
              <w:spacing w:before="20" w:after="20"/>
              <w:jc w:val="center"/>
              <w:rPr>
                <w:iCs/>
                <w:sz w:val="18"/>
                <w:szCs w:val="18"/>
              </w:rPr>
            </w:pPr>
            <w:r w:rsidRPr="00027FF4">
              <w:rPr>
                <w:iCs/>
                <w:sz w:val="18"/>
                <w:szCs w:val="18"/>
              </w:rPr>
              <w:t>99.00.00</w:t>
            </w:r>
          </w:p>
        </w:tc>
        <w:tc>
          <w:tcPr>
            <w:tcW w:w="2617" w:type="pct"/>
            <w:shd w:val="clear" w:color="auto" w:fill="auto"/>
            <w:vAlign w:val="center"/>
          </w:tcPr>
          <w:p w14:paraId="7BF44175" w14:textId="77777777" w:rsidR="008906ED" w:rsidRPr="00027FF4" w:rsidRDefault="008906ED" w:rsidP="008906ED">
            <w:pPr>
              <w:spacing w:before="20" w:after="20"/>
              <w:rPr>
                <w:iCs/>
                <w:sz w:val="18"/>
                <w:szCs w:val="18"/>
              </w:rPr>
            </w:pPr>
            <w:r w:rsidRPr="00027FF4">
              <w:rPr>
                <w:iCs/>
                <w:sz w:val="18"/>
                <w:szCs w:val="18"/>
              </w:rPr>
              <w:t>Līdzekļu neparedzētiem gadījumiem izlietojums</w:t>
            </w:r>
          </w:p>
        </w:tc>
        <w:tc>
          <w:tcPr>
            <w:tcW w:w="736" w:type="pct"/>
            <w:shd w:val="clear" w:color="auto" w:fill="auto"/>
            <w:vAlign w:val="center"/>
          </w:tcPr>
          <w:p w14:paraId="64803178" w14:textId="77777777" w:rsidR="008906ED" w:rsidRPr="00027FF4" w:rsidRDefault="008906ED" w:rsidP="008906ED">
            <w:pPr>
              <w:spacing w:before="20" w:after="20"/>
              <w:jc w:val="right"/>
              <w:rPr>
                <w:iCs/>
                <w:sz w:val="18"/>
                <w:szCs w:val="18"/>
              </w:rPr>
            </w:pPr>
            <w:r w:rsidRPr="00027FF4">
              <w:rPr>
                <w:iCs/>
                <w:sz w:val="18"/>
                <w:szCs w:val="18"/>
              </w:rPr>
              <w:t>188 416</w:t>
            </w:r>
          </w:p>
        </w:tc>
        <w:tc>
          <w:tcPr>
            <w:tcW w:w="732" w:type="pct"/>
            <w:shd w:val="clear" w:color="auto" w:fill="auto"/>
            <w:vAlign w:val="center"/>
          </w:tcPr>
          <w:p w14:paraId="24F6AE20" w14:textId="77777777" w:rsidR="008906ED" w:rsidRPr="00027FF4" w:rsidRDefault="008906ED" w:rsidP="008906ED">
            <w:pPr>
              <w:spacing w:before="20" w:after="20"/>
              <w:jc w:val="right"/>
              <w:rPr>
                <w:iCs/>
                <w:sz w:val="18"/>
                <w:szCs w:val="18"/>
              </w:rPr>
            </w:pPr>
            <w:r w:rsidRPr="00847CCA">
              <w:rPr>
                <w:iCs/>
                <w:sz w:val="18"/>
                <w:szCs w:val="18"/>
              </w:rPr>
              <w:t>75</w:t>
            </w:r>
            <w:r>
              <w:rPr>
                <w:iCs/>
                <w:sz w:val="18"/>
                <w:szCs w:val="18"/>
              </w:rPr>
              <w:t> </w:t>
            </w:r>
            <w:r w:rsidRPr="00847CCA">
              <w:rPr>
                <w:iCs/>
                <w:sz w:val="18"/>
                <w:szCs w:val="18"/>
              </w:rPr>
              <w:t>676</w:t>
            </w:r>
            <w:r>
              <w:rPr>
                <w:iCs/>
                <w:sz w:val="18"/>
                <w:szCs w:val="18"/>
              </w:rPr>
              <w:t> </w:t>
            </w:r>
            <w:r w:rsidRPr="00847CCA">
              <w:rPr>
                <w:iCs/>
                <w:sz w:val="18"/>
                <w:szCs w:val="18"/>
              </w:rPr>
              <w:t>923</w:t>
            </w:r>
          </w:p>
        </w:tc>
      </w:tr>
    </w:tbl>
    <w:p w14:paraId="001F8FF9" w14:textId="77777777" w:rsidR="008906ED" w:rsidRPr="00027FF4" w:rsidRDefault="008906ED" w:rsidP="008906ED">
      <w:pPr>
        <w:spacing w:before="40" w:after="40" w:line="240" w:lineRule="auto"/>
        <w:jc w:val="both"/>
        <w:rPr>
          <w:rFonts w:cs="Times New Roman"/>
          <w:i/>
          <w:sz w:val="18"/>
          <w:szCs w:val="18"/>
        </w:rPr>
      </w:pPr>
      <w:r w:rsidRPr="00027FF4">
        <w:rPr>
          <w:rFonts w:cs="Times New Roman"/>
          <w:i/>
          <w:sz w:val="18"/>
          <w:szCs w:val="18"/>
        </w:rPr>
        <w:t>Avots: EM</w:t>
      </w:r>
      <w:r>
        <w:rPr>
          <w:rFonts w:cs="Times New Roman"/>
          <w:i/>
          <w:sz w:val="18"/>
          <w:szCs w:val="18"/>
        </w:rPr>
        <w:t xml:space="preserve"> dati</w:t>
      </w:r>
    </w:p>
    <w:p w14:paraId="55E2FF66" w14:textId="77777777" w:rsidR="008906ED" w:rsidRDefault="008906ED" w:rsidP="00DE61A7">
      <w:pPr>
        <w:spacing w:after="120" w:line="240" w:lineRule="auto"/>
        <w:jc w:val="both"/>
        <w:rPr>
          <w:szCs w:val="24"/>
          <w:highlight w:val="yellow"/>
        </w:rPr>
      </w:pPr>
    </w:p>
    <w:tbl>
      <w:tblPr>
        <w:tblStyle w:val="TableGrid"/>
        <w:tblW w:w="0" w:type="auto"/>
        <w:tblLook w:val="04A0" w:firstRow="1" w:lastRow="0" w:firstColumn="1" w:lastColumn="0" w:noHBand="0" w:noVBand="1"/>
      </w:tblPr>
      <w:tblGrid>
        <w:gridCol w:w="9628"/>
      </w:tblGrid>
      <w:tr w:rsidR="00D51540" w:rsidRPr="00F5511B" w14:paraId="69BCAD8E" w14:textId="77777777" w:rsidTr="00607FE2">
        <w:tc>
          <w:tcPr>
            <w:tcW w:w="9628" w:type="dxa"/>
            <w:tcBorders>
              <w:top w:val="nil"/>
              <w:left w:val="nil"/>
              <w:bottom w:val="nil"/>
              <w:right w:val="nil"/>
            </w:tcBorders>
            <w:shd w:val="clear" w:color="auto" w:fill="31849B" w:themeFill="accent5" w:themeFillShade="BF"/>
          </w:tcPr>
          <w:p w14:paraId="006CD1E3" w14:textId="24E20849" w:rsidR="00D51540" w:rsidRPr="00316F04" w:rsidRDefault="00D35150" w:rsidP="00BE6C4B">
            <w:pPr>
              <w:pStyle w:val="Heading2"/>
              <w:numPr>
                <w:ilvl w:val="1"/>
                <w:numId w:val="20"/>
              </w:numPr>
              <w:spacing w:before="120" w:after="120"/>
              <w:rPr>
                <w:szCs w:val="24"/>
                <w:lang w:val="lv-LV"/>
              </w:rPr>
            </w:pPr>
            <w:r>
              <w:rPr>
                <w:lang w:val="lv-LV"/>
              </w:rPr>
              <w:t xml:space="preserve"> </w:t>
            </w:r>
            <w:bookmarkStart w:id="69" w:name="_Toc78874611"/>
            <w:r w:rsidR="00D51540" w:rsidRPr="00316F04">
              <w:rPr>
                <w:lang w:val="lv-LV"/>
              </w:rPr>
              <w:t xml:space="preserve">EM </w:t>
            </w:r>
            <w:r w:rsidR="00B44506" w:rsidRPr="00316F04">
              <w:rPr>
                <w:lang w:val="lv-LV"/>
              </w:rPr>
              <w:t>2020.gadā veiktie/ pasūtītie</w:t>
            </w:r>
            <w:r w:rsidR="00D51540" w:rsidRPr="00316F04">
              <w:rPr>
                <w:lang w:val="lv-LV"/>
              </w:rPr>
              <w:t xml:space="preserve"> pētījumi</w:t>
            </w:r>
            <w:r w:rsidR="00B44506" w:rsidRPr="00316F04">
              <w:rPr>
                <w:lang w:val="lv-LV"/>
              </w:rPr>
              <w:t xml:space="preserve"> un 2021.gadā plānotie pētījumi</w:t>
            </w:r>
            <w:bookmarkEnd w:id="69"/>
          </w:p>
        </w:tc>
      </w:tr>
    </w:tbl>
    <w:p w14:paraId="065B145B" w14:textId="5B8B201A" w:rsidR="005A53B3" w:rsidRPr="00157497" w:rsidRDefault="00EF5410" w:rsidP="008D791D">
      <w:pPr>
        <w:spacing w:before="120" w:after="60" w:line="240" w:lineRule="auto"/>
        <w:jc w:val="both"/>
        <w:rPr>
          <w:rFonts w:cstheme="minorHAnsi"/>
          <w:szCs w:val="24"/>
          <w:lang w:eastAsia="en-GB"/>
        </w:rPr>
      </w:pPr>
      <w:r w:rsidRPr="008460D0">
        <w:t>Pieejamo resursu ietvaros EM pārskata periodā citu pakalpojumu iegādes starpā izmantoja līdzekļus arī nozares politikas veidošanai nepieciešamo pētījumu iegādei.</w:t>
      </w:r>
      <w:r w:rsidR="00037A25">
        <w:t xml:space="preserve"> </w:t>
      </w:r>
      <w:r w:rsidR="005A53B3" w:rsidRPr="00416CF7">
        <w:rPr>
          <w:szCs w:val="28"/>
        </w:rPr>
        <w:t>20</w:t>
      </w:r>
      <w:r w:rsidR="008460D0">
        <w:rPr>
          <w:szCs w:val="28"/>
        </w:rPr>
        <w:t>20</w:t>
      </w:r>
      <w:r w:rsidR="005A53B3" w:rsidRPr="00416CF7">
        <w:rPr>
          <w:szCs w:val="28"/>
        </w:rPr>
        <w:t xml:space="preserve">. gadā EM īstenoja virkni pētījumu būvniecības un mājokļu nodrošināšanas, </w:t>
      </w:r>
      <w:r w:rsidR="005A53B3" w:rsidRPr="004F77BB">
        <w:rPr>
          <w:szCs w:val="28"/>
        </w:rPr>
        <w:t>enerģētikas</w:t>
      </w:r>
      <w:r w:rsidR="00A13DCB">
        <w:rPr>
          <w:szCs w:val="28"/>
        </w:rPr>
        <w:t xml:space="preserve"> </w:t>
      </w:r>
      <w:r w:rsidR="005A53B3" w:rsidRPr="004F77BB">
        <w:rPr>
          <w:szCs w:val="28"/>
        </w:rPr>
        <w:t xml:space="preserve">un citu nozaru pilnveidošanas jomās. </w:t>
      </w:r>
      <w:r w:rsidR="005A53B3" w:rsidRPr="00157497">
        <w:rPr>
          <w:szCs w:val="28"/>
        </w:rPr>
        <w:t>Detalizētāka i</w:t>
      </w:r>
      <w:r w:rsidR="005A53B3" w:rsidRPr="00157497">
        <w:rPr>
          <w:rFonts w:eastAsia="Calibri" w:cs="Times New Roman"/>
          <w:szCs w:val="24"/>
        </w:rPr>
        <w:t xml:space="preserve">nformācija par EM pētījumiem ir pieejama </w:t>
      </w:r>
      <w:hyperlink r:id="rId107" w:history="1">
        <w:r w:rsidR="005A53B3" w:rsidRPr="00157497">
          <w:rPr>
            <w:rStyle w:val="Hyperlink"/>
            <w:rFonts w:eastAsia="Calibri" w:cs="Times New Roman"/>
            <w:i/>
            <w:color w:val="00859B"/>
            <w:szCs w:val="24"/>
          </w:rPr>
          <w:t>pētījumu datu bāzē</w:t>
        </w:r>
      </w:hyperlink>
      <w:r w:rsidR="005A53B3" w:rsidRPr="00157497">
        <w:rPr>
          <w:rFonts w:eastAsia="Calibri" w:cs="Times New Roman"/>
          <w:szCs w:val="24"/>
        </w:rPr>
        <w:t xml:space="preserve">, kā arī informācija par visa pārskata perioda pētījumiem, to </w:t>
      </w:r>
      <w:r w:rsidR="005A53B3" w:rsidRPr="00157497">
        <w:t xml:space="preserve">mērķiem, līguma summām, pētījumu veicējiem, galvenajiem rezultātiem, kā arī iespējām saņemt plašāku ieskatu pētījumu rezultātos </w:t>
      </w:r>
      <w:r w:rsidR="005A53B3" w:rsidRPr="00157497">
        <w:rPr>
          <w:rFonts w:eastAsia="Calibri" w:cs="Times New Roman"/>
          <w:szCs w:val="24"/>
        </w:rPr>
        <w:t xml:space="preserve">ir apkopota </w:t>
      </w:r>
      <w:hyperlink w:anchor="_Pielikums._EM_plānotie" w:history="1">
        <w:r w:rsidR="005A53B3" w:rsidRPr="00157497">
          <w:rPr>
            <w:rStyle w:val="Hyperlink"/>
            <w:rFonts w:eastAsia="Franklin Gothic Book" w:cs="Times New Roman"/>
            <w:color w:val="00859B"/>
            <w:szCs w:val="24"/>
          </w:rPr>
          <w:t>9.pielikumā</w:t>
        </w:r>
        <w:r w:rsidR="005A53B3" w:rsidRPr="00157497">
          <w:rPr>
            <w:rStyle w:val="Hyperlink"/>
            <w:rFonts w:eastAsia="Franklin Gothic Book" w:cs="Times New Roman"/>
            <w:szCs w:val="24"/>
          </w:rPr>
          <w:t>.</w:t>
        </w:r>
      </w:hyperlink>
    </w:p>
    <w:p w14:paraId="6F2897FC" w14:textId="58C002E0" w:rsidR="008D791D" w:rsidRPr="004F77BB" w:rsidRDefault="008D791D" w:rsidP="00CB57A2">
      <w:pPr>
        <w:spacing w:before="60" w:after="60" w:line="240" w:lineRule="auto"/>
        <w:jc w:val="both"/>
        <w:rPr>
          <w:rFonts w:cstheme="minorHAnsi"/>
          <w:szCs w:val="24"/>
          <w:lang w:eastAsia="en-GB"/>
        </w:rPr>
      </w:pPr>
      <w:r w:rsidRPr="00842B9B">
        <w:rPr>
          <w:szCs w:val="24"/>
        </w:rPr>
        <w:t>Būvniecības jomā</w:t>
      </w:r>
      <w:r w:rsidR="00A13DCB" w:rsidRPr="00842B9B">
        <w:rPr>
          <w:szCs w:val="24"/>
        </w:rPr>
        <w:t xml:space="preserve"> </w:t>
      </w:r>
      <w:r w:rsidR="004F77BB" w:rsidRPr="004F77BB">
        <w:rPr>
          <w:szCs w:val="24"/>
        </w:rPr>
        <w:t xml:space="preserve">pārskata periodā </w:t>
      </w:r>
      <w:r w:rsidRPr="004F77BB">
        <w:rPr>
          <w:szCs w:val="24"/>
        </w:rPr>
        <w:t>EM veica</w:t>
      </w:r>
      <w:r w:rsidR="004F77BB" w:rsidRPr="004F77BB">
        <w:rPr>
          <w:szCs w:val="24"/>
        </w:rPr>
        <w:t xml:space="preserve"> jau par ikgadēju kļuvušu</w:t>
      </w:r>
      <w:r w:rsidR="00A13DCB">
        <w:rPr>
          <w:szCs w:val="24"/>
        </w:rPr>
        <w:t xml:space="preserve"> </w:t>
      </w:r>
      <w:hyperlink r:id="rId108" w:tgtFrame="_blank" w:history="1">
        <w:r w:rsidR="004F77BB" w:rsidRPr="004F77BB">
          <w:rPr>
            <w:rStyle w:val="Hyperlink"/>
            <w:i/>
            <w:iCs/>
            <w:color w:val="00859B"/>
            <w:szCs w:val="24"/>
          </w:rPr>
          <w:t>Pētījumu par prognozētām izmaiņām darbaspēka un būvmateriālu izmaksās būvniecības nozarē Latvijā</w:t>
        </w:r>
      </w:hyperlink>
      <w:r w:rsidRPr="004F77BB">
        <w:rPr>
          <w:szCs w:val="24"/>
        </w:rPr>
        <w:t xml:space="preserve">, lai valsts pārvalde varētu efektīvāk plānot publisko būvniecības iepirkumu potenciālās izmaksas un novērtētu iespējamās cenu izmaiņas tuvākajos gados. </w:t>
      </w:r>
      <w:r w:rsidR="004F77BB" w:rsidRPr="004F77BB">
        <w:rPr>
          <w:bCs/>
          <w:szCs w:val="24"/>
        </w:rPr>
        <w:t>P</w:t>
      </w:r>
      <w:r w:rsidRPr="004F77BB">
        <w:rPr>
          <w:bCs/>
          <w:szCs w:val="24"/>
        </w:rPr>
        <w:t>ētījum</w:t>
      </w:r>
      <w:r w:rsidR="004F77BB" w:rsidRPr="004F77BB">
        <w:rPr>
          <w:bCs/>
          <w:szCs w:val="24"/>
        </w:rPr>
        <w:t>a rezultāt</w:t>
      </w:r>
      <w:r w:rsidRPr="004F77BB">
        <w:rPr>
          <w:bCs/>
          <w:szCs w:val="24"/>
        </w:rPr>
        <w:t xml:space="preserve">i </w:t>
      </w:r>
      <w:r w:rsidR="004F77BB">
        <w:rPr>
          <w:szCs w:val="24"/>
          <w:shd w:val="clear" w:color="auto" w:fill="FFFFFF"/>
        </w:rPr>
        <w:t>ir publicēti</w:t>
      </w:r>
      <w:r w:rsidR="00BB41CB">
        <w:rPr>
          <w:szCs w:val="24"/>
          <w:shd w:val="clear" w:color="auto" w:fill="FFFFFF"/>
        </w:rPr>
        <w:t xml:space="preserve"> </w:t>
      </w:r>
      <w:r w:rsidR="004F77BB">
        <w:rPr>
          <w:szCs w:val="24"/>
          <w:shd w:val="clear" w:color="auto" w:fill="FFFFFF"/>
        </w:rPr>
        <w:t xml:space="preserve">arī </w:t>
      </w:r>
      <w:r w:rsidRPr="004F77BB">
        <w:rPr>
          <w:szCs w:val="24"/>
          <w:shd w:val="clear" w:color="auto" w:fill="FFFFFF"/>
        </w:rPr>
        <w:t>EM mājas lapā</w:t>
      </w:r>
      <w:r w:rsidR="004F77BB">
        <w:rPr>
          <w:rStyle w:val="FootnoteReference"/>
          <w:szCs w:val="24"/>
          <w:shd w:val="clear" w:color="auto" w:fill="FFFFFF"/>
        </w:rPr>
        <w:footnoteReference w:id="38"/>
      </w:r>
      <w:r w:rsidR="00CB57A2">
        <w:t>.</w:t>
      </w:r>
    </w:p>
    <w:p w14:paraId="035B8FD8" w14:textId="7F65DADA" w:rsidR="00D365F1" w:rsidRPr="00D365F1" w:rsidRDefault="00D365F1" w:rsidP="00D365F1">
      <w:pPr>
        <w:spacing w:before="60" w:after="60" w:line="240" w:lineRule="auto"/>
        <w:jc w:val="both"/>
        <w:rPr>
          <w:highlight w:val="yellow"/>
        </w:rPr>
      </w:pPr>
      <w:r w:rsidRPr="00842B9B">
        <w:rPr>
          <w:szCs w:val="24"/>
        </w:rPr>
        <w:t>Enerģētikas jomā</w:t>
      </w:r>
      <w:r w:rsidR="00BB41CB" w:rsidRPr="00842B9B">
        <w:rPr>
          <w:szCs w:val="24"/>
        </w:rPr>
        <w:t xml:space="preserve"> </w:t>
      </w:r>
      <w:r w:rsidRPr="00D365F1">
        <w:rPr>
          <w:szCs w:val="24"/>
        </w:rPr>
        <w:t>2020</w:t>
      </w:r>
      <w:r w:rsidRPr="00187466">
        <w:rPr>
          <w:szCs w:val="24"/>
        </w:rPr>
        <w:t>.</w:t>
      </w:r>
      <w:r>
        <w:rPr>
          <w:szCs w:val="24"/>
        </w:rPr>
        <w:t> </w:t>
      </w:r>
      <w:r w:rsidRPr="00187466">
        <w:rPr>
          <w:szCs w:val="24"/>
        </w:rPr>
        <w:t xml:space="preserve">gadā tika pabeigts pētījums </w:t>
      </w:r>
      <w:hyperlink r:id="rId109" w:tgtFrame="_blank" w:history="1">
        <w:r w:rsidR="00850BB5" w:rsidRPr="00850BB5">
          <w:rPr>
            <w:rStyle w:val="Hyperlink"/>
            <w:i/>
            <w:iCs/>
            <w:color w:val="00859B"/>
            <w:szCs w:val="24"/>
          </w:rPr>
          <w:t>Enerģētikas attīstības pamatnostādņu 2015.-2020.gadam īstenošanas ietekmes uz vidi monitoringa ziņojums</w:t>
        </w:r>
      </w:hyperlink>
      <w:r w:rsidRPr="00187466">
        <w:rPr>
          <w:rStyle w:val="FootnoteReference"/>
        </w:rPr>
        <w:footnoteReference w:id="39"/>
      </w:r>
      <w:r w:rsidRPr="00187466">
        <w:rPr>
          <w:szCs w:val="24"/>
        </w:rPr>
        <w:t>, kura mērķis bija izpētīt apskatāmā laika posmā notikušās gaisa kvalitātes, klimata, dabas resursu lietojuma, ietekmi uz ūdens objektu stāvokli, sociālo faktoru, ekonomisko faktoru rādītāju izmaiņas</w:t>
      </w:r>
      <w:r w:rsidR="00686ABE">
        <w:rPr>
          <w:szCs w:val="24"/>
        </w:rPr>
        <w:t xml:space="preserve">. </w:t>
      </w:r>
      <w:r>
        <w:rPr>
          <w:szCs w:val="24"/>
        </w:rPr>
        <w:t xml:space="preserve">Ievērojot, ka </w:t>
      </w:r>
      <w:r w:rsidRPr="00D365F1">
        <w:rPr>
          <w:i/>
          <w:iCs/>
          <w:szCs w:val="24"/>
        </w:rPr>
        <w:t>Enerģētikas attīstības pamatnostādnes</w:t>
      </w:r>
      <w:r w:rsidRPr="00187466">
        <w:rPr>
          <w:szCs w:val="24"/>
        </w:rPr>
        <w:t xml:space="preserve"> ir </w:t>
      </w:r>
      <w:r w:rsidR="00686ABE">
        <w:rPr>
          <w:szCs w:val="24"/>
        </w:rPr>
        <w:t xml:space="preserve">plānošanas </w:t>
      </w:r>
      <w:r w:rsidR="00BB41CB">
        <w:rPr>
          <w:szCs w:val="24"/>
        </w:rPr>
        <w:t>dokuments</w:t>
      </w:r>
      <w:r w:rsidRPr="00187466">
        <w:rPr>
          <w:szCs w:val="24"/>
        </w:rPr>
        <w:t xml:space="preserve">, kas </w:t>
      </w:r>
      <w:r w:rsidR="00BB41CB" w:rsidRPr="00187466">
        <w:rPr>
          <w:szCs w:val="24"/>
        </w:rPr>
        <w:t>vērst</w:t>
      </w:r>
      <w:r w:rsidR="00BB41CB">
        <w:rPr>
          <w:szCs w:val="24"/>
        </w:rPr>
        <w:t>s</w:t>
      </w:r>
      <w:r w:rsidR="00BB41CB" w:rsidRPr="00187466">
        <w:rPr>
          <w:szCs w:val="24"/>
        </w:rPr>
        <w:t xml:space="preserve"> </w:t>
      </w:r>
      <w:r w:rsidRPr="00187466">
        <w:rPr>
          <w:szCs w:val="24"/>
        </w:rPr>
        <w:t>uz ilgtspējīgas, drošas, resursus efektīvi izmantojošas enerģijas apgādes sistēmas uzturēšanu un pilnveidošanu, radot priekšnoteikumus enerģijas efektīvai izmantošanai, kas uzlabo dzīves kvalitāti, veicina ekonomisko izaugsmi un nepasliktina vides kvalitāti</w:t>
      </w:r>
      <w:r>
        <w:rPr>
          <w:szCs w:val="24"/>
        </w:rPr>
        <w:t>, veiktā</w:t>
      </w:r>
      <w:r w:rsidR="00BB41CB">
        <w:rPr>
          <w:szCs w:val="24"/>
        </w:rPr>
        <w:t xml:space="preserve"> </w:t>
      </w:r>
      <w:r>
        <w:rPr>
          <w:szCs w:val="24"/>
        </w:rPr>
        <w:t>p</w:t>
      </w:r>
      <w:r w:rsidRPr="00187466">
        <w:rPr>
          <w:szCs w:val="24"/>
        </w:rPr>
        <w:t xml:space="preserve">ētījuma ietvaros tika secināts, ka saskaņā ar </w:t>
      </w:r>
      <w:r w:rsidR="00CB57A2">
        <w:rPr>
          <w:szCs w:val="24"/>
        </w:rPr>
        <w:t xml:space="preserve">LVĢMC </w:t>
      </w:r>
      <w:r w:rsidRPr="00187466">
        <w:rPr>
          <w:szCs w:val="24"/>
        </w:rPr>
        <w:t xml:space="preserve">ikgadējos pārskatos par </w:t>
      </w:r>
      <w:r>
        <w:rPr>
          <w:szCs w:val="24"/>
        </w:rPr>
        <w:t>g</w:t>
      </w:r>
      <w:r w:rsidRPr="00187466">
        <w:rPr>
          <w:szCs w:val="24"/>
        </w:rPr>
        <w:t>aisa kvalitāti Latvijā ietverto informāciju un secinājumiem</w:t>
      </w:r>
      <w:r>
        <w:rPr>
          <w:szCs w:val="24"/>
        </w:rPr>
        <w:t>,</w:t>
      </w:r>
      <w:r w:rsidRPr="00187466">
        <w:rPr>
          <w:szCs w:val="24"/>
        </w:rPr>
        <w:t xml:space="preserve"> laika posmā no 2016. līdz 2019.</w:t>
      </w:r>
      <w:r>
        <w:rPr>
          <w:szCs w:val="24"/>
        </w:rPr>
        <w:t> </w:t>
      </w:r>
      <w:r w:rsidRPr="00187466">
        <w:rPr>
          <w:szCs w:val="24"/>
        </w:rPr>
        <w:t xml:space="preserve">gadam nav konstatētas būtiskas negatīvas gaisa kvalitātes izmaiņas, kas saistītas ar enerģijas ražošanu. </w:t>
      </w:r>
      <w:r w:rsidR="00CB57A2" w:rsidRPr="00187466">
        <w:rPr>
          <w:szCs w:val="24"/>
        </w:rPr>
        <w:t>A</w:t>
      </w:r>
      <w:r w:rsidRPr="00187466">
        <w:rPr>
          <w:szCs w:val="24"/>
        </w:rPr>
        <w:t xml:space="preserve">rī kopumā plānošanas dokumenta īstenošana ir </w:t>
      </w:r>
      <w:r>
        <w:rPr>
          <w:szCs w:val="24"/>
        </w:rPr>
        <w:t xml:space="preserve">vērtējama </w:t>
      </w:r>
      <w:r w:rsidRPr="00187466">
        <w:rPr>
          <w:szCs w:val="24"/>
        </w:rPr>
        <w:t>ar pozitīvu ietekmi uz vidi, kas galvenokārt izpaužas kā energoefektivitātes pieaugums, AER izmantošanas pieaugums, kā arī CO</w:t>
      </w:r>
      <w:r w:rsidRPr="00187466">
        <w:rPr>
          <w:szCs w:val="24"/>
          <w:vertAlign w:val="superscript"/>
        </w:rPr>
        <w:t>2</w:t>
      </w:r>
      <w:r w:rsidRPr="00187466">
        <w:rPr>
          <w:szCs w:val="24"/>
        </w:rPr>
        <w:t xml:space="preserve"> ekvivalenta uz saražotās enerģijas vienību samazināšanās.</w:t>
      </w:r>
    </w:p>
    <w:p w14:paraId="6AA9F728" w14:textId="41E66136" w:rsidR="008D791D" w:rsidRPr="00344E23" w:rsidRDefault="008D791D" w:rsidP="008D791D">
      <w:pPr>
        <w:spacing w:before="120" w:after="60" w:line="240" w:lineRule="auto"/>
        <w:jc w:val="both"/>
        <w:rPr>
          <w:rFonts w:cs="Times New Roman"/>
          <w:color w:val="000000"/>
          <w:szCs w:val="24"/>
          <w:highlight w:val="yellow"/>
        </w:rPr>
      </w:pPr>
      <w:bookmarkStart w:id="70" w:name="_Hlk42260486"/>
      <w:r w:rsidRPr="00344E23">
        <w:rPr>
          <w:rFonts w:eastAsia="Calibri" w:cs="Times New Roman"/>
          <w:color w:val="000000"/>
          <w:szCs w:val="24"/>
        </w:rPr>
        <w:t xml:space="preserve">Atsevišķi ir jāizdala 2018. gadā izveidotā </w:t>
      </w:r>
      <w:r w:rsidRPr="00344E23">
        <w:rPr>
          <w:rFonts w:eastAsia="Calibri" w:cs="Times New Roman"/>
          <w:b/>
          <w:bCs/>
          <w:color w:val="00859B"/>
          <w:szCs w:val="24"/>
        </w:rPr>
        <w:t>valsts pētījumu programmu "Enerģētika"</w:t>
      </w:r>
      <w:r w:rsidRPr="00344E23">
        <w:rPr>
          <w:rFonts w:cs="Times New Roman"/>
          <w:szCs w:val="24"/>
        </w:rPr>
        <w:t xml:space="preserve">, </w:t>
      </w:r>
      <w:r w:rsidRPr="00344E23">
        <w:rPr>
          <w:rFonts w:cs="Times New Roman"/>
          <w:color w:val="000000"/>
          <w:szCs w:val="24"/>
        </w:rPr>
        <w:t xml:space="preserve">ko īsteno un uzrauga EM saskaņā ar </w:t>
      </w:r>
      <w:r w:rsidRPr="00344E23">
        <w:rPr>
          <w:rStyle w:val="Hyperlink"/>
          <w:i/>
          <w:iCs/>
          <w:color w:val="00859B"/>
        </w:rPr>
        <w:t>noteikumiem “</w:t>
      </w:r>
      <w:hyperlink r:id="rId110" w:history="1">
        <w:r w:rsidRPr="00344E23">
          <w:rPr>
            <w:rStyle w:val="Hyperlink"/>
            <w:rFonts w:cs="Times New Roman"/>
            <w:i/>
            <w:iCs/>
            <w:color w:val="00859B"/>
            <w:szCs w:val="24"/>
          </w:rPr>
          <w:t>Par valsts pētījumu programmu “Enerģētika</w:t>
        </w:r>
      </w:hyperlink>
      <w:r w:rsidRPr="00344E23">
        <w:rPr>
          <w:rStyle w:val="Hyperlink"/>
          <w:rFonts w:cs="Times New Roman"/>
          <w:i/>
          <w:iCs/>
          <w:color w:val="00859B"/>
          <w:szCs w:val="24"/>
        </w:rPr>
        <w:t>””</w:t>
      </w:r>
      <w:r w:rsidRPr="00344E23">
        <w:rPr>
          <w:rFonts w:cs="Times New Roman"/>
          <w:color w:val="000000"/>
          <w:szCs w:val="24"/>
        </w:rPr>
        <w:t>. Pamatojoties</w:t>
      </w:r>
      <w:r w:rsidRPr="00501CD0">
        <w:rPr>
          <w:rFonts w:cs="Times New Roman"/>
          <w:color w:val="000000"/>
          <w:szCs w:val="24"/>
        </w:rPr>
        <w:t xml:space="preserve"> </w:t>
      </w:r>
      <w:r w:rsidRPr="00501CD0">
        <w:rPr>
          <w:rFonts w:cs="Times New Roman"/>
          <w:color w:val="000000"/>
          <w:szCs w:val="24"/>
        </w:rPr>
        <w:lastRenderedPageBreak/>
        <w:t xml:space="preserve">uz </w:t>
      </w:r>
      <w:r w:rsidRPr="00501CD0">
        <w:rPr>
          <w:rFonts w:cs="Times New Roman"/>
          <w:szCs w:val="24"/>
        </w:rPr>
        <w:t>2018.</w:t>
      </w:r>
      <w:r>
        <w:rPr>
          <w:rFonts w:cs="Times New Roman"/>
          <w:szCs w:val="24"/>
        </w:rPr>
        <w:t> </w:t>
      </w:r>
      <w:r w:rsidRPr="00501CD0">
        <w:rPr>
          <w:rFonts w:cs="Times New Roman"/>
          <w:szCs w:val="24"/>
        </w:rPr>
        <w:t>gada 26.</w:t>
      </w:r>
      <w:r>
        <w:rPr>
          <w:rFonts w:cs="Times New Roman"/>
          <w:szCs w:val="24"/>
        </w:rPr>
        <w:t> </w:t>
      </w:r>
      <w:r w:rsidRPr="00501CD0">
        <w:rPr>
          <w:rFonts w:cs="Times New Roman"/>
          <w:szCs w:val="24"/>
        </w:rPr>
        <w:t xml:space="preserve">septembra </w:t>
      </w:r>
      <w:r>
        <w:rPr>
          <w:rFonts w:cs="Times New Roman"/>
          <w:szCs w:val="24"/>
        </w:rPr>
        <w:t>rīkojumu</w:t>
      </w:r>
      <w:r w:rsidRPr="00501CD0">
        <w:rPr>
          <w:rFonts w:cs="Times New Roman"/>
          <w:szCs w:val="24"/>
        </w:rPr>
        <w:t xml:space="preserve"> Nr.</w:t>
      </w:r>
      <w:r>
        <w:rPr>
          <w:rFonts w:cs="Times New Roman"/>
          <w:szCs w:val="24"/>
        </w:rPr>
        <w:t> </w:t>
      </w:r>
      <w:r w:rsidRPr="00501CD0">
        <w:rPr>
          <w:rFonts w:cs="Times New Roman"/>
          <w:szCs w:val="24"/>
        </w:rPr>
        <w:t xml:space="preserve">462 </w:t>
      </w:r>
      <w:hyperlink r:id="rId111" w:history="1">
        <w:r>
          <w:rPr>
            <w:rStyle w:val="Hyperlink"/>
            <w:rFonts w:cs="Times New Roman"/>
            <w:i/>
            <w:iCs/>
            <w:color w:val="00859B"/>
            <w:szCs w:val="24"/>
          </w:rPr>
          <w:t>P</w:t>
        </w:r>
        <w:r w:rsidRPr="00501CD0">
          <w:rPr>
            <w:rStyle w:val="Hyperlink"/>
            <w:rFonts w:cs="Times New Roman"/>
            <w:i/>
            <w:iCs/>
            <w:color w:val="00859B"/>
            <w:szCs w:val="24"/>
          </w:rPr>
          <w:t>ar valsts pētījumu programmu “Enerģētika</w:t>
        </w:r>
      </w:hyperlink>
      <w:r>
        <w:rPr>
          <w:rStyle w:val="Hyperlink"/>
          <w:rFonts w:cs="Times New Roman"/>
          <w:i/>
          <w:iCs/>
          <w:color w:val="00859B"/>
          <w:szCs w:val="24"/>
        </w:rPr>
        <w:t>”</w:t>
      </w:r>
      <w:r w:rsidRPr="00501CD0">
        <w:rPr>
          <w:rFonts w:cs="Times New Roman"/>
          <w:color w:val="000000"/>
          <w:szCs w:val="24"/>
        </w:rPr>
        <w:t xml:space="preserve">, </w:t>
      </w:r>
      <w:r>
        <w:rPr>
          <w:rFonts w:cs="Times New Roman"/>
          <w:color w:val="000000"/>
          <w:szCs w:val="24"/>
        </w:rPr>
        <w:t xml:space="preserve">EM </w:t>
      </w:r>
      <w:r w:rsidRPr="004C44F6">
        <w:rPr>
          <w:rFonts w:cs="Times New Roman"/>
          <w:color w:val="000000"/>
          <w:szCs w:val="24"/>
        </w:rPr>
        <w:t>2020.</w:t>
      </w:r>
      <w:r>
        <w:rPr>
          <w:rFonts w:cs="Times New Roman"/>
          <w:color w:val="000000"/>
          <w:szCs w:val="24"/>
        </w:rPr>
        <w:t> </w:t>
      </w:r>
      <w:r w:rsidRPr="004C44F6">
        <w:rPr>
          <w:rFonts w:cs="Times New Roman"/>
          <w:color w:val="000000"/>
          <w:szCs w:val="24"/>
        </w:rPr>
        <w:t>gadā</w:t>
      </w:r>
      <w:r>
        <w:rPr>
          <w:rFonts w:cs="Times New Roman"/>
          <w:color w:val="000000"/>
          <w:szCs w:val="24"/>
        </w:rPr>
        <w:t xml:space="preserve"> turpināja realizēt</w:t>
      </w:r>
      <w:bookmarkStart w:id="71" w:name="_Hlk42260105"/>
      <w:r w:rsidR="008E2436">
        <w:rPr>
          <w:rFonts w:cs="Times New Roman"/>
          <w:color w:val="000000"/>
          <w:szCs w:val="24"/>
        </w:rPr>
        <w:t xml:space="preserve"> </w:t>
      </w:r>
      <w:r w:rsidRPr="00501CD0">
        <w:rPr>
          <w:rFonts w:cs="Times New Roman"/>
          <w:color w:val="000000"/>
          <w:szCs w:val="24"/>
        </w:rPr>
        <w:t xml:space="preserve">valsts pētījumu programmu </w:t>
      </w:r>
      <w:r>
        <w:rPr>
          <w:rFonts w:cs="Times New Roman"/>
          <w:color w:val="000000"/>
          <w:szCs w:val="24"/>
        </w:rPr>
        <w:t>“</w:t>
      </w:r>
      <w:r w:rsidRPr="00501CD0">
        <w:rPr>
          <w:rFonts w:cs="Times New Roman"/>
          <w:color w:val="000000"/>
          <w:szCs w:val="24"/>
        </w:rPr>
        <w:t>Enerģētika</w:t>
      </w:r>
      <w:r>
        <w:rPr>
          <w:rFonts w:cs="Times New Roman"/>
          <w:color w:val="000000"/>
          <w:szCs w:val="24"/>
        </w:rPr>
        <w:t>”</w:t>
      </w:r>
      <w:r w:rsidRPr="00501CD0">
        <w:rPr>
          <w:rFonts w:cs="Times New Roman"/>
          <w:color w:val="000000"/>
          <w:szCs w:val="24"/>
        </w:rPr>
        <w:t xml:space="preserve">, kuras ietvarā </w:t>
      </w:r>
      <w:bookmarkEnd w:id="71"/>
      <w:r w:rsidRPr="00501CD0">
        <w:rPr>
          <w:rFonts w:cs="Times New Roman"/>
          <w:color w:val="000000"/>
          <w:szCs w:val="24"/>
        </w:rPr>
        <w:t>tiek īstenoti 11</w:t>
      </w:r>
      <w:r w:rsidR="008E2436">
        <w:rPr>
          <w:rFonts w:cs="Times New Roman"/>
          <w:color w:val="000000"/>
          <w:szCs w:val="24"/>
        </w:rPr>
        <w:t> </w:t>
      </w:r>
      <w:r w:rsidRPr="00501CD0">
        <w:rPr>
          <w:rFonts w:cs="Times New Roman"/>
          <w:color w:val="000000"/>
          <w:szCs w:val="24"/>
        </w:rPr>
        <w:t xml:space="preserve"> apjomīgi enerģētikas studiju un pētniecības projekti (ar īstenošanas laiku līdz trim gadiem</w:t>
      </w:r>
      <w:r>
        <w:rPr>
          <w:rFonts w:cs="Times New Roman"/>
          <w:color w:val="000000"/>
          <w:szCs w:val="24"/>
        </w:rPr>
        <w:t>, 2021. gadu ieskaitot</w:t>
      </w:r>
      <w:r w:rsidRPr="00501CD0">
        <w:rPr>
          <w:rFonts w:cs="Times New Roman"/>
          <w:color w:val="000000"/>
          <w:szCs w:val="24"/>
        </w:rPr>
        <w:t>) šādās jomās:</w:t>
      </w:r>
      <w:r w:rsidR="008E2436">
        <w:rPr>
          <w:rFonts w:cs="Times New Roman"/>
          <w:color w:val="000000"/>
          <w:szCs w:val="24"/>
        </w:rPr>
        <w:t xml:space="preserve"> </w:t>
      </w:r>
      <w:r w:rsidRPr="00344E23">
        <w:rPr>
          <w:color w:val="000000"/>
        </w:rPr>
        <w:t>analītiskā bāze (rīki, modeļi, ietekmes novērtējumi) ilgtermiņa nacionālās enerģētikas politikas stratēģisko mērķu noteikšanai;</w:t>
      </w:r>
      <w:r w:rsidR="008E2436">
        <w:rPr>
          <w:color w:val="000000"/>
        </w:rPr>
        <w:t xml:space="preserve"> </w:t>
      </w:r>
      <w:r w:rsidRPr="00344E23">
        <w:rPr>
          <w:color w:val="000000"/>
        </w:rPr>
        <w:t>enerģijas infrastruktūras un tirgus attīstība;</w:t>
      </w:r>
      <w:r w:rsidR="008E2436">
        <w:rPr>
          <w:color w:val="000000"/>
        </w:rPr>
        <w:t xml:space="preserve"> </w:t>
      </w:r>
      <w:r w:rsidRPr="00344E23">
        <w:rPr>
          <w:color w:val="000000"/>
        </w:rPr>
        <w:t>energoefektivitāte;</w:t>
      </w:r>
      <w:r w:rsidR="008E2436">
        <w:rPr>
          <w:color w:val="000000"/>
        </w:rPr>
        <w:t xml:space="preserve"> </w:t>
      </w:r>
      <w:r w:rsidRPr="00344E23">
        <w:rPr>
          <w:color w:val="000000"/>
        </w:rPr>
        <w:t>atjaunojamo un vietējo energoresursu izmantošana.</w:t>
      </w:r>
    </w:p>
    <w:p w14:paraId="157BA163" w14:textId="77C1F9D1" w:rsidR="008D791D" w:rsidRPr="00FB5574" w:rsidRDefault="008D791D" w:rsidP="00CB57A2">
      <w:pPr>
        <w:shd w:val="clear" w:color="auto" w:fill="FFFFFF" w:themeFill="background1"/>
        <w:spacing w:before="60" w:after="60" w:line="240" w:lineRule="auto"/>
        <w:jc w:val="both"/>
        <w:rPr>
          <w:rFonts w:cs="Times New Roman"/>
          <w:color w:val="000000"/>
          <w:szCs w:val="24"/>
        </w:rPr>
      </w:pPr>
      <w:r>
        <w:rPr>
          <w:rFonts w:cs="Times New Roman"/>
          <w:color w:val="000000"/>
          <w:szCs w:val="24"/>
        </w:rPr>
        <w:t>P</w:t>
      </w:r>
      <w:r w:rsidRPr="00EA54C9">
        <w:rPr>
          <w:rFonts w:cs="Times New Roman"/>
          <w:color w:val="000000"/>
          <w:szCs w:val="24"/>
        </w:rPr>
        <w:t>amatojoties uz</w:t>
      </w:r>
      <w:r>
        <w:rPr>
          <w:rFonts w:cs="Times New Roman"/>
          <w:color w:val="000000"/>
          <w:szCs w:val="24"/>
        </w:rPr>
        <w:t xml:space="preserve"> 2018.gadā noslēgto</w:t>
      </w:r>
      <w:r w:rsidR="008E2436">
        <w:rPr>
          <w:rFonts w:cs="Times New Roman"/>
          <w:color w:val="000000"/>
          <w:szCs w:val="24"/>
        </w:rPr>
        <w:t xml:space="preserve"> </w:t>
      </w:r>
      <w:hyperlink r:id="rId112" w:history="1">
        <w:r>
          <w:rPr>
            <w:rStyle w:val="Hyperlink"/>
            <w:rFonts w:cs="Times New Roman"/>
            <w:i/>
            <w:iCs/>
            <w:color w:val="00859B"/>
            <w:szCs w:val="24"/>
          </w:rPr>
          <w:t>S</w:t>
        </w:r>
        <w:r w:rsidRPr="237067FC">
          <w:rPr>
            <w:rStyle w:val="Hyperlink"/>
            <w:rFonts w:cs="Times New Roman"/>
            <w:i/>
            <w:iCs/>
            <w:color w:val="00859B"/>
            <w:szCs w:val="24"/>
          </w:rPr>
          <w:t>aprašanās</w:t>
        </w:r>
      </w:hyperlink>
      <w:r w:rsidRPr="237067FC">
        <w:rPr>
          <w:rStyle w:val="Hyperlink"/>
          <w:rFonts w:cs="Times New Roman"/>
          <w:i/>
          <w:iCs/>
          <w:color w:val="00859B"/>
          <w:szCs w:val="24"/>
        </w:rPr>
        <w:t xml:space="preserve"> memorandu</w:t>
      </w:r>
      <w:r>
        <w:rPr>
          <w:rFonts w:cs="Times New Roman"/>
          <w:color w:val="000000"/>
          <w:szCs w:val="24"/>
        </w:rPr>
        <w:t>, EM veiksmīgi sadarbojas</w:t>
      </w:r>
      <w:r w:rsidR="008E2436">
        <w:rPr>
          <w:rFonts w:cs="Times New Roman"/>
          <w:color w:val="000000"/>
          <w:szCs w:val="24"/>
        </w:rPr>
        <w:t xml:space="preserve"> </w:t>
      </w:r>
      <w:r>
        <w:rPr>
          <w:rFonts w:cs="Times New Roman"/>
          <w:color w:val="000000"/>
          <w:szCs w:val="24"/>
        </w:rPr>
        <w:t xml:space="preserve">arī </w:t>
      </w:r>
      <w:r w:rsidRPr="00501CD0">
        <w:rPr>
          <w:rFonts w:cs="Times New Roman"/>
          <w:color w:val="000000"/>
          <w:szCs w:val="24"/>
        </w:rPr>
        <w:t xml:space="preserve">ar Baltijas valstīm </w:t>
      </w:r>
      <w:r>
        <w:rPr>
          <w:rFonts w:cs="Times New Roman"/>
          <w:color w:val="000000"/>
          <w:szCs w:val="24"/>
        </w:rPr>
        <w:t>(</w:t>
      </w:r>
      <w:r w:rsidRPr="00FB5574">
        <w:rPr>
          <w:rFonts w:cs="Times New Roman"/>
          <w:bCs/>
          <w:color w:val="000000"/>
          <w:szCs w:val="24"/>
        </w:rPr>
        <w:t>Lietuvas Enerģētikas ministriju un Igaunijas Ekonomikas un komunikāciju ministriju)</w:t>
      </w:r>
      <w:r w:rsidR="008E2436">
        <w:rPr>
          <w:rFonts w:cs="Times New Roman"/>
          <w:bCs/>
          <w:color w:val="000000"/>
          <w:szCs w:val="24"/>
        </w:rPr>
        <w:t xml:space="preserve"> </w:t>
      </w:r>
      <w:r w:rsidRPr="00501CD0">
        <w:rPr>
          <w:rFonts w:cs="Times New Roman"/>
          <w:color w:val="000000"/>
          <w:szCs w:val="24"/>
        </w:rPr>
        <w:t>un Ziemeļ</w:t>
      </w:r>
      <w:r>
        <w:rPr>
          <w:rFonts w:cs="Times New Roman"/>
          <w:color w:val="000000"/>
          <w:szCs w:val="24"/>
        </w:rPr>
        <w:t>valstu</w:t>
      </w:r>
      <w:r w:rsidRPr="00501CD0">
        <w:rPr>
          <w:rFonts w:cs="Times New Roman"/>
          <w:color w:val="000000"/>
          <w:szCs w:val="24"/>
        </w:rPr>
        <w:t xml:space="preserve"> Enerģētikas pētniecības institūtu (</w:t>
      </w:r>
      <w:r w:rsidRPr="00EA54C9">
        <w:rPr>
          <w:rFonts w:cs="Times New Roman"/>
          <w:color w:val="000000"/>
          <w:szCs w:val="24"/>
        </w:rPr>
        <w:t>Ziemeļ</w:t>
      </w:r>
      <w:r>
        <w:rPr>
          <w:rFonts w:cs="Times New Roman"/>
          <w:color w:val="000000"/>
          <w:szCs w:val="24"/>
        </w:rPr>
        <w:t>valst</w:t>
      </w:r>
      <w:r w:rsidRPr="00EA54C9">
        <w:rPr>
          <w:rFonts w:cs="Times New Roman"/>
          <w:color w:val="000000"/>
          <w:szCs w:val="24"/>
        </w:rPr>
        <w:t>u Ministru padomes</w:t>
      </w:r>
      <w:r w:rsidR="008E2436">
        <w:rPr>
          <w:rFonts w:cs="Times New Roman"/>
          <w:color w:val="000000"/>
          <w:szCs w:val="24"/>
        </w:rPr>
        <w:t xml:space="preserve"> </w:t>
      </w:r>
      <w:r w:rsidRPr="00EA54C9">
        <w:rPr>
          <w:rFonts w:cs="Times New Roman"/>
          <w:color w:val="000000"/>
          <w:szCs w:val="24"/>
        </w:rPr>
        <w:t>organizācija) enerģētikas pētniecības jautājumos</w:t>
      </w:r>
      <w:r w:rsidRPr="237067FC">
        <w:rPr>
          <w:rFonts w:cs="Times New Roman"/>
          <w:color w:val="000000" w:themeColor="text1"/>
          <w:szCs w:val="24"/>
        </w:rPr>
        <w:t xml:space="preserve">. Memoranda ietvaros </w:t>
      </w:r>
      <w:r>
        <w:rPr>
          <w:rFonts w:cs="Times New Roman"/>
          <w:color w:val="000000" w:themeColor="text1"/>
          <w:szCs w:val="24"/>
        </w:rPr>
        <w:t>tiek īstenotas</w:t>
      </w:r>
      <w:r w:rsidRPr="237067FC">
        <w:rPr>
          <w:rFonts w:cs="Times New Roman"/>
          <w:color w:val="000000" w:themeColor="text1"/>
          <w:szCs w:val="24"/>
        </w:rPr>
        <w:t xml:space="preserve"> aktivitātes trīs virzienos - pētījumu </w:t>
      </w:r>
      <w:r>
        <w:rPr>
          <w:rFonts w:cs="Times New Roman"/>
          <w:color w:val="000000" w:themeColor="text1"/>
          <w:szCs w:val="24"/>
        </w:rPr>
        <w:t>īsteno</w:t>
      </w:r>
      <w:r w:rsidRPr="237067FC">
        <w:rPr>
          <w:rFonts w:cs="Times New Roman"/>
          <w:color w:val="000000" w:themeColor="text1"/>
          <w:szCs w:val="24"/>
        </w:rPr>
        <w:t xml:space="preserve">šana, atbalsts doktorantu mobilitātei kā arī pētnieku apmaiņa. </w:t>
      </w:r>
      <w:r w:rsidRPr="00E30792">
        <w:rPr>
          <w:rFonts w:cs="Times New Roman"/>
          <w:color w:val="000000" w:themeColor="text1"/>
          <w:szCs w:val="24"/>
        </w:rPr>
        <w:t>2020</w:t>
      </w:r>
      <w:r>
        <w:rPr>
          <w:rFonts w:cs="Times New Roman"/>
          <w:color w:val="000000" w:themeColor="text1"/>
          <w:szCs w:val="24"/>
        </w:rPr>
        <w:t>. gadā ir</w:t>
      </w:r>
      <w:r w:rsidRPr="237067FC">
        <w:rPr>
          <w:rFonts w:cs="Times New Roman"/>
          <w:color w:val="000000" w:themeColor="text1"/>
          <w:szCs w:val="24"/>
        </w:rPr>
        <w:t xml:space="preserve"> pabeigt</w:t>
      </w:r>
      <w:r>
        <w:rPr>
          <w:rFonts w:cs="Times New Roman"/>
          <w:color w:val="000000" w:themeColor="text1"/>
          <w:szCs w:val="24"/>
        </w:rPr>
        <w:t xml:space="preserve">i </w:t>
      </w:r>
      <w:r w:rsidRPr="237067FC">
        <w:rPr>
          <w:rFonts w:cs="Times New Roman"/>
          <w:color w:val="000000" w:themeColor="text1"/>
          <w:szCs w:val="24"/>
        </w:rPr>
        <w:t xml:space="preserve">pētījumi </w:t>
      </w:r>
      <w:r w:rsidRPr="00344E23">
        <w:rPr>
          <w:rFonts w:cs="Times New Roman"/>
          <w:i/>
          <w:iCs/>
          <w:color w:val="00859B"/>
          <w:szCs w:val="24"/>
        </w:rPr>
        <w:t>Siltumsūkņu potenciāls Baltijas valstīs</w:t>
      </w:r>
      <w:r>
        <w:rPr>
          <w:rStyle w:val="FootnoteReference"/>
          <w:rFonts w:cs="Times New Roman"/>
          <w:color w:val="000000" w:themeColor="text1"/>
          <w:szCs w:val="24"/>
        </w:rPr>
        <w:footnoteReference w:id="40"/>
      </w:r>
      <w:r w:rsidRPr="00BC35E6">
        <w:rPr>
          <w:rFonts w:cs="Times New Roman"/>
          <w:color w:val="000000" w:themeColor="text1"/>
          <w:szCs w:val="24"/>
        </w:rPr>
        <w:t xml:space="preserve">, </w:t>
      </w:r>
      <w:r w:rsidRPr="00344E23">
        <w:rPr>
          <w:rFonts w:cs="Times New Roman"/>
          <w:i/>
          <w:iCs/>
          <w:color w:val="00859B"/>
          <w:szCs w:val="24"/>
        </w:rPr>
        <w:t>Baltijas dekarbonizācijas potenciāls</w:t>
      </w:r>
      <w:r>
        <w:rPr>
          <w:rStyle w:val="FootnoteReference"/>
          <w:rFonts w:cs="Times New Roman"/>
          <w:color w:val="000000" w:themeColor="text1"/>
          <w:szCs w:val="24"/>
        </w:rPr>
        <w:footnoteReference w:id="41"/>
      </w:r>
      <w:r w:rsidRPr="00BC35E6">
        <w:rPr>
          <w:rFonts w:cs="Times New Roman"/>
          <w:color w:val="000000" w:themeColor="text1"/>
          <w:szCs w:val="24"/>
        </w:rPr>
        <w:t xml:space="preserve">, </w:t>
      </w:r>
      <w:r w:rsidRPr="00344E23">
        <w:rPr>
          <w:rFonts w:cs="Times New Roman"/>
          <w:i/>
          <w:iCs/>
          <w:color w:val="00859B"/>
          <w:szCs w:val="24"/>
        </w:rPr>
        <w:t>Tīras enerģijas attīstība</w:t>
      </w:r>
      <w:r>
        <w:rPr>
          <w:rStyle w:val="FootnoteReference"/>
          <w:rFonts w:cs="Times New Roman"/>
          <w:color w:val="000000" w:themeColor="text1"/>
          <w:szCs w:val="24"/>
        </w:rPr>
        <w:footnoteReference w:id="42"/>
      </w:r>
      <w:r>
        <w:rPr>
          <w:rFonts w:cs="Times New Roman"/>
          <w:color w:val="000000" w:themeColor="text1"/>
          <w:szCs w:val="24"/>
        </w:rPr>
        <w:t xml:space="preserve">, kā arī </w:t>
      </w:r>
      <w:r w:rsidRPr="237067FC">
        <w:rPr>
          <w:rFonts w:cs="Times New Roman"/>
          <w:color w:val="000000" w:themeColor="text1"/>
          <w:szCs w:val="24"/>
        </w:rPr>
        <w:t xml:space="preserve">ir </w:t>
      </w:r>
      <w:r w:rsidRPr="00EA54C9">
        <w:rPr>
          <w:rFonts w:cs="Times New Roman"/>
          <w:color w:val="000000"/>
          <w:szCs w:val="24"/>
        </w:rPr>
        <w:t xml:space="preserve">izsludināts jauns konkurss </w:t>
      </w:r>
      <w:r w:rsidRPr="009830D5">
        <w:rPr>
          <w:rFonts w:cs="Times New Roman"/>
          <w:color w:val="000000"/>
          <w:szCs w:val="24"/>
        </w:rPr>
        <w:t>pētniecības projektu iesniegšanai.</w:t>
      </w:r>
      <w:r>
        <w:rPr>
          <w:rFonts w:cs="Times New Roman"/>
          <w:color w:val="000000"/>
          <w:szCs w:val="24"/>
        </w:rPr>
        <w:t xml:space="preserve"> Projekta</w:t>
      </w:r>
      <w:r w:rsidRPr="009830D5">
        <w:rPr>
          <w:rFonts w:cs="Times New Roman"/>
          <w:color w:val="000000"/>
          <w:szCs w:val="24"/>
        </w:rPr>
        <w:t xml:space="preserve"> mērķis ir noteikt</w:t>
      </w:r>
      <w:r>
        <w:rPr>
          <w:rFonts w:cs="Times New Roman"/>
          <w:color w:val="000000"/>
          <w:szCs w:val="24"/>
        </w:rPr>
        <w:t xml:space="preserve"> Baltijas valstīm atbilstošākās</w:t>
      </w:r>
      <w:r w:rsidRPr="009830D5">
        <w:rPr>
          <w:rFonts w:cs="Times New Roman"/>
          <w:color w:val="000000"/>
          <w:szCs w:val="24"/>
        </w:rPr>
        <w:t xml:space="preserve"> tīras enerģijas tehnoloģijas attiecībā uz sinerģiju, digitālo savienojamību, kurināmā ražošanas iespējām, pieprasījuma pārvaldību un zaļ</w:t>
      </w:r>
      <w:r>
        <w:rPr>
          <w:rFonts w:cs="Times New Roman"/>
          <w:color w:val="000000"/>
          <w:szCs w:val="24"/>
        </w:rPr>
        <w:t>ā</w:t>
      </w:r>
      <w:r w:rsidRPr="009830D5">
        <w:rPr>
          <w:rFonts w:cs="Times New Roman"/>
          <w:color w:val="000000"/>
          <w:szCs w:val="24"/>
        </w:rPr>
        <w:t xml:space="preserve"> eksporta potenciālu.</w:t>
      </w:r>
      <w:r>
        <w:rPr>
          <w:rFonts w:cs="Times New Roman"/>
          <w:color w:val="000000"/>
          <w:szCs w:val="24"/>
        </w:rPr>
        <w:t xml:space="preserve"> P</w:t>
      </w:r>
      <w:r w:rsidRPr="009830D5">
        <w:rPr>
          <w:rFonts w:cs="Times New Roman"/>
          <w:color w:val="000000"/>
          <w:szCs w:val="24"/>
        </w:rPr>
        <w:t>rojekta īstenotāj</w:t>
      </w:r>
      <w:r>
        <w:rPr>
          <w:rFonts w:cs="Times New Roman"/>
          <w:color w:val="000000"/>
          <w:szCs w:val="24"/>
        </w:rPr>
        <w:t xml:space="preserve">a uzdevumi </w:t>
      </w:r>
      <w:r w:rsidR="00CB57A2">
        <w:rPr>
          <w:rFonts w:cs="Times New Roman"/>
          <w:color w:val="000000"/>
          <w:szCs w:val="24"/>
        </w:rPr>
        <w:t>ir</w:t>
      </w:r>
      <w:r w:rsidRPr="009830D5">
        <w:rPr>
          <w:rFonts w:cs="Times New Roman"/>
          <w:color w:val="000000"/>
          <w:szCs w:val="24"/>
        </w:rPr>
        <w:t xml:space="preserve"> definē</w:t>
      </w:r>
      <w:r>
        <w:rPr>
          <w:rFonts w:cs="Times New Roman"/>
          <w:color w:val="000000"/>
          <w:szCs w:val="24"/>
        </w:rPr>
        <w:t>t</w:t>
      </w:r>
      <w:r w:rsidRPr="009830D5">
        <w:rPr>
          <w:rFonts w:cs="Times New Roman"/>
          <w:color w:val="000000"/>
          <w:szCs w:val="24"/>
        </w:rPr>
        <w:t xml:space="preserve"> sadarbības ceļvedi tīras enerģijas tehnoloģiju izstrādei un snieg</w:t>
      </w:r>
      <w:r>
        <w:rPr>
          <w:rFonts w:cs="Times New Roman"/>
          <w:color w:val="000000"/>
          <w:szCs w:val="24"/>
        </w:rPr>
        <w:t>t</w:t>
      </w:r>
      <w:r w:rsidRPr="009830D5">
        <w:rPr>
          <w:rFonts w:cs="Times New Roman"/>
          <w:color w:val="000000"/>
          <w:szCs w:val="24"/>
        </w:rPr>
        <w:t xml:space="preserve"> ieskatu par </w:t>
      </w:r>
      <w:r>
        <w:rPr>
          <w:rFonts w:cs="Times New Roman"/>
          <w:color w:val="000000"/>
          <w:szCs w:val="24"/>
        </w:rPr>
        <w:t>šo tehnoloģiju</w:t>
      </w:r>
      <w:r w:rsidRPr="009830D5">
        <w:rPr>
          <w:rFonts w:cs="Times New Roman"/>
          <w:color w:val="000000"/>
          <w:szCs w:val="24"/>
        </w:rPr>
        <w:t xml:space="preserve"> priekšrocībām, ierobežojumiem un pielietojumu starptautisk</w:t>
      </w:r>
      <w:r>
        <w:rPr>
          <w:rFonts w:cs="Times New Roman"/>
          <w:color w:val="000000"/>
          <w:szCs w:val="24"/>
        </w:rPr>
        <w:t>aj</w:t>
      </w:r>
      <w:r w:rsidRPr="009830D5">
        <w:rPr>
          <w:rFonts w:cs="Times New Roman"/>
          <w:color w:val="000000"/>
          <w:szCs w:val="24"/>
        </w:rPr>
        <w:t>ā kontekstā.</w:t>
      </w:r>
    </w:p>
    <w:p w14:paraId="42EAFD00" w14:textId="4BB3444C" w:rsidR="00157497" w:rsidRPr="00C22DCD" w:rsidRDefault="00157497" w:rsidP="00CB57A2">
      <w:pPr>
        <w:spacing w:before="60" w:after="60" w:line="240" w:lineRule="auto"/>
        <w:jc w:val="both"/>
        <w:rPr>
          <w:szCs w:val="24"/>
        </w:rPr>
      </w:pPr>
      <w:r w:rsidRPr="00842B9B">
        <w:rPr>
          <w:szCs w:val="24"/>
          <w:lang w:eastAsia="lv-LV"/>
        </w:rPr>
        <w:t>Mājokļu politikas jomā</w:t>
      </w:r>
      <w:r w:rsidR="008E2436" w:rsidRPr="00842B9B">
        <w:rPr>
          <w:szCs w:val="24"/>
          <w:lang w:eastAsia="lv-LV"/>
        </w:rPr>
        <w:t xml:space="preserve"> </w:t>
      </w:r>
      <w:r w:rsidRPr="00C22DCD">
        <w:rPr>
          <w:szCs w:val="24"/>
          <w:lang w:eastAsia="lv-LV"/>
        </w:rPr>
        <w:t>2020.</w:t>
      </w:r>
      <w:r>
        <w:rPr>
          <w:szCs w:val="24"/>
          <w:lang w:eastAsia="lv-LV"/>
        </w:rPr>
        <w:t> </w:t>
      </w:r>
      <w:r w:rsidRPr="00C22DCD">
        <w:rPr>
          <w:szCs w:val="24"/>
          <w:lang w:eastAsia="lv-LV"/>
        </w:rPr>
        <w:t xml:space="preserve">gadā </w:t>
      </w:r>
      <w:r>
        <w:rPr>
          <w:szCs w:val="24"/>
          <w:lang w:eastAsia="lv-LV"/>
        </w:rPr>
        <w:t>EM</w:t>
      </w:r>
      <w:r w:rsidRPr="00C22DCD">
        <w:rPr>
          <w:szCs w:val="24"/>
          <w:lang w:eastAsia="lv-LV"/>
        </w:rPr>
        <w:t xml:space="preserve"> pasūtīja pētījum</w:t>
      </w:r>
      <w:r>
        <w:rPr>
          <w:szCs w:val="24"/>
          <w:lang w:eastAsia="lv-LV"/>
        </w:rPr>
        <w:t>u</w:t>
      </w:r>
      <w:r w:rsidRPr="00C22DCD">
        <w:rPr>
          <w:szCs w:val="24"/>
          <w:lang w:eastAsia="lv-LV"/>
        </w:rPr>
        <w:t xml:space="preserve"> par </w:t>
      </w:r>
      <w:hyperlink r:id="rId113" w:tgtFrame="_blank" w:history="1">
        <w:r w:rsidRPr="00157497">
          <w:rPr>
            <w:rStyle w:val="Hyperlink"/>
            <w:i/>
            <w:iCs/>
            <w:color w:val="00859B"/>
            <w:szCs w:val="24"/>
          </w:rPr>
          <w:t>Priekšlikumu izstrādi ēku energoefektivitātes klasifikācijas sistēmai un prasībām gandrīz nulles enerģijas ēkām</w:t>
        </w:r>
      </w:hyperlink>
      <w:r w:rsidRPr="00C22DCD">
        <w:rPr>
          <w:rStyle w:val="FootnoteReference"/>
          <w:szCs w:val="24"/>
          <w:lang w:eastAsia="lv-LV"/>
        </w:rPr>
        <w:footnoteReference w:id="43"/>
      </w:r>
      <w:r w:rsidRPr="00C22DCD">
        <w:rPr>
          <w:szCs w:val="24"/>
        </w:rPr>
        <w:t>, k</w:t>
      </w:r>
      <w:r>
        <w:rPr>
          <w:szCs w:val="24"/>
        </w:rPr>
        <w:t>ā</w:t>
      </w:r>
      <w:r w:rsidRPr="00C22DCD">
        <w:rPr>
          <w:szCs w:val="24"/>
        </w:rPr>
        <w:t xml:space="preserve"> ietvaros veikts visaptverošs apskats par</w:t>
      </w:r>
      <w:r w:rsidR="008E2436">
        <w:rPr>
          <w:szCs w:val="24"/>
        </w:rPr>
        <w:t xml:space="preserve"> </w:t>
      </w:r>
      <w:r w:rsidR="00842B9B">
        <w:rPr>
          <w:szCs w:val="24"/>
        </w:rPr>
        <w:t>ā</w:t>
      </w:r>
      <w:r w:rsidRPr="00C22DCD">
        <w:rPr>
          <w:szCs w:val="24"/>
        </w:rPr>
        <w:t xml:space="preserve">rvalstu (Somija, Zviedrija, Vācija, Igaunija, Dānija) praksi ēku energoefektivitātes klasifikācijā un prasībām gandrīz nulles enerģijas ēkām, lai Latvijā pārņemtu citu valstu labākās prakses piemērus un ieviestu </w:t>
      </w:r>
      <w:r w:rsidRPr="00157497">
        <w:rPr>
          <w:i/>
          <w:iCs/>
          <w:szCs w:val="24"/>
        </w:rPr>
        <w:t>Direktīvas (ES) Nr.2018/844</w:t>
      </w:r>
      <w:r>
        <w:rPr>
          <w:rStyle w:val="FootnoteReference"/>
          <w:i/>
          <w:iCs/>
          <w:szCs w:val="24"/>
        </w:rPr>
        <w:footnoteReference w:id="44"/>
      </w:r>
      <w:r w:rsidRPr="00C22DCD">
        <w:rPr>
          <w:szCs w:val="24"/>
        </w:rPr>
        <w:t xml:space="preserve"> prasības.</w:t>
      </w:r>
    </w:p>
    <w:p w14:paraId="4BF8BF04" w14:textId="65347889" w:rsidR="00E71FBD" w:rsidRPr="00BD5C6D" w:rsidRDefault="00E71FBD" w:rsidP="00E71FBD">
      <w:pPr>
        <w:spacing w:before="60" w:after="60" w:line="240" w:lineRule="auto"/>
        <w:jc w:val="both"/>
        <w:rPr>
          <w:rFonts w:cstheme="minorHAnsi"/>
          <w:szCs w:val="24"/>
        </w:rPr>
      </w:pPr>
      <w:r w:rsidRPr="001565A0">
        <w:rPr>
          <w:rFonts w:cstheme="minorHAnsi"/>
          <w:szCs w:val="24"/>
        </w:rPr>
        <w:t>Inovāciju jomā</w:t>
      </w:r>
      <w:r w:rsidR="008E2436" w:rsidRPr="001565A0">
        <w:rPr>
          <w:rFonts w:cstheme="minorHAnsi"/>
          <w:szCs w:val="24"/>
        </w:rPr>
        <w:t xml:space="preserve"> </w:t>
      </w:r>
      <w:r w:rsidR="001565A0" w:rsidRPr="00BD5C6D">
        <w:rPr>
          <w:rFonts w:cstheme="minorHAnsi"/>
          <w:szCs w:val="24"/>
        </w:rPr>
        <w:t>pārska</w:t>
      </w:r>
      <w:r w:rsidR="001565A0">
        <w:rPr>
          <w:rFonts w:cstheme="minorHAnsi"/>
          <w:szCs w:val="24"/>
        </w:rPr>
        <w:t>ta</w:t>
      </w:r>
      <w:r w:rsidR="001565A0" w:rsidRPr="00BD5C6D">
        <w:rPr>
          <w:rFonts w:cstheme="minorHAnsi"/>
          <w:szCs w:val="24"/>
        </w:rPr>
        <w:t xml:space="preserve"> </w:t>
      </w:r>
      <w:r w:rsidRPr="00BD5C6D">
        <w:rPr>
          <w:rFonts w:cstheme="minorHAnsi"/>
          <w:szCs w:val="24"/>
        </w:rPr>
        <w:t xml:space="preserve">gadā </w:t>
      </w:r>
      <w:r w:rsidRPr="00BD5C6D">
        <w:rPr>
          <w:rFonts w:cstheme="minorHAnsi"/>
          <w:i/>
          <w:iCs/>
          <w:szCs w:val="24"/>
        </w:rPr>
        <w:t>Interreg</w:t>
      </w:r>
      <w:r w:rsidR="008E2436">
        <w:rPr>
          <w:rFonts w:cstheme="minorHAnsi"/>
          <w:i/>
          <w:iCs/>
          <w:szCs w:val="24"/>
        </w:rPr>
        <w:t xml:space="preserve"> </w:t>
      </w:r>
      <w:r w:rsidRPr="00BD5C6D">
        <w:rPr>
          <w:rFonts w:cstheme="minorHAnsi"/>
          <w:i/>
          <w:iCs/>
          <w:szCs w:val="24"/>
        </w:rPr>
        <w:t>Europe</w:t>
      </w:r>
      <w:r w:rsidR="008E2436">
        <w:rPr>
          <w:rFonts w:cstheme="minorHAnsi"/>
          <w:i/>
          <w:iCs/>
          <w:szCs w:val="24"/>
        </w:rPr>
        <w:t xml:space="preserve"> </w:t>
      </w:r>
      <w:r w:rsidRPr="00E71FBD">
        <w:rPr>
          <w:rFonts w:cstheme="minorHAnsi"/>
          <w:i/>
          <w:iCs/>
          <w:szCs w:val="24"/>
        </w:rPr>
        <w:t>iBuy</w:t>
      </w:r>
      <w:r w:rsidRPr="00BD5C6D">
        <w:rPr>
          <w:rFonts w:cstheme="minorHAnsi"/>
          <w:szCs w:val="24"/>
        </w:rPr>
        <w:t xml:space="preserve"> projekta ietvaros EM īstenoja pētījumu </w:t>
      </w:r>
      <w:hyperlink r:id="rId114" w:tgtFrame="_blank" w:history="1">
        <w:r w:rsidRPr="00E71FBD">
          <w:rPr>
            <w:rStyle w:val="Hyperlink"/>
            <w:i/>
            <w:iCs/>
            <w:color w:val="00859B"/>
            <w:szCs w:val="24"/>
          </w:rPr>
          <w:t>Rekomendāciju izstrāde inovācijas iepirkuma atbalsta instrumenta izveidei un tiesiskā regulējuma prasību piemērošanai Latvijā</w:t>
        </w:r>
      </w:hyperlink>
      <w:r w:rsidRPr="00BD5C6D">
        <w:rPr>
          <w:rFonts w:cstheme="minorHAnsi"/>
          <w:i/>
          <w:iCs/>
          <w:szCs w:val="24"/>
        </w:rPr>
        <w:t xml:space="preserve">. </w:t>
      </w:r>
      <w:r w:rsidRPr="00BD5C6D">
        <w:rPr>
          <w:rFonts w:cstheme="minorHAnsi"/>
          <w:szCs w:val="24"/>
        </w:rPr>
        <w:t xml:space="preserve">Pētījuma rezultātā tika izstrādāti priekšlikumi Latvijas publiskā iepirkuma jomas tiesiskā regulējuma pilnveidei, ieteikumi atbalsta instrumenta izveidei, kā arī izveidots pamats inovāciju iepirkuma īstenošanas vadlīniju izstrādei. </w:t>
      </w:r>
    </w:p>
    <w:p w14:paraId="20C4EA60" w14:textId="32823AB0" w:rsidR="00E71FBD" w:rsidRDefault="00E71FBD" w:rsidP="00E71FBD">
      <w:pPr>
        <w:spacing w:before="60" w:after="60" w:line="240" w:lineRule="auto"/>
        <w:jc w:val="both"/>
        <w:rPr>
          <w:szCs w:val="24"/>
        </w:rPr>
      </w:pPr>
      <w:r>
        <w:rPr>
          <w:szCs w:val="24"/>
        </w:rPr>
        <w:t xml:space="preserve">Savukārt, </w:t>
      </w:r>
      <w:hyperlink r:id="rId115" w:history="1">
        <w:r w:rsidRPr="00E71FBD">
          <w:rPr>
            <w:rStyle w:val="Hyperlink"/>
            <w:i/>
            <w:iCs/>
            <w:color w:val="00859B"/>
            <w:szCs w:val="24"/>
          </w:rPr>
          <w:t>Valsts pētījum</w:t>
        </w:r>
        <w:r w:rsidR="00003D52">
          <w:rPr>
            <w:rStyle w:val="Hyperlink"/>
            <w:i/>
            <w:iCs/>
            <w:color w:val="00859B"/>
            <w:szCs w:val="24"/>
          </w:rPr>
          <w:t>u</w:t>
        </w:r>
        <w:r w:rsidRPr="00E71FBD">
          <w:rPr>
            <w:rStyle w:val="Hyperlink"/>
            <w:i/>
            <w:iCs/>
            <w:color w:val="00859B"/>
            <w:szCs w:val="24"/>
          </w:rPr>
          <w:t xml:space="preserve"> programmas Covid-19 seku mazināšanai</w:t>
        </w:r>
      </w:hyperlink>
      <w:r w:rsidRPr="31632AEF">
        <w:rPr>
          <w:szCs w:val="24"/>
        </w:rPr>
        <w:t xml:space="preserve"> ietvaros </w:t>
      </w:r>
      <w:r>
        <w:rPr>
          <w:szCs w:val="24"/>
        </w:rPr>
        <w:t>EM</w:t>
      </w:r>
      <w:r w:rsidRPr="31632AEF">
        <w:rPr>
          <w:szCs w:val="24"/>
        </w:rPr>
        <w:t xml:space="preserve"> definēja papildus sasniedzamo rezultātu ar nolūku iegūt izvērtējumu </w:t>
      </w:r>
      <w:r w:rsidRPr="00E71FBD">
        <w:rPr>
          <w:szCs w:val="24"/>
        </w:rPr>
        <w:t xml:space="preserve">par dažāda veida inovāciju attīstības tendencēm ekonomiskās nestabilitātes (Covid-19 krīzes) laikā. </w:t>
      </w:r>
      <w:r w:rsidRPr="31632AEF">
        <w:rPr>
          <w:szCs w:val="24"/>
        </w:rPr>
        <w:t xml:space="preserve">Pētījums </w:t>
      </w:r>
      <w:r w:rsidRPr="31632AEF">
        <w:rPr>
          <w:i/>
          <w:szCs w:val="24"/>
        </w:rPr>
        <w:t>“Inovāciju attīstības tendences un priekšlikumi inovāciju veicināšanai ekonomiskās krīzes laikā”</w:t>
      </w:r>
      <w:r w:rsidRPr="31632AEF">
        <w:rPr>
          <w:szCs w:val="24"/>
        </w:rPr>
        <w:t xml:space="preserve"> tika sagatavots kā daļa no </w:t>
      </w:r>
      <w:r>
        <w:rPr>
          <w:szCs w:val="24"/>
        </w:rPr>
        <w:t xml:space="preserve">pētījumu programmas atbalstītā </w:t>
      </w:r>
      <w:r w:rsidRPr="31632AEF">
        <w:rPr>
          <w:szCs w:val="24"/>
        </w:rPr>
        <w:t xml:space="preserve">projekta </w:t>
      </w:r>
      <w:r w:rsidRPr="31632AEF">
        <w:rPr>
          <w:i/>
          <w:szCs w:val="24"/>
        </w:rPr>
        <w:t>reCOVery-LV</w:t>
      </w:r>
      <w:r w:rsidRPr="31632AEF">
        <w:rPr>
          <w:szCs w:val="24"/>
        </w:rPr>
        <w:t>. Pētījumā tika sagatavoti priekšlikumi inovāciju rīcībpolitikas pilnveidošanai, fokusējoties uz Covid-19 izraisīto nestabilitāti, tostarp piedāvātas dažādas rekomendācijas, īpašu uzmanību veltot plašākai inovāciju iepirkumu izmantošanai Latvijā.</w:t>
      </w:r>
    </w:p>
    <w:p w14:paraId="3D602A42" w14:textId="2DBB4180" w:rsidR="00E71FBD" w:rsidRPr="00DB3C15" w:rsidRDefault="00E71FBD" w:rsidP="00E71FBD">
      <w:pPr>
        <w:spacing w:before="60" w:after="60" w:line="240" w:lineRule="auto"/>
        <w:jc w:val="both"/>
        <w:rPr>
          <w:rFonts w:eastAsia="Times New Roman"/>
          <w:szCs w:val="24"/>
        </w:rPr>
      </w:pPr>
      <w:r w:rsidRPr="13B3CE6D">
        <w:rPr>
          <w:rFonts w:eastAsia="Times New Roman"/>
          <w:szCs w:val="24"/>
        </w:rPr>
        <w:t xml:space="preserve">2020.gadā </w:t>
      </w:r>
      <w:r w:rsidR="00CB57A2">
        <w:rPr>
          <w:rFonts w:eastAsia="Times New Roman"/>
          <w:szCs w:val="24"/>
        </w:rPr>
        <w:t xml:space="preserve">tika </w:t>
      </w:r>
      <w:r w:rsidRPr="13B3CE6D">
        <w:rPr>
          <w:rFonts w:eastAsia="Times New Roman"/>
          <w:szCs w:val="24"/>
        </w:rPr>
        <w:t xml:space="preserve">veikts </w:t>
      </w:r>
      <w:r w:rsidRPr="00E71FBD">
        <w:rPr>
          <w:rFonts w:eastAsia="Times New Roman"/>
          <w:szCs w:val="24"/>
        </w:rPr>
        <w:t xml:space="preserve">pētījums </w:t>
      </w:r>
      <w:hyperlink r:id="rId116" w:tgtFrame="_blank" w:history="1">
        <w:r w:rsidRPr="00E71FBD">
          <w:rPr>
            <w:rStyle w:val="Hyperlink"/>
            <w:i/>
            <w:iCs/>
            <w:color w:val="00859B"/>
            <w:szCs w:val="24"/>
          </w:rPr>
          <w:t>Analīze par labāko Eiropas atbalsta, agrās brīdināšanas un otrās iespējas sistēmu pārneses iespējām Baltijas jūras reģiona valstīs</w:t>
        </w:r>
      </w:hyperlink>
      <w:r w:rsidR="0029754A">
        <w:rPr>
          <w:rFonts w:eastAsia="Times New Roman"/>
          <w:szCs w:val="24"/>
        </w:rPr>
        <w:t>,</w:t>
      </w:r>
      <w:r w:rsidR="008E2436">
        <w:rPr>
          <w:rFonts w:eastAsia="Times New Roman"/>
          <w:szCs w:val="24"/>
        </w:rPr>
        <w:t xml:space="preserve"> </w:t>
      </w:r>
      <w:r w:rsidR="0029754A">
        <w:rPr>
          <w:rFonts w:eastAsia="Times New Roman"/>
          <w:szCs w:val="24"/>
        </w:rPr>
        <w:t>kura</w:t>
      </w:r>
      <w:r w:rsidRPr="13B3CE6D">
        <w:rPr>
          <w:rFonts w:eastAsia="Times New Roman"/>
          <w:szCs w:val="24"/>
        </w:rPr>
        <w:t xml:space="preserve"> mērķis bija sekmēt četrās valstīs (Latvijā, Igaunijā, Lietuvā un Polijā) tādu uzņēmuma atbalsta modeļa ieviešanu, kas būtu efektīvākais </w:t>
      </w:r>
      <w:r w:rsidR="009E0F0C">
        <w:rPr>
          <w:rFonts w:eastAsia="Times New Roman"/>
          <w:szCs w:val="24"/>
        </w:rPr>
        <w:t xml:space="preserve">(esošiem nacionālajiem un ES tiesību aktiem atbilstošs) </w:t>
      </w:r>
      <w:r w:rsidRPr="13B3CE6D">
        <w:rPr>
          <w:rFonts w:eastAsia="Times New Roman"/>
          <w:szCs w:val="24"/>
        </w:rPr>
        <w:t xml:space="preserve">risinājums </w:t>
      </w:r>
      <w:r w:rsidRPr="00602B4A">
        <w:rPr>
          <w:rFonts w:eastAsia="Times New Roman"/>
          <w:szCs w:val="24"/>
        </w:rPr>
        <w:t>finansiālās grūtībās nonākušiem uzņēmumiem</w:t>
      </w:r>
      <w:r w:rsidRPr="13B3CE6D">
        <w:rPr>
          <w:rFonts w:eastAsia="Times New Roman"/>
          <w:szCs w:val="24"/>
        </w:rPr>
        <w:t>.</w:t>
      </w:r>
      <w:r w:rsidR="008E2436">
        <w:rPr>
          <w:rFonts w:eastAsia="Times New Roman"/>
          <w:szCs w:val="24"/>
        </w:rPr>
        <w:t xml:space="preserve"> </w:t>
      </w:r>
      <w:r w:rsidRPr="00DB3C15">
        <w:rPr>
          <w:rFonts w:eastAsia="Times New Roman"/>
          <w:szCs w:val="24"/>
        </w:rPr>
        <w:t>Pētījumā veikts informācijas apkopojums</w:t>
      </w:r>
      <w:r w:rsidR="00341BC1">
        <w:rPr>
          <w:rFonts w:eastAsia="Times New Roman"/>
          <w:szCs w:val="24"/>
        </w:rPr>
        <w:t xml:space="preserve"> un intervijas ar ekspertiem</w:t>
      </w:r>
      <w:r w:rsidR="008E2436">
        <w:rPr>
          <w:rFonts w:eastAsia="Times New Roman"/>
          <w:szCs w:val="24"/>
        </w:rPr>
        <w:t xml:space="preserve">, </w:t>
      </w:r>
      <w:r w:rsidR="008E2436" w:rsidRPr="00DB3C15">
        <w:rPr>
          <w:rFonts w:eastAsia="Times New Roman"/>
          <w:szCs w:val="24"/>
        </w:rPr>
        <w:t>izstrādāti secinājum</w:t>
      </w:r>
      <w:r w:rsidR="008E2436">
        <w:rPr>
          <w:rFonts w:eastAsia="Times New Roman"/>
          <w:szCs w:val="24"/>
        </w:rPr>
        <w:t xml:space="preserve">i, </w:t>
      </w:r>
      <w:r w:rsidR="008E2436" w:rsidRPr="00DB3C15">
        <w:rPr>
          <w:rFonts w:eastAsia="Times New Roman"/>
          <w:szCs w:val="24"/>
        </w:rPr>
        <w:t>sagatavoti kopsavilkumi</w:t>
      </w:r>
      <w:r w:rsidR="008E2436">
        <w:rPr>
          <w:rFonts w:eastAsia="Times New Roman"/>
          <w:szCs w:val="24"/>
        </w:rPr>
        <w:t xml:space="preserve"> un </w:t>
      </w:r>
      <w:r w:rsidR="008E2436" w:rsidRPr="00DB3C15">
        <w:rPr>
          <w:rFonts w:eastAsia="Times New Roman"/>
          <w:szCs w:val="24"/>
        </w:rPr>
        <w:t>sistēmas modeli katrai valstij</w:t>
      </w:r>
      <w:r w:rsidR="00966D6A">
        <w:rPr>
          <w:rFonts w:eastAsia="Times New Roman"/>
          <w:szCs w:val="24"/>
        </w:rPr>
        <w:t xml:space="preserve"> </w:t>
      </w:r>
      <w:r w:rsidRPr="00DB3C15">
        <w:rPr>
          <w:rFonts w:eastAsia="Times New Roman"/>
          <w:szCs w:val="24"/>
        </w:rPr>
        <w:t>par Latvijas, Lietuvas, Igaunijas un Polijas finansiālās grūtībās nonākušo uzņēmumu atbalsta, agrīnās brīdināšanas un otrās iespējas ekosistēmām.</w:t>
      </w:r>
    </w:p>
    <w:bookmarkEnd w:id="70"/>
    <w:p w14:paraId="2D420776" w14:textId="1A095D88" w:rsidR="008D791D" w:rsidRDefault="008D791D" w:rsidP="008D791D">
      <w:pPr>
        <w:spacing w:before="120" w:after="60" w:line="240" w:lineRule="auto"/>
        <w:jc w:val="both"/>
        <w:rPr>
          <w:rFonts w:cs="Times New Roman"/>
          <w:szCs w:val="24"/>
        </w:rPr>
      </w:pPr>
      <w:r w:rsidRPr="00CE3562">
        <w:rPr>
          <w:rFonts w:cs="Times New Roman"/>
          <w:szCs w:val="24"/>
        </w:rPr>
        <w:lastRenderedPageBreak/>
        <w:t>202</w:t>
      </w:r>
      <w:r w:rsidR="00CE3562" w:rsidRPr="00CE3562">
        <w:rPr>
          <w:rFonts w:cs="Times New Roman"/>
          <w:szCs w:val="24"/>
        </w:rPr>
        <w:t>1</w:t>
      </w:r>
      <w:r w:rsidRPr="00CE3562">
        <w:rPr>
          <w:rFonts w:cs="Times New Roman"/>
          <w:szCs w:val="24"/>
        </w:rPr>
        <w:t>.</w:t>
      </w:r>
      <w:r w:rsidR="00D365F1">
        <w:rPr>
          <w:rFonts w:cs="Times New Roman"/>
          <w:szCs w:val="24"/>
        </w:rPr>
        <w:t> </w:t>
      </w:r>
      <w:r w:rsidRPr="00CE3562">
        <w:rPr>
          <w:rFonts w:cs="Times New Roman"/>
          <w:szCs w:val="24"/>
        </w:rPr>
        <w:t xml:space="preserve">gadā turpinot iepriekšējos gados iesākto jomu izpēti EM plāno uzsākt </w:t>
      </w:r>
      <w:r w:rsidR="00850BB5">
        <w:rPr>
          <w:rFonts w:cs="Times New Roman"/>
          <w:szCs w:val="24"/>
        </w:rPr>
        <w:t xml:space="preserve">vairākus </w:t>
      </w:r>
      <w:r w:rsidRPr="00CE3562">
        <w:rPr>
          <w:rFonts w:cs="Times New Roman"/>
          <w:szCs w:val="24"/>
        </w:rPr>
        <w:t>būvniecības, enerģētikas, inovācijas, eksporta veicināšanas un uzņēmējdarbības politikas jomās svarīg</w:t>
      </w:r>
      <w:r w:rsidR="00CE3562" w:rsidRPr="00CE3562">
        <w:rPr>
          <w:rFonts w:cs="Times New Roman"/>
          <w:szCs w:val="24"/>
        </w:rPr>
        <w:t>u</w:t>
      </w:r>
      <w:r w:rsidRPr="00CE3562">
        <w:rPr>
          <w:rFonts w:cs="Times New Roman"/>
          <w:szCs w:val="24"/>
        </w:rPr>
        <w:t>s pētījumus</w:t>
      </w:r>
      <w:r w:rsidRPr="00CE3562">
        <w:rPr>
          <w:rStyle w:val="FootnoteReference"/>
          <w:rFonts w:cs="Times New Roman"/>
          <w:szCs w:val="24"/>
        </w:rPr>
        <w:footnoteReference w:id="45"/>
      </w:r>
      <w:r w:rsidR="00850BB5">
        <w:rPr>
          <w:rFonts w:cs="Times New Roman"/>
          <w:szCs w:val="24"/>
        </w:rPr>
        <w:t xml:space="preserve"> (sk. </w:t>
      </w:r>
      <w:hyperlink w:anchor="_Pielikums._EM_plānotie" w:history="1">
        <w:r w:rsidR="00966D6A" w:rsidRPr="00157497">
          <w:rPr>
            <w:rStyle w:val="Hyperlink"/>
            <w:rFonts w:eastAsia="Franklin Gothic Book" w:cs="Times New Roman"/>
            <w:color w:val="00859B"/>
            <w:szCs w:val="24"/>
          </w:rPr>
          <w:t>9.pielikum</w:t>
        </w:r>
        <w:r w:rsidR="00966D6A">
          <w:rPr>
            <w:rStyle w:val="Hyperlink"/>
            <w:rFonts w:eastAsia="Franklin Gothic Book" w:cs="Times New Roman"/>
            <w:color w:val="00859B"/>
            <w:szCs w:val="24"/>
          </w:rPr>
          <w:t>u</w:t>
        </w:r>
      </w:hyperlink>
      <w:r w:rsidR="00850BB5">
        <w:rPr>
          <w:rFonts w:cs="Times New Roman"/>
          <w:szCs w:val="24"/>
        </w:rPr>
        <w:t>).</w:t>
      </w:r>
    </w:p>
    <w:p w14:paraId="5924F968" w14:textId="7455F0E9" w:rsidR="00D365F1" w:rsidRPr="00187466" w:rsidRDefault="00D365F1" w:rsidP="00BB18C0">
      <w:pPr>
        <w:spacing w:before="60" w:after="60" w:line="240" w:lineRule="auto"/>
        <w:jc w:val="both"/>
        <w:rPr>
          <w:szCs w:val="24"/>
        </w:rPr>
      </w:pPr>
      <w:r w:rsidRPr="00187466">
        <w:rPr>
          <w:szCs w:val="24"/>
        </w:rPr>
        <w:t xml:space="preserve">2021. gadā plānots sagatavot </w:t>
      </w:r>
      <w:r w:rsidR="008B701B">
        <w:rPr>
          <w:szCs w:val="24"/>
        </w:rPr>
        <w:t xml:space="preserve">arī </w:t>
      </w:r>
      <w:r w:rsidRPr="00187466">
        <w:rPr>
          <w:szCs w:val="24"/>
        </w:rPr>
        <w:t xml:space="preserve">pētījumu </w:t>
      </w:r>
      <w:r w:rsidR="00850BB5" w:rsidRPr="00850BB5">
        <w:rPr>
          <w:i/>
          <w:iCs/>
          <w:szCs w:val="24"/>
        </w:rPr>
        <w:t>P</w:t>
      </w:r>
      <w:r w:rsidRPr="00850BB5">
        <w:rPr>
          <w:i/>
          <w:iCs/>
          <w:szCs w:val="24"/>
        </w:rPr>
        <w:t>ar potenciālo AER elektroenerģijas ražošanas infrastruktūras projektu ieviešanas optimizācijas iespējām administratīvo procedūru līmenī Latvijā, Lietuvā un Igaunijā</w:t>
      </w:r>
      <w:r w:rsidRPr="00187466">
        <w:rPr>
          <w:szCs w:val="24"/>
        </w:rPr>
        <w:t>. Pētījums sniegs esošās situācijas procesu un procedūru</w:t>
      </w:r>
      <w:r w:rsidR="007E211A">
        <w:rPr>
          <w:szCs w:val="24"/>
        </w:rPr>
        <w:t xml:space="preserve"> </w:t>
      </w:r>
      <w:r w:rsidRPr="00187466">
        <w:rPr>
          <w:szCs w:val="24"/>
        </w:rPr>
        <w:t>izvērtē</w:t>
      </w:r>
      <w:r w:rsidR="00291960">
        <w:rPr>
          <w:szCs w:val="24"/>
        </w:rPr>
        <w:t>jum</w:t>
      </w:r>
      <w:r w:rsidRPr="00187466">
        <w:rPr>
          <w:szCs w:val="24"/>
        </w:rPr>
        <w:t>u un salīdzinājumu, labākās prakses piemēru analīzi, kā arī priekšlikumu</w:t>
      </w:r>
      <w:r w:rsidR="008B701B">
        <w:rPr>
          <w:szCs w:val="24"/>
        </w:rPr>
        <w:t>s</w:t>
      </w:r>
      <w:r w:rsidRPr="00187466">
        <w:rPr>
          <w:szCs w:val="24"/>
        </w:rPr>
        <w:t xml:space="preserve">, kas palīdzēs sniegt ātrāku AER elektroenerģijas ražošanas infrastruktūras projektu administratīvo procedūru veikšanu un infrastruktūras ieviešanu. Šāda pētījuma nepieciešamība skaidrojama ar to, ka, balstoties uz </w:t>
      </w:r>
      <w:r w:rsidRPr="00187466">
        <w:rPr>
          <w:i/>
          <w:iCs/>
          <w:szCs w:val="24"/>
        </w:rPr>
        <w:t>Eurostat</w:t>
      </w:r>
      <w:r w:rsidRPr="00187466">
        <w:rPr>
          <w:szCs w:val="24"/>
        </w:rPr>
        <w:t xml:space="preserve"> apkopotajiem AER datiem, Latvijā, Lietuvā un Igaunijā pēdējo </w:t>
      </w:r>
      <w:r w:rsidR="008B701B">
        <w:rPr>
          <w:szCs w:val="24"/>
        </w:rPr>
        <w:t>7</w:t>
      </w:r>
      <w:r w:rsidRPr="00187466">
        <w:rPr>
          <w:szCs w:val="24"/>
        </w:rPr>
        <w:t xml:space="preserve"> gadu laikā ir bijusi zema AER elektroenerģijas ražošanas izaugsme, izmantojot tirgū pieejamākas tehnoloģijas – saules paneļus un vēja turbīnas. Līdz ar to šajās valstīs varētu būt līdzīgas problēmas, kā piemēram, laikietilpīgas ietekme</w:t>
      </w:r>
      <w:r w:rsidR="008B701B">
        <w:rPr>
          <w:szCs w:val="24"/>
        </w:rPr>
        <w:t>s</w:t>
      </w:r>
      <w:r w:rsidRPr="00187466">
        <w:rPr>
          <w:szCs w:val="24"/>
        </w:rPr>
        <w:t xml:space="preserve"> uz vidi novērtējum</w:t>
      </w:r>
      <w:r w:rsidR="008B701B">
        <w:rPr>
          <w:szCs w:val="24"/>
        </w:rPr>
        <w:t>a</w:t>
      </w:r>
      <w:r w:rsidRPr="00187466">
        <w:rPr>
          <w:szCs w:val="24"/>
        </w:rPr>
        <w:t xml:space="preserve"> procedūras. Zviedrijas, Norvēģijas un Somijas AER jaudas izaugsme ir izveidojusies tieši pateicoties šo tehnoloģiju integrēšanai savos enerģijas portfeļos, tādēļ būtu vērtīgi izpētīt šo valstu pieredzi.</w:t>
      </w:r>
      <w:r w:rsidR="007E211A">
        <w:rPr>
          <w:szCs w:val="24"/>
        </w:rPr>
        <w:t xml:space="preserve"> </w:t>
      </w:r>
      <w:r w:rsidR="00850BB5">
        <w:rPr>
          <w:szCs w:val="24"/>
        </w:rPr>
        <w:t>R</w:t>
      </w:r>
      <w:r w:rsidRPr="00187466">
        <w:rPr>
          <w:szCs w:val="24"/>
        </w:rPr>
        <w:t>ezultātā tiks sniegti</w:t>
      </w:r>
      <w:r w:rsidR="007E211A">
        <w:rPr>
          <w:szCs w:val="24"/>
        </w:rPr>
        <w:t xml:space="preserve"> </w:t>
      </w:r>
      <w:r w:rsidRPr="00187466">
        <w:rPr>
          <w:szCs w:val="24"/>
        </w:rPr>
        <w:t>secinājumi un priekšlikumi AER elektroenerģijas ražošanas infrastruktūras projektu ieviešanas administratīvo procedūru paātrināšanai, kā arī priekšlikumi administratīvo procedūru atvieglošanai un šķēršļu novēršanai.</w:t>
      </w:r>
    </w:p>
    <w:p w14:paraId="7A80E5D1" w14:textId="6606976B" w:rsidR="00D365F1" w:rsidRDefault="00D365F1" w:rsidP="00BB18C0">
      <w:pPr>
        <w:spacing w:before="60" w:after="60" w:line="240" w:lineRule="auto"/>
        <w:jc w:val="both"/>
        <w:rPr>
          <w:szCs w:val="24"/>
        </w:rPr>
      </w:pPr>
      <w:r w:rsidRPr="00187466">
        <w:rPr>
          <w:szCs w:val="24"/>
        </w:rPr>
        <w:t>2021.</w:t>
      </w:r>
      <w:r w:rsidR="00850BB5">
        <w:rPr>
          <w:szCs w:val="24"/>
        </w:rPr>
        <w:t> </w:t>
      </w:r>
      <w:r w:rsidRPr="00187466">
        <w:rPr>
          <w:szCs w:val="24"/>
        </w:rPr>
        <w:t xml:space="preserve">gadā </w:t>
      </w:r>
      <w:r w:rsidR="00850BB5">
        <w:rPr>
          <w:szCs w:val="24"/>
        </w:rPr>
        <w:t>paredzēts</w:t>
      </w:r>
      <w:r w:rsidRPr="00187466">
        <w:rPr>
          <w:szCs w:val="24"/>
        </w:rPr>
        <w:t xml:space="preserve"> izstrādāt pētījum</w:t>
      </w:r>
      <w:r w:rsidR="00850BB5">
        <w:rPr>
          <w:szCs w:val="24"/>
        </w:rPr>
        <w:t>u</w:t>
      </w:r>
      <w:r w:rsidR="007E211A">
        <w:rPr>
          <w:szCs w:val="24"/>
        </w:rPr>
        <w:t xml:space="preserve"> </w:t>
      </w:r>
      <w:r w:rsidR="00C70943" w:rsidRPr="00842B9B">
        <w:rPr>
          <w:szCs w:val="24"/>
        </w:rPr>
        <w:t>naftas produktu drošības rezervju jomā</w:t>
      </w:r>
      <w:r w:rsidR="007E211A" w:rsidRPr="00842B9B">
        <w:rPr>
          <w:szCs w:val="24"/>
        </w:rPr>
        <w:t xml:space="preserve"> </w:t>
      </w:r>
      <w:r w:rsidRPr="00187466">
        <w:rPr>
          <w:szCs w:val="24"/>
        </w:rPr>
        <w:t xml:space="preserve">un iesniegt izskatīšanai </w:t>
      </w:r>
      <w:r w:rsidR="00BB18C0">
        <w:rPr>
          <w:szCs w:val="24"/>
        </w:rPr>
        <w:t>MK</w:t>
      </w:r>
      <w:r w:rsidRPr="00187466">
        <w:rPr>
          <w:szCs w:val="24"/>
        </w:rPr>
        <w:t xml:space="preserve"> konceptuāl</w:t>
      </w:r>
      <w:r w:rsidR="00850BB5">
        <w:rPr>
          <w:szCs w:val="24"/>
        </w:rPr>
        <w:t>o</w:t>
      </w:r>
      <w:r w:rsidRPr="00187466">
        <w:rPr>
          <w:szCs w:val="24"/>
        </w:rPr>
        <w:t xml:space="preserve"> ziņojum</w:t>
      </w:r>
      <w:r w:rsidR="00850BB5">
        <w:rPr>
          <w:szCs w:val="24"/>
        </w:rPr>
        <w:t>u</w:t>
      </w:r>
      <w:r w:rsidRPr="00187466">
        <w:rPr>
          <w:szCs w:val="24"/>
        </w:rPr>
        <w:t xml:space="preserve"> par konkrētām darbībām aģentūras izveidei, kurā tiks piedāvāti dažādi aģentūras izveides scenāriji un aprakstīts iegādātās degvielas aprites (rotācijas) process, veikts izvērtējums par naftas produktu piegādes ķēdē esošo komersantu un to naftas produktu iesaisti drošības rezervju veidošanā, pēc iespējas izmantojot (attiecinot uz drošības rezervēm) komerciālajā apritē esošos naftas produktu resursus un tādējādi samazinot valsts tiešos izdevumus, kā arī sniegts detalizēts izvērtējums par nepieciešamo finansējumu un tā avotiem, t</w:t>
      </w:r>
      <w:r w:rsidR="00850BB5">
        <w:rPr>
          <w:szCs w:val="24"/>
        </w:rPr>
        <w:t>.</w:t>
      </w:r>
      <w:r w:rsidRPr="00187466">
        <w:rPr>
          <w:szCs w:val="24"/>
        </w:rPr>
        <w:t>sk</w:t>
      </w:r>
      <w:r w:rsidR="00850BB5">
        <w:rPr>
          <w:szCs w:val="24"/>
        </w:rPr>
        <w:t>.</w:t>
      </w:r>
      <w:r w:rsidRPr="00187466">
        <w:rPr>
          <w:szCs w:val="24"/>
        </w:rPr>
        <w:t xml:space="preserve"> izvērtējot iespēju izmantot finanšu instrumentu un aizņemto kapitālu.</w:t>
      </w:r>
    </w:p>
    <w:p w14:paraId="3DFD775D" w14:textId="77777777" w:rsidR="008B701B" w:rsidRPr="00187466" w:rsidRDefault="008B701B" w:rsidP="00BB18C0">
      <w:pPr>
        <w:spacing w:before="60" w:after="60" w:line="240" w:lineRule="auto"/>
        <w:jc w:val="both"/>
        <w:rPr>
          <w:szCs w:val="24"/>
        </w:rPr>
      </w:pPr>
    </w:p>
    <w:p w14:paraId="3FD90F1D" w14:textId="77777777" w:rsidR="00AA0FF5" w:rsidRPr="00F5511B" w:rsidRDefault="00AA0FF5">
      <w:pPr>
        <w:spacing w:after="0" w:line="240" w:lineRule="auto"/>
        <w:rPr>
          <w:highlight w:val="yellow"/>
        </w:rPr>
      </w:pPr>
      <w:r w:rsidRPr="00F5511B">
        <w:rPr>
          <w:highlight w:val="yellow"/>
        </w:rPr>
        <w:br w:type="page"/>
      </w:r>
    </w:p>
    <w:p w14:paraId="0525ADB2" w14:textId="72B8A08E" w:rsidR="00385B6E" w:rsidRDefault="00BC60D9" w:rsidP="00CD714F">
      <w:pPr>
        <w:spacing w:before="120" w:after="60" w:line="240" w:lineRule="auto"/>
        <w:ind w:left="3686"/>
        <w:jc w:val="both"/>
        <w:rPr>
          <w:szCs w:val="24"/>
        </w:rPr>
      </w:pPr>
      <w:r>
        <w:rPr>
          <w:smallCaps/>
          <w:noProof/>
          <w:sz w:val="32"/>
          <w:szCs w:val="32"/>
          <w:highlight w:val="yellow"/>
          <w:lang w:eastAsia="lv-LV"/>
        </w:rPr>
        <w:lastRenderedPageBreak/>
        <mc:AlternateContent>
          <mc:Choice Requires="wps">
            <w:drawing>
              <wp:anchor distT="0" distB="0" distL="114300" distR="114300" simplePos="0" relativeHeight="251658244" behindDoc="0" locked="0" layoutInCell="1" allowOverlap="1" wp14:anchorId="2DEBEE19" wp14:editId="1F795070">
                <wp:simplePos x="0" y="0"/>
                <wp:positionH relativeFrom="margin">
                  <wp:posOffset>0</wp:posOffset>
                </wp:positionH>
                <wp:positionV relativeFrom="paragraph">
                  <wp:posOffset>99060</wp:posOffset>
                </wp:positionV>
                <wp:extent cx="2089150" cy="1206500"/>
                <wp:effectExtent l="0" t="0" r="6350" b="0"/>
                <wp:wrapNone/>
                <wp:docPr id="255"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0" cy="12065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FE27828" w14:textId="77777777" w:rsidR="00003D52" w:rsidRPr="00FF7E4C" w:rsidRDefault="00003D52" w:rsidP="00BE6C4B">
                            <w:pPr>
                              <w:pStyle w:val="Heading1"/>
                              <w:numPr>
                                <w:ilvl w:val="0"/>
                                <w:numId w:val="18"/>
                              </w:numPr>
                            </w:pPr>
                            <w:bookmarkStart w:id="72" w:name="_Toc78790581"/>
                            <w:bookmarkStart w:id="73" w:name="_Toc78874280"/>
                            <w:bookmarkStart w:id="74" w:name="_Toc78874612"/>
                            <w:r w:rsidRPr="008D791D">
                              <w:t>EM pārskats par Covid-19 laikā izmantojamiem resursiem</w:t>
                            </w:r>
                            <w:bookmarkEnd w:id="72"/>
                            <w:bookmarkEnd w:id="73"/>
                            <w:bookmarkEnd w:id="7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EE19" id="_x0000_s1032" style="position:absolute;left:0;text-align:left;margin-left:0;margin-top:7.8pt;width:164.5pt;height: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89150,1206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" adj="-11796480,,5400" path="m201087,l2089150,r,l2089150,1005413v,111057,-90030,201087,-201087,201087l,1206500r,l,201087c,90030,90030,,201087,xe" fillcolor="#00859b" strokecolor="#62b1c6" strokeweight="1.5pt">
                <v:stroke joinstyle="miter"/>
                <v:formulas/>
                <v:path arrowok="t" o:connecttype="custom" o:connectlocs="201087,0;2089150,0;2089150,0;2089150,1005413;1888063,1206500;0,1206500;0,1206500;0,201087;201087,0" o:connectangles="0,0,0,0,0,0,0,0,0" textboxrect="0,0,2089150,1206500"/>
                <v:textbox>
                  <w:txbxContent>
                    <w:p w14:paraId="4FE27828" w14:textId="77777777" w:rsidR="00003D52" w:rsidRPr="00FF7E4C" w:rsidRDefault="00003D52" w:rsidP="00BE6C4B">
                      <w:pPr>
                        <w:pStyle w:val="Heading1"/>
                        <w:numPr>
                          <w:ilvl w:val="0"/>
                          <w:numId w:val="18"/>
                        </w:numPr>
                      </w:pPr>
                      <w:bookmarkStart w:id="75" w:name="_Toc78790581"/>
                      <w:bookmarkStart w:id="76" w:name="_Toc78874280"/>
                      <w:bookmarkStart w:id="77" w:name="_Toc78874612"/>
                      <w:r w:rsidRPr="008D791D">
                        <w:t>EM pārskats par Covid-19 laikā izmantojamiem resursiem</w:t>
                      </w:r>
                      <w:bookmarkEnd w:id="75"/>
                      <w:bookmarkEnd w:id="76"/>
                      <w:bookmarkEnd w:id="77"/>
                    </w:p>
                  </w:txbxContent>
                </v:textbox>
                <w10:wrap anchorx="margin"/>
              </v:shape>
            </w:pict>
          </mc:Fallback>
        </mc:AlternateContent>
      </w:r>
      <w:r w:rsidR="005A53B3" w:rsidRPr="00663D4B">
        <w:rPr>
          <w:szCs w:val="24"/>
        </w:rPr>
        <w:t xml:space="preserve">Lai nodrošinātu </w:t>
      </w:r>
      <w:r w:rsidR="005A53B3">
        <w:rPr>
          <w:szCs w:val="24"/>
        </w:rPr>
        <w:t xml:space="preserve">valstī noteiktos epidemioloģiskās drošības pasākumus </w:t>
      </w:r>
      <w:r w:rsidR="005A53B3" w:rsidRPr="00885061">
        <w:rPr>
          <w:szCs w:val="24"/>
        </w:rPr>
        <w:t>Covid-19 infekcijas izplatības ierobežošan</w:t>
      </w:r>
      <w:r w:rsidR="005A53B3">
        <w:rPr>
          <w:szCs w:val="24"/>
        </w:rPr>
        <w:t xml:space="preserve">ai, līdzīgi kā daudzas citas valsts iestādes, ievērojot </w:t>
      </w:r>
      <w:hyperlink r:id="rId117" w:history="1">
        <w:r w:rsidR="00306CB5" w:rsidRPr="00306CB5">
          <w:rPr>
            <w:rStyle w:val="Hyperlink"/>
            <w:i/>
            <w:iCs/>
            <w:color w:val="00859B"/>
            <w:szCs w:val="24"/>
          </w:rPr>
          <w:t>Covid-19 infekcijas izplatības pārvaldības likumā</w:t>
        </w:r>
      </w:hyperlink>
      <w:r w:rsidR="007E211A">
        <w:rPr>
          <w:rStyle w:val="Hyperlink"/>
          <w:i/>
          <w:iCs/>
          <w:color w:val="00859B"/>
          <w:szCs w:val="24"/>
        </w:rPr>
        <w:t xml:space="preserve"> </w:t>
      </w:r>
      <w:r w:rsidR="005A53B3">
        <w:rPr>
          <w:szCs w:val="24"/>
        </w:rPr>
        <w:t>noteiktos nosacījumus, EM 2020. gadā tika veikta virkne atbilstošu darba organizācijas pasākumu.</w:t>
      </w:r>
      <w:r w:rsidR="00117722">
        <w:rPr>
          <w:szCs w:val="24"/>
        </w:rPr>
        <w:t xml:space="preserve"> </w:t>
      </w:r>
    </w:p>
    <w:p w14:paraId="6DDF71D1" w14:textId="66A2A625" w:rsidR="00857047" w:rsidRPr="00CD714F" w:rsidRDefault="00857047" w:rsidP="00857047">
      <w:pPr>
        <w:spacing w:before="60" w:after="60" w:line="240" w:lineRule="auto"/>
        <w:ind w:left="3686"/>
        <w:jc w:val="both"/>
        <w:rPr>
          <w:rFonts w:eastAsia="Times New Roman" w:cs="Times New Roman"/>
          <w:bCs/>
        </w:rPr>
      </w:pPr>
      <w:r>
        <w:rPr>
          <w:szCs w:val="24"/>
        </w:rPr>
        <w:t>Pārskata periodā tika n</w:t>
      </w:r>
      <w:r w:rsidRPr="00CD5FCE">
        <w:t xml:space="preserve">odrošināta </w:t>
      </w:r>
      <w:r>
        <w:t xml:space="preserve">EM darbiniekiem </w:t>
      </w:r>
      <w:r w:rsidRPr="00CD5FCE">
        <w:t xml:space="preserve">attālinātā darba iespēja, </w:t>
      </w:r>
      <w:r>
        <w:t xml:space="preserve">savukārt, </w:t>
      </w:r>
      <w:r w:rsidRPr="00CD5FCE">
        <w:t>klātien</w:t>
      </w:r>
      <w:r>
        <w:t>es darbam</w:t>
      </w:r>
      <w:r w:rsidRPr="00CD5FCE">
        <w:t xml:space="preserve"> noteikti īpaši kritēriji (sevišķās lietvedības dokumentu izstrāde un aprite, ēkas ekspluatācijas tehniskā nodrošināšana</w:t>
      </w:r>
      <w:r>
        <w:t xml:space="preserve"> u.tml.</w:t>
      </w:r>
      <w:r w:rsidRPr="00CD5FCE">
        <w:t xml:space="preserve">). </w:t>
      </w:r>
    </w:p>
    <w:p w14:paraId="3EA32F1D" w14:textId="696B2221" w:rsidR="005A53B3" w:rsidRPr="00092D73" w:rsidRDefault="00117722" w:rsidP="00092D73">
      <w:pPr>
        <w:spacing w:before="60" w:after="60" w:line="240" w:lineRule="auto"/>
        <w:jc w:val="both"/>
        <w:rPr>
          <w:szCs w:val="24"/>
        </w:rPr>
      </w:pPr>
      <w:r>
        <w:rPr>
          <w:szCs w:val="24"/>
        </w:rPr>
        <w:t xml:space="preserve">EM paredzētās </w:t>
      </w:r>
      <w:r>
        <w:t xml:space="preserve">sanāksmes organizēja pēc iespējas attālināti, izmantojot EM pieejamās IKT iespējas. </w:t>
      </w:r>
      <w:r w:rsidR="00092D73">
        <w:rPr>
          <w:szCs w:val="24"/>
        </w:rPr>
        <w:t xml:space="preserve">Tika </w:t>
      </w:r>
      <w:r w:rsidR="00092D73">
        <w:t>n</w:t>
      </w:r>
      <w:r w:rsidR="00092D73" w:rsidRPr="00EC670A">
        <w:t xml:space="preserve">oteiktas </w:t>
      </w:r>
      <w:r w:rsidR="00092D73">
        <w:t xml:space="preserve">arī </w:t>
      </w:r>
      <w:r w:rsidR="00092D73" w:rsidRPr="00EC670A">
        <w:t>atbildīgās personas Covid-19 izplatības ierobežošanas pasākumu ieviešanā.</w:t>
      </w:r>
      <w:r w:rsidR="007E211A">
        <w:t xml:space="preserve"> </w:t>
      </w:r>
      <w:r w:rsidR="005A53B3">
        <w:t>Nodarbināto drošas darba vides uzturēšanai</w:t>
      </w:r>
      <w:r w:rsidR="00092D73">
        <w:t xml:space="preserve"> tika </w:t>
      </w:r>
      <w:r w:rsidR="005A53B3">
        <w:t>izvietoti roku dezinfekcijas līdzekļi;</w:t>
      </w:r>
      <w:r w:rsidR="007E211A">
        <w:t xml:space="preserve"> </w:t>
      </w:r>
      <w:r w:rsidR="005A53B3">
        <w:t>nepieciešamības gadījumā izsniegti mutes un deguna aizsegi;</w:t>
      </w:r>
      <w:r w:rsidR="007E211A">
        <w:t xml:space="preserve"> </w:t>
      </w:r>
      <w:r w:rsidR="005A53B3">
        <w:t>noteikt</w:t>
      </w:r>
      <w:r w:rsidR="00092D73">
        <w:t>i</w:t>
      </w:r>
      <w:r w:rsidR="005A53B3">
        <w:t xml:space="preserve"> savstarpējās distancēšanās nosacījumi;</w:t>
      </w:r>
      <w:r w:rsidR="007E211A">
        <w:t xml:space="preserve"> </w:t>
      </w:r>
      <w:r w:rsidR="005A53B3" w:rsidRPr="00663D4B">
        <w:t>organizēts atbilstošs telpu uzkopšanas režīms</w:t>
      </w:r>
      <w:r w:rsidR="00092D73">
        <w:t xml:space="preserve"> –</w:t>
      </w:r>
      <w:r w:rsidR="005A53B3" w:rsidRPr="00663D4B">
        <w:t xml:space="preserve"> papildu</w:t>
      </w:r>
      <w:r w:rsidR="00092D73">
        <w:t xml:space="preserve"> pasākumi </w:t>
      </w:r>
      <w:r w:rsidR="005A53B3" w:rsidRPr="00663D4B">
        <w:t>durvju rokturu, slēdžu, ūdens krānu un citu virsmu, kas pakļautas biežai saskarei ar rokām, dezinficēšanai pēc noteikta grafika</w:t>
      </w:r>
      <w:r w:rsidR="00092D73">
        <w:t>.</w:t>
      </w:r>
      <w:r w:rsidR="00092D73">
        <w:rPr>
          <w:szCs w:val="24"/>
        </w:rPr>
        <w:t xml:space="preserve"> Pārskata periodā tika </w:t>
      </w:r>
      <w:r w:rsidR="005A53B3" w:rsidRPr="00D94F47">
        <w:t>organizēti nepieciešamie pasākumi, lai ministrijas apsardzes posteņos tiktu nodrošināti apstākļi atbilstoši noteiktās distancēšanās ievērošanai un bezkontakta caurlaižu izsniegšanai.</w:t>
      </w:r>
    </w:p>
    <w:p w14:paraId="15533CFC" w14:textId="77777777" w:rsidR="005A53B3" w:rsidRDefault="005A53B3" w:rsidP="00162A37">
      <w:pPr>
        <w:spacing w:before="60" w:after="60" w:line="240" w:lineRule="auto"/>
        <w:rPr>
          <w:szCs w:val="28"/>
          <w:highlight w:val="yellow"/>
        </w:rPr>
      </w:pPr>
    </w:p>
    <w:tbl>
      <w:tblPr>
        <w:tblStyle w:val="TableGrid"/>
        <w:tblW w:w="0" w:type="auto"/>
        <w:tblLook w:val="04A0" w:firstRow="1" w:lastRow="0" w:firstColumn="1" w:lastColumn="0" w:noHBand="0" w:noVBand="1"/>
      </w:tblPr>
      <w:tblGrid>
        <w:gridCol w:w="9628"/>
      </w:tblGrid>
      <w:tr w:rsidR="008D791D" w:rsidRPr="00F5511B" w14:paraId="723F917E" w14:textId="77777777" w:rsidTr="00607FE2">
        <w:tc>
          <w:tcPr>
            <w:tcW w:w="9628" w:type="dxa"/>
            <w:tcBorders>
              <w:top w:val="nil"/>
              <w:left w:val="nil"/>
              <w:bottom w:val="nil"/>
              <w:right w:val="nil"/>
            </w:tcBorders>
            <w:shd w:val="clear" w:color="auto" w:fill="31849B" w:themeFill="accent5" w:themeFillShade="BF"/>
          </w:tcPr>
          <w:p w14:paraId="35575408" w14:textId="7045AB65" w:rsidR="008D791D" w:rsidRPr="00D51540" w:rsidRDefault="00162A37" w:rsidP="00316F04">
            <w:pPr>
              <w:pStyle w:val="Heading2"/>
              <w:numPr>
                <w:ilvl w:val="0"/>
                <w:numId w:val="0"/>
              </w:numPr>
              <w:spacing w:before="120" w:after="120"/>
              <w:ind w:left="357"/>
              <w:rPr>
                <w:szCs w:val="24"/>
                <w:lang w:val="lv-LV"/>
              </w:rPr>
            </w:pPr>
            <w:bookmarkStart w:id="78" w:name="_Toc78874613"/>
            <w:r>
              <w:rPr>
                <w:szCs w:val="24"/>
                <w:lang w:val="lv-LV"/>
              </w:rPr>
              <w:t>6.1.</w:t>
            </w:r>
            <w:r w:rsidR="00CA343C">
              <w:rPr>
                <w:szCs w:val="24"/>
                <w:lang w:val="lv-LV"/>
              </w:rPr>
              <w:t xml:space="preserve"> </w:t>
            </w:r>
            <w:r w:rsidR="008D791D" w:rsidRPr="00D51540">
              <w:rPr>
                <w:szCs w:val="24"/>
                <w:lang w:val="lv-LV"/>
              </w:rPr>
              <w:t>Personāla raksturojums</w:t>
            </w:r>
            <w:bookmarkEnd w:id="78"/>
          </w:p>
        </w:tc>
      </w:tr>
    </w:tbl>
    <w:p w14:paraId="0BBD7FC5" w14:textId="5259C5F6" w:rsidR="008D791D" w:rsidRPr="00945712" w:rsidRDefault="008D791D" w:rsidP="008D791D">
      <w:pPr>
        <w:spacing w:before="120" w:after="60" w:line="240" w:lineRule="auto"/>
        <w:jc w:val="both"/>
        <w:rPr>
          <w:rFonts w:cs="Times New Roman"/>
          <w:szCs w:val="24"/>
        </w:rPr>
      </w:pPr>
      <w:bookmarkStart w:id="79" w:name="_Hlk78470982"/>
      <w:r>
        <w:rPr>
          <w:rFonts w:cs="Times New Roman"/>
          <w:szCs w:val="24"/>
        </w:rPr>
        <w:t xml:space="preserve">2020.gadā EM </w:t>
      </w:r>
      <w:r w:rsidRPr="00241D0D">
        <w:rPr>
          <w:rFonts w:cs="Times New Roman"/>
          <w:szCs w:val="24"/>
        </w:rPr>
        <w:t>ierēdņu un darbinieku amatu s</w:t>
      </w:r>
      <w:r>
        <w:rPr>
          <w:rFonts w:cs="Times New Roman"/>
          <w:szCs w:val="24"/>
        </w:rPr>
        <w:t xml:space="preserve">araksts bija apstiprināts vidēji ar 214 </w:t>
      </w:r>
      <w:r w:rsidRPr="00241D0D">
        <w:rPr>
          <w:rFonts w:cs="Times New Roman"/>
          <w:szCs w:val="24"/>
        </w:rPr>
        <w:t>amata vietām, no tām – 166 ierēdņu amata vietas un 48 darbinieku amata vietas, t</w:t>
      </w:r>
      <w:r>
        <w:rPr>
          <w:rFonts w:cs="Times New Roman"/>
          <w:szCs w:val="24"/>
        </w:rPr>
        <w:t>.</w:t>
      </w:r>
      <w:r w:rsidRPr="00241D0D">
        <w:rPr>
          <w:rFonts w:cs="Times New Roman"/>
          <w:szCs w:val="24"/>
        </w:rPr>
        <w:t>sk.</w:t>
      </w:r>
      <w:r w:rsidR="007E211A">
        <w:rPr>
          <w:rFonts w:cs="Times New Roman"/>
          <w:szCs w:val="24"/>
        </w:rPr>
        <w:t xml:space="preserve"> </w:t>
      </w:r>
      <w:r w:rsidRPr="00241D0D">
        <w:rPr>
          <w:rFonts w:cs="Times New Roman"/>
          <w:szCs w:val="24"/>
        </w:rPr>
        <w:t>5 konsultatīvās amatpersonas.</w:t>
      </w:r>
      <w:r>
        <w:rPr>
          <w:rFonts w:cs="Times New Roman"/>
          <w:szCs w:val="24"/>
        </w:rPr>
        <w:t xml:space="preserve"> Faktiskais nodarbināto skaits 2020.gadā vidēji bija 191 darbinieks</w:t>
      </w:r>
      <w:r w:rsidR="00C21DAE">
        <w:rPr>
          <w:rFonts w:cs="Times New Roman"/>
          <w:szCs w:val="24"/>
        </w:rPr>
        <w:t xml:space="preserve">, personāla mainība sasniedza 25%. </w:t>
      </w:r>
      <w:r>
        <w:t xml:space="preserve">No visiem EM 2020. gadā nodarbinātajiem </w:t>
      </w:r>
      <w:r w:rsidRPr="00945712">
        <w:t>sadalījums pa dzimuma grupām</w:t>
      </w:r>
      <w:r>
        <w:t xml:space="preserve"> bija – </w:t>
      </w:r>
      <w:r w:rsidR="00A548C7">
        <w:t>68</w:t>
      </w:r>
      <w:r>
        <w:t xml:space="preserve"> % sievietes un </w:t>
      </w:r>
      <w:r w:rsidR="00A548C7">
        <w:t>32</w:t>
      </w:r>
      <w:r>
        <w:t> % vīrieši. Sadalījumā pa vecuma grupām 2% nodarbināto bija vecumā līdz 25 gadiem, 38% vecumā no 25 līdz 35 gadiem, vecuma grupā no 36 līdz 45 gadiem bija 37% nodarbināto, vecuma grupā no 46 līdz 55 gadiem bija 12% nodarbināto, savukārt virs 55 gadiem 11% nodarbināto.</w:t>
      </w:r>
    </w:p>
    <w:p w14:paraId="7FDB58BE" w14:textId="4252A0ED" w:rsidR="008D791D" w:rsidRDefault="008D791D" w:rsidP="00162A37">
      <w:pPr>
        <w:pStyle w:val="NormalWeb"/>
        <w:spacing w:before="60" w:beforeAutospacing="0" w:after="60" w:afterAutospacing="0"/>
        <w:jc w:val="both"/>
        <w:rPr>
          <w:rFonts w:eastAsiaTheme="minorHAnsi"/>
          <w:lang w:eastAsia="en-US"/>
        </w:rPr>
      </w:pPr>
      <w:r>
        <w:t>EM 2% nodarbināto ir doktora grāds, 58% maģistra grāds, 31% bakalaura grāds, 6% nodarbināto ir augstākā izglītība, kura nav pielīdzināta Augstskolu likumā noteiktiem grādiem un profesionālajām kvalifikācijām, kā arī 3% nodarbināto nav augstākās izglītības vai tie turpina studijas, lai iegūtu bakalaura grādu. Sadalījums pa izglītības jomām veidojas šāds: 25% nodarbināto ir izglītība vadībzinātnēs (t.sk. arī uzņēmējdarbībā), 38% – juridiskā izglītība vai ekonomiskā izglītība, 16% – izglītība inženierzinātnēs (t.sk. būvniecībā) vai dabaszinātnēs un informācijas tehnoloģijās, 6% – politikas zinātnēs, 7% – ES studijās un humanitārajās zinātnēs, attiecīgi 8% ir dažādās sīkāk nesaklasificētās nozarēs</w:t>
      </w:r>
      <w:r w:rsidRPr="00D51540">
        <w:rPr>
          <w:rFonts w:eastAsiaTheme="minorHAnsi"/>
          <w:lang w:eastAsia="en-US"/>
        </w:rPr>
        <w:t>.</w:t>
      </w:r>
    </w:p>
    <w:bookmarkEnd w:id="79"/>
    <w:p w14:paraId="1CE8695C" w14:textId="77777777" w:rsidR="008D791D" w:rsidRDefault="008D791D" w:rsidP="00162A37">
      <w:pPr>
        <w:spacing w:before="60" w:after="60" w:line="240" w:lineRule="auto"/>
        <w:rPr>
          <w:szCs w:val="28"/>
          <w:highlight w:val="yellow"/>
        </w:rPr>
      </w:pPr>
    </w:p>
    <w:tbl>
      <w:tblPr>
        <w:tblStyle w:val="TableGrid"/>
        <w:tblW w:w="0" w:type="auto"/>
        <w:tblLook w:val="04A0" w:firstRow="1" w:lastRow="0" w:firstColumn="1" w:lastColumn="0" w:noHBand="0" w:noVBand="1"/>
      </w:tblPr>
      <w:tblGrid>
        <w:gridCol w:w="9628"/>
      </w:tblGrid>
      <w:tr w:rsidR="008D791D" w:rsidRPr="00C55830" w14:paraId="055796A3" w14:textId="77777777" w:rsidTr="00607FE2">
        <w:tc>
          <w:tcPr>
            <w:tcW w:w="9628" w:type="dxa"/>
            <w:tcBorders>
              <w:top w:val="nil"/>
              <w:left w:val="nil"/>
              <w:bottom w:val="nil"/>
              <w:right w:val="nil"/>
            </w:tcBorders>
            <w:shd w:val="clear" w:color="auto" w:fill="31849B" w:themeFill="accent5" w:themeFillShade="BF"/>
          </w:tcPr>
          <w:p w14:paraId="1B1EBD79" w14:textId="7F0BAA86" w:rsidR="008D791D" w:rsidRPr="00DE2359" w:rsidRDefault="00CD714F" w:rsidP="00CD714F">
            <w:pPr>
              <w:pStyle w:val="Heading2"/>
              <w:numPr>
                <w:ilvl w:val="0"/>
                <w:numId w:val="0"/>
              </w:numPr>
              <w:spacing w:before="120" w:after="120"/>
              <w:ind w:left="316"/>
              <w:rPr>
                <w:szCs w:val="24"/>
                <w:lang w:val="lv-LV"/>
              </w:rPr>
            </w:pPr>
            <w:bookmarkStart w:id="80" w:name="_Toc78874614"/>
            <w:r>
              <w:rPr>
                <w:szCs w:val="24"/>
                <w:lang w:val="lv-LV"/>
              </w:rPr>
              <w:t xml:space="preserve">6.2. </w:t>
            </w:r>
            <w:r w:rsidR="008D791D" w:rsidRPr="00DE2359">
              <w:rPr>
                <w:szCs w:val="24"/>
                <w:lang w:val="lv-LV"/>
              </w:rPr>
              <w:t>IT nodrošinājums, t.sk. attālinātā darba organizēšana un IT sistēmu darbība visā EM resorā un ar to saistītās izmaiņas Covid-19 laikā</w:t>
            </w:r>
            <w:bookmarkEnd w:id="80"/>
          </w:p>
        </w:tc>
      </w:tr>
    </w:tbl>
    <w:p w14:paraId="0C3AB03A" w14:textId="0714080D" w:rsidR="008D791D" w:rsidRDefault="008D791D" w:rsidP="008D791D">
      <w:pPr>
        <w:spacing w:before="120" w:after="60" w:line="240" w:lineRule="auto"/>
        <w:jc w:val="both"/>
        <w:rPr>
          <w:rFonts w:eastAsia="Times New Roman" w:cs="Times New Roman"/>
          <w:bCs/>
        </w:rPr>
      </w:pPr>
      <w:r>
        <w:rPr>
          <w:rFonts w:eastAsia="Times New Roman" w:cs="Times New Roman"/>
          <w:bCs/>
        </w:rPr>
        <w:t xml:space="preserve">Kopumā </w:t>
      </w:r>
      <w:r w:rsidRPr="002C503C">
        <w:rPr>
          <w:rFonts w:eastAsia="Times New Roman" w:cs="Times New Roman"/>
          <w:bCs/>
        </w:rPr>
        <w:t xml:space="preserve">visi </w:t>
      </w:r>
      <w:r>
        <w:rPr>
          <w:rFonts w:eastAsia="Times New Roman" w:cs="Times New Roman"/>
          <w:bCs/>
        </w:rPr>
        <w:t>EM</w:t>
      </w:r>
      <w:r w:rsidRPr="002C503C">
        <w:rPr>
          <w:rFonts w:eastAsia="Times New Roman" w:cs="Times New Roman"/>
          <w:bCs/>
        </w:rPr>
        <w:t xml:space="preserve"> īstenotie </w:t>
      </w:r>
      <w:r w:rsidRPr="002C503C">
        <w:rPr>
          <w:bCs/>
        </w:rPr>
        <w:t>IKT attīstības, pilnveidošanas un centralizācijas pasākumi</w:t>
      </w:r>
      <w:r w:rsidR="00225AB2">
        <w:rPr>
          <w:bCs/>
        </w:rPr>
        <w:t xml:space="preserve"> </w:t>
      </w:r>
      <w:r w:rsidRPr="002C503C">
        <w:rPr>
          <w:bCs/>
        </w:rPr>
        <w:t xml:space="preserve">lielā mērā ietekmē </w:t>
      </w:r>
      <w:r w:rsidRPr="002C503C">
        <w:rPr>
          <w:rFonts w:eastAsia="Times New Roman" w:cs="Times New Roman"/>
          <w:bCs/>
        </w:rPr>
        <w:t>ekonomiskās aktivitātes atjaunošanu un C</w:t>
      </w:r>
      <w:r>
        <w:rPr>
          <w:rFonts w:eastAsia="Times New Roman" w:cs="Times New Roman"/>
          <w:bCs/>
        </w:rPr>
        <w:t>ovid</w:t>
      </w:r>
      <w:r w:rsidRPr="002C503C">
        <w:rPr>
          <w:rFonts w:eastAsia="Times New Roman" w:cs="Times New Roman"/>
          <w:bCs/>
        </w:rPr>
        <w:t>-19 seku mazināšanu</w:t>
      </w:r>
      <w:r>
        <w:rPr>
          <w:rFonts w:eastAsia="Times New Roman" w:cs="Times New Roman"/>
          <w:bCs/>
        </w:rPr>
        <w:t xml:space="preserve">. </w:t>
      </w:r>
      <w:r w:rsidR="00162A37">
        <w:rPr>
          <w:rFonts w:eastAsia="Times New Roman" w:cs="Times New Roman"/>
          <w:bCs/>
        </w:rPr>
        <w:t>A</w:t>
      </w:r>
      <w:r w:rsidRPr="002C503C">
        <w:rPr>
          <w:rFonts w:eastAsia="Times New Roman" w:cs="Times New Roman"/>
          <w:bCs/>
        </w:rPr>
        <w:t>r veiktajiem pasākumiem gan no tehnisko resursu</w:t>
      </w:r>
      <w:r>
        <w:rPr>
          <w:rFonts w:eastAsia="Times New Roman" w:cs="Times New Roman"/>
          <w:bCs/>
        </w:rPr>
        <w:t>, gan no</w:t>
      </w:r>
      <w:r w:rsidRPr="002C503C">
        <w:rPr>
          <w:rFonts w:eastAsia="Times New Roman" w:cs="Times New Roman"/>
          <w:bCs/>
        </w:rPr>
        <w:t xml:space="preserve"> informācijas sistēmu darbības </w:t>
      </w:r>
      <w:r>
        <w:rPr>
          <w:rFonts w:eastAsia="Times New Roman" w:cs="Times New Roman"/>
          <w:bCs/>
        </w:rPr>
        <w:t>aspekta</w:t>
      </w:r>
      <w:r w:rsidRPr="002C503C">
        <w:rPr>
          <w:rFonts w:eastAsia="Times New Roman" w:cs="Times New Roman"/>
          <w:bCs/>
        </w:rPr>
        <w:t xml:space="preserve"> bij</w:t>
      </w:r>
      <w:r w:rsidR="00162A37">
        <w:rPr>
          <w:rFonts w:eastAsia="Times New Roman" w:cs="Times New Roman"/>
          <w:bCs/>
        </w:rPr>
        <w:t>a</w:t>
      </w:r>
      <w:r w:rsidRPr="002C503C">
        <w:rPr>
          <w:rFonts w:eastAsia="Times New Roman" w:cs="Times New Roman"/>
          <w:bCs/>
        </w:rPr>
        <w:t xml:space="preserve"> iespējams pilnībā nodrošināt attālinātu </w:t>
      </w:r>
      <w:r>
        <w:rPr>
          <w:rFonts w:eastAsia="Times New Roman" w:cs="Times New Roman"/>
          <w:bCs/>
        </w:rPr>
        <w:t xml:space="preserve">EM </w:t>
      </w:r>
      <w:r w:rsidRPr="002C503C">
        <w:rPr>
          <w:rFonts w:eastAsia="Times New Roman" w:cs="Times New Roman"/>
          <w:bCs/>
        </w:rPr>
        <w:t xml:space="preserve">darba procesu. </w:t>
      </w:r>
      <w:r w:rsidR="00162A37">
        <w:rPr>
          <w:rFonts w:eastAsia="Times New Roman" w:cs="Times New Roman"/>
          <w:bCs/>
        </w:rPr>
        <w:t xml:space="preserve">Pārskata periodā </w:t>
      </w:r>
      <w:r w:rsidRPr="002C503C">
        <w:rPr>
          <w:rFonts w:eastAsia="Times New Roman" w:cs="Times New Roman"/>
          <w:bCs/>
        </w:rPr>
        <w:t xml:space="preserve">veiktie IKT </w:t>
      </w:r>
      <w:r w:rsidRPr="002C503C">
        <w:rPr>
          <w:bCs/>
        </w:rPr>
        <w:t xml:space="preserve">attīstības, pilnveidošanas un centralizācijas </w:t>
      </w:r>
      <w:r w:rsidRPr="002C503C">
        <w:rPr>
          <w:rFonts w:eastAsia="Times New Roman" w:cs="Times New Roman"/>
          <w:bCs/>
        </w:rPr>
        <w:t>pasākumi samazina</w:t>
      </w:r>
      <w:r w:rsidR="00162A37">
        <w:rPr>
          <w:rFonts w:eastAsia="Times New Roman" w:cs="Times New Roman"/>
          <w:bCs/>
        </w:rPr>
        <w:t xml:space="preserve"> arī</w:t>
      </w:r>
      <w:r w:rsidRPr="002C503C">
        <w:rPr>
          <w:rFonts w:eastAsia="Times New Roman" w:cs="Times New Roman"/>
          <w:bCs/>
        </w:rPr>
        <w:t xml:space="preserve"> IKT uzturēšanas un administrēšanas izmaksas, tādā veidā dodot iespēju ietaupītos finansiālos resursus novirzīt citu mērķu</w:t>
      </w:r>
      <w:r w:rsidR="00117722">
        <w:rPr>
          <w:rFonts w:eastAsia="Times New Roman" w:cs="Times New Roman"/>
          <w:bCs/>
        </w:rPr>
        <w:t xml:space="preserve"> sasniegšanai</w:t>
      </w:r>
      <w:r w:rsidRPr="002C503C">
        <w:rPr>
          <w:rFonts w:eastAsia="Times New Roman" w:cs="Times New Roman"/>
          <w:bCs/>
        </w:rPr>
        <w:t>, kas saistīti ar ekonomiskās aktivitātes atjaunošanu un C</w:t>
      </w:r>
      <w:r>
        <w:rPr>
          <w:rFonts w:eastAsia="Times New Roman" w:cs="Times New Roman"/>
          <w:bCs/>
        </w:rPr>
        <w:t>ovid</w:t>
      </w:r>
      <w:r w:rsidRPr="002C503C">
        <w:rPr>
          <w:rFonts w:eastAsia="Times New Roman" w:cs="Times New Roman"/>
          <w:bCs/>
        </w:rPr>
        <w:t xml:space="preserve">-19 seku mazināšanu. </w:t>
      </w:r>
    </w:p>
    <w:p w14:paraId="42875FB6" w14:textId="1C7A8C8F" w:rsidR="008D791D" w:rsidRDefault="00CA343C" w:rsidP="008D791D">
      <w:pPr>
        <w:spacing w:before="60" w:after="60" w:line="240" w:lineRule="auto"/>
        <w:jc w:val="both"/>
        <w:rPr>
          <w:rFonts w:eastAsia="Times New Roman" w:cs="Times New Roman"/>
          <w:bCs/>
        </w:rPr>
      </w:pPr>
      <w:r>
        <w:rPr>
          <w:rFonts w:eastAsia="Times New Roman" w:cs="Times New Roman"/>
          <w:bCs/>
        </w:rPr>
        <w:t>N</w:t>
      </w:r>
      <w:r w:rsidR="008D791D">
        <w:rPr>
          <w:rFonts w:eastAsia="Times New Roman" w:cs="Times New Roman"/>
          <w:bCs/>
        </w:rPr>
        <w:t>ozīmīgu ieguldījumu sniedza paveiktais ERAF</w:t>
      </w:r>
      <w:r w:rsidR="008D791D" w:rsidRPr="00FA128E">
        <w:rPr>
          <w:rFonts w:eastAsia="Times New Roman" w:cs="Times New Roman"/>
          <w:bCs/>
        </w:rPr>
        <w:t xml:space="preserve"> projekta </w:t>
      </w:r>
      <w:r w:rsidR="008D791D">
        <w:rPr>
          <w:rFonts w:eastAsia="Times New Roman" w:cs="Times New Roman"/>
          <w:bCs/>
        </w:rPr>
        <w:t>“</w:t>
      </w:r>
      <w:r w:rsidR="008D791D" w:rsidRPr="00117722">
        <w:rPr>
          <w:rFonts w:eastAsia="Times New Roman" w:cs="Times New Roman"/>
          <w:bCs/>
          <w:i/>
          <w:iCs/>
        </w:rPr>
        <w:t>Vienotas darba vides izveide visā EM resorā</w:t>
      </w:r>
      <w:r w:rsidR="008D791D" w:rsidRPr="00FA128E">
        <w:rPr>
          <w:rFonts w:eastAsia="Times New Roman" w:cs="Times New Roman"/>
          <w:bCs/>
        </w:rPr>
        <w:t>” (turpmāk – VDV projekts) īstenošana</w:t>
      </w:r>
      <w:r w:rsidR="008D791D">
        <w:rPr>
          <w:rFonts w:eastAsia="Times New Roman" w:cs="Times New Roman"/>
          <w:bCs/>
        </w:rPr>
        <w:t xml:space="preserve">s ietvaros un sasniegtie rezultatīvie radītāji. VDV projekta ietvaros jau iepriekš radītie produkti deva iespēju operatīvi un augstā kvalitātes līmenī </w:t>
      </w:r>
      <w:r w:rsidR="008D791D">
        <w:rPr>
          <w:rFonts w:eastAsia="Times New Roman" w:cs="Times New Roman"/>
          <w:bCs/>
        </w:rPr>
        <w:lastRenderedPageBreak/>
        <w:t>pilnībā nodrošināt EM resora darbu Covid-19 izplatības apstākļos, kad vienlaikus visu veicamo funkciju un uzdevumu izpildi īsā laika periodā bija iespējams pārkārtot attālinātā formātā.</w:t>
      </w:r>
    </w:p>
    <w:p w14:paraId="5E6F9D43" w14:textId="268590BF" w:rsidR="008D791D" w:rsidRPr="00652F14" w:rsidRDefault="008D791D" w:rsidP="008D791D">
      <w:pPr>
        <w:spacing w:before="60" w:after="60" w:line="240" w:lineRule="auto"/>
        <w:jc w:val="both"/>
      </w:pPr>
      <w:r>
        <w:t xml:space="preserve">Pārskata periodā tika paveikts darbs </w:t>
      </w:r>
      <w:r w:rsidRPr="00652F14">
        <w:t>EM resora nodarbinā</w:t>
      </w:r>
      <w:r>
        <w:t>tos</w:t>
      </w:r>
      <w:r w:rsidRPr="00652F14">
        <w:t xml:space="preserve"> nodrošin</w:t>
      </w:r>
      <w:r>
        <w:t>ot</w:t>
      </w:r>
      <w:r w:rsidRPr="00652F14">
        <w:t xml:space="preserve"> ar portatīvajiem datoriem</w:t>
      </w:r>
      <w:r>
        <w:t>,</w:t>
      </w:r>
      <w:r w:rsidRPr="00652F14">
        <w:t xml:space="preserve"> pieejamā finansējuma ietvaros</w:t>
      </w:r>
      <w:r w:rsidR="00117722">
        <w:t>,</w:t>
      </w:r>
      <w:r w:rsidRPr="00652F14">
        <w:t xml:space="preserve"> veic</w:t>
      </w:r>
      <w:r>
        <w:t>ot</w:t>
      </w:r>
      <w:r w:rsidRPr="00652F14">
        <w:t xml:space="preserve"> portatīvo datoru, kuru ekspluatācijas laiks ir sasniedzis piecus gadus, nomaiņu pret jauniem portatīvajiem datoriem. Attiecīgi EM un tās padotības iestāžu nodarbinātie plānveidīgi aizvien vairāk tika nodrošināti ar jaunās paaudzes portatīvajiem datoriem</w:t>
      </w:r>
      <w:r>
        <w:t xml:space="preserve">. Tika veikta arī </w:t>
      </w:r>
      <w:r w:rsidRPr="00652F14">
        <w:t>stacionāro datoru nomaiņ</w:t>
      </w:r>
      <w:r>
        <w:t>a</w:t>
      </w:r>
      <w:r w:rsidRPr="00652F14">
        <w:t xml:space="preserve"> pret portatīvajiem datoriem.</w:t>
      </w:r>
      <w:r w:rsidR="00225AB2">
        <w:t xml:space="preserve"> </w:t>
      </w:r>
      <w:r w:rsidRPr="00652F14">
        <w:t>Tādējādi EM resora iestāžu nodarbinātajiem pilnībā tika nodrošināts</w:t>
      </w:r>
      <w:r w:rsidRPr="002C503C">
        <w:rPr>
          <w:rFonts w:eastAsia="Arial"/>
        </w:rPr>
        <w:t xml:space="preserve"> nepieciešamais IKT </w:t>
      </w:r>
      <w:r w:rsidR="00CA343C">
        <w:rPr>
          <w:rFonts w:eastAsia="Arial"/>
        </w:rPr>
        <w:t>aprīkojums</w:t>
      </w:r>
      <w:r w:rsidRPr="002C503C">
        <w:rPr>
          <w:rFonts w:eastAsia="Arial"/>
        </w:rPr>
        <w:t>.</w:t>
      </w:r>
      <w:r w:rsidR="00225AB2">
        <w:rPr>
          <w:rFonts w:eastAsia="Arial"/>
        </w:rPr>
        <w:t xml:space="preserve"> </w:t>
      </w:r>
      <w:r w:rsidRPr="00D94164">
        <w:rPr>
          <w:rFonts w:eastAsia="Arial"/>
        </w:rPr>
        <w:t xml:space="preserve">LIAA nodarbināto nodrošināšana ar portatīvajiem datoriem bija iespējama tikai daļēji finansiālo resursu nepietiekamības dēļ. Tomēr tā vietā LIAA tika piedāvāta </w:t>
      </w:r>
      <w:r>
        <w:rPr>
          <w:rFonts w:eastAsia="Arial"/>
        </w:rPr>
        <w:t>VDV projekta ietvaros izstrādātā d</w:t>
      </w:r>
      <w:r w:rsidRPr="003D5348">
        <w:rPr>
          <w:rFonts w:eastAsia="Arial"/>
        </w:rPr>
        <w:t>arbstaciju virtuālā</w:t>
      </w:r>
      <w:r w:rsidR="00225AB2">
        <w:rPr>
          <w:rFonts w:eastAsia="Arial"/>
        </w:rPr>
        <w:t xml:space="preserve"> </w:t>
      </w:r>
      <w:r w:rsidRPr="003D5348">
        <w:rPr>
          <w:rFonts w:eastAsia="Arial"/>
        </w:rPr>
        <w:t>vide</w:t>
      </w:r>
      <w:r w:rsidR="00225AB2">
        <w:rPr>
          <w:rFonts w:eastAsia="Arial"/>
        </w:rPr>
        <w:t xml:space="preserve"> </w:t>
      </w:r>
      <w:r w:rsidRPr="00F02994">
        <w:rPr>
          <w:rFonts w:eastAsia="Arial"/>
          <w:i/>
          <w:iCs/>
        </w:rPr>
        <w:t>Citrix</w:t>
      </w:r>
      <w:r>
        <w:rPr>
          <w:rFonts w:eastAsia="Arial"/>
        </w:rPr>
        <w:t xml:space="preserve">, kas deva iespēju lielākai daļai LIAA nodarbinātajiem strādāt attālinātā veidā un piekļūt LIAA informācijas sistēmu infrastruktūrai.  </w:t>
      </w:r>
    </w:p>
    <w:p w14:paraId="7AF0EC80" w14:textId="768DD9C1" w:rsidR="008D791D" w:rsidRDefault="008D791D" w:rsidP="008D791D">
      <w:pPr>
        <w:spacing w:before="60" w:after="60" w:line="240" w:lineRule="auto"/>
        <w:jc w:val="both"/>
        <w:rPr>
          <w:rFonts w:eastAsia="Arial"/>
        </w:rPr>
      </w:pPr>
      <w:r w:rsidRPr="002C503C">
        <w:rPr>
          <w:rFonts w:eastAsia="Times New Roman" w:cs="Times New Roman"/>
        </w:rPr>
        <w:t>2020. gadā pilnībā tika pabeigta</w:t>
      </w:r>
      <w:r>
        <w:rPr>
          <w:rFonts w:eastAsia="Times New Roman" w:cs="Times New Roman"/>
        </w:rPr>
        <w:t xml:space="preserve"> iepriekšējā gadā uzsāktā</w:t>
      </w:r>
      <w:r w:rsidR="00225AB2">
        <w:rPr>
          <w:rFonts w:eastAsia="Times New Roman" w:cs="Times New Roman"/>
        </w:rPr>
        <w:t xml:space="preserve"> </w:t>
      </w:r>
      <w:r w:rsidRPr="00117722">
        <w:rPr>
          <w:rFonts w:eastAsia="Times New Roman" w:cs="Times New Roman"/>
        </w:rPr>
        <w:t xml:space="preserve">dokumentu vadības sistēmas </w:t>
      </w:r>
      <w:r w:rsidRPr="00796D48">
        <w:rPr>
          <w:rFonts w:eastAsia="Times New Roman" w:cs="Times New Roman"/>
        </w:rPr>
        <w:t>(turpmāk – DVS</w:t>
      </w:r>
      <w:r w:rsidRPr="00117722">
        <w:rPr>
          <w:rFonts w:eastAsia="Times New Roman" w:cs="Times New Roman"/>
        </w:rPr>
        <w:t>)</w:t>
      </w:r>
      <w:r w:rsidR="00225AB2" w:rsidRPr="00117722">
        <w:rPr>
          <w:rFonts w:eastAsia="Times New Roman" w:cs="Times New Roman"/>
        </w:rPr>
        <w:t xml:space="preserve"> </w:t>
      </w:r>
      <w:r w:rsidRPr="00117722">
        <w:rPr>
          <w:rFonts w:eastAsia="Arial"/>
          <w:i/>
          <w:iCs/>
        </w:rPr>
        <w:t>Namejs Enterprise</w:t>
      </w:r>
      <w:r w:rsidRPr="00117722">
        <w:rPr>
          <w:rFonts w:eastAsia="Arial"/>
        </w:rPr>
        <w:t xml:space="preserve"> centralizācija visās </w:t>
      </w:r>
      <w:r w:rsidRPr="002C503C">
        <w:rPr>
          <w:rFonts w:eastAsia="Arial"/>
        </w:rPr>
        <w:t xml:space="preserve">EM resora iestādēs, kā arī veikti dažādi sistēmas attīstības un pilnveidošanas </w:t>
      </w:r>
      <w:r w:rsidRPr="003D5348">
        <w:rPr>
          <w:rFonts w:eastAsia="Arial"/>
        </w:rPr>
        <w:t xml:space="preserve">procesi (piemēram, DVS </w:t>
      </w:r>
      <w:r w:rsidRPr="00870CA1">
        <w:rPr>
          <w:rFonts w:eastAsia="Arial"/>
          <w:i/>
          <w:iCs/>
        </w:rPr>
        <w:t>Namejs Enterprise</w:t>
      </w:r>
      <w:r w:rsidRPr="003D5348">
        <w:rPr>
          <w:rFonts w:eastAsia="Arial"/>
        </w:rPr>
        <w:t xml:space="preserve"> integrācija ar LIAA Latvijas eksporta un investīciju informācijas sistēm</w:t>
      </w:r>
      <w:r>
        <w:rPr>
          <w:rFonts w:eastAsia="Arial"/>
        </w:rPr>
        <w:t>u</w:t>
      </w:r>
      <w:r w:rsidRPr="003D5348">
        <w:rPr>
          <w:rFonts w:eastAsia="Arial"/>
        </w:rPr>
        <w:t xml:space="preserve">). </w:t>
      </w:r>
    </w:p>
    <w:p w14:paraId="07ADF08D" w14:textId="2B2042E9" w:rsidR="008D791D" w:rsidRPr="00596B90" w:rsidRDefault="008D791D" w:rsidP="008D791D">
      <w:pPr>
        <w:tabs>
          <w:tab w:val="left" w:pos="709"/>
        </w:tabs>
        <w:spacing w:before="60" w:after="60" w:line="240" w:lineRule="auto"/>
        <w:jc w:val="both"/>
        <w:rPr>
          <w:rFonts w:eastAsia="Arial"/>
        </w:rPr>
      </w:pPr>
      <w:r w:rsidRPr="002C503C">
        <w:rPr>
          <w:rFonts w:eastAsia="Arial"/>
        </w:rPr>
        <w:t xml:space="preserve">2020. gadā tika panākts liels progress pie </w:t>
      </w:r>
      <w:r w:rsidRPr="003B2E5D">
        <w:rPr>
          <w:rFonts w:eastAsia="Arial"/>
          <w:i/>
          <w:iCs/>
        </w:rPr>
        <w:t>Biznesa Inteliģences rīka</w:t>
      </w:r>
      <w:r w:rsidRPr="002C503C">
        <w:rPr>
          <w:rFonts w:eastAsia="Arial"/>
        </w:rPr>
        <w:t xml:space="preserve"> risinājuma ieviešanas, k</w:t>
      </w:r>
      <w:r>
        <w:rPr>
          <w:rFonts w:eastAsia="Arial"/>
        </w:rPr>
        <w:t>as</w:t>
      </w:r>
      <w:r w:rsidRPr="002C503C">
        <w:rPr>
          <w:rFonts w:eastAsia="Arial"/>
        </w:rPr>
        <w:t xml:space="preserve"> tiks pabeigta 2021. gadā. 2020. gadā tika uzsākta sadarbība ar Latvijas Nacionālo bibliotēku </w:t>
      </w:r>
      <w:r w:rsidR="00117722">
        <w:rPr>
          <w:rFonts w:eastAsia="Arial"/>
        </w:rPr>
        <w:t xml:space="preserve">(LNB) </w:t>
      </w:r>
      <w:r w:rsidRPr="002C503C">
        <w:rPr>
          <w:rFonts w:eastAsia="Arial"/>
        </w:rPr>
        <w:t>par EM resora vienotā datu centra pakalpojumu sniegšanu, kuras ietvaros norisinājās darbs pie vienota datu centra izveides visā EM resorā.</w:t>
      </w:r>
      <w:r w:rsidR="003A3DEA">
        <w:rPr>
          <w:rFonts w:eastAsia="Arial"/>
        </w:rPr>
        <w:t xml:space="preserve"> </w:t>
      </w:r>
      <w:r w:rsidRPr="00522A5E">
        <w:rPr>
          <w:rFonts w:eastAsia="Arial"/>
        </w:rPr>
        <w:t xml:space="preserve">Kā arī VDV projekta ietvaros 2020. gadā veikts darbs pie EM resora </w:t>
      </w:r>
      <w:r>
        <w:rPr>
          <w:rFonts w:eastAsia="Arial"/>
        </w:rPr>
        <w:t xml:space="preserve">datu pārraides </w:t>
      </w:r>
      <w:r w:rsidRPr="00522A5E">
        <w:rPr>
          <w:rFonts w:eastAsia="Arial"/>
        </w:rPr>
        <w:t xml:space="preserve">tīkla savienojumu izveidošanas </w:t>
      </w:r>
      <w:r>
        <w:rPr>
          <w:rFonts w:eastAsia="Arial"/>
        </w:rPr>
        <w:t xml:space="preserve">starp EM vienoto datu centru </w:t>
      </w:r>
      <w:r w:rsidR="00117722">
        <w:rPr>
          <w:rFonts w:eastAsia="Arial"/>
        </w:rPr>
        <w:t>LNB</w:t>
      </w:r>
      <w:r>
        <w:rPr>
          <w:rFonts w:eastAsia="Arial"/>
        </w:rPr>
        <w:t xml:space="preserve"> un EM un tās padotības iestādēm, izmantojot</w:t>
      </w:r>
      <w:r w:rsidR="003A3DEA">
        <w:rPr>
          <w:rFonts w:eastAsia="Arial"/>
        </w:rPr>
        <w:t xml:space="preserve"> </w:t>
      </w:r>
      <w:r w:rsidRPr="00522A5E">
        <w:rPr>
          <w:rFonts w:eastAsia="Arial"/>
        </w:rPr>
        <w:t>Valsts elektronisko sakaru pakalpojumu centra</w:t>
      </w:r>
      <w:r>
        <w:rPr>
          <w:rFonts w:eastAsia="Arial"/>
        </w:rPr>
        <w:t xml:space="preserve"> tīkla infrastruktūras pakalpojumu,</w:t>
      </w:r>
      <w:r w:rsidR="006155E0">
        <w:rPr>
          <w:rFonts w:eastAsia="Arial"/>
        </w:rPr>
        <w:t xml:space="preserve"> </w:t>
      </w:r>
      <w:r w:rsidRPr="00522A5E">
        <w:rPr>
          <w:rFonts w:eastAsia="Arial"/>
        </w:rPr>
        <w:t xml:space="preserve">kura ietvaros </w:t>
      </w:r>
      <w:r>
        <w:rPr>
          <w:rFonts w:eastAsia="Arial"/>
        </w:rPr>
        <w:t xml:space="preserve">tīkla infrastruktūra tiek nodrošināta augstā pieejamībā </w:t>
      </w:r>
      <w:r w:rsidRPr="00522A5E">
        <w:rPr>
          <w:rFonts w:eastAsia="Arial"/>
        </w:rPr>
        <w:t>atbilstoši IKT vajadzībām.</w:t>
      </w:r>
      <w:r>
        <w:rPr>
          <w:rFonts w:eastAsia="Arial"/>
        </w:rPr>
        <w:t xml:space="preserve"> Tāpat</w:t>
      </w:r>
      <w:r w:rsidRPr="00574BF1">
        <w:rPr>
          <w:rFonts w:eastAsia="Arial"/>
        </w:rPr>
        <w:t xml:space="preserve"> 2020. gadā VDV projekta ietvaros tika veikts darbs pie EM resora centralizēta ugunsmūra risinājuma ierīkošanas, ar mērķi nodrošināt EM resorā centralizētu ugunsmūra pārvaldību ar vienotas drošības politikas nosacījumiem, kā arī nodrošināt nepieciešamās ugunsmūra noslodzes jaudas, kas veidojas sastrēgumstundās EM resorā.</w:t>
      </w:r>
      <w:r w:rsidR="006155E0">
        <w:rPr>
          <w:rFonts w:eastAsia="Arial"/>
        </w:rPr>
        <w:t xml:space="preserve"> </w:t>
      </w:r>
      <w:r w:rsidRPr="00596B90">
        <w:rPr>
          <w:rFonts w:eastAsia="Arial"/>
        </w:rPr>
        <w:t>Īpaši uzsverams, ka 2020. gadā, kad visām valsts pārvaldes iestādēm</w:t>
      </w:r>
      <w:r>
        <w:rPr>
          <w:rFonts w:eastAsia="Arial"/>
        </w:rPr>
        <w:t xml:space="preserve"> ļoti</w:t>
      </w:r>
      <w:r w:rsidRPr="00596B90">
        <w:rPr>
          <w:rFonts w:eastAsia="Arial"/>
        </w:rPr>
        <w:t xml:space="preserve"> īsā laikā bija nepieciešams pilnībā pārkārtot darba veikšanas formātu, </w:t>
      </w:r>
      <w:r>
        <w:rPr>
          <w:rFonts w:eastAsia="Arial"/>
        </w:rPr>
        <w:t>EM</w:t>
      </w:r>
      <w:r w:rsidRPr="00596B90">
        <w:rPr>
          <w:rFonts w:eastAsia="Arial"/>
        </w:rPr>
        <w:t xml:space="preserve"> resors </w:t>
      </w:r>
      <w:r w:rsidR="00CA343C">
        <w:rPr>
          <w:rFonts w:eastAsia="Arial"/>
        </w:rPr>
        <w:t>izvairījās no</w:t>
      </w:r>
      <w:r w:rsidRPr="00596B90">
        <w:rPr>
          <w:rFonts w:eastAsia="Arial"/>
        </w:rPr>
        <w:t xml:space="preserve"> daudziem IKT izaicinājumiem, jo </w:t>
      </w:r>
      <w:r>
        <w:rPr>
          <w:rFonts w:eastAsia="Arial"/>
        </w:rPr>
        <w:t>iepriekš</w:t>
      </w:r>
      <w:r w:rsidR="006155E0">
        <w:rPr>
          <w:rFonts w:eastAsia="Arial"/>
        </w:rPr>
        <w:t xml:space="preserve"> </w:t>
      </w:r>
      <w:r>
        <w:rPr>
          <w:rFonts w:eastAsia="Arial"/>
        </w:rPr>
        <w:t xml:space="preserve">un </w:t>
      </w:r>
      <w:r w:rsidRPr="00596B90">
        <w:rPr>
          <w:rFonts w:eastAsia="Arial"/>
        </w:rPr>
        <w:t>VDV projekta ietvaros radītie produkti ļāva nodrošināt nepārtrauktu un harmonisku pārrēju uz attālinātu darbu</w:t>
      </w:r>
      <w:r w:rsidR="001565A0">
        <w:rPr>
          <w:rFonts w:eastAsia="Arial"/>
        </w:rPr>
        <w:t>,</w:t>
      </w:r>
      <w:r w:rsidR="001565A0" w:rsidRPr="00596B90">
        <w:rPr>
          <w:rFonts w:eastAsia="Arial"/>
        </w:rPr>
        <w:t xml:space="preserve"> </w:t>
      </w:r>
      <w:r>
        <w:rPr>
          <w:rFonts w:eastAsia="Arial"/>
        </w:rPr>
        <w:t xml:space="preserve">īpaši </w:t>
      </w:r>
      <w:r w:rsidR="001565A0" w:rsidRPr="00596B90">
        <w:rPr>
          <w:rFonts w:eastAsia="Arial"/>
        </w:rPr>
        <w:t>attaisnoj</w:t>
      </w:r>
      <w:r w:rsidR="001565A0">
        <w:rPr>
          <w:rFonts w:eastAsia="Arial"/>
        </w:rPr>
        <w:t>ot</w:t>
      </w:r>
      <w:r w:rsidR="001565A0" w:rsidRPr="00596B90">
        <w:rPr>
          <w:rFonts w:eastAsia="Arial"/>
        </w:rPr>
        <w:t xml:space="preserve"> </w:t>
      </w:r>
      <w:r w:rsidRPr="00596B90">
        <w:rPr>
          <w:rFonts w:eastAsia="Arial"/>
        </w:rPr>
        <w:t>savu augstvērtī</w:t>
      </w:r>
      <w:r>
        <w:rPr>
          <w:rFonts w:eastAsia="Arial"/>
        </w:rPr>
        <w:t>gumu</w:t>
      </w:r>
      <w:r w:rsidRPr="00596B90">
        <w:rPr>
          <w:rFonts w:eastAsia="Arial"/>
        </w:rPr>
        <w:t xml:space="preserve">. </w:t>
      </w:r>
    </w:p>
    <w:p w14:paraId="36F2030D" w14:textId="77777777" w:rsidR="008D791D" w:rsidRPr="00596B90" w:rsidRDefault="008D791D" w:rsidP="008D791D">
      <w:pPr>
        <w:spacing w:before="60" w:after="60" w:line="240" w:lineRule="auto"/>
        <w:jc w:val="both"/>
        <w:rPr>
          <w:rFonts w:eastAsia="Arial"/>
        </w:rPr>
      </w:pPr>
      <w:r w:rsidRPr="002C503C">
        <w:rPr>
          <w:rFonts w:eastAsia="Arial"/>
        </w:rPr>
        <w:t xml:space="preserve">2020. gadā tika turpināts darbs pie </w:t>
      </w:r>
      <w:r w:rsidRPr="001565A0">
        <w:rPr>
          <w:rFonts w:eastAsia="Arial"/>
        </w:rPr>
        <w:t xml:space="preserve">resursu vadības sistēmas </w:t>
      </w:r>
      <w:r w:rsidRPr="001565A0">
        <w:rPr>
          <w:rFonts w:eastAsia="Arial"/>
          <w:i/>
          <w:iCs/>
        </w:rPr>
        <w:t>Horizon</w:t>
      </w:r>
      <w:r w:rsidRPr="001565A0">
        <w:rPr>
          <w:rFonts w:eastAsia="Arial"/>
        </w:rPr>
        <w:t xml:space="preserve"> attīstības</w:t>
      </w:r>
      <w:r w:rsidRPr="002C503C">
        <w:rPr>
          <w:rFonts w:eastAsia="Arial"/>
        </w:rPr>
        <w:t xml:space="preserve">, pilnveidošanas un centralizācijas, tostarp 2020. gadā EM resursu vadības sistēmas </w:t>
      </w:r>
      <w:r w:rsidRPr="00870CA1">
        <w:rPr>
          <w:rFonts w:eastAsia="Arial"/>
          <w:i/>
          <w:iCs/>
        </w:rPr>
        <w:t>Horizon</w:t>
      </w:r>
      <w:r w:rsidRPr="002C503C">
        <w:rPr>
          <w:rFonts w:eastAsia="Arial"/>
        </w:rPr>
        <w:t xml:space="preserve"> vienotajā platformā darbu uzsāka arī </w:t>
      </w:r>
      <w:r>
        <w:rPr>
          <w:rFonts w:eastAsia="Arial"/>
        </w:rPr>
        <w:t>LIAA, kā arī 2020.gadā VDV projekta ietvaros tika uzsākts darbs pie r</w:t>
      </w:r>
      <w:r w:rsidRPr="002C503C">
        <w:rPr>
          <w:rFonts w:eastAsia="Arial"/>
        </w:rPr>
        <w:t>esursu vadības sistēmas Horizon</w:t>
      </w:r>
      <w:r>
        <w:rPr>
          <w:rFonts w:eastAsia="Arial"/>
        </w:rPr>
        <w:t xml:space="preserve"> integrācijas ar f</w:t>
      </w:r>
      <w:r w:rsidRPr="00596B90">
        <w:rPr>
          <w:rFonts w:eastAsia="Arial"/>
        </w:rPr>
        <w:t xml:space="preserve">inanšu un </w:t>
      </w:r>
      <w:r>
        <w:rPr>
          <w:rFonts w:eastAsia="Arial"/>
        </w:rPr>
        <w:t>b</w:t>
      </w:r>
      <w:r w:rsidRPr="00596B90">
        <w:rPr>
          <w:rFonts w:eastAsia="Arial"/>
        </w:rPr>
        <w:t xml:space="preserve">udžeta plānošanas un prognozēšanas programmu </w:t>
      </w:r>
      <w:r w:rsidRPr="00870CA1">
        <w:rPr>
          <w:rFonts w:eastAsia="Arial"/>
          <w:i/>
          <w:iCs/>
        </w:rPr>
        <w:t>Jedox</w:t>
      </w:r>
      <w:r>
        <w:rPr>
          <w:rFonts w:eastAsia="Arial"/>
        </w:rPr>
        <w:t>.</w:t>
      </w:r>
    </w:p>
    <w:p w14:paraId="7D6BDB8A" w14:textId="33374BFE" w:rsidR="008D791D" w:rsidRDefault="008D791D" w:rsidP="008D791D">
      <w:pPr>
        <w:spacing w:before="60" w:after="60" w:line="240" w:lineRule="auto"/>
        <w:jc w:val="both"/>
        <w:rPr>
          <w:rFonts w:eastAsia="Arial"/>
        </w:rPr>
      </w:pPr>
      <w:r>
        <w:rPr>
          <w:rFonts w:eastAsia="Arial" w:cs="Times New Roman"/>
        </w:rPr>
        <w:t>Pārskata periodā v</w:t>
      </w:r>
      <w:r w:rsidRPr="002C503C">
        <w:rPr>
          <w:rFonts w:eastAsia="Arial" w:cs="Times New Roman"/>
        </w:rPr>
        <w:t>eikti</w:t>
      </w:r>
      <w:r>
        <w:rPr>
          <w:rFonts w:eastAsia="Arial" w:cs="Times New Roman"/>
        </w:rPr>
        <w:t xml:space="preserve"> arī</w:t>
      </w:r>
      <w:r w:rsidR="006155E0">
        <w:rPr>
          <w:rFonts w:eastAsia="Arial" w:cs="Times New Roman"/>
        </w:rPr>
        <w:t xml:space="preserve"> </w:t>
      </w:r>
      <w:r w:rsidRPr="001565A0">
        <w:rPr>
          <w:rFonts w:eastAsia="Arial"/>
        </w:rPr>
        <w:t>EM resora produktivitātes uzlabojumi</w:t>
      </w:r>
      <w:r w:rsidRPr="00522A5E">
        <w:rPr>
          <w:rFonts w:eastAsia="Arial"/>
        </w:rPr>
        <w:t xml:space="preserve">, izmantojot jaunākās paaudzes </w:t>
      </w:r>
      <w:r w:rsidRPr="00DE2359">
        <w:rPr>
          <w:rFonts w:eastAsia="Arial"/>
          <w:i/>
          <w:iCs/>
        </w:rPr>
        <w:t>Microsoft</w:t>
      </w:r>
      <w:r w:rsidRPr="00522A5E">
        <w:rPr>
          <w:rFonts w:eastAsia="Arial"/>
        </w:rPr>
        <w:t xml:space="preserve"> programmproduktus (</w:t>
      </w:r>
      <w:r w:rsidRPr="00DE2359">
        <w:rPr>
          <w:rFonts w:eastAsia="Arial"/>
          <w:i/>
          <w:iCs/>
        </w:rPr>
        <w:t>Microsoft 365 E3</w:t>
      </w:r>
      <w:r w:rsidR="001565A0">
        <w:rPr>
          <w:rFonts w:eastAsia="Arial"/>
          <w:i/>
          <w:iCs/>
        </w:rPr>
        <w:t xml:space="preserve"> </w:t>
      </w:r>
      <w:r w:rsidRPr="00522A5E">
        <w:rPr>
          <w:rFonts w:eastAsia="Arial"/>
        </w:rPr>
        <w:t xml:space="preserve">pakotne, t.sk. </w:t>
      </w:r>
      <w:r w:rsidRPr="00DE2359">
        <w:rPr>
          <w:rFonts w:eastAsia="Arial"/>
          <w:i/>
          <w:iCs/>
        </w:rPr>
        <w:t>Teams</w:t>
      </w:r>
      <w:r w:rsidRPr="00522A5E">
        <w:rPr>
          <w:rFonts w:eastAsia="Arial"/>
        </w:rPr>
        <w:t xml:space="preserve">, </w:t>
      </w:r>
      <w:r w:rsidRPr="00DE2359">
        <w:rPr>
          <w:rFonts w:eastAsia="Arial"/>
          <w:i/>
          <w:iCs/>
        </w:rPr>
        <w:t>OneDrive</w:t>
      </w:r>
      <w:r w:rsidRPr="00522A5E">
        <w:rPr>
          <w:rFonts w:eastAsia="Arial"/>
        </w:rPr>
        <w:t xml:space="preserve"> un </w:t>
      </w:r>
      <w:r w:rsidRPr="00DE2359">
        <w:rPr>
          <w:rFonts w:eastAsia="Arial"/>
          <w:i/>
          <w:iCs/>
        </w:rPr>
        <w:t>SharePoint</w:t>
      </w:r>
      <w:r w:rsidRPr="00522A5E">
        <w:rPr>
          <w:rFonts w:eastAsia="Arial"/>
        </w:rPr>
        <w:t>). Vienlaikus veiktie produktivitātes uzlabojumi ārkārtējas situācijas laikā nodrošināja kvalitatīvu</w:t>
      </w:r>
      <w:r>
        <w:rPr>
          <w:rFonts w:eastAsia="Arial"/>
        </w:rPr>
        <w:t>s</w:t>
      </w:r>
      <w:r w:rsidRPr="00522A5E">
        <w:rPr>
          <w:rFonts w:eastAsia="Arial"/>
        </w:rPr>
        <w:t xml:space="preserve"> un plaša veida komunikācijas formātus ne tikai EM resora ietvaros, bet arī starpinstitūciju līmenī un citiem sociālajiem partneriem. </w:t>
      </w:r>
      <w:r>
        <w:rPr>
          <w:rFonts w:eastAsia="Arial"/>
        </w:rPr>
        <w:t>2020. gadā īstenoti</w:t>
      </w:r>
      <w:r w:rsidRPr="00F9061E">
        <w:rPr>
          <w:rFonts w:eastAsia="Arial"/>
        </w:rPr>
        <w:t xml:space="preserve"> pasākumi pie vienota</w:t>
      </w:r>
      <w:r w:rsidR="006155E0">
        <w:rPr>
          <w:rFonts w:eastAsia="Arial"/>
        </w:rPr>
        <w:t xml:space="preserve"> </w:t>
      </w:r>
      <w:r w:rsidRPr="00144008">
        <w:rPr>
          <w:rFonts w:eastAsia="Arial"/>
          <w:i/>
          <w:iCs/>
        </w:rPr>
        <w:t xml:space="preserve">Microsoft </w:t>
      </w:r>
      <w:r w:rsidRPr="00345D5C">
        <w:rPr>
          <w:rFonts w:eastAsia="Arial"/>
        </w:rPr>
        <w:t>produktu izmantošanas līguma noslēgšana</w:t>
      </w:r>
      <w:r>
        <w:rPr>
          <w:rFonts w:eastAsia="Arial"/>
        </w:rPr>
        <w:t>s, kā ietvaros tiktu īstenoti</w:t>
      </w:r>
      <w:r w:rsidRPr="00345D5C">
        <w:rPr>
          <w:rFonts w:eastAsia="Arial"/>
        </w:rPr>
        <w:t xml:space="preserve"> centralizēti pārvaldāmi un administrējami </w:t>
      </w:r>
      <w:r w:rsidRPr="00574BF1">
        <w:rPr>
          <w:rFonts w:eastAsia="Arial"/>
        </w:rPr>
        <w:t>programmprodukti. Kā arī 2020.</w:t>
      </w:r>
      <w:r>
        <w:rPr>
          <w:rFonts w:eastAsia="Arial"/>
        </w:rPr>
        <w:t> </w:t>
      </w:r>
      <w:r w:rsidRPr="00574BF1">
        <w:rPr>
          <w:rFonts w:eastAsia="Arial"/>
        </w:rPr>
        <w:t xml:space="preserve">gadā </w:t>
      </w:r>
      <w:r>
        <w:rPr>
          <w:rFonts w:eastAsia="Arial"/>
        </w:rPr>
        <w:t>EM resora ietvaros CSP</w:t>
      </w:r>
      <w:r w:rsidRPr="00574BF1">
        <w:rPr>
          <w:rFonts w:eastAsia="Arial"/>
        </w:rPr>
        <w:t xml:space="preserve"> ir pārgājusi uz to pašu jaunākās paaudzes </w:t>
      </w:r>
      <w:r w:rsidRPr="00144008">
        <w:rPr>
          <w:rFonts w:eastAsia="Arial"/>
          <w:i/>
          <w:iCs/>
        </w:rPr>
        <w:t xml:space="preserve">Microsoft </w:t>
      </w:r>
      <w:r w:rsidRPr="00574BF1">
        <w:rPr>
          <w:rFonts w:eastAsia="Arial"/>
        </w:rPr>
        <w:t>programmproduktu</w:t>
      </w:r>
      <w:r w:rsidRPr="00522A5E">
        <w:rPr>
          <w:rFonts w:eastAsia="Arial"/>
        </w:rPr>
        <w:t xml:space="preserve"> (</w:t>
      </w:r>
      <w:r w:rsidRPr="00144008">
        <w:rPr>
          <w:rFonts w:eastAsia="Arial"/>
          <w:i/>
          <w:iCs/>
        </w:rPr>
        <w:t>Microsoft</w:t>
      </w:r>
      <w:r>
        <w:rPr>
          <w:rFonts w:eastAsia="Arial"/>
          <w:i/>
          <w:iCs/>
        </w:rPr>
        <w:t> </w:t>
      </w:r>
      <w:r w:rsidRPr="00144008">
        <w:rPr>
          <w:rFonts w:eastAsia="Arial"/>
          <w:i/>
          <w:iCs/>
        </w:rPr>
        <w:t>365</w:t>
      </w:r>
      <w:r>
        <w:rPr>
          <w:rFonts w:eastAsia="Arial"/>
          <w:i/>
          <w:iCs/>
        </w:rPr>
        <w:t> </w:t>
      </w:r>
      <w:r w:rsidRPr="00144008">
        <w:rPr>
          <w:rFonts w:eastAsia="Arial"/>
          <w:i/>
          <w:iCs/>
        </w:rPr>
        <w:t>E3</w:t>
      </w:r>
      <w:r w:rsidRPr="00522A5E">
        <w:rPr>
          <w:rFonts w:eastAsia="Arial"/>
        </w:rPr>
        <w:t>pakotn</w:t>
      </w:r>
      <w:r>
        <w:rPr>
          <w:rFonts w:eastAsia="Arial"/>
        </w:rPr>
        <w:t>i) ko lieto EM, tādējādi tuvinoties vienotai tehnoloģiskai platformai.</w:t>
      </w:r>
    </w:p>
    <w:p w14:paraId="2DD24AD3" w14:textId="77777777" w:rsidR="008D791D" w:rsidRPr="002C503C" w:rsidRDefault="008D791D" w:rsidP="008D791D">
      <w:pPr>
        <w:spacing w:before="60" w:after="60" w:line="240" w:lineRule="auto"/>
        <w:jc w:val="both"/>
        <w:rPr>
          <w:rFonts w:eastAsia="Arial" w:cs="Times New Roman"/>
        </w:rPr>
      </w:pPr>
      <w:r w:rsidRPr="002C503C">
        <w:rPr>
          <w:rFonts w:eastAsia="Arial" w:cs="Times New Roman"/>
        </w:rPr>
        <w:t xml:space="preserve">2020. gadā tika uzsākts darbs pie </w:t>
      </w:r>
      <w:r>
        <w:rPr>
          <w:rFonts w:eastAsia="Arial" w:cs="Times New Roman"/>
        </w:rPr>
        <w:t>ERAF</w:t>
      </w:r>
      <w:r w:rsidRPr="00144008">
        <w:rPr>
          <w:rFonts w:eastAsia="Arial" w:cs="Times New Roman"/>
        </w:rPr>
        <w:t xml:space="preserve"> projekta “</w:t>
      </w:r>
      <w:r w:rsidRPr="001565A0">
        <w:rPr>
          <w:rFonts w:eastAsia="Arial" w:cs="Times New Roman"/>
          <w:i/>
          <w:iCs/>
        </w:rPr>
        <w:t>Ekonomikas ministrijas resora administratīvā procesa digitālā transformācija</w:t>
      </w:r>
      <w:r w:rsidRPr="00144008">
        <w:rPr>
          <w:rFonts w:eastAsia="Arial" w:cs="Times New Roman"/>
        </w:rPr>
        <w:t>”</w:t>
      </w:r>
      <w:r w:rsidRPr="002C503C">
        <w:rPr>
          <w:rFonts w:eastAsia="Arial" w:cs="Times New Roman"/>
        </w:rPr>
        <w:t xml:space="preserve"> īstenošanas, lai ieviestu vienotu pieeju administratīvā procesa digitalizācijai, tostarp nodrošinātu nacionālās enerģētikas politikas uzraudzības administratīvā procesa digitālo transformāciju.</w:t>
      </w:r>
    </w:p>
    <w:p w14:paraId="778D46B5" w14:textId="77777777" w:rsidR="008D791D" w:rsidRPr="00574BF1" w:rsidRDefault="008D791D" w:rsidP="008D791D">
      <w:pPr>
        <w:spacing w:before="60" w:after="60" w:line="240" w:lineRule="auto"/>
        <w:jc w:val="both"/>
        <w:rPr>
          <w:rFonts w:eastAsia="Arial"/>
        </w:rPr>
      </w:pPr>
      <w:bookmarkStart w:id="81" w:name="_Hlk74667461"/>
      <w:r>
        <w:rPr>
          <w:rFonts w:eastAsia="Arial"/>
        </w:rPr>
        <w:t>Ar mērķi n</w:t>
      </w:r>
      <w:r w:rsidRPr="00D36880">
        <w:rPr>
          <w:rFonts w:eastAsia="Arial"/>
        </w:rPr>
        <w:t>odrošināt centralizētu nevēlamu e-pasta vēstuļu pārvaldību, kā arī samazināt izmaksas uz individuālu risinājumu uzturēšanu un administrēšanu</w:t>
      </w:r>
      <w:r w:rsidRPr="00574BF1">
        <w:rPr>
          <w:rFonts w:eastAsia="Arial"/>
        </w:rPr>
        <w:t xml:space="preserve"> 2020.</w:t>
      </w:r>
      <w:r>
        <w:rPr>
          <w:rFonts w:eastAsia="Arial"/>
        </w:rPr>
        <w:t> </w:t>
      </w:r>
      <w:r w:rsidRPr="00574BF1">
        <w:rPr>
          <w:rFonts w:eastAsia="Arial"/>
        </w:rPr>
        <w:t>gad</w:t>
      </w:r>
      <w:r>
        <w:rPr>
          <w:rFonts w:eastAsia="Arial"/>
        </w:rPr>
        <w:t>ā</w:t>
      </w:r>
      <w:r w:rsidRPr="00574BF1">
        <w:rPr>
          <w:rFonts w:eastAsia="Arial"/>
        </w:rPr>
        <w:t xml:space="preserve"> tika uzsākts darbs </w:t>
      </w:r>
      <w:r>
        <w:rPr>
          <w:rFonts w:eastAsia="Arial"/>
        </w:rPr>
        <w:t>pie c</w:t>
      </w:r>
      <w:r w:rsidRPr="00FE744A">
        <w:rPr>
          <w:rFonts w:eastAsia="Arial"/>
        </w:rPr>
        <w:t>entralizēta surogātpasta risinājuma ieviešana</w:t>
      </w:r>
      <w:r>
        <w:rPr>
          <w:rFonts w:eastAsia="Arial"/>
        </w:rPr>
        <w:t>s</w:t>
      </w:r>
      <w:r w:rsidRPr="00FE744A">
        <w:rPr>
          <w:rFonts w:eastAsia="Arial"/>
        </w:rPr>
        <w:t xml:space="preserve"> EM resorā</w:t>
      </w:r>
      <w:r w:rsidRPr="00574BF1">
        <w:rPr>
          <w:rFonts w:eastAsia="Arial"/>
        </w:rPr>
        <w:t>, kas noslēgsies 2021.</w:t>
      </w:r>
      <w:r>
        <w:rPr>
          <w:rFonts w:eastAsia="Arial"/>
        </w:rPr>
        <w:t> </w:t>
      </w:r>
      <w:r w:rsidRPr="00574BF1">
        <w:rPr>
          <w:rFonts w:eastAsia="Arial"/>
        </w:rPr>
        <w:t>gadā</w:t>
      </w:r>
      <w:r w:rsidRPr="00D36880">
        <w:rPr>
          <w:rFonts w:eastAsia="Arial"/>
        </w:rPr>
        <w:t>.</w:t>
      </w:r>
      <w:bookmarkEnd w:id="81"/>
    </w:p>
    <w:p w14:paraId="01DE8797" w14:textId="77777777" w:rsidR="008D791D" w:rsidRDefault="008D791D" w:rsidP="00162A37">
      <w:pPr>
        <w:spacing w:before="60" w:after="60" w:line="240" w:lineRule="auto"/>
        <w:rPr>
          <w:szCs w:val="28"/>
          <w:highlight w:val="yellow"/>
        </w:rPr>
      </w:pPr>
    </w:p>
    <w:tbl>
      <w:tblPr>
        <w:tblStyle w:val="TableGrid"/>
        <w:tblW w:w="0" w:type="auto"/>
        <w:tblLook w:val="04A0" w:firstRow="1" w:lastRow="0" w:firstColumn="1" w:lastColumn="0" w:noHBand="0" w:noVBand="1"/>
      </w:tblPr>
      <w:tblGrid>
        <w:gridCol w:w="9628"/>
      </w:tblGrid>
      <w:tr w:rsidR="008D791D" w:rsidRPr="00F5511B" w14:paraId="31CF7A47" w14:textId="77777777" w:rsidTr="00607FE2">
        <w:tc>
          <w:tcPr>
            <w:tcW w:w="9628" w:type="dxa"/>
            <w:tcBorders>
              <w:top w:val="nil"/>
              <w:left w:val="nil"/>
              <w:bottom w:val="nil"/>
              <w:right w:val="nil"/>
            </w:tcBorders>
            <w:shd w:val="clear" w:color="auto" w:fill="31849B" w:themeFill="accent5" w:themeFillShade="BF"/>
          </w:tcPr>
          <w:p w14:paraId="51046CD1" w14:textId="43594C61" w:rsidR="008D791D" w:rsidRPr="00416CF7" w:rsidRDefault="00162A37" w:rsidP="00162A37">
            <w:pPr>
              <w:pStyle w:val="Heading2"/>
              <w:numPr>
                <w:ilvl w:val="0"/>
                <w:numId w:val="0"/>
              </w:numPr>
              <w:spacing w:before="120" w:after="120"/>
              <w:ind w:left="360"/>
              <w:rPr>
                <w:szCs w:val="24"/>
                <w:lang w:val="lv-LV"/>
              </w:rPr>
            </w:pPr>
            <w:bookmarkStart w:id="82" w:name="_Toc78874615"/>
            <w:r>
              <w:rPr>
                <w:szCs w:val="24"/>
                <w:lang w:val="lv-LV"/>
              </w:rPr>
              <w:t>6.3.</w:t>
            </w:r>
            <w:r w:rsidR="00CA343C">
              <w:rPr>
                <w:szCs w:val="24"/>
                <w:lang w:val="lv-LV"/>
              </w:rPr>
              <w:t xml:space="preserve"> </w:t>
            </w:r>
            <w:r w:rsidR="008D791D" w:rsidRPr="00416CF7">
              <w:rPr>
                <w:szCs w:val="24"/>
                <w:lang w:val="lv-LV"/>
              </w:rPr>
              <w:t>EM vadības un darbības uzlabošana</w:t>
            </w:r>
            <w:bookmarkEnd w:id="82"/>
          </w:p>
        </w:tc>
      </w:tr>
    </w:tbl>
    <w:p w14:paraId="7F92B2EE" w14:textId="77777777" w:rsidR="008D791D" w:rsidRPr="006D5C44" w:rsidRDefault="008D791D" w:rsidP="008D791D">
      <w:pPr>
        <w:pStyle w:val="BodyText2"/>
        <w:spacing w:before="120" w:after="60"/>
        <w:rPr>
          <w:shd w:val="clear" w:color="auto" w:fill="FFFFFF"/>
        </w:rPr>
      </w:pPr>
      <w:r>
        <w:t>EM</w:t>
      </w:r>
      <w:r w:rsidRPr="006D5C44">
        <w:t xml:space="preserve"> savā darbā ievēro labas pārvaldības principu, kas ietver atklātību pret sabiedrību, datu aizsardzību, taisnīgu procedūru īstenošanu saprātīgā laikā, kvalitatīvu pakalpojumu sniegšanu un citus noteikumus, lai </w:t>
      </w:r>
      <w:r>
        <w:t xml:space="preserve">veiktu savas funkcijas </w:t>
      </w:r>
      <w:r w:rsidRPr="006D5C44">
        <w:t xml:space="preserve">ievērojot </w:t>
      </w:r>
      <w:r w:rsidRPr="006D5C44">
        <w:rPr>
          <w:shd w:val="clear" w:color="auto" w:fill="FFFFFF"/>
        </w:rPr>
        <w:t>sabiedrības intereses.</w:t>
      </w:r>
    </w:p>
    <w:p w14:paraId="7A03251A" w14:textId="43D4C399" w:rsidR="00A3724E" w:rsidRDefault="008D791D" w:rsidP="008D791D">
      <w:pPr>
        <w:spacing w:before="60" w:after="60" w:line="240" w:lineRule="auto"/>
        <w:jc w:val="both"/>
        <w:rPr>
          <w:szCs w:val="24"/>
        </w:rPr>
      </w:pPr>
      <w:r w:rsidRPr="006D5C44">
        <w:t xml:space="preserve">Pārskata periodā saskaņā ar ekonomikas ministra rīkojumu „Par iekšējā audita sistēmu </w:t>
      </w:r>
      <w:r>
        <w:t xml:space="preserve">ekonomikas </w:t>
      </w:r>
      <w:r w:rsidRPr="006D5C44">
        <w:t>ministram padotajās i</w:t>
      </w:r>
      <w:r>
        <w:t>nstitūcijās</w:t>
      </w:r>
      <w:r w:rsidRPr="006D5C44">
        <w:t xml:space="preserve">” un </w:t>
      </w:r>
      <w:r>
        <w:t>EM</w:t>
      </w:r>
      <w:r w:rsidRPr="006D5C44">
        <w:t xml:space="preserve"> Iekšējā audita nodaļas 20</w:t>
      </w:r>
      <w:r>
        <w:t>20</w:t>
      </w:r>
      <w:r w:rsidRPr="006D5C44">
        <w:t>. gada</w:t>
      </w:r>
      <w:r>
        <w:t xml:space="preserve"> aktualizēto</w:t>
      </w:r>
      <w:r w:rsidRPr="006D5C44">
        <w:t xml:space="preserve"> plānu </w:t>
      </w:r>
      <w:r w:rsidRPr="00977F0B">
        <w:rPr>
          <w:szCs w:val="24"/>
        </w:rPr>
        <w:t xml:space="preserve">tika </w:t>
      </w:r>
      <w:r w:rsidRPr="00A474F4">
        <w:rPr>
          <w:szCs w:val="24"/>
        </w:rPr>
        <w:t>pabeigts 2019.</w:t>
      </w:r>
      <w:r>
        <w:rPr>
          <w:szCs w:val="24"/>
        </w:rPr>
        <w:t> </w:t>
      </w:r>
      <w:r w:rsidRPr="00A474F4">
        <w:rPr>
          <w:szCs w:val="24"/>
        </w:rPr>
        <w:t>gadā uzsāktais audits</w:t>
      </w:r>
      <w:r w:rsidR="00037A25">
        <w:rPr>
          <w:szCs w:val="24"/>
        </w:rPr>
        <w:t xml:space="preserve"> </w:t>
      </w:r>
      <w:r w:rsidRPr="007A508B">
        <w:rPr>
          <w:szCs w:val="24"/>
        </w:rPr>
        <w:t>"Tautsaimniecības struktūrpolitikas izstrāde, īstenošana un koordinēšana”</w:t>
      </w:r>
      <w:r w:rsidRPr="00A474F4">
        <w:rPr>
          <w:szCs w:val="24"/>
        </w:rPr>
        <w:t xml:space="preserve">, un nodaļas auditori ir veikuši </w:t>
      </w:r>
      <w:r>
        <w:rPr>
          <w:szCs w:val="24"/>
        </w:rPr>
        <w:t>6</w:t>
      </w:r>
      <w:r w:rsidRPr="00A474F4">
        <w:rPr>
          <w:szCs w:val="24"/>
        </w:rPr>
        <w:t xml:space="preserve"> auditus – vienu prioritāro auditu visās </w:t>
      </w:r>
      <w:r>
        <w:rPr>
          <w:szCs w:val="24"/>
        </w:rPr>
        <w:t>EM</w:t>
      </w:r>
      <w:r w:rsidRPr="00A474F4">
        <w:rPr>
          <w:szCs w:val="24"/>
        </w:rPr>
        <w:t xml:space="preserve"> resora iestādēs</w:t>
      </w:r>
      <w:r w:rsidR="00C53457">
        <w:rPr>
          <w:szCs w:val="24"/>
        </w:rPr>
        <w:t xml:space="preserve"> (</w:t>
      </w:r>
      <w:r w:rsidR="00C53457" w:rsidRPr="00C53457">
        <w:rPr>
          <w:szCs w:val="24"/>
        </w:rPr>
        <w:t>Fizisko personu datu aizsardzības audits visā resorā</w:t>
      </w:r>
      <w:r w:rsidR="00C53457">
        <w:rPr>
          <w:szCs w:val="24"/>
        </w:rPr>
        <w:t>)</w:t>
      </w:r>
      <w:r w:rsidRPr="00A474F4">
        <w:rPr>
          <w:szCs w:val="24"/>
        </w:rPr>
        <w:t xml:space="preserve">, divus ministrijas pamatdarbības sistēmās </w:t>
      </w:r>
      <w:r w:rsidR="00C53457">
        <w:rPr>
          <w:szCs w:val="24"/>
        </w:rPr>
        <w:t>(</w:t>
      </w:r>
      <w:r w:rsidR="00C53457" w:rsidRPr="00C53457">
        <w:rPr>
          <w:szCs w:val="24"/>
        </w:rPr>
        <w:t>pamatdarbības jom</w:t>
      </w:r>
      <w:r w:rsidR="00C53457">
        <w:rPr>
          <w:szCs w:val="24"/>
        </w:rPr>
        <w:t>a</w:t>
      </w:r>
      <w:r w:rsidR="00C53457" w:rsidRPr="00C53457">
        <w:rPr>
          <w:szCs w:val="24"/>
        </w:rPr>
        <w:t>s - enerģētika (enerģijas tirgus un infrastruktūras politika/ ilg</w:t>
      </w:r>
      <w:r w:rsidR="00C53457">
        <w:rPr>
          <w:szCs w:val="24"/>
        </w:rPr>
        <w:t>t</w:t>
      </w:r>
      <w:r w:rsidR="00C53457" w:rsidRPr="00C53457">
        <w:rPr>
          <w:szCs w:val="24"/>
        </w:rPr>
        <w:t>spējīga enerģētikas politika)</w:t>
      </w:r>
      <w:r w:rsidR="00C53457">
        <w:rPr>
          <w:rFonts w:ascii="Segoe UI" w:hAnsi="Segoe UI" w:cs="Segoe UI"/>
          <w:color w:val="242424"/>
          <w:sz w:val="21"/>
          <w:szCs w:val="21"/>
          <w:shd w:val="clear" w:color="auto" w:fill="FFFFFF"/>
        </w:rPr>
        <w:t xml:space="preserve"> </w:t>
      </w:r>
      <w:r w:rsidRPr="00A474F4">
        <w:rPr>
          <w:szCs w:val="24"/>
        </w:rPr>
        <w:t>un trīs ministrijas atbalsta sistēmās</w:t>
      </w:r>
      <w:r w:rsidR="00C53457">
        <w:rPr>
          <w:szCs w:val="24"/>
        </w:rPr>
        <w:t xml:space="preserve"> (</w:t>
      </w:r>
      <w:r w:rsidR="00C53457" w:rsidRPr="00C53457">
        <w:rPr>
          <w:szCs w:val="24"/>
        </w:rPr>
        <w:t>atbalsta jomas - personāla vadība, IT vadība</w:t>
      </w:r>
      <w:r w:rsidR="00C53457">
        <w:rPr>
          <w:szCs w:val="24"/>
        </w:rPr>
        <w:t xml:space="preserve"> </w:t>
      </w:r>
      <w:r w:rsidR="00C53457" w:rsidRPr="00C53457">
        <w:rPr>
          <w:szCs w:val="24"/>
        </w:rPr>
        <w:t>un ES finansēto programmu un projektu un ārvalstu finanšu palīdzības projektu vadības sistēma</w:t>
      </w:r>
      <w:r w:rsidR="00C53457">
        <w:rPr>
          <w:szCs w:val="24"/>
        </w:rPr>
        <w:t>)</w:t>
      </w:r>
      <w:r w:rsidRPr="00C07DDB">
        <w:rPr>
          <w:szCs w:val="24"/>
        </w:rPr>
        <w:t>, novērtējot auditējamo sistēmu</w:t>
      </w:r>
      <w:r w:rsidRPr="00977F0B">
        <w:rPr>
          <w:szCs w:val="24"/>
        </w:rPr>
        <w:t xml:space="preserve"> iekšējās kontroles darbību. </w:t>
      </w:r>
    </w:p>
    <w:p w14:paraId="39E75D0E" w14:textId="2A32334E" w:rsidR="008D791D" w:rsidRPr="00406C55" w:rsidRDefault="008D791D" w:rsidP="008D791D">
      <w:pPr>
        <w:spacing w:before="60" w:after="60" w:line="240" w:lineRule="auto"/>
        <w:jc w:val="both"/>
        <w:rPr>
          <w:szCs w:val="24"/>
        </w:rPr>
      </w:pPr>
      <w:r w:rsidRPr="00977F0B">
        <w:rPr>
          <w:szCs w:val="24"/>
        </w:rPr>
        <w:t>Auditu rezultātā tika secināts, ka auditējamo</w:t>
      </w:r>
      <w:r w:rsidRPr="00406C55">
        <w:rPr>
          <w:szCs w:val="24"/>
        </w:rPr>
        <w:t xml:space="preserve"> sistēmu iekšējās kontroles sistēmas </w:t>
      </w:r>
      <w:r w:rsidRPr="00977F0B">
        <w:rPr>
          <w:szCs w:val="24"/>
        </w:rPr>
        <w:t>darbojas,</w:t>
      </w:r>
      <w:r w:rsidR="00037A25">
        <w:rPr>
          <w:szCs w:val="24"/>
        </w:rPr>
        <w:t xml:space="preserve"> </w:t>
      </w:r>
      <w:r w:rsidRPr="00977F0B">
        <w:rPr>
          <w:szCs w:val="24"/>
        </w:rPr>
        <w:t>lai gan ir nepieciešami atsevišķi uzlabojumi – konstatēti atsevišķu, specifisku kontroļu trūkumi (plānošanas, uzraudzības un kontroles, normatīvā regulējuma, funkciju pārdales un cilvēkresursu plānošanas jomās), tomēr kopumā novērtētās kontroles ir atbilstošas, pietiekamas un efektīvas, kas ļauj sniegt pietiekamu pārliecību, ka riski tiek vadīti un auditēto sistēmu mērķi tiks sasniegti</w:t>
      </w:r>
      <w:r w:rsidRPr="00406C55">
        <w:rPr>
          <w:szCs w:val="24"/>
        </w:rPr>
        <w:t>.</w:t>
      </w:r>
    </w:p>
    <w:p w14:paraId="7BE9C104" w14:textId="30B60A52" w:rsidR="008D791D" w:rsidRPr="00F34455" w:rsidRDefault="008D791D" w:rsidP="008D791D">
      <w:pPr>
        <w:pStyle w:val="BodyText2"/>
        <w:spacing w:before="60" w:after="60"/>
        <w:ind w:right="71"/>
        <w:rPr>
          <w:rFonts w:eastAsia="Calibri"/>
        </w:rPr>
      </w:pPr>
      <w:r w:rsidRPr="006D5C44">
        <w:rPr>
          <w:rFonts w:eastAsia="Calibri"/>
        </w:rPr>
        <w:t xml:space="preserve">Kopā </w:t>
      </w:r>
      <w:r>
        <w:rPr>
          <w:rFonts w:eastAsia="Calibri"/>
        </w:rPr>
        <w:t xml:space="preserve">pārskata periodā </w:t>
      </w:r>
      <w:r w:rsidRPr="00BF5D82">
        <w:rPr>
          <w:rFonts w:eastAsia="Calibri"/>
        </w:rPr>
        <w:t>sagatavoti</w:t>
      </w:r>
      <w:r>
        <w:rPr>
          <w:rFonts w:eastAsia="Calibri"/>
        </w:rPr>
        <w:t xml:space="preserve"> 13</w:t>
      </w:r>
      <w:r w:rsidRPr="00BF5D82">
        <w:rPr>
          <w:rFonts w:eastAsia="Calibri"/>
        </w:rPr>
        <w:t xml:space="preserve"> audita </w:t>
      </w:r>
      <w:r w:rsidRPr="006D5C44">
        <w:rPr>
          <w:rFonts w:eastAsia="Calibri"/>
        </w:rPr>
        <w:t>ziņojumi, lai pilnveidotu un uzlabotu</w:t>
      </w:r>
      <w:r w:rsidR="004F3FDC">
        <w:rPr>
          <w:rFonts w:eastAsia="Calibri"/>
        </w:rPr>
        <w:t xml:space="preserve"> </w:t>
      </w:r>
      <w:r>
        <w:rPr>
          <w:rFonts w:eastAsia="Calibri"/>
        </w:rPr>
        <w:t>EM</w:t>
      </w:r>
      <w:r w:rsidRPr="006D5C44">
        <w:rPr>
          <w:rFonts w:eastAsia="Calibri"/>
        </w:rPr>
        <w:t xml:space="preserve"> un</w:t>
      </w:r>
      <w:r w:rsidR="004F3FDC">
        <w:rPr>
          <w:rFonts w:eastAsia="Calibri"/>
        </w:rPr>
        <w:t xml:space="preserve"> </w:t>
      </w:r>
      <w:r w:rsidRPr="006D5C44">
        <w:rPr>
          <w:rFonts w:eastAsia="Calibri"/>
        </w:rPr>
        <w:t>padotības iestā</w:t>
      </w:r>
      <w:r>
        <w:rPr>
          <w:rFonts w:eastAsia="Calibri"/>
        </w:rPr>
        <w:t>žu</w:t>
      </w:r>
      <w:r w:rsidRPr="006D5C44">
        <w:rPr>
          <w:rFonts w:eastAsia="Calibri"/>
        </w:rPr>
        <w:t xml:space="preserve"> iekšēj</w:t>
      </w:r>
      <w:r>
        <w:rPr>
          <w:rFonts w:eastAsia="Calibri"/>
        </w:rPr>
        <w:t>o</w:t>
      </w:r>
      <w:r w:rsidRPr="006D5C44">
        <w:rPr>
          <w:rFonts w:eastAsia="Calibri"/>
        </w:rPr>
        <w:t xml:space="preserve"> kontroles sistēm</w:t>
      </w:r>
      <w:r>
        <w:rPr>
          <w:rFonts w:eastAsia="Calibri"/>
        </w:rPr>
        <w:t>u</w:t>
      </w:r>
      <w:r w:rsidRPr="006D5C44">
        <w:rPr>
          <w:rFonts w:eastAsia="Calibri"/>
        </w:rPr>
        <w:t xml:space="preserve"> atbilstību normatīvo aktu prasībām, nodrošinātu efektīvu funkciju pārdali un cilvēkresursu plānošanu ministrijā un padotības iestādēs.</w:t>
      </w:r>
      <w:r w:rsidR="004F3FDC">
        <w:rPr>
          <w:rFonts w:eastAsia="Calibri"/>
        </w:rPr>
        <w:t xml:space="preserve"> </w:t>
      </w:r>
      <w:r w:rsidRPr="006D5C44">
        <w:t>20</w:t>
      </w:r>
      <w:r>
        <w:t>20</w:t>
      </w:r>
      <w:r w:rsidRPr="006D5C44">
        <w:t>.</w:t>
      </w:r>
      <w:r>
        <w:t> </w:t>
      </w:r>
      <w:r w:rsidRPr="006D5C44">
        <w:t xml:space="preserve">gadā sniegti </w:t>
      </w:r>
      <w:r w:rsidRPr="00BF5D82">
        <w:t xml:space="preserve">iekšējo auditu un ārējo revīziju ieteikumi, lai uzlabotu vairākus procesus un pilnveidotu atsevišķas iekšējās kontroles ministrijā un tās padotības iestādēs. Pārskata periodā ieviesto iekšējo audita ieteikumu skaits bija </w:t>
      </w:r>
      <w:r>
        <w:t>85</w:t>
      </w:r>
      <w:r w:rsidRPr="00BF5D82">
        <w:t>% un ārējo revīziju ieteikumu skaits bija</w:t>
      </w:r>
      <w:r>
        <w:t xml:space="preserve"> 88</w:t>
      </w:r>
      <w:r w:rsidRPr="00BF5D82">
        <w:t>% attiecībā pret ieteikumu skaitu, kuru ieviešanas termiņš bija pārskata gads.</w:t>
      </w:r>
    </w:p>
    <w:p w14:paraId="519EBBF9" w14:textId="77777777" w:rsidR="008D791D" w:rsidRPr="00F5511B" w:rsidRDefault="008D791D">
      <w:pPr>
        <w:spacing w:after="0" w:line="240" w:lineRule="auto"/>
        <w:rPr>
          <w:szCs w:val="28"/>
          <w:highlight w:val="yellow"/>
        </w:rPr>
      </w:pPr>
    </w:p>
    <w:p w14:paraId="519E33AC" w14:textId="77777777" w:rsidR="00011596" w:rsidRPr="00F5511B" w:rsidRDefault="00011596">
      <w:pPr>
        <w:spacing w:after="0" w:line="240" w:lineRule="auto"/>
        <w:rPr>
          <w:szCs w:val="24"/>
          <w:highlight w:val="yellow"/>
        </w:rPr>
      </w:pPr>
      <w:r w:rsidRPr="00F5511B">
        <w:rPr>
          <w:szCs w:val="24"/>
          <w:highlight w:val="yellow"/>
        </w:rPr>
        <w:br w:type="page"/>
      </w:r>
    </w:p>
    <w:p w14:paraId="3D311CC2" w14:textId="7EA3096F" w:rsidR="00C604D8" w:rsidRPr="00434F9E" w:rsidRDefault="00BC60D9" w:rsidP="00D5514E">
      <w:pPr>
        <w:spacing w:before="120" w:after="60" w:line="240" w:lineRule="auto"/>
        <w:ind w:left="3969"/>
        <w:jc w:val="both"/>
        <w:rPr>
          <w:rFonts w:cs="Times New Roman"/>
          <w:szCs w:val="24"/>
        </w:rPr>
      </w:pPr>
      <w:bookmarkStart w:id="83" w:name="_Hlk74998989"/>
      <w:r>
        <w:rPr>
          <w:smallCaps/>
          <w:noProof/>
          <w:sz w:val="32"/>
          <w:szCs w:val="32"/>
          <w:lang w:eastAsia="lv-LV"/>
        </w:rPr>
        <w:lastRenderedPageBreak/>
        <mc:AlternateContent>
          <mc:Choice Requires="wps">
            <w:drawing>
              <wp:anchor distT="0" distB="0" distL="114300" distR="114300" simplePos="0" relativeHeight="251658246" behindDoc="0" locked="0" layoutInCell="1" allowOverlap="1" wp14:anchorId="4F1A1344" wp14:editId="0831EECE">
                <wp:simplePos x="0" y="0"/>
                <wp:positionH relativeFrom="margin">
                  <wp:posOffset>3810</wp:posOffset>
                </wp:positionH>
                <wp:positionV relativeFrom="paragraph">
                  <wp:posOffset>149860</wp:posOffset>
                </wp:positionV>
                <wp:extent cx="2330450" cy="899795"/>
                <wp:effectExtent l="0" t="0" r="0" b="0"/>
                <wp:wrapNone/>
                <wp:docPr id="320"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3E3F639" w14:textId="77777777" w:rsidR="00003D52" w:rsidRPr="00FF7E4C" w:rsidRDefault="00003D52" w:rsidP="00BE6C4B">
                            <w:pPr>
                              <w:pStyle w:val="Heading1"/>
                              <w:numPr>
                                <w:ilvl w:val="0"/>
                                <w:numId w:val="19"/>
                              </w:numPr>
                            </w:pPr>
                            <w:bookmarkStart w:id="84" w:name="_Toc78790585"/>
                            <w:bookmarkStart w:id="85" w:name="_Toc78874284"/>
                            <w:bookmarkStart w:id="86" w:name="_Toc78874616"/>
                            <w:r>
                              <w:t>EM komunikācija ar sabiedrību</w:t>
                            </w:r>
                            <w:bookmarkEnd w:id="84"/>
                            <w:bookmarkEnd w:id="85"/>
                            <w:bookmarkEnd w:id="8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1344" id="_x0000_s1033" style="position:absolute;left:0;text-align:left;margin-left:.3pt;margin-top:11.8pt;width:183.5pt;height:7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30450,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" adj="-11796480,,5400" path="m149969,l2330450,r,l2330450,749826v,82826,-67143,149969,-149969,149969l,899795r,l,149969c,67143,67143,,149969,xe" fillcolor="#00859b" strokecolor="#62b1c6" strokeweight="1.5pt">
                <v:stroke joinstyle="miter"/>
                <v:formulas/>
                <v:path arrowok="t" o:connecttype="custom" o:connectlocs="149969,0;2330450,0;2330450,0;2330450,749826;2180481,899795;0,899795;0,899795;0,149969;149969,0" o:connectangles="0,0,0,0,0,0,0,0,0" textboxrect="0,0,2330450,899795"/>
                <v:textbox>
                  <w:txbxContent>
                    <w:p w14:paraId="33E3F639" w14:textId="77777777" w:rsidR="00003D52" w:rsidRPr="00FF7E4C" w:rsidRDefault="00003D52" w:rsidP="00BE6C4B">
                      <w:pPr>
                        <w:pStyle w:val="Heading1"/>
                        <w:numPr>
                          <w:ilvl w:val="0"/>
                          <w:numId w:val="19"/>
                        </w:numPr>
                      </w:pPr>
                      <w:bookmarkStart w:id="87" w:name="_Toc78790585"/>
                      <w:bookmarkStart w:id="88" w:name="_Toc78874284"/>
                      <w:bookmarkStart w:id="89" w:name="_Toc78874616"/>
                      <w:r>
                        <w:t>EM komunikācija ar sabiedrību</w:t>
                      </w:r>
                      <w:bookmarkEnd w:id="87"/>
                      <w:bookmarkEnd w:id="88"/>
                      <w:bookmarkEnd w:id="89"/>
                    </w:p>
                  </w:txbxContent>
                </v:textbox>
                <w10:wrap anchorx="margin"/>
              </v:shape>
            </w:pict>
          </mc:Fallback>
        </mc:AlternateContent>
      </w:r>
      <w:r w:rsidR="007936CA" w:rsidRPr="00434F9E">
        <w:rPr>
          <w:rFonts w:cs="Times New Roman"/>
          <w:szCs w:val="24"/>
        </w:rPr>
        <w:t xml:space="preserve">Atbilstoši definētajām stratēģiskās komunikācijas prioritātēm un ar mērķi informēt sabiedrību par īstenotajām aktivitātēm, izstrādātajiem politikas plānošanas dokumentiem, normatīvo aktu projektiem, </w:t>
      </w:r>
      <w:r w:rsidR="00D5514E" w:rsidRPr="00434F9E">
        <w:rPr>
          <w:rFonts w:cs="Times New Roman"/>
          <w:szCs w:val="24"/>
        </w:rPr>
        <w:t>EM</w:t>
      </w:r>
      <w:r w:rsidR="007936CA" w:rsidRPr="00434F9E">
        <w:rPr>
          <w:rFonts w:cs="Times New Roman"/>
          <w:szCs w:val="24"/>
        </w:rPr>
        <w:t xml:space="preserve"> pieņemto lēmumu skaidrošanai, ikdienas komunikācijas un viedokļu apmaiņas nodrošināšanai, pārskata periodā regulāri </w:t>
      </w:r>
      <w:r w:rsidR="0095502D" w:rsidRPr="00434F9E">
        <w:rPr>
          <w:rFonts w:cs="Times New Roman"/>
          <w:szCs w:val="24"/>
        </w:rPr>
        <w:t xml:space="preserve">tika </w:t>
      </w:r>
      <w:r w:rsidR="007936CA" w:rsidRPr="00434F9E">
        <w:rPr>
          <w:rFonts w:cs="Times New Roman"/>
          <w:szCs w:val="24"/>
        </w:rPr>
        <w:t xml:space="preserve">gatavota un izplatīta informācija plašsaziņas līdzekļiem, sniegtas intervijas un atbildes gan uz iedzīvotāju, gan žurnālistu jautājumiem par </w:t>
      </w:r>
      <w:r w:rsidR="00434F9E" w:rsidRPr="00434F9E">
        <w:rPr>
          <w:rFonts w:cs="Times New Roman"/>
          <w:szCs w:val="24"/>
        </w:rPr>
        <w:t>EM</w:t>
      </w:r>
      <w:r w:rsidR="007936CA" w:rsidRPr="00434F9E">
        <w:rPr>
          <w:rFonts w:cs="Times New Roman"/>
          <w:szCs w:val="24"/>
        </w:rPr>
        <w:t xml:space="preserve"> kompetencē esošaj</w:t>
      </w:r>
      <w:r w:rsidR="0095502D" w:rsidRPr="00434F9E">
        <w:rPr>
          <w:rFonts w:cs="Times New Roman"/>
          <w:szCs w:val="24"/>
        </w:rPr>
        <w:t>ām</w:t>
      </w:r>
      <w:r w:rsidR="007936CA" w:rsidRPr="00434F9E">
        <w:rPr>
          <w:rFonts w:cs="Times New Roman"/>
          <w:szCs w:val="24"/>
        </w:rPr>
        <w:t xml:space="preserve"> j</w:t>
      </w:r>
      <w:r w:rsidR="0095502D" w:rsidRPr="00434F9E">
        <w:rPr>
          <w:rFonts w:cs="Times New Roman"/>
          <w:szCs w:val="24"/>
        </w:rPr>
        <w:t>omām</w:t>
      </w:r>
      <w:r w:rsidR="007936CA" w:rsidRPr="00434F9E">
        <w:rPr>
          <w:rFonts w:cs="Times New Roman"/>
          <w:szCs w:val="24"/>
        </w:rPr>
        <w:t xml:space="preserve">. </w:t>
      </w:r>
      <w:r w:rsidR="00D5514E" w:rsidRPr="00434F9E">
        <w:rPr>
          <w:rFonts w:cs="Times New Roman"/>
          <w:szCs w:val="24"/>
        </w:rPr>
        <w:t xml:space="preserve">Pārskata periodā tika </w:t>
      </w:r>
      <w:r w:rsidR="007936CA" w:rsidRPr="00434F9E">
        <w:rPr>
          <w:rFonts w:cs="Times New Roman"/>
          <w:szCs w:val="24"/>
        </w:rPr>
        <w:t xml:space="preserve">pilnveidota un regulāri aktualizēta ministrijas tīmekļa vietne </w:t>
      </w:r>
      <w:hyperlink r:id="rId118" w:history="1">
        <w:r w:rsidR="007936CA" w:rsidRPr="00434F9E">
          <w:rPr>
            <w:rStyle w:val="Hyperlink"/>
            <w:rFonts w:cs="Times New Roman"/>
            <w:i/>
            <w:iCs/>
            <w:color w:val="00859B"/>
            <w:szCs w:val="24"/>
          </w:rPr>
          <w:t>www.em.gov.lv</w:t>
        </w:r>
      </w:hyperlink>
      <w:r w:rsidR="007936CA" w:rsidRPr="00434F9E">
        <w:rPr>
          <w:rFonts w:cs="Times New Roman"/>
          <w:szCs w:val="24"/>
        </w:rPr>
        <w:t>, kā arī īstenota aktīva komunikācija sociālajos tīklos.</w:t>
      </w:r>
    </w:p>
    <w:p w14:paraId="20291F10" w14:textId="77777777" w:rsidR="006C1EC5" w:rsidRPr="00D5514E" w:rsidRDefault="006C1EC5" w:rsidP="006C1EC5">
      <w:pPr>
        <w:spacing w:before="60" w:after="60" w:line="240" w:lineRule="auto"/>
        <w:jc w:val="both"/>
        <w:rPr>
          <w:rFonts w:cs="Times New Roman"/>
          <w:szCs w:val="24"/>
          <w:lang w:eastAsia="lv-LV"/>
        </w:rPr>
      </w:pPr>
      <w:r w:rsidRPr="00F555E6">
        <w:rPr>
          <w:rFonts w:cs="Times New Roman"/>
          <w:i/>
          <w:iCs/>
          <w:szCs w:val="24"/>
        </w:rPr>
        <w:t>Ekonomikas ministrijas komunikācijas stratēģijā 2019.-2021. gadam</w:t>
      </w:r>
      <w:r w:rsidRPr="00D5514E">
        <w:rPr>
          <w:rFonts w:cs="Times New Roman"/>
          <w:szCs w:val="24"/>
        </w:rPr>
        <w:t xml:space="preserve"> noteikti š</w:t>
      </w:r>
      <w:r w:rsidR="00D5514E">
        <w:rPr>
          <w:rFonts w:cs="Times New Roman"/>
          <w:szCs w:val="24"/>
        </w:rPr>
        <w:t>ād</w:t>
      </w:r>
      <w:r w:rsidRPr="00D5514E">
        <w:rPr>
          <w:rFonts w:cs="Times New Roman"/>
          <w:szCs w:val="24"/>
        </w:rPr>
        <w:t xml:space="preserve">i mērķi - pastāvīgi informēt sabiedrību par Latvijas ekonomikas attīstības tendencēm un savlaicīgi skaidrot sabiedrībai ministrijas izstrādātos un valdības pieņemtos lēmumus, īstenojot mērķtiecīgu, ilgtermiņa, profesionālu un neitrālu sadarbību ar nozaru nevalstiskajām organizācijām un iesaistot tās lēmumu izstrādes procesā. </w:t>
      </w:r>
      <w:r w:rsidRPr="00D5514E">
        <w:rPr>
          <w:rFonts w:cs="Times New Roman"/>
          <w:color w:val="000000"/>
          <w:szCs w:val="24"/>
          <w:lang w:eastAsia="lv-LV"/>
        </w:rPr>
        <w:t xml:space="preserve">Savukārt, kā EM </w:t>
      </w:r>
      <w:r w:rsidRPr="00D5514E">
        <w:rPr>
          <w:rFonts w:cs="Times New Roman"/>
          <w:b/>
          <w:bCs/>
          <w:color w:val="00859B"/>
          <w:szCs w:val="24"/>
          <w:lang w:eastAsia="lv-LV"/>
        </w:rPr>
        <w:t>stratēģiskās komunikācijas prioritātes</w:t>
      </w:r>
      <w:r w:rsidRPr="00D5514E">
        <w:rPr>
          <w:rFonts w:cs="Times New Roman"/>
          <w:color w:val="000000"/>
          <w:szCs w:val="24"/>
          <w:lang w:eastAsia="lv-LV"/>
        </w:rPr>
        <w:t xml:space="preserve"> 2020. gadam tika </w:t>
      </w:r>
      <w:r w:rsidRPr="00D5514E">
        <w:rPr>
          <w:rFonts w:cs="Times New Roman"/>
          <w:szCs w:val="24"/>
          <w:lang w:eastAsia="lv-LV"/>
        </w:rPr>
        <w:t xml:space="preserve">definētas </w:t>
      </w:r>
      <w:r w:rsidRPr="00D5514E">
        <w:rPr>
          <w:rFonts w:cs="Times New Roman"/>
          <w:i/>
          <w:iCs/>
          <w:szCs w:val="24"/>
          <w:lang w:eastAsia="lv-LV"/>
        </w:rPr>
        <w:t>ilgtspējīga enerģētika Latvijas tautsaimniecības izaugsmei</w:t>
      </w:r>
      <w:r w:rsidRPr="00D5514E">
        <w:rPr>
          <w:rFonts w:cs="Times New Roman"/>
          <w:szCs w:val="24"/>
          <w:lang w:eastAsia="lv-LV"/>
        </w:rPr>
        <w:t xml:space="preserve">, </w:t>
      </w:r>
      <w:r w:rsidRPr="00D5514E">
        <w:rPr>
          <w:rFonts w:cs="Times New Roman"/>
          <w:i/>
          <w:iCs/>
          <w:szCs w:val="24"/>
          <w:lang w:eastAsia="lv-LV"/>
        </w:rPr>
        <w:t>eksporta veicināšana</w:t>
      </w:r>
      <w:r w:rsidRPr="00D5514E">
        <w:rPr>
          <w:rFonts w:cs="Times New Roman"/>
          <w:szCs w:val="24"/>
          <w:lang w:eastAsia="lv-LV"/>
        </w:rPr>
        <w:t xml:space="preserve"> un </w:t>
      </w:r>
      <w:r w:rsidRPr="00D5514E">
        <w:rPr>
          <w:rFonts w:cs="Times New Roman"/>
          <w:i/>
          <w:iCs/>
          <w:szCs w:val="24"/>
          <w:lang w:eastAsia="lv-LV"/>
        </w:rPr>
        <w:t>mājokļu pieejamība</w:t>
      </w:r>
      <w:r w:rsidRPr="00D5514E">
        <w:rPr>
          <w:rFonts w:cs="Times New Roman"/>
          <w:szCs w:val="24"/>
          <w:lang w:eastAsia="lv-LV"/>
        </w:rPr>
        <w:t>.</w:t>
      </w:r>
    </w:p>
    <w:p w14:paraId="64996175" w14:textId="68505006" w:rsidR="006C1EC5" w:rsidRDefault="006C1EC5" w:rsidP="006C1EC5">
      <w:pPr>
        <w:spacing w:before="60" w:after="60" w:line="240" w:lineRule="auto"/>
        <w:jc w:val="both"/>
        <w:rPr>
          <w:rFonts w:cs="Times New Roman"/>
          <w:szCs w:val="24"/>
        </w:rPr>
      </w:pPr>
      <w:r w:rsidRPr="00D5514E">
        <w:rPr>
          <w:rFonts w:cs="Times New Roman"/>
          <w:szCs w:val="24"/>
        </w:rPr>
        <w:t>Analizējot pārskata periodā īstenoto ministrijas komunikācij</w:t>
      </w:r>
      <w:r w:rsidR="00F555E6">
        <w:rPr>
          <w:rFonts w:cs="Times New Roman"/>
          <w:szCs w:val="24"/>
        </w:rPr>
        <w:t>u</w:t>
      </w:r>
      <w:r w:rsidRPr="00D5514E">
        <w:rPr>
          <w:rFonts w:cs="Times New Roman"/>
          <w:szCs w:val="24"/>
        </w:rPr>
        <w:t xml:space="preserve"> ar sabiedrību, secināms, ka kopumā tā </w:t>
      </w:r>
      <w:r w:rsidR="008D5C4E">
        <w:rPr>
          <w:rFonts w:cs="Times New Roman"/>
          <w:szCs w:val="24"/>
        </w:rPr>
        <w:t>bija</w:t>
      </w:r>
      <w:r w:rsidR="008D5C4E" w:rsidRPr="00D5514E">
        <w:rPr>
          <w:rFonts w:cs="Times New Roman"/>
          <w:szCs w:val="24"/>
        </w:rPr>
        <w:t xml:space="preserve"> </w:t>
      </w:r>
      <w:r w:rsidRPr="00D5514E">
        <w:rPr>
          <w:rFonts w:cs="Times New Roman"/>
          <w:szCs w:val="24"/>
        </w:rPr>
        <w:t xml:space="preserve">īstenota atbilstoši komunikācijas stratēģijā noteiktajiem mērķiem un stratēģiskās komunikācijas plāna prioritātēm. </w:t>
      </w:r>
    </w:p>
    <w:p w14:paraId="6B3CABA1" w14:textId="77777777" w:rsidR="006C1EC5" w:rsidRPr="00D5514E" w:rsidRDefault="006C1EC5" w:rsidP="006C1EC5">
      <w:pPr>
        <w:spacing w:before="60" w:after="60" w:line="240" w:lineRule="auto"/>
        <w:jc w:val="both"/>
        <w:rPr>
          <w:rFonts w:cs="Times New Roman"/>
          <w:color w:val="000000"/>
          <w:szCs w:val="24"/>
          <w:lang w:eastAsia="lv-LV"/>
        </w:rPr>
      </w:pPr>
      <w:r w:rsidRPr="00D5514E">
        <w:rPr>
          <w:rFonts w:cs="Times New Roman"/>
          <w:color w:val="000000"/>
          <w:szCs w:val="24"/>
          <w:lang w:eastAsia="lv-LV"/>
        </w:rPr>
        <w:t xml:space="preserve">Ņemot vērā Covid-19 pandēmijas izplatību Eiropā, t.sk. Latvijā, 2020. gada pavasarī, </w:t>
      </w:r>
      <w:r w:rsidR="00D5514E">
        <w:rPr>
          <w:rFonts w:cs="Times New Roman"/>
          <w:color w:val="000000"/>
          <w:szCs w:val="24"/>
          <w:lang w:eastAsia="lv-LV"/>
        </w:rPr>
        <w:t xml:space="preserve">īstenotajā </w:t>
      </w:r>
      <w:r w:rsidRPr="00D5514E">
        <w:rPr>
          <w:rFonts w:cs="Times New Roman"/>
          <w:color w:val="000000"/>
          <w:szCs w:val="24"/>
          <w:lang w:eastAsia="lv-LV"/>
        </w:rPr>
        <w:t xml:space="preserve">komunikācijā kopš marta </w:t>
      </w:r>
      <w:r w:rsidR="00D5514E">
        <w:rPr>
          <w:rFonts w:cs="Times New Roman"/>
          <w:color w:val="000000"/>
          <w:szCs w:val="24"/>
          <w:lang w:eastAsia="lv-LV"/>
        </w:rPr>
        <w:t xml:space="preserve">mēneša </w:t>
      </w:r>
      <w:r w:rsidRPr="00D5514E">
        <w:rPr>
          <w:rFonts w:cs="Times New Roman"/>
          <w:color w:val="000000"/>
          <w:szCs w:val="24"/>
          <w:lang w:eastAsia="lv-LV"/>
        </w:rPr>
        <w:t xml:space="preserve">priekšplānā izvirzījās gan pandēmijas ierobežojošo pasākumu skaidrošana, gan atbalsta instrumenti uzņēmējiem, kas cieta pandēmijas ierobežojumu dēļ. </w:t>
      </w:r>
      <w:r w:rsidR="00D5514E">
        <w:rPr>
          <w:rFonts w:cs="Times New Roman"/>
          <w:color w:val="000000"/>
          <w:szCs w:val="24"/>
          <w:lang w:eastAsia="lv-LV"/>
        </w:rPr>
        <w:t>EM</w:t>
      </w:r>
      <w:r w:rsidRPr="00D5514E">
        <w:rPr>
          <w:rFonts w:cs="Times New Roman"/>
          <w:color w:val="000000"/>
          <w:szCs w:val="24"/>
          <w:lang w:eastAsia="lv-LV"/>
        </w:rPr>
        <w:t xml:space="preserve"> nodrošināja gan komunikāciju par pastāvīgi veikto ekonomiskās attīstības tendenču monitoringu, gan izstrādātajām politikas iniciatīvām nolūkā mazināt pandēmijas negatīvo ietekmi uz Latvijas tautsaimniecību. Tāpat komunikācijas fokusā bija arī mājokļu pieejamības jautājumi, kas pandēmijas laikā bija ļoti būtiski sabiedrībai. </w:t>
      </w:r>
      <w:r w:rsidR="00434F9E">
        <w:rPr>
          <w:rFonts w:cs="Times New Roman"/>
          <w:color w:val="000000"/>
          <w:szCs w:val="24"/>
          <w:lang w:eastAsia="lv-LV"/>
        </w:rPr>
        <w:t>M</w:t>
      </w:r>
      <w:r w:rsidRPr="00D5514E">
        <w:rPr>
          <w:rFonts w:cs="Times New Roman"/>
          <w:color w:val="000000"/>
          <w:szCs w:val="24"/>
          <w:lang w:eastAsia="lv-LV"/>
        </w:rPr>
        <w:t>azāka</w:t>
      </w:r>
      <w:r w:rsidR="00434F9E">
        <w:rPr>
          <w:rFonts w:cs="Times New Roman"/>
          <w:color w:val="000000"/>
          <w:szCs w:val="24"/>
          <w:lang w:eastAsia="lv-LV"/>
        </w:rPr>
        <w:t xml:space="preserve"> kā tika paredzēts</w:t>
      </w:r>
      <w:r w:rsidRPr="00D5514E">
        <w:rPr>
          <w:rFonts w:cs="Times New Roman"/>
          <w:color w:val="000000"/>
          <w:szCs w:val="24"/>
          <w:lang w:eastAsia="lv-LV"/>
        </w:rPr>
        <w:t xml:space="preserve"> vērība komunikācijā tika pievērsta iepriekš plānotajiem ilgtspējīgas enerģētikas jautājumiem.</w:t>
      </w:r>
    </w:p>
    <w:p w14:paraId="11912F6F" w14:textId="77777777" w:rsidR="006C1EC5" w:rsidRPr="00D5514E" w:rsidRDefault="006C1EC5" w:rsidP="006C1EC5">
      <w:pPr>
        <w:spacing w:after="60" w:line="240" w:lineRule="auto"/>
        <w:jc w:val="both"/>
      </w:pPr>
      <w:r w:rsidRPr="00D5514E">
        <w:t xml:space="preserve">EM un tās padotībā esošajām iestādēm ir izveidojusies aktīva un produktīva sadarbība ar dažādām NVO, kas regulāri tiek iesaistītas ministrijas kompetencē esošās politikas, lēmumu un normatīvo aktu izstrādē un pilnveidošanā. Aktīvākie sociālie partneri ir LTRK, LDDK un </w:t>
      </w:r>
      <w:r w:rsidR="00434F9E">
        <w:t>LPS</w:t>
      </w:r>
      <w:r w:rsidRPr="00D5514E">
        <w:t>. Savukārt, ikdienā ministrija sadarbojas ar vairākiem desmitiem NVO, t.sk. dažādu konsultatīvo padomju ietvaros</w:t>
      </w:r>
      <w:r w:rsidRPr="00D5514E">
        <w:rPr>
          <w:rStyle w:val="FootnoteReference"/>
        </w:rPr>
        <w:footnoteReference w:id="46"/>
      </w:r>
      <w:r w:rsidRPr="00D5514E">
        <w:t xml:space="preserve">. EM atzinīgi novērtē uzņēmēju un viņus pārstāvošo NVO ieguldījumu dažādu politiku izstrādē un uzņēmējdarbības vides pastāvīgā uzlabošanā. </w:t>
      </w:r>
    </w:p>
    <w:bookmarkEnd w:id="83"/>
    <w:p w14:paraId="09D57731" w14:textId="77777777" w:rsidR="007936CA" w:rsidRPr="00F5511B" w:rsidRDefault="007936CA" w:rsidP="009A746D">
      <w:pPr>
        <w:spacing w:before="120" w:after="20" w:line="240" w:lineRule="auto"/>
        <w:jc w:val="both"/>
        <w:rPr>
          <w:rFonts w:cs="Times New Roman"/>
          <w:color w:val="000000"/>
          <w:szCs w:val="24"/>
          <w:highlight w:val="yellow"/>
        </w:rPr>
      </w:pPr>
    </w:p>
    <w:p w14:paraId="5D4A3950" w14:textId="77777777" w:rsidR="00752C66" w:rsidRPr="00F5511B" w:rsidRDefault="00752C66">
      <w:pPr>
        <w:spacing w:after="0" w:line="240" w:lineRule="auto"/>
        <w:rPr>
          <w:rFonts w:cs="Times New Roman"/>
          <w:color w:val="000000"/>
          <w:szCs w:val="24"/>
          <w:highlight w:val="yellow"/>
        </w:rPr>
      </w:pPr>
      <w:r w:rsidRPr="00F5511B">
        <w:rPr>
          <w:rFonts w:cs="Times New Roman"/>
          <w:color w:val="000000"/>
          <w:szCs w:val="24"/>
          <w:highlight w:val="yellow"/>
        </w:rPr>
        <w:br w:type="page"/>
      </w:r>
    </w:p>
    <w:p w14:paraId="038599D8" w14:textId="259690CC" w:rsidR="0018357F" w:rsidRDefault="00BC60D9" w:rsidP="001F10FF">
      <w:pPr>
        <w:spacing w:before="120" w:after="60" w:line="240" w:lineRule="auto"/>
        <w:ind w:left="4536"/>
        <w:jc w:val="both"/>
        <w:rPr>
          <w:szCs w:val="24"/>
        </w:rPr>
      </w:pPr>
      <w:r>
        <w:rPr>
          <w:smallCaps/>
          <w:noProof/>
          <w:sz w:val="32"/>
          <w:szCs w:val="32"/>
          <w:lang w:eastAsia="lv-LV"/>
        </w:rPr>
        <w:lastRenderedPageBreak/>
        <mc:AlternateContent>
          <mc:Choice Requires="wps">
            <w:drawing>
              <wp:anchor distT="0" distB="0" distL="114300" distR="114300" simplePos="0" relativeHeight="251658245" behindDoc="0" locked="0" layoutInCell="1" allowOverlap="1" wp14:anchorId="3661FDE8" wp14:editId="15B9379C">
                <wp:simplePos x="0" y="0"/>
                <wp:positionH relativeFrom="margin">
                  <wp:posOffset>0</wp:posOffset>
                </wp:positionH>
                <wp:positionV relativeFrom="paragraph">
                  <wp:posOffset>73660</wp:posOffset>
                </wp:positionV>
                <wp:extent cx="2705100" cy="857250"/>
                <wp:effectExtent l="0" t="0" r="0" b="0"/>
                <wp:wrapNone/>
                <wp:docPr id="261" name="Round Diagonal Corner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85725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22B741D" w14:textId="77777777" w:rsidR="00003D52" w:rsidRPr="00FF7E4C" w:rsidRDefault="00003D52" w:rsidP="00BE6C4B">
                            <w:pPr>
                              <w:pStyle w:val="Heading1"/>
                              <w:numPr>
                                <w:ilvl w:val="0"/>
                                <w:numId w:val="21"/>
                              </w:numPr>
                              <w:ind w:left="714" w:hanging="357"/>
                            </w:pPr>
                            <w:bookmarkStart w:id="90" w:name="_Toc78790586"/>
                            <w:bookmarkStart w:id="91" w:name="_Toc78874285"/>
                            <w:bookmarkStart w:id="92" w:name="_Toc78874617"/>
                            <w:r w:rsidRPr="005B74B4">
                              <w:rPr>
                                <w:b w:val="0"/>
                                <w:bCs w:val="0"/>
                              </w:rPr>
                              <w:t>2021. gada prioritāšu galvenie pasākumi</w:t>
                            </w:r>
                            <w:bookmarkEnd w:id="90"/>
                            <w:bookmarkEnd w:id="91"/>
                            <w:bookmarkEnd w:id="9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1FDE8" id="_x0000_s1034" style="position:absolute;left:0;text-align:left;margin-left:0;margin-top:5.8pt;width:213pt;height:6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05100,8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" adj="-11796480,,5400" path="m142878,l2705100,r,l2705100,714372v,78909,-63969,142878,-142878,142878l,857250r,l,142878c,63969,63969,,142878,xe" fillcolor="#00859b" strokecolor="#62b1c6" strokeweight="1.5pt">
                <v:stroke joinstyle="miter"/>
                <v:formulas/>
                <v:path arrowok="t" o:connecttype="custom" o:connectlocs="142878,0;2705100,0;2705100,0;2705100,714372;2562222,857250;0,857250;0,857250;0,142878;142878,0" o:connectangles="0,0,0,0,0,0,0,0,0" textboxrect="0,0,2705100,857250"/>
                <v:textbox>
                  <w:txbxContent>
                    <w:p w14:paraId="322B741D" w14:textId="77777777" w:rsidR="00003D52" w:rsidRPr="00FF7E4C" w:rsidRDefault="00003D52" w:rsidP="00BE6C4B">
                      <w:pPr>
                        <w:pStyle w:val="Heading1"/>
                        <w:numPr>
                          <w:ilvl w:val="0"/>
                          <w:numId w:val="21"/>
                        </w:numPr>
                        <w:ind w:left="714" w:hanging="357"/>
                      </w:pPr>
                      <w:bookmarkStart w:id="93" w:name="_Toc78790586"/>
                      <w:bookmarkStart w:id="94" w:name="_Toc78874285"/>
                      <w:bookmarkStart w:id="95" w:name="_Toc78874617"/>
                      <w:r w:rsidRPr="005B74B4">
                        <w:rPr>
                          <w:b w:val="0"/>
                          <w:bCs w:val="0"/>
                        </w:rPr>
                        <w:t>2021. gada prioritāšu galvenie pasākumi</w:t>
                      </w:r>
                      <w:bookmarkEnd w:id="93"/>
                      <w:bookmarkEnd w:id="94"/>
                      <w:bookmarkEnd w:id="95"/>
                    </w:p>
                  </w:txbxContent>
                </v:textbox>
                <w10:wrap anchorx="margin"/>
              </v:shape>
            </w:pict>
          </mc:Fallback>
        </mc:AlternateContent>
      </w:r>
      <w:r w:rsidR="00C07561" w:rsidRPr="00693B76">
        <w:rPr>
          <w:bCs/>
          <w:szCs w:val="24"/>
        </w:rPr>
        <w:t>Atbilstoši jaun</w:t>
      </w:r>
      <w:r w:rsidR="00693B76" w:rsidRPr="00693B76">
        <w:rPr>
          <w:bCs/>
          <w:szCs w:val="24"/>
        </w:rPr>
        <w:t>ā</w:t>
      </w:r>
      <w:r w:rsidR="00C07561" w:rsidRPr="00693B76">
        <w:rPr>
          <w:bCs/>
          <w:szCs w:val="24"/>
        </w:rPr>
        <w:t xml:space="preserve"> plānošanas cikla </w:t>
      </w:r>
      <w:hyperlink r:id="rId119" w:history="1">
        <w:r w:rsidR="00693B76" w:rsidRPr="00693B76">
          <w:rPr>
            <w:rStyle w:val="Hyperlink"/>
            <w:i/>
            <w:iCs/>
            <w:color w:val="00859B"/>
          </w:rPr>
          <w:t>Ekonomikas ministrijas darbības stratēģijai 2020.-2022. gadam</w:t>
        </w:r>
      </w:hyperlink>
      <w:r w:rsidR="00693B76" w:rsidRPr="00693B76">
        <w:rPr>
          <w:bCs/>
          <w:szCs w:val="24"/>
        </w:rPr>
        <w:t xml:space="preserve">, taču vadoties no aktuālākās situācijas, kurā dominēja Covid-19 </w:t>
      </w:r>
      <w:r w:rsidR="008D5C4E" w:rsidRPr="00693B76">
        <w:rPr>
          <w:bCs/>
          <w:szCs w:val="24"/>
        </w:rPr>
        <w:t>izraisīt</w:t>
      </w:r>
      <w:r w:rsidR="008D5C4E">
        <w:rPr>
          <w:bCs/>
          <w:szCs w:val="24"/>
        </w:rPr>
        <w:t>o</w:t>
      </w:r>
      <w:r w:rsidR="008D5C4E" w:rsidRPr="00693B76">
        <w:rPr>
          <w:bCs/>
          <w:szCs w:val="24"/>
        </w:rPr>
        <w:t xml:space="preserve"> </w:t>
      </w:r>
      <w:r w:rsidR="00693B76" w:rsidRPr="00693B76">
        <w:rPr>
          <w:bCs/>
          <w:szCs w:val="24"/>
        </w:rPr>
        <w:t xml:space="preserve">seku pārvarēšanas </w:t>
      </w:r>
      <w:r w:rsidR="00C07561" w:rsidRPr="00693B76">
        <w:rPr>
          <w:bCs/>
          <w:szCs w:val="24"/>
        </w:rPr>
        <w:t>202</w:t>
      </w:r>
      <w:r w:rsidR="00693B76" w:rsidRPr="00693B76">
        <w:rPr>
          <w:bCs/>
          <w:szCs w:val="24"/>
        </w:rPr>
        <w:t>1</w:t>
      </w:r>
      <w:r w:rsidR="00C07561" w:rsidRPr="00693B76">
        <w:rPr>
          <w:bCs/>
          <w:szCs w:val="24"/>
        </w:rPr>
        <w:t>.</w:t>
      </w:r>
      <w:r w:rsidR="007F14D3" w:rsidRPr="00693B76">
        <w:rPr>
          <w:bCs/>
          <w:szCs w:val="24"/>
        </w:rPr>
        <w:t> </w:t>
      </w:r>
      <w:r w:rsidR="00C07561" w:rsidRPr="00693B76">
        <w:rPr>
          <w:bCs/>
          <w:szCs w:val="24"/>
        </w:rPr>
        <w:t xml:space="preserve">gadā ir iezīmētas </w:t>
      </w:r>
      <w:r w:rsidR="00693B76">
        <w:rPr>
          <w:bCs/>
          <w:szCs w:val="24"/>
        </w:rPr>
        <w:t>vairākas</w:t>
      </w:r>
      <w:r w:rsidR="00C07561" w:rsidRPr="00693B76">
        <w:rPr>
          <w:bCs/>
          <w:szCs w:val="24"/>
        </w:rPr>
        <w:t xml:space="preserve"> EM </w:t>
      </w:r>
      <w:r w:rsidR="00693B76">
        <w:rPr>
          <w:bCs/>
          <w:szCs w:val="24"/>
        </w:rPr>
        <w:t xml:space="preserve">īstenojamās </w:t>
      </w:r>
      <w:r w:rsidR="00C07561" w:rsidRPr="00693B76">
        <w:rPr>
          <w:bCs/>
          <w:szCs w:val="24"/>
        </w:rPr>
        <w:t>prioritātes</w:t>
      </w:r>
      <w:r w:rsidR="00C07561" w:rsidRPr="00693B76">
        <w:rPr>
          <w:szCs w:val="24"/>
        </w:rPr>
        <w:t>.</w:t>
      </w:r>
    </w:p>
    <w:p w14:paraId="1C3DAEFD" w14:textId="77777777" w:rsidR="00467664" w:rsidRPr="00693B76" w:rsidRDefault="00467664" w:rsidP="00467664">
      <w:pPr>
        <w:spacing w:before="60" w:after="60" w:line="240" w:lineRule="auto"/>
        <w:ind w:left="4536"/>
        <w:jc w:val="both"/>
        <w:rPr>
          <w:bCs/>
          <w:szCs w:val="24"/>
        </w:rPr>
      </w:pPr>
    </w:p>
    <w:p w14:paraId="376B9689" w14:textId="401C973C" w:rsidR="007C7CFD" w:rsidRPr="007C7CFD" w:rsidRDefault="004C3C74" w:rsidP="00BE6C4B">
      <w:pPr>
        <w:pStyle w:val="ListParagraph"/>
        <w:numPr>
          <w:ilvl w:val="0"/>
          <w:numId w:val="22"/>
        </w:numPr>
        <w:tabs>
          <w:tab w:val="left" w:pos="567"/>
        </w:tabs>
        <w:spacing w:before="120" w:after="60"/>
        <w:ind w:left="0" w:firstLine="0"/>
        <w:contextualSpacing w:val="0"/>
        <w:jc w:val="both"/>
        <w:rPr>
          <w:b/>
          <w:bCs/>
        </w:rPr>
      </w:pPr>
      <w:r>
        <w:rPr>
          <w:b/>
          <w:bCs/>
          <w:color w:val="00859B"/>
        </w:rPr>
        <w:t xml:space="preserve">Atbalsta programmas </w:t>
      </w:r>
      <w:r w:rsidR="007C7CFD" w:rsidRPr="007C7CFD">
        <w:rPr>
          <w:b/>
          <w:bCs/>
          <w:color w:val="00859B"/>
        </w:rPr>
        <w:t>Covid-19 izraisīto seku mazināšana</w:t>
      </w:r>
      <w:r>
        <w:rPr>
          <w:b/>
          <w:bCs/>
          <w:color w:val="00859B"/>
        </w:rPr>
        <w:t>i</w:t>
      </w:r>
      <w:r w:rsidR="007C7CFD" w:rsidRPr="007C7CFD">
        <w:rPr>
          <w:b/>
          <w:bCs/>
          <w:color w:val="00859B"/>
        </w:rPr>
        <w:t xml:space="preserve"> </w:t>
      </w:r>
    </w:p>
    <w:p w14:paraId="575D1C70" w14:textId="2B7B546E" w:rsidR="000D2A63" w:rsidRDefault="00A954E1" w:rsidP="00A954E1">
      <w:pPr>
        <w:spacing w:before="60" w:after="60" w:line="240" w:lineRule="auto"/>
        <w:jc w:val="both"/>
      </w:pPr>
      <w:r w:rsidRPr="00A954E1">
        <w:t>Lai turpinātu pārvarēt Covid-19 izraisītās sekas un ļautu uzņēmumiem stabilizēt uzņēmējdarbību</w:t>
      </w:r>
      <w:r w:rsidR="007715C6">
        <w:t xml:space="preserve">, </w:t>
      </w:r>
      <w:r w:rsidR="000D2A63">
        <w:t xml:space="preserve">EM paredz turpināt vairākas </w:t>
      </w:r>
      <w:r w:rsidR="00A50FA9">
        <w:t xml:space="preserve">atbalsta programmas (skatīt 4.tabulu), kas izveidotas </w:t>
      </w:r>
      <w:r w:rsidR="000D2A63">
        <w:t>no līdzekļiem neparedzētiem gadījumiem 2020. gadā un 2021.</w:t>
      </w:r>
      <w:r w:rsidR="00A50FA9">
        <w:t> </w:t>
      </w:r>
      <w:r w:rsidR="000D2A63">
        <w:t xml:space="preserve">gada sākumā. </w:t>
      </w:r>
      <w:r w:rsidRPr="00A954E1">
        <w:t xml:space="preserve"> </w:t>
      </w:r>
    </w:p>
    <w:p w14:paraId="4B77625D" w14:textId="3FA61F01" w:rsidR="00BB24E3" w:rsidRPr="003F33B0" w:rsidRDefault="003F33B0" w:rsidP="00A50FA9">
      <w:pPr>
        <w:spacing w:before="120" w:after="60" w:line="240" w:lineRule="auto"/>
        <w:jc w:val="both"/>
        <w:rPr>
          <w:b/>
          <w:bCs/>
          <w:sz w:val="20"/>
          <w:szCs w:val="20"/>
        </w:rPr>
      </w:pPr>
      <w:r w:rsidRPr="003F33B0">
        <w:rPr>
          <w:b/>
          <w:bCs/>
          <w:sz w:val="20"/>
          <w:szCs w:val="20"/>
        </w:rPr>
        <w:t xml:space="preserve">4.tabula. </w:t>
      </w:r>
      <w:r>
        <w:rPr>
          <w:b/>
          <w:bCs/>
          <w:sz w:val="20"/>
          <w:szCs w:val="20"/>
        </w:rPr>
        <w:t>Atbalsta programmas</w:t>
      </w:r>
      <w:r w:rsidR="00BB24E3" w:rsidRPr="003F33B0">
        <w:rPr>
          <w:b/>
          <w:bCs/>
          <w:sz w:val="20"/>
          <w:szCs w:val="20"/>
        </w:rPr>
        <w:t xml:space="preserve"> </w:t>
      </w:r>
      <w:r>
        <w:rPr>
          <w:b/>
          <w:bCs/>
          <w:sz w:val="20"/>
          <w:szCs w:val="20"/>
        </w:rPr>
        <w:t xml:space="preserve">un </w:t>
      </w:r>
      <w:r w:rsidR="00BB24E3" w:rsidRPr="003F33B0">
        <w:rPr>
          <w:b/>
          <w:bCs/>
          <w:sz w:val="20"/>
          <w:szCs w:val="20"/>
        </w:rPr>
        <w:t xml:space="preserve">līdzekļu </w:t>
      </w:r>
      <w:r w:rsidRPr="003F33B0">
        <w:rPr>
          <w:b/>
          <w:bCs/>
          <w:sz w:val="20"/>
          <w:szCs w:val="20"/>
        </w:rPr>
        <w:t>piešķiršan</w:t>
      </w:r>
      <w:r>
        <w:rPr>
          <w:b/>
          <w:bCs/>
          <w:sz w:val="20"/>
          <w:szCs w:val="20"/>
        </w:rPr>
        <w:t>a</w:t>
      </w:r>
      <w:r w:rsidRPr="003F33B0">
        <w:rPr>
          <w:b/>
          <w:bCs/>
          <w:sz w:val="20"/>
          <w:szCs w:val="20"/>
        </w:rPr>
        <w:t xml:space="preserve"> </w:t>
      </w:r>
      <w:r w:rsidR="00BB24E3" w:rsidRPr="003F33B0">
        <w:rPr>
          <w:b/>
          <w:bCs/>
          <w:sz w:val="20"/>
          <w:szCs w:val="20"/>
        </w:rPr>
        <w:t xml:space="preserve">Covid-19 izplatības seku mazināšanai un pārvarēšanai </w:t>
      </w:r>
    </w:p>
    <w:tbl>
      <w:tblPr>
        <w:tblW w:w="9751" w:type="dxa"/>
        <w:tblLook w:val="04A0" w:firstRow="1" w:lastRow="0" w:firstColumn="1" w:lastColumn="0" w:noHBand="0" w:noVBand="1"/>
      </w:tblPr>
      <w:tblGrid>
        <w:gridCol w:w="3458"/>
        <w:gridCol w:w="4819"/>
        <w:gridCol w:w="1474"/>
      </w:tblGrid>
      <w:tr w:rsidR="00B67AD6" w:rsidRPr="000D2A63" w14:paraId="559A3772" w14:textId="77777777" w:rsidTr="00B67AD6">
        <w:trPr>
          <w:trHeight w:val="624"/>
        </w:trPr>
        <w:tc>
          <w:tcPr>
            <w:tcW w:w="3458" w:type="dxa"/>
            <w:tcBorders>
              <w:top w:val="single" w:sz="4" w:space="0" w:color="auto"/>
              <w:left w:val="single" w:sz="4" w:space="0" w:color="auto"/>
              <w:bottom w:val="single" w:sz="4" w:space="0" w:color="auto"/>
              <w:right w:val="single" w:sz="4" w:space="0" w:color="auto"/>
            </w:tcBorders>
            <w:shd w:val="clear" w:color="auto" w:fill="00859B"/>
            <w:vAlign w:val="center"/>
            <w:hideMark/>
          </w:tcPr>
          <w:p w14:paraId="63E61C13" w14:textId="77777777" w:rsidR="004226AB" w:rsidRPr="003F33B0" w:rsidRDefault="004226AB" w:rsidP="000D2A63">
            <w:pPr>
              <w:spacing w:after="0" w:line="240" w:lineRule="auto"/>
              <w:rPr>
                <w:rFonts w:eastAsia="Times New Roman" w:cs="Times New Roman"/>
                <w:b/>
                <w:bCs/>
                <w:color w:val="FFFFFF" w:themeColor="background1"/>
                <w:sz w:val="20"/>
                <w:szCs w:val="20"/>
                <w:lang w:eastAsia="lv-LV"/>
              </w:rPr>
            </w:pPr>
            <w:r w:rsidRPr="003F33B0">
              <w:rPr>
                <w:rFonts w:eastAsia="Times New Roman" w:cs="Times New Roman"/>
                <w:b/>
                <w:bCs/>
                <w:color w:val="FFFFFF" w:themeColor="background1"/>
                <w:sz w:val="20"/>
                <w:szCs w:val="20"/>
                <w:lang w:eastAsia="lv-LV"/>
              </w:rPr>
              <w:t>Pasākuma nosaukums</w:t>
            </w:r>
          </w:p>
        </w:tc>
        <w:tc>
          <w:tcPr>
            <w:tcW w:w="4819" w:type="dxa"/>
            <w:tcBorders>
              <w:top w:val="single" w:sz="4" w:space="0" w:color="auto"/>
              <w:left w:val="nil"/>
              <w:bottom w:val="single" w:sz="4" w:space="0" w:color="auto"/>
              <w:right w:val="single" w:sz="4" w:space="0" w:color="auto"/>
            </w:tcBorders>
            <w:shd w:val="clear" w:color="auto" w:fill="00859B"/>
            <w:vAlign w:val="center"/>
            <w:hideMark/>
          </w:tcPr>
          <w:p w14:paraId="12D5C124" w14:textId="77777777" w:rsidR="004226AB" w:rsidRDefault="004226AB" w:rsidP="000D2A63">
            <w:pPr>
              <w:spacing w:after="0" w:line="240" w:lineRule="auto"/>
              <w:jc w:val="center"/>
              <w:rPr>
                <w:rFonts w:eastAsia="Times New Roman" w:cs="Times New Roman"/>
                <w:b/>
                <w:bCs/>
                <w:color w:val="FFFFFF" w:themeColor="background1"/>
                <w:sz w:val="20"/>
                <w:szCs w:val="20"/>
                <w:lang w:eastAsia="lv-LV"/>
              </w:rPr>
            </w:pPr>
            <w:r w:rsidRPr="003F33B0">
              <w:rPr>
                <w:rFonts w:eastAsia="Times New Roman" w:cs="Times New Roman"/>
                <w:b/>
                <w:bCs/>
                <w:color w:val="FFFFFF" w:themeColor="background1"/>
                <w:sz w:val="20"/>
                <w:szCs w:val="20"/>
                <w:lang w:eastAsia="lv-LV"/>
              </w:rPr>
              <w:t xml:space="preserve">MK lēmums </w:t>
            </w:r>
          </w:p>
          <w:p w14:paraId="6935F978" w14:textId="2AB07F9C" w:rsidR="004226AB" w:rsidRPr="003F33B0" w:rsidRDefault="004226AB" w:rsidP="000D2A63">
            <w:pPr>
              <w:spacing w:after="0" w:line="240" w:lineRule="auto"/>
              <w:jc w:val="center"/>
              <w:rPr>
                <w:rFonts w:eastAsia="Times New Roman" w:cs="Times New Roman"/>
                <w:b/>
                <w:bCs/>
                <w:color w:val="FFFFFF" w:themeColor="background1"/>
                <w:sz w:val="20"/>
                <w:szCs w:val="20"/>
                <w:lang w:eastAsia="lv-LV"/>
              </w:rPr>
            </w:pPr>
            <w:r w:rsidRPr="003F33B0">
              <w:rPr>
                <w:rFonts w:eastAsia="Times New Roman" w:cs="Times New Roman"/>
                <w:b/>
                <w:bCs/>
                <w:color w:val="FFFFFF" w:themeColor="background1"/>
                <w:sz w:val="20"/>
                <w:szCs w:val="20"/>
                <w:lang w:eastAsia="lv-LV"/>
              </w:rPr>
              <w:t>(datums dd.mm.</w:t>
            </w:r>
            <w:r>
              <w:rPr>
                <w:rFonts w:eastAsia="Times New Roman" w:cs="Times New Roman"/>
                <w:b/>
                <w:bCs/>
                <w:color w:val="FFFFFF" w:themeColor="background1"/>
                <w:sz w:val="20"/>
                <w:szCs w:val="20"/>
                <w:lang w:eastAsia="lv-LV"/>
              </w:rPr>
              <w:t>gggg</w:t>
            </w:r>
            <w:r w:rsidRPr="003F33B0">
              <w:rPr>
                <w:rFonts w:eastAsia="Times New Roman" w:cs="Times New Roman"/>
                <w:b/>
                <w:bCs/>
                <w:color w:val="FFFFFF" w:themeColor="background1"/>
                <w:sz w:val="20"/>
                <w:szCs w:val="20"/>
                <w:lang w:eastAsia="lv-LV"/>
              </w:rPr>
              <w:t>, numurs)</w:t>
            </w:r>
          </w:p>
        </w:tc>
        <w:tc>
          <w:tcPr>
            <w:tcW w:w="1474" w:type="dxa"/>
            <w:tcBorders>
              <w:top w:val="single" w:sz="4" w:space="0" w:color="auto"/>
              <w:left w:val="nil"/>
              <w:bottom w:val="single" w:sz="4" w:space="0" w:color="auto"/>
              <w:right w:val="single" w:sz="4" w:space="0" w:color="auto"/>
            </w:tcBorders>
            <w:shd w:val="clear" w:color="auto" w:fill="00859B"/>
            <w:vAlign w:val="center"/>
            <w:hideMark/>
          </w:tcPr>
          <w:p w14:paraId="47A52DA5" w14:textId="67303093" w:rsidR="004226AB" w:rsidRPr="003F33B0" w:rsidRDefault="004226AB" w:rsidP="000D2A63">
            <w:pPr>
              <w:spacing w:after="0" w:line="240" w:lineRule="auto"/>
              <w:jc w:val="center"/>
              <w:rPr>
                <w:rFonts w:eastAsia="Times New Roman" w:cs="Times New Roman"/>
                <w:b/>
                <w:bCs/>
                <w:color w:val="FFFFFF" w:themeColor="background1"/>
                <w:sz w:val="20"/>
                <w:szCs w:val="20"/>
                <w:lang w:eastAsia="lv-LV"/>
              </w:rPr>
            </w:pPr>
            <w:r w:rsidRPr="003F33B0">
              <w:rPr>
                <w:rFonts w:eastAsia="Times New Roman" w:cs="Times New Roman"/>
                <w:b/>
                <w:bCs/>
                <w:color w:val="FFFFFF" w:themeColor="background1"/>
                <w:sz w:val="20"/>
                <w:szCs w:val="20"/>
                <w:lang w:eastAsia="lv-LV"/>
              </w:rPr>
              <w:t xml:space="preserve">Piešķirtā summa, </w:t>
            </w:r>
            <w:r w:rsidRPr="003F33B0">
              <w:rPr>
                <w:rFonts w:eastAsia="Times New Roman" w:cs="Times New Roman"/>
                <w:b/>
                <w:bCs/>
                <w:i/>
                <w:iCs/>
                <w:color w:val="FFFFFF" w:themeColor="background1"/>
                <w:sz w:val="20"/>
                <w:szCs w:val="20"/>
                <w:lang w:eastAsia="lv-LV"/>
              </w:rPr>
              <w:t>euro</w:t>
            </w:r>
          </w:p>
        </w:tc>
      </w:tr>
      <w:tr w:rsidR="004226AB" w:rsidRPr="000D2A63" w14:paraId="262D9131" w14:textId="77777777" w:rsidTr="00B67AD6">
        <w:trPr>
          <w:trHeight w:val="794"/>
        </w:trPr>
        <w:tc>
          <w:tcPr>
            <w:tcW w:w="3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94985" w14:textId="1B1BF571" w:rsidR="004226AB" w:rsidRPr="003F33B0" w:rsidRDefault="004226AB" w:rsidP="000D2A63">
            <w:pPr>
              <w:spacing w:after="0" w:line="240" w:lineRule="auto"/>
              <w:rPr>
                <w:rFonts w:eastAsia="Times New Roman" w:cs="Times New Roman"/>
                <w:sz w:val="20"/>
                <w:szCs w:val="20"/>
                <w:lang w:eastAsia="lv-LV"/>
              </w:rPr>
            </w:pPr>
            <w:r w:rsidRPr="003F33B0">
              <w:rPr>
                <w:rFonts w:eastAsia="Times New Roman" w:cs="Times New Roman"/>
                <w:sz w:val="20"/>
                <w:szCs w:val="20"/>
                <w:lang w:eastAsia="lv-LV"/>
              </w:rPr>
              <w:t>Atbalsts, kas tiek izmaksāts par personu izmitināšanu tūristu mītnēs</w:t>
            </w:r>
            <w:r w:rsidRPr="007D700E">
              <w:rPr>
                <w:rStyle w:val="FootnoteReference"/>
                <w:rFonts w:eastAsia="Times New Roman" w:cs="Times New Roman"/>
                <w:sz w:val="20"/>
                <w:szCs w:val="20"/>
                <w:lang w:eastAsia="lv-LV"/>
              </w:rPr>
              <w:footnoteReference w:id="47"/>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0FE8A11C" w14:textId="2999FD20" w:rsidR="004226AB" w:rsidRPr="003F33B0" w:rsidRDefault="004226AB" w:rsidP="000D2A63">
            <w:pPr>
              <w:spacing w:after="0" w:line="240" w:lineRule="auto"/>
              <w:jc w:val="center"/>
              <w:rPr>
                <w:rFonts w:eastAsia="Times New Roman" w:cs="Times New Roman"/>
                <w:sz w:val="20"/>
                <w:szCs w:val="20"/>
                <w:lang w:eastAsia="lv-LV"/>
              </w:rPr>
            </w:pPr>
            <w:r w:rsidRPr="003F33B0">
              <w:rPr>
                <w:rFonts w:eastAsia="Times New Roman" w:cs="Times New Roman"/>
                <w:sz w:val="20"/>
                <w:szCs w:val="20"/>
                <w:lang w:eastAsia="lv-LV"/>
              </w:rPr>
              <w:t>Par finanšu līdzekļu piešķiršanu no valsts budžeta programmas "Līdzekļi neparedzētiem gadījumiem"</w:t>
            </w:r>
            <w:r>
              <w:rPr>
                <w:rStyle w:val="FootnoteReference"/>
                <w:rFonts w:eastAsia="Times New Roman" w:cs="Times New Roman"/>
                <w:sz w:val="20"/>
                <w:szCs w:val="20"/>
                <w:lang w:eastAsia="lv-LV"/>
              </w:rPr>
              <w:footnoteReference w:id="48"/>
            </w:r>
            <w:r w:rsidRPr="003F33B0">
              <w:rPr>
                <w:rFonts w:eastAsia="Times New Roman" w:cs="Times New Roman"/>
                <w:sz w:val="20"/>
                <w:szCs w:val="20"/>
                <w:lang w:eastAsia="lv-LV"/>
              </w:rPr>
              <w:t xml:space="preserve"> </w:t>
            </w:r>
          </w:p>
          <w:p w14:paraId="14CD757F" w14:textId="3EC46878" w:rsidR="004226AB" w:rsidRPr="003F33B0" w:rsidRDefault="004226AB" w:rsidP="000D2A63">
            <w:pPr>
              <w:spacing w:after="0" w:line="240" w:lineRule="auto"/>
              <w:jc w:val="center"/>
              <w:rPr>
                <w:rFonts w:eastAsia="Times New Roman" w:cs="Times New Roman"/>
                <w:sz w:val="20"/>
                <w:szCs w:val="20"/>
                <w:lang w:eastAsia="lv-LV"/>
              </w:rPr>
            </w:pPr>
            <w:r w:rsidRPr="003F33B0">
              <w:rPr>
                <w:rFonts w:eastAsia="Times New Roman" w:cs="Times New Roman"/>
                <w:sz w:val="20"/>
                <w:szCs w:val="20"/>
                <w:lang w:eastAsia="lv-LV"/>
              </w:rPr>
              <w:t>(22.12.2020. prot. Nr.86, 3.§)</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7CA05360" w14:textId="77777777" w:rsidR="004226AB" w:rsidRPr="003F33B0" w:rsidRDefault="004226AB" w:rsidP="000D2A63">
            <w:pPr>
              <w:spacing w:after="0" w:line="240" w:lineRule="auto"/>
              <w:jc w:val="center"/>
              <w:rPr>
                <w:rFonts w:eastAsia="Times New Roman" w:cs="Times New Roman"/>
                <w:sz w:val="20"/>
                <w:szCs w:val="20"/>
                <w:lang w:eastAsia="lv-LV"/>
              </w:rPr>
            </w:pPr>
            <w:r w:rsidRPr="003F33B0">
              <w:rPr>
                <w:rFonts w:eastAsia="Times New Roman" w:cs="Times New Roman"/>
                <w:sz w:val="20"/>
                <w:szCs w:val="20"/>
                <w:lang w:eastAsia="lv-LV"/>
              </w:rPr>
              <w:t>2 173 500</w:t>
            </w:r>
          </w:p>
        </w:tc>
      </w:tr>
      <w:tr w:rsidR="004226AB" w:rsidRPr="000D2A63" w14:paraId="4C459B75" w14:textId="77777777" w:rsidTr="00B67AD6">
        <w:trPr>
          <w:trHeight w:val="1020"/>
        </w:trPr>
        <w:tc>
          <w:tcPr>
            <w:tcW w:w="3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7CDB5" w14:textId="02200AE3" w:rsidR="004226AB" w:rsidRPr="003F33B0" w:rsidRDefault="004226AB" w:rsidP="000D2A63">
            <w:pPr>
              <w:spacing w:after="0" w:line="240" w:lineRule="auto"/>
              <w:rPr>
                <w:rFonts w:eastAsia="Times New Roman" w:cs="Times New Roman"/>
                <w:sz w:val="20"/>
                <w:szCs w:val="20"/>
                <w:lang w:eastAsia="lv-LV"/>
              </w:rPr>
            </w:pPr>
            <w:r w:rsidRPr="007D700E">
              <w:rPr>
                <w:rFonts w:eastAsia="Times New Roman" w:cs="Times New Roman"/>
                <w:sz w:val="20"/>
                <w:szCs w:val="20"/>
                <w:lang w:eastAsia="lv-LV"/>
              </w:rPr>
              <w:t>Atbalsts, kas tiek izmaksāts tūrisma nozares saimnieciskās darbības veicējus, kuru darbību ietekmējusi Covid-19 izplatība</w:t>
            </w:r>
            <w:r w:rsidRPr="007D700E">
              <w:rPr>
                <w:rFonts w:eastAsia="Times New Roman" w:cs="Times New Roman"/>
                <w:sz w:val="20"/>
                <w:szCs w:val="20"/>
                <w:vertAlign w:val="superscript"/>
                <w:lang w:eastAsia="lv-LV"/>
              </w:rPr>
              <w:t>46</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4BFE60AB" w14:textId="163D7E64" w:rsidR="004226AB" w:rsidRPr="003F33B0" w:rsidRDefault="004226AB" w:rsidP="000D2A63">
            <w:pPr>
              <w:spacing w:after="0" w:line="240" w:lineRule="auto"/>
              <w:jc w:val="center"/>
              <w:rPr>
                <w:rFonts w:eastAsia="Times New Roman" w:cs="Times New Roman"/>
                <w:sz w:val="20"/>
                <w:szCs w:val="20"/>
                <w:lang w:eastAsia="lv-LV"/>
              </w:rPr>
            </w:pPr>
            <w:r w:rsidRPr="003F33B0">
              <w:rPr>
                <w:rFonts w:eastAsia="Times New Roman" w:cs="Times New Roman"/>
                <w:sz w:val="20"/>
                <w:szCs w:val="20"/>
                <w:lang w:eastAsia="lv-LV"/>
              </w:rPr>
              <w:t>Par finanšu līdzekļu piešķiršanu no valsts budžeta programmas "Līdzekļi neparedzētiem gadījumiem"</w:t>
            </w:r>
            <w:r>
              <w:rPr>
                <w:rStyle w:val="FootnoteReference"/>
                <w:rFonts w:eastAsia="Times New Roman" w:cs="Times New Roman"/>
                <w:sz w:val="20"/>
                <w:szCs w:val="20"/>
                <w:lang w:eastAsia="lv-LV"/>
              </w:rPr>
              <w:footnoteReference w:id="49"/>
            </w:r>
            <w:r w:rsidRPr="003F33B0">
              <w:rPr>
                <w:rFonts w:eastAsia="Times New Roman" w:cs="Times New Roman"/>
                <w:sz w:val="20"/>
                <w:szCs w:val="20"/>
                <w:lang w:eastAsia="lv-LV"/>
              </w:rPr>
              <w:t xml:space="preserve"> </w:t>
            </w:r>
          </w:p>
          <w:p w14:paraId="75B1E6FA" w14:textId="6A7956A8" w:rsidR="004226AB" w:rsidRPr="003F33B0" w:rsidRDefault="004226AB" w:rsidP="000D2A63">
            <w:pPr>
              <w:spacing w:after="0" w:line="240" w:lineRule="auto"/>
              <w:jc w:val="center"/>
              <w:rPr>
                <w:rFonts w:eastAsia="Times New Roman" w:cs="Times New Roman"/>
                <w:sz w:val="20"/>
                <w:szCs w:val="20"/>
                <w:lang w:eastAsia="lv-LV"/>
              </w:rPr>
            </w:pPr>
            <w:r w:rsidRPr="003F33B0">
              <w:rPr>
                <w:rFonts w:eastAsia="Times New Roman" w:cs="Times New Roman"/>
                <w:sz w:val="20"/>
                <w:szCs w:val="20"/>
                <w:lang w:eastAsia="lv-LV"/>
              </w:rPr>
              <w:t>(14.01.2021. prot. Nr.5, 14.§)</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4FF6720D" w14:textId="77777777"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2 555 465</w:t>
            </w:r>
          </w:p>
        </w:tc>
      </w:tr>
      <w:tr w:rsidR="004226AB" w:rsidRPr="000D2A63" w14:paraId="709BF428" w14:textId="77777777" w:rsidTr="00B67AD6">
        <w:trPr>
          <w:trHeight w:val="794"/>
        </w:trPr>
        <w:tc>
          <w:tcPr>
            <w:tcW w:w="3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9BED5" w14:textId="09F13CAB" w:rsidR="004226AB" w:rsidRPr="007D700E" w:rsidRDefault="004226AB" w:rsidP="000D2A63">
            <w:pPr>
              <w:spacing w:after="0" w:line="240" w:lineRule="auto"/>
              <w:rPr>
                <w:rFonts w:eastAsia="Times New Roman" w:cs="Times New Roman"/>
                <w:color w:val="000000"/>
                <w:sz w:val="20"/>
                <w:szCs w:val="20"/>
                <w:lang w:eastAsia="lv-LV"/>
              </w:rPr>
            </w:pPr>
            <w:r w:rsidRPr="007D700E">
              <w:rPr>
                <w:rFonts w:eastAsia="Times New Roman" w:cs="Times New Roman"/>
                <w:color w:val="000000"/>
                <w:sz w:val="20"/>
                <w:szCs w:val="20"/>
                <w:lang w:eastAsia="lv-LV"/>
              </w:rPr>
              <w:t>Atbalsts grantu izmaksu nodrošināšanai sporta centriem, kuru darbību ietekmējusi Covid-19 izplatība</w:t>
            </w:r>
            <w:r w:rsidRPr="003F33B0">
              <w:rPr>
                <w:rFonts w:eastAsia="Times New Roman" w:cs="Times New Roman"/>
                <w:color w:val="000000"/>
                <w:sz w:val="20"/>
                <w:szCs w:val="20"/>
                <w:vertAlign w:val="superscript"/>
                <w:lang w:eastAsia="lv-LV"/>
              </w:rPr>
              <w:t>46</w:t>
            </w:r>
          </w:p>
        </w:tc>
        <w:tc>
          <w:tcPr>
            <w:tcW w:w="4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DB866" w14:textId="56C7E337"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Par finanšu līdzekļu piešķiršanu no valsts budžeta programmas "Līdzekļi neparedzētiem gadījumiem"</w:t>
            </w:r>
            <w:r>
              <w:rPr>
                <w:rStyle w:val="FootnoteReference"/>
                <w:rFonts w:eastAsia="Times New Roman" w:cs="Times New Roman"/>
                <w:sz w:val="20"/>
                <w:szCs w:val="20"/>
                <w:lang w:eastAsia="lv-LV"/>
              </w:rPr>
              <w:footnoteReference w:id="50"/>
            </w:r>
            <w:r w:rsidRPr="007D700E">
              <w:rPr>
                <w:rFonts w:eastAsia="Times New Roman" w:cs="Times New Roman"/>
                <w:sz w:val="20"/>
                <w:szCs w:val="20"/>
                <w:lang w:eastAsia="lv-LV"/>
              </w:rPr>
              <w:t xml:space="preserve"> </w:t>
            </w:r>
          </w:p>
          <w:p w14:paraId="40FAD6D1" w14:textId="78CF60B3"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(27.05.2021. prot. Nr.44, 42.§)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CEA1" w14:textId="77777777"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8 000 000</w:t>
            </w:r>
          </w:p>
        </w:tc>
      </w:tr>
      <w:tr w:rsidR="004226AB" w:rsidRPr="000D2A63" w14:paraId="722535EC" w14:textId="77777777" w:rsidTr="00B67AD6">
        <w:trPr>
          <w:trHeight w:val="737"/>
        </w:trPr>
        <w:tc>
          <w:tcPr>
            <w:tcW w:w="3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9E21" w14:textId="18F979CD" w:rsidR="004226AB" w:rsidRPr="007D700E" w:rsidRDefault="004226AB" w:rsidP="000D2A63">
            <w:pPr>
              <w:spacing w:after="0" w:line="240" w:lineRule="auto"/>
              <w:rPr>
                <w:rFonts w:eastAsia="Times New Roman" w:cs="Times New Roman"/>
                <w:color w:val="000000"/>
                <w:sz w:val="20"/>
                <w:szCs w:val="20"/>
                <w:lang w:eastAsia="lv-LV"/>
              </w:rPr>
            </w:pPr>
            <w:r w:rsidRPr="007D700E">
              <w:rPr>
                <w:rFonts w:eastAsia="Times New Roman" w:cs="Times New Roman"/>
                <w:color w:val="000000"/>
                <w:sz w:val="20"/>
                <w:szCs w:val="20"/>
                <w:lang w:eastAsia="lv-LV"/>
              </w:rPr>
              <w:t>Atbalsts grantu izmaksu nodrošināšanai tirdzniecības centriem, kuru darbību ietekmējusi Covid-19 izplatība</w:t>
            </w:r>
            <w:r w:rsidRPr="003F33B0">
              <w:rPr>
                <w:rFonts w:eastAsia="Times New Roman" w:cs="Times New Roman"/>
                <w:color w:val="000000"/>
                <w:sz w:val="20"/>
                <w:szCs w:val="20"/>
                <w:vertAlign w:val="superscript"/>
                <w:lang w:eastAsia="lv-LV"/>
              </w:rPr>
              <w:t>46</w:t>
            </w:r>
          </w:p>
        </w:tc>
        <w:tc>
          <w:tcPr>
            <w:tcW w:w="4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F39BF" w14:textId="6ADF842C"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Par finanšu līdzekļu piešķiršanu no valsts budžeta programmas "Līdzekļi neparedzētiem gadījumiem"</w:t>
            </w:r>
            <w:r>
              <w:rPr>
                <w:rStyle w:val="FootnoteReference"/>
                <w:rFonts w:eastAsia="Times New Roman" w:cs="Times New Roman"/>
                <w:sz w:val="20"/>
                <w:szCs w:val="20"/>
                <w:lang w:eastAsia="lv-LV"/>
              </w:rPr>
              <w:footnoteReference w:id="51"/>
            </w:r>
            <w:r w:rsidRPr="007D700E">
              <w:rPr>
                <w:rFonts w:eastAsia="Times New Roman" w:cs="Times New Roman"/>
                <w:sz w:val="20"/>
                <w:szCs w:val="20"/>
                <w:lang w:eastAsia="lv-LV"/>
              </w:rPr>
              <w:t xml:space="preserve"> (27.05.2021. </w:t>
            </w:r>
            <w:r>
              <w:rPr>
                <w:rFonts w:eastAsia="Times New Roman" w:cs="Times New Roman"/>
                <w:sz w:val="20"/>
                <w:szCs w:val="20"/>
                <w:lang w:eastAsia="lv-LV"/>
              </w:rPr>
              <w:t>p</w:t>
            </w:r>
            <w:r w:rsidRPr="003F33B0">
              <w:rPr>
                <w:rFonts w:eastAsia="Times New Roman" w:cs="Times New Roman"/>
                <w:sz w:val="20"/>
                <w:szCs w:val="20"/>
                <w:lang w:eastAsia="lv-LV"/>
              </w:rPr>
              <w:t>rot. Nr.44</w:t>
            </w:r>
            <w:r>
              <w:rPr>
                <w:rFonts w:eastAsia="Times New Roman" w:cs="Times New Roman"/>
                <w:sz w:val="20"/>
                <w:szCs w:val="20"/>
                <w:lang w:eastAsia="lv-LV"/>
              </w:rPr>
              <w:t xml:space="preserve">, </w:t>
            </w:r>
            <w:r w:rsidRPr="007D700E">
              <w:rPr>
                <w:rFonts w:eastAsia="Times New Roman" w:cs="Times New Roman"/>
                <w:sz w:val="20"/>
                <w:szCs w:val="20"/>
                <w:lang w:eastAsia="lv-LV"/>
              </w:rPr>
              <w:t>43.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8E5DC" w14:textId="77777777"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20 000 000</w:t>
            </w:r>
          </w:p>
        </w:tc>
      </w:tr>
      <w:tr w:rsidR="004226AB" w:rsidRPr="000D2A63" w14:paraId="71011007" w14:textId="77777777" w:rsidTr="00B67AD6">
        <w:trPr>
          <w:trHeight w:val="276"/>
        </w:trPr>
        <w:tc>
          <w:tcPr>
            <w:tcW w:w="34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92810B" w14:textId="7BB1AE9C" w:rsidR="004226AB" w:rsidRPr="007D700E" w:rsidRDefault="004226AB" w:rsidP="00BB24E3">
            <w:pPr>
              <w:spacing w:after="0" w:line="240" w:lineRule="auto"/>
              <w:rPr>
                <w:rFonts w:eastAsia="Times New Roman" w:cs="Times New Roman"/>
                <w:sz w:val="20"/>
                <w:szCs w:val="20"/>
                <w:lang w:eastAsia="lv-LV"/>
              </w:rPr>
            </w:pPr>
            <w:r w:rsidRPr="007D700E">
              <w:rPr>
                <w:rFonts w:eastAsia="Times New Roman" w:cs="Times New Roman"/>
                <w:sz w:val="20"/>
                <w:szCs w:val="20"/>
                <w:lang w:eastAsia="lv-LV"/>
              </w:rPr>
              <w:t>Informēšanas kampaņa par drošas tirdzniecības jautājumiem un iedzīvotāju paradumu maiņu</w:t>
            </w:r>
            <w:r>
              <w:rPr>
                <w:rStyle w:val="FootnoteReference"/>
                <w:rFonts w:eastAsia="Times New Roman" w:cs="Times New Roman"/>
                <w:sz w:val="20"/>
                <w:szCs w:val="20"/>
                <w:lang w:eastAsia="lv-LV"/>
              </w:rPr>
              <w:footnoteReference w:id="52"/>
            </w:r>
          </w:p>
        </w:tc>
        <w:tc>
          <w:tcPr>
            <w:tcW w:w="4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4D561" w14:textId="280A12B2"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Par finanšu līdzekļu piešķiršanu no valsts budžeta programmas "Līdzekļi neparedzētiem gadījumiem"</w:t>
            </w:r>
            <w:r w:rsidR="007267C0">
              <w:rPr>
                <w:rStyle w:val="FootnoteReference"/>
                <w:rFonts w:eastAsia="Times New Roman" w:cs="Times New Roman"/>
                <w:sz w:val="20"/>
                <w:szCs w:val="20"/>
                <w:lang w:eastAsia="lv-LV"/>
              </w:rPr>
              <w:footnoteReference w:id="53"/>
            </w:r>
            <w:r w:rsidRPr="007D700E">
              <w:rPr>
                <w:rFonts w:eastAsia="Times New Roman" w:cs="Times New Roman"/>
                <w:sz w:val="20"/>
                <w:szCs w:val="20"/>
                <w:lang w:eastAsia="lv-LV"/>
              </w:rPr>
              <w:t xml:space="preserve"> (05.03.2021. </w:t>
            </w:r>
            <w:r>
              <w:rPr>
                <w:rFonts w:eastAsia="Times New Roman" w:cs="Times New Roman"/>
                <w:sz w:val="20"/>
                <w:szCs w:val="20"/>
                <w:lang w:eastAsia="lv-LV"/>
              </w:rPr>
              <w:t>p</w:t>
            </w:r>
            <w:r w:rsidRPr="007D700E">
              <w:rPr>
                <w:rFonts w:eastAsia="Times New Roman" w:cs="Times New Roman"/>
                <w:sz w:val="20"/>
                <w:szCs w:val="20"/>
                <w:lang w:eastAsia="lv-LV"/>
              </w:rPr>
              <w:t>rot. Nr.23</w:t>
            </w:r>
            <w:r>
              <w:rPr>
                <w:rFonts w:eastAsia="Times New Roman" w:cs="Times New Roman"/>
                <w:sz w:val="20"/>
                <w:szCs w:val="20"/>
                <w:lang w:eastAsia="lv-LV"/>
              </w:rPr>
              <w:t>,</w:t>
            </w:r>
            <w:r w:rsidRPr="007D700E">
              <w:rPr>
                <w:rFonts w:eastAsia="Times New Roman" w:cs="Times New Roman"/>
                <w:sz w:val="20"/>
                <w:szCs w:val="20"/>
                <w:lang w:eastAsia="lv-LV"/>
              </w:rPr>
              <w:t xml:space="preserve"> 40.§)</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F1185" w14:textId="77777777" w:rsidR="004226AB" w:rsidRPr="007D700E" w:rsidRDefault="004226AB" w:rsidP="000D2A63">
            <w:pPr>
              <w:spacing w:after="0" w:line="240" w:lineRule="auto"/>
              <w:jc w:val="center"/>
              <w:rPr>
                <w:rFonts w:eastAsia="Times New Roman" w:cs="Times New Roman"/>
                <w:sz w:val="20"/>
                <w:szCs w:val="20"/>
                <w:lang w:eastAsia="lv-LV"/>
              </w:rPr>
            </w:pPr>
            <w:r w:rsidRPr="007D700E">
              <w:rPr>
                <w:rFonts w:eastAsia="Times New Roman" w:cs="Times New Roman"/>
                <w:sz w:val="20"/>
                <w:szCs w:val="20"/>
                <w:lang w:eastAsia="lv-LV"/>
              </w:rPr>
              <w:t>118 521</w:t>
            </w:r>
          </w:p>
        </w:tc>
      </w:tr>
      <w:tr w:rsidR="00B67AD6" w:rsidRPr="000D2A63" w14:paraId="51221FA8" w14:textId="77777777" w:rsidTr="00B67AD6">
        <w:trPr>
          <w:trHeight w:val="580"/>
        </w:trPr>
        <w:tc>
          <w:tcPr>
            <w:tcW w:w="3458" w:type="dxa"/>
            <w:vMerge/>
            <w:tcBorders>
              <w:top w:val="single" w:sz="4" w:space="0" w:color="auto"/>
              <w:left w:val="single" w:sz="4" w:space="0" w:color="auto"/>
              <w:bottom w:val="single" w:sz="4" w:space="0" w:color="auto"/>
              <w:right w:val="single" w:sz="4" w:space="0" w:color="auto"/>
            </w:tcBorders>
            <w:vAlign w:val="center"/>
            <w:hideMark/>
          </w:tcPr>
          <w:p w14:paraId="50D0BE2D" w14:textId="77777777" w:rsidR="004226AB" w:rsidRPr="000D2A63" w:rsidRDefault="004226AB" w:rsidP="000D2A63">
            <w:pPr>
              <w:spacing w:after="0" w:line="240" w:lineRule="auto"/>
              <w:rPr>
                <w:rFonts w:eastAsia="Times New Roman" w:cs="Times New Roman"/>
                <w:sz w:val="22"/>
                <w:lang w:eastAsia="lv-LV"/>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28CA5AA5" w14:textId="77777777" w:rsidR="004226AB" w:rsidRPr="000D2A63" w:rsidRDefault="004226AB" w:rsidP="000D2A63">
            <w:pPr>
              <w:spacing w:after="0" w:line="240" w:lineRule="auto"/>
              <w:rPr>
                <w:rFonts w:eastAsia="Times New Roman" w:cs="Times New Roman"/>
                <w:sz w:val="16"/>
                <w:szCs w:val="16"/>
                <w:lang w:eastAsia="lv-LV"/>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19D99F27" w14:textId="77777777" w:rsidR="004226AB" w:rsidRPr="000D2A63" w:rsidRDefault="004226AB" w:rsidP="000D2A63">
            <w:pPr>
              <w:spacing w:after="0" w:line="240" w:lineRule="auto"/>
              <w:rPr>
                <w:rFonts w:eastAsia="Times New Roman" w:cs="Times New Roman"/>
                <w:sz w:val="16"/>
                <w:szCs w:val="16"/>
                <w:lang w:eastAsia="lv-LV"/>
              </w:rPr>
            </w:pPr>
          </w:p>
        </w:tc>
      </w:tr>
    </w:tbl>
    <w:p w14:paraId="4E59F1D8" w14:textId="77777777" w:rsidR="000D2A63" w:rsidRPr="004226AB" w:rsidRDefault="000D2A63" w:rsidP="00A954E1">
      <w:pPr>
        <w:spacing w:before="60" w:after="60" w:line="240" w:lineRule="auto"/>
        <w:jc w:val="both"/>
        <w:rPr>
          <w:sz w:val="16"/>
          <w:szCs w:val="16"/>
        </w:rPr>
      </w:pPr>
    </w:p>
    <w:p w14:paraId="357ADFE9" w14:textId="5F439E86" w:rsidR="00A954E1" w:rsidRPr="00A954E1" w:rsidRDefault="00A954E1" w:rsidP="00A954E1">
      <w:pPr>
        <w:spacing w:before="60" w:after="60" w:line="240" w:lineRule="auto"/>
        <w:jc w:val="both"/>
      </w:pPr>
      <w:r w:rsidRPr="00A954E1">
        <w:t xml:space="preserve">2021.gadā </w:t>
      </w:r>
      <w:r w:rsidR="00693B76">
        <w:t xml:space="preserve">tiek </w:t>
      </w:r>
      <w:r w:rsidRPr="00A954E1">
        <w:t xml:space="preserve">plānoti </w:t>
      </w:r>
      <w:r w:rsidR="000D2A63">
        <w:t xml:space="preserve">arī </w:t>
      </w:r>
      <w:r w:rsidRPr="00A954E1">
        <w:t xml:space="preserve">vairāki </w:t>
      </w:r>
      <w:r w:rsidR="000D2A63">
        <w:t xml:space="preserve">no ES fondiem finansēti </w:t>
      </w:r>
      <w:r w:rsidRPr="00A954E1">
        <w:t>atbalsta pasākumi.</w:t>
      </w:r>
    </w:p>
    <w:p w14:paraId="45ECB4D4" w14:textId="006F6558" w:rsidR="00A954E1" w:rsidRPr="00A954E1" w:rsidRDefault="00A954E1" w:rsidP="00BE6C4B">
      <w:pPr>
        <w:pStyle w:val="ListParagraph"/>
        <w:numPr>
          <w:ilvl w:val="0"/>
          <w:numId w:val="27"/>
        </w:numPr>
        <w:spacing w:before="60" w:after="60"/>
        <w:ind w:hanging="294"/>
        <w:jc w:val="both"/>
      </w:pPr>
      <w:r w:rsidRPr="00A954E1">
        <w:rPr>
          <w:b/>
          <w:color w:val="00859B"/>
        </w:rPr>
        <w:t>Eksporta atbalstam</w:t>
      </w:r>
      <w:r w:rsidRPr="00A954E1">
        <w:rPr>
          <w:bCs/>
        </w:rPr>
        <w:t xml:space="preserve"> – </w:t>
      </w:r>
      <w:r w:rsidRPr="00A954E1">
        <w:t>aizdevuma pieejamība (aizdevumi ar kapitāla atlaidi) lielu/vidēju komersantu investīcijām jaunu ražošanas iespēju nodrošināšanai, tādējādi veidojot ekosistēmu, kur ieguvēji ir arī mazākie tirgus dalībnieki, tiek radītas jaunas darba vietas, sekmēts eksports (plānotais finansējums 200 milj. </w:t>
      </w:r>
      <w:r w:rsidRPr="00A954E1">
        <w:rPr>
          <w:i/>
          <w:iCs/>
        </w:rPr>
        <w:t>euro</w:t>
      </w:r>
      <w:r w:rsidRPr="00A954E1">
        <w:t xml:space="preserve">). </w:t>
      </w:r>
      <w:r>
        <w:t xml:space="preserve">Eksporta kredītu apdrošināšanas ieviešana ar mērķi </w:t>
      </w:r>
      <w:r w:rsidRPr="00F2673A">
        <w:t>veicināt Latvijas uzņēmumu eksporta apjomu pieaugumu, samazinot starptautiskās tirdzniecības riskus, nodrošinot pieeju tirdzniecības finansēšanas instrumentiem</w:t>
      </w:r>
      <w:r w:rsidR="008D5C4E">
        <w:t xml:space="preserve"> </w:t>
      </w:r>
      <w:r>
        <w:t>(p</w:t>
      </w:r>
      <w:r w:rsidRPr="22E7E7A7">
        <w:t>lānotais finansējums 20</w:t>
      </w:r>
      <w:r>
        <w:t> </w:t>
      </w:r>
      <w:r w:rsidRPr="22E7E7A7">
        <w:t>milj.</w:t>
      </w:r>
      <w:r>
        <w:t> </w:t>
      </w:r>
      <w:r w:rsidRPr="00A954E1">
        <w:rPr>
          <w:i/>
          <w:iCs/>
        </w:rPr>
        <w:t>euro</w:t>
      </w:r>
      <w:r w:rsidR="00B67AD6">
        <w:t>, īsteno ALTUM)</w:t>
      </w:r>
      <w:r>
        <w:t>.</w:t>
      </w:r>
    </w:p>
    <w:p w14:paraId="24E1F1EC" w14:textId="77777777" w:rsidR="00A954E1" w:rsidRPr="00A954E1" w:rsidRDefault="00A954E1" w:rsidP="00BE6C4B">
      <w:pPr>
        <w:pStyle w:val="ListParagraph"/>
        <w:numPr>
          <w:ilvl w:val="0"/>
          <w:numId w:val="27"/>
        </w:numPr>
        <w:spacing w:before="60" w:after="60"/>
        <w:ind w:hanging="294"/>
        <w:jc w:val="both"/>
      </w:pPr>
      <w:r w:rsidRPr="00A954E1">
        <w:rPr>
          <w:b/>
          <w:color w:val="00859B"/>
        </w:rPr>
        <w:t>Jaunu biznesu attīstīšanai</w:t>
      </w:r>
      <w:r w:rsidRPr="00A954E1">
        <w:rPr>
          <w:bCs/>
        </w:rPr>
        <w:t xml:space="preserve"> – </w:t>
      </w:r>
      <w:r w:rsidRPr="00A954E1">
        <w:t>atbalsts uzņēmējdarbības uzsācējiem jaunu biznesa ideju ieviešanai. Plānotais atbalsta modelis – pārklājums pār visu Latviju kā inkubācijas pakalpojums (kā īstenotāji paredzēti LIAA ciešā sadarbībā ar pašvaldībām un LTRK, plānotais finansējums ~70 milj. </w:t>
      </w:r>
      <w:r w:rsidRPr="00A954E1">
        <w:rPr>
          <w:i/>
          <w:iCs/>
        </w:rPr>
        <w:t>euro</w:t>
      </w:r>
      <w:r w:rsidRPr="00A954E1">
        <w:t xml:space="preserve">). </w:t>
      </w:r>
    </w:p>
    <w:p w14:paraId="0B0ABA76" w14:textId="403C0EC1" w:rsidR="007C7CFD" w:rsidRDefault="007C7CFD" w:rsidP="007C7CFD">
      <w:pPr>
        <w:spacing w:before="60" w:after="60" w:line="240" w:lineRule="auto"/>
        <w:jc w:val="both"/>
      </w:pPr>
      <w:r w:rsidRPr="007C7CFD">
        <w:t>2021.</w:t>
      </w:r>
      <w:r>
        <w:t> </w:t>
      </w:r>
      <w:r w:rsidRPr="007C7CFD">
        <w:t xml:space="preserve">gadā attālināti un pēc epidemioloģiskās situācijas rādītāju uzlabošanās arī klātienē tiks uzsākts īstenot apmācības komersantu nodarbinātajiem no papildus pieejamā finansējuma nozaru asociācijām </w:t>
      </w:r>
      <w:r w:rsidRPr="007C7CFD">
        <w:lastRenderedPageBreak/>
        <w:t xml:space="preserve">un LIAA ar mērķi paaugstināt uzņēmumu vadītāju un speciālistu kvalifikāciju, lai Latvijas uzņēmumi krīzes apstākļos ne vien saglabātu savu starptautisko konkurētspēju, bet pat to palielinātu. </w:t>
      </w:r>
    </w:p>
    <w:p w14:paraId="359FFE89" w14:textId="22F27050" w:rsidR="007C7CFD" w:rsidRDefault="007C7CFD" w:rsidP="007C7CFD">
      <w:pPr>
        <w:spacing w:before="60" w:after="60" w:line="240" w:lineRule="auto"/>
        <w:jc w:val="both"/>
      </w:pPr>
      <w:r w:rsidRPr="007C7CFD">
        <w:t>2021.</w:t>
      </w:r>
      <w:r>
        <w:t> </w:t>
      </w:r>
      <w:r w:rsidRPr="007C7CFD">
        <w:t>gadā tiks turpināts sniegt atbalstu Covid-19 krīzes skartajiem tūrisma nozares saimnieciskās darbības veicējiem</w:t>
      </w:r>
      <w:r>
        <w:t xml:space="preserve"> un </w:t>
      </w:r>
      <w:r w:rsidRPr="007C7CFD">
        <w:t>arī mazin</w:t>
      </w:r>
      <w:r>
        <w:t>ā</w:t>
      </w:r>
      <w:r w:rsidRPr="007C7CFD">
        <w:t>t</w:t>
      </w:r>
      <w:r>
        <w:t>i</w:t>
      </w:r>
      <w:r w:rsidRPr="007C7CFD">
        <w:t xml:space="preserve"> ierobežojum</w:t>
      </w:r>
      <w:r>
        <w:t>i</w:t>
      </w:r>
      <w:r w:rsidR="008D5C4E">
        <w:t xml:space="preserve"> </w:t>
      </w:r>
      <w:r>
        <w:t>(</w:t>
      </w:r>
      <w:r w:rsidRPr="007C7CFD">
        <w:t>atbilstoši epidemioloģiskajai situācijai</w:t>
      </w:r>
      <w:r>
        <w:t>),</w:t>
      </w:r>
      <w:r w:rsidRPr="007C7CFD">
        <w:t xml:space="preserve"> veicot grozījumus </w:t>
      </w:r>
      <w:hyperlink r:id="rId120" w:history="1">
        <w:r w:rsidR="00085260" w:rsidRPr="001F10FF">
          <w:rPr>
            <w:rStyle w:val="Hyperlink"/>
            <w:color w:val="auto"/>
            <w:u w:val="none"/>
          </w:rPr>
          <w:t>MK 2020.</w:t>
        </w:r>
        <w:r w:rsidR="00693B76">
          <w:rPr>
            <w:rStyle w:val="Hyperlink"/>
            <w:color w:val="auto"/>
            <w:u w:val="none"/>
          </w:rPr>
          <w:t> </w:t>
        </w:r>
        <w:r w:rsidR="00085260" w:rsidRPr="001F10FF">
          <w:rPr>
            <w:rStyle w:val="Hyperlink"/>
            <w:color w:val="auto"/>
            <w:u w:val="none"/>
          </w:rPr>
          <w:t xml:space="preserve">gada 9. jūnija noteikumos Nr.360 </w:t>
        </w:r>
        <w:r w:rsidR="00085260" w:rsidRPr="003F3E98">
          <w:rPr>
            <w:rStyle w:val="Hyperlink"/>
            <w:i/>
            <w:iCs/>
            <w:color w:val="00859B"/>
          </w:rPr>
          <w:t>“Epidemioloģiskās drošības pasākumi Covid-19 infekcijas izplatības ierobežošanai</w:t>
        </w:r>
      </w:hyperlink>
      <w:r w:rsidR="00085260" w:rsidRPr="003F3E98">
        <w:rPr>
          <w:i/>
          <w:iCs/>
          <w:color w:val="00859B"/>
        </w:rPr>
        <w:t>”</w:t>
      </w:r>
      <w:r>
        <w:t>.</w:t>
      </w:r>
    </w:p>
    <w:p w14:paraId="55F4940D" w14:textId="2F49E0A6" w:rsidR="00291960" w:rsidRDefault="00291960" w:rsidP="00291960">
      <w:pPr>
        <w:spacing w:after="0" w:line="240" w:lineRule="auto"/>
        <w:jc w:val="both"/>
        <w:rPr>
          <w:rFonts w:eastAsia="Calibri" w:cstheme="minorHAnsi"/>
          <w:szCs w:val="24"/>
        </w:rPr>
      </w:pPr>
      <w:r w:rsidRPr="00635226">
        <w:rPr>
          <w:rFonts w:eastAsia="Calibri" w:cstheme="minorHAnsi"/>
          <w:szCs w:val="24"/>
        </w:rPr>
        <w:t xml:space="preserve">Covid-19 </w:t>
      </w:r>
      <w:r>
        <w:rPr>
          <w:rFonts w:eastAsia="Calibri" w:cstheme="minorHAnsi"/>
          <w:szCs w:val="24"/>
        </w:rPr>
        <w:t>pandēmija</w:t>
      </w:r>
      <w:r w:rsidRPr="00635226">
        <w:rPr>
          <w:rFonts w:eastAsia="Calibri" w:cstheme="minorHAnsi"/>
          <w:szCs w:val="24"/>
        </w:rPr>
        <w:t xml:space="preserve"> būtiski paātrināj</w:t>
      </w:r>
      <w:r>
        <w:rPr>
          <w:rFonts w:eastAsia="Calibri" w:cstheme="minorHAnsi"/>
          <w:szCs w:val="24"/>
        </w:rPr>
        <w:t>a</w:t>
      </w:r>
      <w:r w:rsidRPr="00635226">
        <w:rPr>
          <w:rFonts w:eastAsia="Calibri" w:cstheme="minorHAnsi"/>
          <w:szCs w:val="24"/>
        </w:rPr>
        <w:t xml:space="preserve"> digitālās transformācijas procesus un izcēl</w:t>
      </w:r>
      <w:r>
        <w:rPr>
          <w:rFonts w:eastAsia="Calibri" w:cstheme="minorHAnsi"/>
          <w:szCs w:val="24"/>
        </w:rPr>
        <w:t>a</w:t>
      </w:r>
      <w:r w:rsidRPr="00635226">
        <w:rPr>
          <w:rFonts w:eastAsia="Calibri" w:cstheme="minorHAnsi"/>
          <w:szCs w:val="24"/>
        </w:rPr>
        <w:t xml:space="preserve"> digitāl</w:t>
      </w:r>
      <w:r>
        <w:rPr>
          <w:rFonts w:eastAsia="Calibri" w:cstheme="minorHAnsi"/>
          <w:szCs w:val="24"/>
        </w:rPr>
        <w:t>o</w:t>
      </w:r>
      <w:r w:rsidRPr="00635226">
        <w:rPr>
          <w:rFonts w:eastAsia="Calibri" w:cstheme="minorHAnsi"/>
          <w:szCs w:val="24"/>
        </w:rPr>
        <w:t xml:space="preserve"> gatavīb</w:t>
      </w:r>
      <w:r>
        <w:rPr>
          <w:rFonts w:eastAsia="Calibri" w:cstheme="minorHAnsi"/>
          <w:szCs w:val="24"/>
        </w:rPr>
        <w:t>u</w:t>
      </w:r>
      <w:r w:rsidRPr="00635226">
        <w:rPr>
          <w:rFonts w:eastAsia="Calibri" w:cstheme="minorHAnsi"/>
          <w:szCs w:val="24"/>
        </w:rPr>
        <w:t xml:space="preserve"> komersantu konkurētspējas nodrošināšanā un vieglākas krīzes apstākļu pārvarēšanā. Šajos procesos būtiska loma ir cilvēkkapitāla spējai pielāgoties mainīgiem tirgus apstākļiem, kur ir nepieciešams efektīvs un ilgtspējīgs valsts atbalsts, nodrošinot darba tirgus situācijai pielāgotus apmācību atbalsta mehānismus. </w:t>
      </w:r>
      <w:r>
        <w:rPr>
          <w:rFonts w:eastAsia="Calibri" w:cstheme="minorHAnsi"/>
          <w:szCs w:val="24"/>
        </w:rPr>
        <w:t xml:space="preserve">Tāpēc </w:t>
      </w:r>
      <w:r w:rsidRPr="00635226">
        <w:rPr>
          <w:rFonts w:eastAsia="Calibri" w:cstheme="minorHAnsi"/>
          <w:szCs w:val="24"/>
        </w:rPr>
        <w:t>2021.</w:t>
      </w:r>
      <w:r>
        <w:rPr>
          <w:rFonts w:eastAsia="Calibri" w:cstheme="minorHAnsi"/>
          <w:szCs w:val="24"/>
        </w:rPr>
        <w:t> </w:t>
      </w:r>
      <w:r w:rsidRPr="00635226">
        <w:rPr>
          <w:rFonts w:eastAsia="Calibri" w:cstheme="minorHAnsi"/>
          <w:szCs w:val="24"/>
        </w:rPr>
        <w:t xml:space="preserve">gadā </w:t>
      </w:r>
      <w:r w:rsidR="00693B76">
        <w:rPr>
          <w:rFonts w:eastAsia="Calibri" w:cstheme="minorHAnsi"/>
          <w:szCs w:val="24"/>
        </w:rPr>
        <w:t xml:space="preserve">EM </w:t>
      </w:r>
      <w:r w:rsidRPr="00635226">
        <w:rPr>
          <w:rFonts w:eastAsia="Calibri" w:cstheme="minorHAnsi"/>
          <w:szCs w:val="24"/>
        </w:rPr>
        <w:t xml:space="preserve">plāno īstenot pasākumus </w:t>
      </w:r>
      <w:r w:rsidRPr="00291960">
        <w:rPr>
          <w:rFonts w:eastAsia="Calibri" w:cstheme="minorHAnsi"/>
          <w:szCs w:val="24"/>
        </w:rPr>
        <w:t>cilvēkkapitāla attīstībai</w:t>
      </w:r>
      <w:r w:rsidR="00A954E1" w:rsidRPr="00A954E1">
        <w:rPr>
          <w:rFonts w:eastAsia="Times New Roman"/>
          <w:szCs w:val="24"/>
        </w:rPr>
        <w:t>.</w:t>
      </w:r>
    </w:p>
    <w:p w14:paraId="22E09F1A" w14:textId="12BB07E9" w:rsidR="00291960" w:rsidRDefault="00291960" w:rsidP="00291960">
      <w:pPr>
        <w:spacing w:before="60" w:after="60" w:line="240" w:lineRule="auto"/>
        <w:jc w:val="both"/>
        <w:rPr>
          <w:szCs w:val="24"/>
        </w:rPr>
      </w:pPr>
      <w:r w:rsidRPr="31632AEF">
        <w:rPr>
          <w:rFonts w:eastAsia="Calibri"/>
          <w:szCs w:val="24"/>
        </w:rPr>
        <w:t>Nozīmīgs pasākums</w:t>
      </w:r>
      <w:r w:rsidR="004513A5">
        <w:rPr>
          <w:rFonts w:eastAsia="Calibri"/>
          <w:szCs w:val="24"/>
        </w:rPr>
        <w:t xml:space="preserve"> </w:t>
      </w:r>
      <w:r w:rsidR="007715C6">
        <w:rPr>
          <w:rFonts w:eastAsia="Calibri"/>
          <w:szCs w:val="24"/>
        </w:rPr>
        <w:t xml:space="preserve">Covid-19 seku pārvarēšanai un </w:t>
      </w:r>
      <w:r w:rsidRPr="00291960">
        <w:rPr>
          <w:rFonts w:eastAsia="Calibri"/>
          <w:bCs/>
          <w:szCs w:val="24"/>
        </w:rPr>
        <w:t>investīciju veicināšanas jomā</w:t>
      </w:r>
      <w:r w:rsidRPr="00927578">
        <w:rPr>
          <w:szCs w:val="24"/>
        </w:rPr>
        <w:t xml:space="preserve"> ir </w:t>
      </w:r>
      <w:r w:rsidRPr="31632AEF">
        <w:rPr>
          <w:rFonts w:eastAsia="Calibri"/>
          <w:szCs w:val="24"/>
        </w:rPr>
        <w:t xml:space="preserve">“zaļā koridora” iniciatīvas ieviešana </w:t>
      </w:r>
      <w:r>
        <w:rPr>
          <w:rFonts w:eastAsia="Calibri"/>
          <w:szCs w:val="24"/>
        </w:rPr>
        <w:t>saskaņā ar</w:t>
      </w:r>
      <w:r w:rsidR="004513A5">
        <w:rPr>
          <w:rFonts w:eastAsia="Calibri"/>
          <w:szCs w:val="24"/>
        </w:rPr>
        <w:t xml:space="preserve"> </w:t>
      </w:r>
      <w:r>
        <w:rPr>
          <w:szCs w:val="24"/>
        </w:rPr>
        <w:t>MK</w:t>
      </w:r>
      <w:r w:rsidR="004513A5">
        <w:rPr>
          <w:szCs w:val="24"/>
        </w:rPr>
        <w:t xml:space="preserve"> </w:t>
      </w:r>
      <w:r w:rsidR="001570F7" w:rsidRPr="31632AEF">
        <w:rPr>
          <w:szCs w:val="24"/>
        </w:rPr>
        <w:t>2021.</w:t>
      </w:r>
      <w:r w:rsidR="001570F7">
        <w:rPr>
          <w:szCs w:val="24"/>
        </w:rPr>
        <w:t> </w:t>
      </w:r>
      <w:r w:rsidR="001570F7" w:rsidRPr="31632AEF">
        <w:rPr>
          <w:szCs w:val="24"/>
        </w:rPr>
        <w:t>gada 4.</w:t>
      </w:r>
      <w:r w:rsidR="001570F7">
        <w:rPr>
          <w:szCs w:val="24"/>
        </w:rPr>
        <w:t> </w:t>
      </w:r>
      <w:r w:rsidR="001570F7" w:rsidRPr="31632AEF">
        <w:rPr>
          <w:szCs w:val="24"/>
        </w:rPr>
        <w:t>februār</w:t>
      </w:r>
      <w:r w:rsidR="001570F7">
        <w:rPr>
          <w:szCs w:val="24"/>
        </w:rPr>
        <w:t>a</w:t>
      </w:r>
      <w:r w:rsidR="008D5C4E">
        <w:rPr>
          <w:szCs w:val="24"/>
        </w:rPr>
        <w:t xml:space="preserve"> </w:t>
      </w:r>
      <w:r w:rsidRPr="31632AEF">
        <w:rPr>
          <w:szCs w:val="24"/>
        </w:rPr>
        <w:t>noteikumi</w:t>
      </w:r>
      <w:r w:rsidR="001570F7">
        <w:rPr>
          <w:szCs w:val="24"/>
        </w:rPr>
        <w:t>em Nr.83</w:t>
      </w:r>
      <w:hyperlink r:id="rId121" w:history="1">
        <w:r w:rsidR="001570F7" w:rsidRPr="001570F7">
          <w:rPr>
            <w:rStyle w:val="Hyperlink"/>
            <w:i/>
            <w:iCs/>
            <w:color w:val="00859B"/>
            <w:szCs w:val="24"/>
          </w:rPr>
          <w:t>“Noteikumi par prioritāro investīciju projektu apkalpošanu</w:t>
        </w:r>
      </w:hyperlink>
      <w:r w:rsidR="001570F7" w:rsidRPr="001570F7">
        <w:rPr>
          <w:i/>
          <w:iCs/>
          <w:color w:val="00859B"/>
          <w:szCs w:val="24"/>
        </w:rPr>
        <w:t>”</w:t>
      </w:r>
      <w:r w:rsidR="001570F7">
        <w:rPr>
          <w:szCs w:val="24"/>
        </w:rPr>
        <w:t>, kas izveido</w:t>
      </w:r>
      <w:r w:rsidRPr="31632AEF">
        <w:rPr>
          <w:szCs w:val="24"/>
        </w:rPr>
        <w:t xml:space="preserve"> prioritāro investīciju projektu “zaļ</w:t>
      </w:r>
      <w:r w:rsidR="001570F7">
        <w:rPr>
          <w:szCs w:val="24"/>
        </w:rPr>
        <w:t>o</w:t>
      </w:r>
      <w:r w:rsidRPr="31632AEF">
        <w:rPr>
          <w:szCs w:val="24"/>
        </w:rPr>
        <w:t xml:space="preserve"> koridor</w:t>
      </w:r>
      <w:r w:rsidR="001570F7">
        <w:rPr>
          <w:szCs w:val="24"/>
        </w:rPr>
        <w:t>u</w:t>
      </w:r>
      <w:r w:rsidRPr="31632AEF">
        <w:rPr>
          <w:szCs w:val="24"/>
        </w:rPr>
        <w:t>”.</w:t>
      </w:r>
    </w:p>
    <w:p w14:paraId="1E445CE6" w14:textId="0D65D631" w:rsidR="007C7CFD" w:rsidRPr="007C7CFD" w:rsidRDefault="007C7CFD" w:rsidP="00BE6C4B">
      <w:pPr>
        <w:pStyle w:val="ListParagraph"/>
        <w:numPr>
          <w:ilvl w:val="0"/>
          <w:numId w:val="22"/>
        </w:numPr>
        <w:tabs>
          <w:tab w:val="left" w:pos="567"/>
        </w:tabs>
        <w:spacing w:before="120" w:after="60"/>
        <w:ind w:left="0" w:firstLine="0"/>
        <w:contextualSpacing w:val="0"/>
        <w:jc w:val="both"/>
        <w:rPr>
          <w:b/>
          <w:bCs/>
        </w:rPr>
      </w:pPr>
      <w:r w:rsidRPr="007C7CFD">
        <w:rPr>
          <w:b/>
          <w:bCs/>
          <w:color w:val="00859B"/>
        </w:rPr>
        <w:t xml:space="preserve">ES fondu 2021.-2027.gada </w:t>
      </w:r>
      <w:r w:rsidR="00B35182">
        <w:rPr>
          <w:b/>
          <w:bCs/>
          <w:color w:val="00859B"/>
        </w:rPr>
        <w:t>(</w:t>
      </w:r>
      <w:r w:rsidR="00B35182" w:rsidRPr="00B35182">
        <w:rPr>
          <w:b/>
          <w:bCs/>
          <w:color w:val="00859B"/>
        </w:rPr>
        <w:t>DP2027)</w:t>
      </w:r>
      <w:r w:rsidR="008D5C4E">
        <w:rPr>
          <w:b/>
          <w:bCs/>
          <w:color w:val="00859B"/>
        </w:rPr>
        <w:t xml:space="preserve"> </w:t>
      </w:r>
      <w:r w:rsidRPr="007C7CFD">
        <w:rPr>
          <w:b/>
          <w:bCs/>
          <w:color w:val="00859B"/>
        </w:rPr>
        <w:t xml:space="preserve">un Eiropas Atveseļošanas un noturības mehānisma </w:t>
      </w:r>
      <w:r w:rsidR="00B35182">
        <w:rPr>
          <w:b/>
          <w:bCs/>
          <w:color w:val="00859B"/>
        </w:rPr>
        <w:t xml:space="preserve">(ANM) </w:t>
      </w:r>
      <w:r w:rsidRPr="007C7CFD">
        <w:rPr>
          <w:b/>
          <w:bCs/>
          <w:color w:val="00859B"/>
        </w:rPr>
        <w:t>programmu izstrāde</w:t>
      </w:r>
    </w:p>
    <w:p w14:paraId="3FAC9CBA" w14:textId="4E240A9F" w:rsidR="00942734" w:rsidRDefault="001570F7" w:rsidP="00942734">
      <w:pPr>
        <w:spacing w:before="60" w:after="60" w:line="240" w:lineRule="auto"/>
        <w:jc w:val="both"/>
        <w:rPr>
          <w:rFonts w:cstheme="minorHAnsi"/>
        </w:rPr>
      </w:pPr>
      <w:r>
        <w:rPr>
          <w:rFonts w:cstheme="minorHAnsi"/>
        </w:rPr>
        <w:t xml:space="preserve">MK </w:t>
      </w:r>
      <w:r w:rsidRPr="001570F7">
        <w:rPr>
          <w:rFonts w:cstheme="minorHAnsi"/>
        </w:rPr>
        <w:t>2021.</w:t>
      </w:r>
      <w:r w:rsidR="00942734">
        <w:rPr>
          <w:rFonts w:cstheme="minorHAnsi"/>
        </w:rPr>
        <w:t> </w:t>
      </w:r>
      <w:r w:rsidRPr="001570F7">
        <w:rPr>
          <w:rFonts w:cstheme="minorHAnsi"/>
        </w:rPr>
        <w:t>gada 2</w:t>
      </w:r>
      <w:r w:rsidR="00942734">
        <w:rPr>
          <w:rFonts w:cstheme="minorHAnsi"/>
        </w:rPr>
        <w:t>8</w:t>
      </w:r>
      <w:r w:rsidRPr="001570F7">
        <w:rPr>
          <w:rFonts w:cstheme="minorHAnsi"/>
        </w:rPr>
        <w:t>.</w:t>
      </w:r>
      <w:r w:rsidR="00942734">
        <w:rPr>
          <w:rFonts w:cstheme="minorHAnsi"/>
        </w:rPr>
        <w:t> </w:t>
      </w:r>
      <w:r w:rsidRPr="001570F7">
        <w:rPr>
          <w:rFonts w:cstheme="minorHAnsi"/>
        </w:rPr>
        <w:t xml:space="preserve">aprīlī tika apstiprināts </w:t>
      </w:r>
      <w:hyperlink r:id="rId122" w:history="1">
        <w:r w:rsidR="00942734" w:rsidRPr="00942734">
          <w:rPr>
            <w:rStyle w:val="Hyperlink"/>
            <w:rFonts w:cstheme="minorHAnsi"/>
            <w:i/>
            <w:iCs/>
            <w:color w:val="00859B"/>
          </w:rPr>
          <w:t>Latvijas Atveseļošanās un noturības mehānisma plān</w:t>
        </w:r>
        <w:r w:rsidR="00942734">
          <w:rPr>
            <w:rStyle w:val="Hyperlink"/>
            <w:rFonts w:cstheme="minorHAnsi"/>
            <w:i/>
            <w:iCs/>
            <w:color w:val="00859B"/>
          </w:rPr>
          <w:t>s</w:t>
        </w:r>
      </w:hyperlink>
      <w:r w:rsidR="00061441">
        <w:rPr>
          <w:rStyle w:val="Hyperlink"/>
          <w:rFonts w:cstheme="minorHAnsi"/>
          <w:i/>
          <w:iCs/>
          <w:color w:val="00859B"/>
        </w:rPr>
        <w:t xml:space="preserve"> </w:t>
      </w:r>
      <w:r w:rsidRPr="001570F7">
        <w:rPr>
          <w:rFonts w:cstheme="minorHAnsi"/>
        </w:rPr>
        <w:t xml:space="preserve">(turpmāk </w:t>
      </w:r>
      <w:r w:rsidR="00942734">
        <w:rPr>
          <w:rFonts w:cstheme="minorHAnsi"/>
        </w:rPr>
        <w:t>–</w:t>
      </w:r>
      <w:r w:rsidRPr="001570F7">
        <w:rPr>
          <w:rFonts w:cstheme="minorHAnsi"/>
        </w:rPr>
        <w:t xml:space="preserve"> ANM</w:t>
      </w:r>
      <w:r w:rsidR="00061441">
        <w:rPr>
          <w:rFonts w:cstheme="minorHAnsi"/>
        </w:rPr>
        <w:t xml:space="preserve"> </w:t>
      </w:r>
      <w:r w:rsidRPr="001570F7">
        <w:rPr>
          <w:rFonts w:cstheme="minorHAnsi"/>
        </w:rPr>
        <w:t>plāns). Pēc plāna apstiprināšanas E</w:t>
      </w:r>
      <w:r>
        <w:rPr>
          <w:rFonts w:cstheme="minorHAnsi"/>
        </w:rPr>
        <w:t>K</w:t>
      </w:r>
      <w:r w:rsidRPr="001570F7">
        <w:rPr>
          <w:rFonts w:cstheme="minorHAnsi"/>
        </w:rPr>
        <w:t xml:space="preserve">, piešķirtais finansējums </w:t>
      </w:r>
      <w:r w:rsidR="00467664">
        <w:rPr>
          <w:rFonts w:cstheme="minorHAnsi"/>
        </w:rPr>
        <w:t xml:space="preserve">dotāciju formā </w:t>
      </w:r>
      <w:r w:rsidRPr="001570F7">
        <w:rPr>
          <w:rFonts w:cstheme="minorHAnsi"/>
        </w:rPr>
        <w:t xml:space="preserve">tiks novirzīts reformu īstenošanai šādās </w:t>
      </w:r>
      <w:r w:rsidR="00467664">
        <w:rPr>
          <w:rFonts w:cstheme="minorHAnsi"/>
        </w:rPr>
        <w:t xml:space="preserve">EM kompetences </w:t>
      </w:r>
      <w:r w:rsidRPr="001570F7">
        <w:rPr>
          <w:rFonts w:cstheme="minorHAnsi"/>
        </w:rPr>
        <w:t>jomās: klimata pārmaiņas un ilgtspēja; digitālā transformācija; ekonomikas transformācija un produktivitātes reforma; likuma vara.</w:t>
      </w:r>
      <w:r w:rsidR="00942734">
        <w:rPr>
          <w:rFonts w:cstheme="minorHAnsi"/>
        </w:rPr>
        <w:t xml:space="preserve"> EM</w:t>
      </w:r>
      <w:r w:rsidRPr="00942734">
        <w:rPr>
          <w:rFonts w:cstheme="minorHAnsi"/>
        </w:rPr>
        <w:t xml:space="preserve"> plāno veikt investīcijas kopumā 656 </w:t>
      </w:r>
      <w:r w:rsidR="00942734">
        <w:rPr>
          <w:rFonts w:cstheme="minorHAnsi"/>
        </w:rPr>
        <w:t>milj. </w:t>
      </w:r>
      <w:r w:rsidR="00942734" w:rsidRPr="00942734">
        <w:rPr>
          <w:rFonts w:cstheme="minorHAnsi"/>
          <w:i/>
          <w:iCs/>
        </w:rPr>
        <w:t>euro</w:t>
      </w:r>
      <w:r w:rsidRPr="00942734">
        <w:rPr>
          <w:rFonts w:cstheme="minorHAnsi"/>
        </w:rPr>
        <w:t xml:space="preserve"> apmērā klimata pārmaiņas un ilgtspējas reformas, digitālās transformācijas, ekonomikas transformācija un produktivitātes reformas </w:t>
      </w:r>
      <w:r w:rsidR="00942734">
        <w:rPr>
          <w:rFonts w:cstheme="minorHAnsi"/>
        </w:rPr>
        <w:t>i</w:t>
      </w:r>
      <w:r w:rsidRPr="00942734">
        <w:rPr>
          <w:rFonts w:cstheme="minorHAnsi"/>
        </w:rPr>
        <w:t>etvaros, lai novērstu Covid-19 pandēmijas radīto kaitējumu ekonomikai, fokusējoties ne vien uz tautsaimniecības stabilizāciju, bet arī tautsaimniecības pārorientāciju un uz krīzes radīto izaugsmes iespēju izmantošanu.</w:t>
      </w:r>
    </w:p>
    <w:p w14:paraId="5C0555BF" w14:textId="4DE22040" w:rsidR="001570F7" w:rsidRPr="00942734" w:rsidRDefault="00942734" w:rsidP="00942734">
      <w:pPr>
        <w:spacing w:before="60" w:after="60" w:line="240" w:lineRule="auto"/>
        <w:jc w:val="both"/>
        <w:rPr>
          <w:rFonts w:cstheme="minorHAnsi"/>
        </w:rPr>
      </w:pPr>
      <w:r>
        <w:rPr>
          <w:rFonts w:cstheme="minorHAnsi"/>
        </w:rPr>
        <w:t>2021. gadā tiks u</w:t>
      </w:r>
      <w:r w:rsidR="001570F7" w:rsidRPr="00942734">
        <w:rPr>
          <w:rFonts w:cstheme="minorHAnsi"/>
        </w:rPr>
        <w:t xml:space="preserve">zsākts darbs pie atbalsta instrumentu nepieciešamā regulējuma </w:t>
      </w:r>
      <w:r>
        <w:rPr>
          <w:rFonts w:cstheme="minorHAnsi"/>
        </w:rPr>
        <w:t>– MK</w:t>
      </w:r>
      <w:r w:rsidR="001570F7" w:rsidRPr="00942734">
        <w:rPr>
          <w:rFonts w:cstheme="minorHAnsi"/>
        </w:rPr>
        <w:t xml:space="preserve"> noteikumu izstrādes, lai jau 2021.gada 3.ceturksnī varētu uzsākt investīciju ieguldījumus ANM plāna noteikto mērķu sasniegšanā.</w:t>
      </w:r>
      <w:r w:rsidR="00C92ABB">
        <w:rPr>
          <w:rFonts w:cstheme="minorHAnsi"/>
        </w:rPr>
        <w:t xml:space="preserve"> </w:t>
      </w:r>
      <w:r w:rsidRPr="00BD5C6D">
        <w:rPr>
          <w:rFonts w:cstheme="minorHAnsi"/>
          <w:szCs w:val="24"/>
        </w:rPr>
        <w:t>Paralēli ti</w:t>
      </w:r>
      <w:r>
        <w:rPr>
          <w:rFonts w:cstheme="minorHAnsi"/>
          <w:szCs w:val="24"/>
        </w:rPr>
        <w:t>ks</w:t>
      </w:r>
      <w:r w:rsidRPr="00BD5C6D">
        <w:rPr>
          <w:rFonts w:cstheme="minorHAnsi"/>
          <w:szCs w:val="24"/>
        </w:rPr>
        <w:t xml:space="preserve"> turpināts darbs arī pie ES Darbības programmas dokumentācijas izstrādes un atbalsta instrumentu konceptu </w:t>
      </w:r>
      <w:r w:rsidRPr="00A954E1">
        <w:rPr>
          <w:rFonts w:cstheme="minorHAnsi"/>
          <w:szCs w:val="24"/>
        </w:rPr>
        <w:t>izstrādes M</w:t>
      </w:r>
      <w:r w:rsidR="00A954E1" w:rsidRPr="00A954E1">
        <w:rPr>
          <w:rFonts w:cstheme="minorHAnsi"/>
          <w:szCs w:val="24"/>
        </w:rPr>
        <w:t>V</w:t>
      </w:r>
      <w:r w:rsidRPr="00A954E1">
        <w:rPr>
          <w:rFonts w:cstheme="minorHAnsi"/>
          <w:szCs w:val="24"/>
        </w:rPr>
        <w:t>K uzņēmējdarbības</w:t>
      </w:r>
      <w:r>
        <w:rPr>
          <w:rFonts w:cstheme="minorHAnsi"/>
          <w:szCs w:val="24"/>
        </w:rPr>
        <w:t xml:space="preserve"> attīstībai.</w:t>
      </w:r>
    </w:p>
    <w:p w14:paraId="53B779D8" w14:textId="5A344752" w:rsidR="00B35182" w:rsidRDefault="007C7CFD" w:rsidP="00B35182">
      <w:pPr>
        <w:spacing w:before="60" w:after="60" w:line="240" w:lineRule="auto"/>
        <w:jc w:val="both"/>
        <w:rPr>
          <w:rFonts w:cs="Times New Roman"/>
          <w:szCs w:val="24"/>
        </w:rPr>
      </w:pPr>
      <w:r w:rsidRPr="00B35182">
        <w:rPr>
          <w:rFonts w:cs="Times New Roman"/>
          <w:szCs w:val="24"/>
        </w:rPr>
        <w:t xml:space="preserve">ANM un DP2027 finansējuma ietvaros </w:t>
      </w:r>
      <w:r w:rsidR="000D1D84">
        <w:rPr>
          <w:rFonts w:cs="Times New Roman"/>
          <w:szCs w:val="24"/>
        </w:rPr>
        <w:t xml:space="preserve">paredzēts </w:t>
      </w:r>
      <w:r w:rsidRPr="000D1D84">
        <w:rPr>
          <w:rFonts w:cs="Times New Roman"/>
          <w:b/>
          <w:bCs/>
          <w:color w:val="00859B"/>
          <w:szCs w:val="24"/>
        </w:rPr>
        <w:t>izstrādāt atbalst</w:t>
      </w:r>
      <w:r w:rsidR="000D1D84" w:rsidRPr="000D1D84">
        <w:rPr>
          <w:rFonts w:cs="Times New Roman"/>
          <w:b/>
          <w:bCs/>
          <w:color w:val="00859B"/>
          <w:szCs w:val="24"/>
        </w:rPr>
        <w:t>u</w:t>
      </w:r>
      <w:r w:rsidRPr="000D1D84">
        <w:rPr>
          <w:rFonts w:cs="Times New Roman"/>
          <w:b/>
          <w:bCs/>
          <w:color w:val="00859B"/>
          <w:szCs w:val="24"/>
        </w:rPr>
        <w:t xml:space="preserve"> uzņēmējdarbības, valsts un pašvaldību digitālajai transformācijai</w:t>
      </w:r>
      <w:r w:rsidRPr="00B35182">
        <w:rPr>
          <w:rFonts w:cs="Times New Roman"/>
          <w:szCs w:val="24"/>
        </w:rPr>
        <w:t>, kā arī digitālo pakalpojumu un nepieciešamo spēju un prasmju attīstībai.</w:t>
      </w:r>
      <w:r w:rsidR="00061441">
        <w:rPr>
          <w:rFonts w:cs="Times New Roman"/>
          <w:szCs w:val="24"/>
        </w:rPr>
        <w:t xml:space="preserve"> </w:t>
      </w:r>
      <w:r w:rsidR="000D1D84" w:rsidRPr="00942734">
        <w:rPr>
          <w:rFonts w:cs="Times New Roman"/>
          <w:szCs w:val="24"/>
        </w:rPr>
        <w:t>Digitālā transformācija ietekmē visas ekonomikas nozares un maina dzīvi, darbu un saziņu, ko īpaši aktualizēja Covid-19 pandēmija, apliecinot, cik aktuāla uzņēmumiem un iedzīvotājiem ir spēja adaptēties un izmantot digitālos pakalpojumus, rīkus un piemēroties mainīgajiem apstākļiem kopumā.</w:t>
      </w:r>
      <w:r w:rsidR="00C92ABB">
        <w:rPr>
          <w:rFonts w:cs="Times New Roman"/>
          <w:szCs w:val="24"/>
        </w:rPr>
        <w:t xml:space="preserve"> </w:t>
      </w:r>
      <w:r w:rsidRPr="00B35182">
        <w:rPr>
          <w:rFonts w:cs="Times New Roman"/>
          <w:szCs w:val="24"/>
        </w:rPr>
        <w:t>ANM un DP2027 uzņēmējdarbības digitālās transformācijas veicināšanas pasākumi paredz ieguldījumus dažādās komersantu digitālo prasmju pilnveides apmācībās, lai sekmētu digitālo rīku un e-pakalpojumu izmantošanu uzņēmējdarbībā. Vienlaikus paredzēts palielināt valsts un pašvaldību darbības efektivitāti un ieviest vienotus IKT risinājumus komunikācijai ar sabiedrību.</w:t>
      </w:r>
    </w:p>
    <w:p w14:paraId="40CA3E2B" w14:textId="2C172EBD" w:rsidR="007C7CFD" w:rsidRPr="00B35182" w:rsidRDefault="007C7CFD" w:rsidP="005624C1">
      <w:pPr>
        <w:spacing w:before="60" w:after="60" w:line="240" w:lineRule="auto"/>
        <w:jc w:val="both"/>
        <w:rPr>
          <w:rFonts w:cs="Times New Roman"/>
          <w:szCs w:val="24"/>
        </w:rPr>
      </w:pPr>
      <w:r w:rsidRPr="00B35182">
        <w:rPr>
          <w:rFonts w:cs="Times New Roman"/>
          <w:szCs w:val="24"/>
        </w:rPr>
        <w:t xml:space="preserve">Kopumā </w:t>
      </w:r>
      <w:r w:rsidRPr="000D1D84">
        <w:rPr>
          <w:rFonts w:cs="Times New Roman"/>
          <w:szCs w:val="24"/>
        </w:rPr>
        <w:t xml:space="preserve">ANM ietvaros </w:t>
      </w:r>
      <w:r w:rsidRPr="00B35182">
        <w:rPr>
          <w:rFonts w:cs="Times New Roman"/>
          <w:szCs w:val="24"/>
        </w:rPr>
        <w:t xml:space="preserve">digitalizācijas pasākumos ir </w:t>
      </w:r>
      <w:r w:rsidR="007F4741" w:rsidRPr="00B35182">
        <w:rPr>
          <w:rFonts w:cs="Times New Roman"/>
          <w:szCs w:val="24"/>
        </w:rPr>
        <w:t>p</w:t>
      </w:r>
      <w:r w:rsidR="007F4741">
        <w:rPr>
          <w:rFonts w:cs="Times New Roman"/>
          <w:szCs w:val="24"/>
        </w:rPr>
        <w:t>lānots</w:t>
      </w:r>
      <w:r w:rsidR="007F4741" w:rsidRPr="00B35182">
        <w:rPr>
          <w:rFonts w:cs="Times New Roman"/>
          <w:szCs w:val="24"/>
        </w:rPr>
        <w:t xml:space="preserve"> </w:t>
      </w:r>
      <w:r w:rsidRPr="00B35182">
        <w:rPr>
          <w:rFonts w:cs="Times New Roman"/>
          <w:szCs w:val="24"/>
        </w:rPr>
        <w:t>ieguldīt vairāk kā 365</w:t>
      </w:r>
      <w:r w:rsidR="005624C1">
        <w:rPr>
          <w:rFonts w:cs="Times New Roman"/>
          <w:szCs w:val="24"/>
        </w:rPr>
        <w:t> </w:t>
      </w:r>
      <w:r w:rsidRPr="00B35182">
        <w:rPr>
          <w:rFonts w:cs="Times New Roman"/>
          <w:szCs w:val="24"/>
        </w:rPr>
        <w:t>milj.</w:t>
      </w:r>
      <w:r w:rsidR="005624C1">
        <w:rPr>
          <w:rFonts w:cs="Times New Roman"/>
          <w:szCs w:val="24"/>
        </w:rPr>
        <w:t> </w:t>
      </w:r>
      <w:r w:rsidR="00B35182" w:rsidRPr="00B35182">
        <w:rPr>
          <w:rFonts w:cs="Times New Roman"/>
          <w:i/>
          <w:iCs/>
          <w:szCs w:val="24"/>
        </w:rPr>
        <w:t>euro</w:t>
      </w:r>
      <w:r w:rsidR="00B35182">
        <w:rPr>
          <w:rFonts w:cs="Times New Roman"/>
          <w:szCs w:val="24"/>
        </w:rPr>
        <w:t xml:space="preserve"> (</w:t>
      </w:r>
      <w:r w:rsidRPr="00B35182">
        <w:rPr>
          <w:rFonts w:cs="Times New Roman"/>
          <w:szCs w:val="24"/>
        </w:rPr>
        <w:t>20% no kopējā ANM finansējuma</w:t>
      </w:r>
      <w:r w:rsidR="00B35182">
        <w:rPr>
          <w:rFonts w:cs="Times New Roman"/>
          <w:szCs w:val="24"/>
        </w:rPr>
        <w:t>)</w:t>
      </w:r>
      <w:r w:rsidRPr="00B35182">
        <w:rPr>
          <w:rFonts w:cs="Times New Roman"/>
          <w:szCs w:val="24"/>
        </w:rPr>
        <w:t>, paredzot atbalsta pasākumus gan 5G infrastruktūras nodrošināšanai, gan iedzīvotāju digitālo prasmju pilnveidei, publisko platformu un valsts IT sistēmu attīstībai, kā arī teju 140</w:t>
      </w:r>
      <w:r w:rsidR="00B35182">
        <w:rPr>
          <w:rFonts w:cs="Times New Roman"/>
          <w:szCs w:val="24"/>
        </w:rPr>
        <w:t> </w:t>
      </w:r>
      <w:r w:rsidRPr="00B35182">
        <w:rPr>
          <w:rFonts w:cs="Times New Roman"/>
          <w:szCs w:val="24"/>
        </w:rPr>
        <w:t>milj.</w:t>
      </w:r>
      <w:r w:rsidR="00B35182">
        <w:rPr>
          <w:rFonts w:cs="Times New Roman"/>
          <w:szCs w:val="24"/>
        </w:rPr>
        <w:t> </w:t>
      </w:r>
      <w:r w:rsidR="00B35182" w:rsidRPr="00B35182">
        <w:rPr>
          <w:rFonts w:cs="Times New Roman"/>
          <w:i/>
          <w:iCs/>
          <w:szCs w:val="24"/>
        </w:rPr>
        <w:t>euro</w:t>
      </w:r>
      <w:r w:rsidRPr="00B35182">
        <w:rPr>
          <w:rFonts w:cs="Times New Roman"/>
          <w:szCs w:val="24"/>
        </w:rPr>
        <w:t xml:space="preserve"> no kopējā ANM finansējuma apjoma un 39,15</w:t>
      </w:r>
      <w:r w:rsidR="005624C1">
        <w:rPr>
          <w:rFonts w:cs="Times New Roman"/>
          <w:szCs w:val="24"/>
        </w:rPr>
        <w:t> </w:t>
      </w:r>
      <w:r w:rsidRPr="00B35182">
        <w:rPr>
          <w:rFonts w:cs="Times New Roman"/>
          <w:szCs w:val="24"/>
        </w:rPr>
        <w:t>milj.</w:t>
      </w:r>
      <w:r w:rsidR="005624C1">
        <w:rPr>
          <w:rFonts w:cs="Times New Roman"/>
          <w:szCs w:val="24"/>
        </w:rPr>
        <w:t> </w:t>
      </w:r>
      <w:r w:rsidR="00B35182" w:rsidRPr="00B35182">
        <w:rPr>
          <w:rFonts w:cs="Times New Roman"/>
          <w:i/>
          <w:iCs/>
          <w:szCs w:val="24"/>
        </w:rPr>
        <w:t>euro</w:t>
      </w:r>
      <w:r w:rsidRPr="00B35182">
        <w:rPr>
          <w:rFonts w:cs="Times New Roman"/>
          <w:szCs w:val="24"/>
        </w:rPr>
        <w:t xml:space="preserve"> no DP2027 </w:t>
      </w:r>
      <w:r w:rsidR="007F4741" w:rsidRPr="007F4741">
        <w:rPr>
          <w:rFonts w:cs="Times New Roman"/>
          <w:szCs w:val="24"/>
        </w:rPr>
        <w:t>novirzot</w:t>
      </w:r>
      <w:r w:rsidR="007F4741" w:rsidRPr="00B35182">
        <w:rPr>
          <w:rFonts w:cs="Times New Roman"/>
          <w:szCs w:val="24"/>
        </w:rPr>
        <w:t xml:space="preserve"> </w:t>
      </w:r>
      <w:r w:rsidRPr="00B35182">
        <w:rPr>
          <w:rFonts w:cs="Times New Roman"/>
          <w:szCs w:val="24"/>
        </w:rPr>
        <w:t>uzņēmējdarbības digitālai transformācijai un digitālo prasmju uzlabošanai.</w:t>
      </w:r>
      <w:r w:rsidR="00C92ABB">
        <w:rPr>
          <w:rFonts w:cs="Times New Roman"/>
          <w:szCs w:val="24"/>
        </w:rPr>
        <w:t xml:space="preserve"> </w:t>
      </w:r>
      <w:r w:rsidR="000D1D84">
        <w:rPr>
          <w:rFonts w:cs="Times New Roman"/>
          <w:szCs w:val="24"/>
        </w:rPr>
        <w:t>U</w:t>
      </w:r>
      <w:r w:rsidRPr="00B35182">
        <w:rPr>
          <w:rFonts w:cs="Times New Roman"/>
          <w:szCs w:val="24"/>
        </w:rPr>
        <w:t>zsākt</w:t>
      </w:r>
      <w:r w:rsidR="007D7688">
        <w:rPr>
          <w:rFonts w:cs="Times New Roman"/>
          <w:szCs w:val="24"/>
        </w:rPr>
        <w:t>a</w:t>
      </w:r>
      <w:r w:rsidRPr="00B35182">
        <w:rPr>
          <w:rFonts w:cs="Times New Roman"/>
          <w:szCs w:val="24"/>
        </w:rPr>
        <w:t xml:space="preserve"> attiecīgo atbalsta programmu izstrāde un </w:t>
      </w:r>
      <w:r w:rsidR="007F4741" w:rsidRPr="007F4741">
        <w:rPr>
          <w:rFonts w:cs="Times New Roman"/>
          <w:szCs w:val="24"/>
        </w:rPr>
        <w:t>plā</w:t>
      </w:r>
      <w:r w:rsidR="007F4741">
        <w:rPr>
          <w:rFonts w:cs="Times New Roman"/>
          <w:szCs w:val="24"/>
        </w:rPr>
        <w:t>nots</w:t>
      </w:r>
      <w:r w:rsidR="007F4741" w:rsidRPr="00B35182">
        <w:rPr>
          <w:rFonts w:cs="Times New Roman"/>
          <w:szCs w:val="24"/>
        </w:rPr>
        <w:t xml:space="preserve"> </w:t>
      </w:r>
      <w:r w:rsidRPr="00B35182">
        <w:rPr>
          <w:rFonts w:cs="Times New Roman"/>
          <w:szCs w:val="24"/>
        </w:rPr>
        <w:t>sniegt atbalstu digitalizācijas veicināšanai š</w:t>
      </w:r>
      <w:r w:rsidR="00B35182">
        <w:rPr>
          <w:rFonts w:cs="Times New Roman"/>
          <w:szCs w:val="24"/>
        </w:rPr>
        <w:t>ād</w:t>
      </w:r>
      <w:r w:rsidRPr="00B35182">
        <w:rPr>
          <w:rFonts w:cs="Times New Roman"/>
          <w:szCs w:val="24"/>
        </w:rPr>
        <w:t>iem pasākumiem:</w:t>
      </w:r>
    </w:p>
    <w:p w14:paraId="29BFC446" w14:textId="4859AEF9" w:rsidR="00B35182" w:rsidRPr="00314D7A" w:rsidRDefault="00A72B2A" w:rsidP="00BE6C4B">
      <w:pPr>
        <w:pStyle w:val="ListParagraph"/>
        <w:numPr>
          <w:ilvl w:val="0"/>
          <w:numId w:val="23"/>
        </w:numPr>
        <w:ind w:left="714" w:hanging="288"/>
        <w:contextualSpacing w:val="0"/>
        <w:jc w:val="both"/>
        <w:rPr>
          <w:rFonts w:eastAsiaTheme="minorEastAsia"/>
        </w:rPr>
      </w:pPr>
      <w:r w:rsidRPr="00314D7A">
        <w:t>a</w:t>
      </w:r>
      <w:r w:rsidR="007C7CFD" w:rsidRPr="00314D7A">
        <w:t>utomatizācijas, robotizācijas veicināšanai un iekārtu atjaunināšanai uzņēmējiem</w:t>
      </w:r>
      <w:r w:rsidR="00E45E65" w:rsidRPr="00314D7A">
        <w:t>,</w:t>
      </w:r>
      <w:r w:rsidR="007C7CFD" w:rsidRPr="00314D7A">
        <w:t xml:space="preserve"> </w:t>
      </w:r>
      <w:r w:rsidR="007F4741" w:rsidRPr="00314D7A">
        <w:t xml:space="preserve">sniedzot </w:t>
      </w:r>
      <w:r w:rsidR="00E45E65" w:rsidRPr="00314D7A">
        <w:t xml:space="preserve">aptuveni 133 </w:t>
      </w:r>
      <w:r w:rsidR="007C7CFD" w:rsidRPr="00314D7A">
        <w:t>aizdevumus jaunu digitālu risinājumu ieviešanai</w:t>
      </w:r>
      <w:r w:rsidRPr="00314D7A">
        <w:t>,</w:t>
      </w:r>
      <w:r w:rsidR="007C7CFD" w:rsidRPr="00314D7A">
        <w:t xml:space="preserve"> </w:t>
      </w:r>
      <w:r w:rsidR="00E45E65" w:rsidRPr="00314D7A">
        <w:t xml:space="preserve">ar finansējumu </w:t>
      </w:r>
      <w:r w:rsidR="007C7CFD" w:rsidRPr="00314D7A">
        <w:t>vairāk kā 45</w:t>
      </w:r>
      <w:r w:rsidR="00E45E65" w:rsidRPr="00314D7A">
        <w:t> </w:t>
      </w:r>
      <w:r w:rsidR="007C7CFD" w:rsidRPr="00314D7A">
        <w:t>milj</w:t>
      </w:r>
      <w:r w:rsidR="00E45E65" w:rsidRPr="00314D7A">
        <w:t>. </w:t>
      </w:r>
      <w:r w:rsidR="00B35182" w:rsidRPr="00314D7A">
        <w:rPr>
          <w:i/>
          <w:iCs/>
        </w:rPr>
        <w:t>euro</w:t>
      </w:r>
      <w:r w:rsidR="007C7CFD" w:rsidRPr="00314D7A">
        <w:t xml:space="preserve"> </w:t>
      </w:r>
      <w:r w:rsidR="00E45E65" w:rsidRPr="00314D7A">
        <w:t>apmērā</w:t>
      </w:r>
      <w:r w:rsidRPr="00314D7A">
        <w:t>;</w:t>
      </w:r>
    </w:p>
    <w:p w14:paraId="3CD9844D" w14:textId="425C2D14" w:rsidR="00B35182" w:rsidRPr="00314D7A" w:rsidRDefault="00A72B2A" w:rsidP="00BE6C4B">
      <w:pPr>
        <w:pStyle w:val="ListParagraph"/>
        <w:numPr>
          <w:ilvl w:val="0"/>
          <w:numId w:val="23"/>
        </w:numPr>
        <w:ind w:left="714" w:hanging="288"/>
        <w:contextualSpacing w:val="0"/>
        <w:jc w:val="both"/>
        <w:rPr>
          <w:rFonts w:eastAsiaTheme="minorEastAsia"/>
        </w:rPr>
      </w:pPr>
      <w:r w:rsidRPr="00314D7A">
        <w:t>t</w:t>
      </w:r>
      <w:r w:rsidR="007C7CFD" w:rsidRPr="00314D7A">
        <w:t>radicionālo procesu digitalizācijai mazajiem un vidējiem komersantiem</w:t>
      </w:r>
      <w:r w:rsidR="00E45E65" w:rsidRPr="00314D7A">
        <w:t>,</w:t>
      </w:r>
      <w:r w:rsidR="007C7CFD" w:rsidRPr="00314D7A">
        <w:t xml:space="preserve"> piešķir</w:t>
      </w:r>
      <w:r w:rsidR="00E45E65" w:rsidRPr="00314D7A">
        <w:t>o</w:t>
      </w:r>
      <w:r w:rsidR="007C7CFD" w:rsidRPr="00314D7A">
        <w:t xml:space="preserve">t līdz 200 grantiem par kopējo finansējumu 40 milj. </w:t>
      </w:r>
      <w:r w:rsidR="00B35182" w:rsidRPr="00314D7A">
        <w:rPr>
          <w:i/>
          <w:iCs/>
        </w:rPr>
        <w:t>euro</w:t>
      </w:r>
      <w:r w:rsidR="007C7CFD" w:rsidRPr="00314D7A">
        <w:t xml:space="preserve"> apmērā</w:t>
      </w:r>
      <w:r w:rsidRPr="00314D7A">
        <w:t>;</w:t>
      </w:r>
    </w:p>
    <w:p w14:paraId="7FB553C3" w14:textId="0D7945DC" w:rsidR="00B35182" w:rsidRPr="00314D7A" w:rsidRDefault="00A72B2A" w:rsidP="00BE6C4B">
      <w:pPr>
        <w:pStyle w:val="ListParagraph"/>
        <w:numPr>
          <w:ilvl w:val="0"/>
          <w:numId w:val="23"/>
        </w:numPr>
        <w:ind w:left="714" w:hanging="288"/>
        <w:contextualSpacing w:val="0"/>
        <w:jc w:val="both"/>
        <w:rPr>
          <w:rFonts w:eastAsiaTheme="minorEastAsia"/>
        </w:rPr>
      </w:pPr>
      <w:r w:rsidRPr="00314D7A">
        <w:lastRenderedPageBreak/>
        <w:t>j</w:t>
      </w:r>
      <w:r w:rsidR="007C7CFD" w:rsidRPr="00314D7A">
        <w:t>aunu digitālu produktu un pakalpojumu izstrādei komersantiem</w:t>
      </w:r>
      <w:r w:rsidR="00E45E65" w:rsidRPr="00314D7A">
        <w:t>,</w:t>
      </w:r>
      <w:r w:rsidR="007C7CFD" w:rsidRPr="00314D7A">
        <w:t xml:space="preserve"> piešķir</w:t>
      </w:r>
      <w:r w:rsidR="00E45E65" w:rsidRPr="00314D7A">
        <w:t>o</w:t>
      </w:r>
      <w:r w:rsidR="007C7CFD" w:rsidRPr="00314D7A">
        <w:t xml:space="preserve">t grantus kopumā 45,45 milj. </w:t>
      </w:r>
      <w:r w:rsidR="00B35182" w:rsidRPr="00314D7A">
        <w:rPr>
          <w:i/>
          <w:iCs/>
        </w:rPr>
        <w:t>euro</w:t>
      </w:r>
      <w:r w:rsidR="007C7CFD" w:rsidRPr="00314D7A">
        <w:t xml:space="preserve"> apmērā</w:t>
      </w:r>
      <w:r w:rsidRPr="00314D7A">
        <w:t>;</w:t>
      </w:r>
    </w:p>
    <w:p w14:paraId="6A5B5F37" w14:textId="3D5B8259" w:rsidR="000D1D84" w:rsidRPr="00314D7A" w:rsidRDefault="00A72B2A" w:rsidP="00BE6C4B">
      <w:pPr>
        <w:pStyle w:val="ListParagraph"/>
        <w:numPr>
          <w:ilvl w:val="0"/>
          <w:numId w:val="23"/>
        </w:numPr>
        <w:ind w:left="714" w:hanging="288"/>
        <w:contextualSpacing w:val="0"/>
        <w:jc w:val="both"/>
        <w:rPr>
          <w:rFonts w:eastAsiaTheme="minorEastAsia"/>
        </w:rPr>
      </w:pPr>
      <w:r w:rsidRPr="00314D7A">
        <w:t>u</w:t>
      </w:r>
      <w:r w:rsidR="007C7CFD" w:rsidRPr="00314D7A">
        <w:t>zņēmumu digitālo prasmju attīstībai</w:t>
      </w:r>
      <w:r w:rsidR="00E45E65" w:rsidRPr="00314D7A">
        <w:t>,</w:t>
      </w:r>
      <w:r w:rsidR="007C7CFD" w:rsidRPr="00314D7A">
        <w:t xml:space="preserve"> </w:t>
      </w:r>
      <w:r w:rsidR="00E45E65" w:rsidRPr="00314D7A">
        <w:t xml:space="preserve">sniedzot </w:t>
      </w:r>
      <w:r w:rsidR="007C7CFD" w:rsidRPr="00314D7A">
        <w:t xml:space="preserve">atbalstu vismaz 3000 mazo un vidējo uzņēmumu apmācībām, paredzot šim mērķim 33 milj. </w:t>
      </w:r>
      <w:r w:rsidR="00B35182" w:rsidRPr="00314D7A">
        <w:rPr>
          <w:i/>
          <w:iCs/>
        </w:rPr>
        <w:t>euro</w:t>
      </w:r>
      <w:r w:rsidR="007C7CFD" w:rsidRPr="00314D7A">
        <w:t xml:space="preserve"> finansējumu</w:t>
      </w:r>
      <w:r w:rsidRPr="00314D7A">
        <w:t>;</w:t>
      </w:r>
    </w:p>
    <w:p w14:paraId="4E60B917" w14:textId="77777777" w:rsidR="007C7CFD" w:rsidRPr="000D1D84" w:rsidRDefault="007C7CFD" w:rsidP="000D1D84">
      <w:pPr>
        <w:spacing w:before="60" w:after="60" w:line="240" w:lineRule="auto"/>
        <w:jc w:val="both"/>
        <w:rPr>
          <w:rFonts w:eastAsiaTheme="minorEastAsia"/>
          <w:color w:val="212529"/>
        </w:rPr>
      </w:pPr>
      <w:r w:rsidRPr="000D1D84">
        <w:rPr>
          <w:color w:val="212529"/>
        </w:rPr>
        <w:t>Lai nodrošinātu visu iepriekšminēto atbalsta iniciatīvu koordināciju un popularizēšanu, plānots nodrošināt 15</w:t>
      </w:r>
      <w:r w:rsidR="005624C1">
        <w:rPr>
          <w:color w:val="212529"/>
        </w:rPr>
        <w:t> </w:t>
      </w:r>
      <w:r w:rsidRPr="000D1D84">
        <w:rPr>
          <w:color w:val="212529"/>
        </w:rPr>
        <w:t>milj.</w:t>
      </w:r>
      <w:r w:rsidR="005624C1">
        <w:rPr>
          <w:color w:val="212529"/>
        </w:rPr>
        <w:t> </w:t>
      </w:r>
      <w:r w:rsidR="000D1D84" w:rsidRPr="00A72B2A">
        <w:rPr>
          <w:i/>
          <w:iCs/>
          <w:color w:val="212529"/>
        </w:rPr>
        <w:t>euro</w:t>
      </w:r>
      <w:r w:rsidRPr="000D1D84">
        <w:rPr>
          <w:color w:val="212529"/>
        </w:rPr>
        <w:t xml:space="preserve"> līdzfinansējumu </w:t>
      </w:r>
      <w:r w:rsidRPr="004D3209">
        <w:rPr>
          <w:i/>
          <w:iCs/>
          <w:color w:val="212529"/>
        </w:rPr>
        <w:t>Eiropas Digitālo inovāciju centru</w:t>
      </w:r>
      <w:r w:rsidRPr="000D1D84">
        <w:rPr>
          <w:color w:val="212529"/>
        </w:rPr>
        <w:t xml:space="preserve"> (EDIC) un reģionālo tehnoloģiju testēšanas un eksperimentēšanas centru izveidei, kas strādās, lai paaugstinātu uzņēmumu un sabiedrības izpratni par digitālo transformāciju. Tā ietvaros paredzēts īstenot uzņēmumu, asociāciju, pašvaldību un valsts pakalpojumu sniedzēju mentoringa, risinājumu pilotēšanas, digitālās pratības noteikšanas u.c. pasākumus.</w:t>
      </w:r>
    </w:p>
    <w:p w14:paraId="6FA987B6" w14:textId="653A28A9" w:rsidR="007C7CFD" w:rsidRDefault="007C7CFD" w:rsidP="00A72B2A">
      <w:pPr>
        <w:spacing w:before="60" w:after="60" w:line="240" w:lineRule="auto"/>
        <w:jc w:val="both"/>
        <w:rPr>
          <w:rFonts w:eastAsia="Times New Roman" w:cs="Times New Roman"/>
          <w:color w:val="212529"/>
          <w:szCs w:val="24"/>
        </w:rPr>
      </w:pPr>
      <w:r w:rsidRPr="000D1D84">
        <w:rPr>
          <w:rFonts w:eastAsia="Times New Roman" w:cs="Times New Roman"/>
          <w:color w:val="212529"/>
          <w:szCs w:val="24"/>
        </w:rPr>
        <w:t xml:space="preserve">ANM un DP2027 ietvaros tiks </w:t>
      </w:r>
      <w:r w:rsidRPr="000D1D84">
        <w:rPr>
          <w:rFonts w:eastAsia="Times New Roman" w:cs="Times New Roman"/>
          <w:b/>
          <w:bCs/>
          <w:color w:val="00859B"/>
          <w:szCs w:val="24"/>
        </w:rPr>
        <w:t>īstenota inovāciju pārvaldības reforma</w:t>
      </w:r>
      <w:r w:rsidR="000D1D84">
        <w:rPr>
          <w:rFonts w:eastAsia="Times New Roman" w:cs="Times New Roman"/>
          <w:color w:val="212529"/>
          <w:szCs w:val="24"/>
        </w:rPr>
        <w:t xml:space="preserve"> un</w:t>
      </w:r>
      <w:r w:rsidR="00FD79CC">
        <w:rPr>
          <w:rFonts w:eastAsia="Times New Roman" w:cs="Times New Roman"/>
          <w:color w:val="212529"/>
          <w:szCs w:val="24"/>
        </w:rPr>
        <w:t xml:space="preserve"> </w:t>
      </w:r>
      <w:r w:rsidRPr="000D1D84">
        <w:rPr>
          <w:rFonts w:eastAsia="Times New Roman" w:cs="Times New Roman"/>
          <w:b/>
          <w:bCs/>
          <w:color w:val="00859B"/>
          <w:szCs w:val="24"/>
        </w:rPr>
        <w:t>izstrādāti atbalsta instrumenti komersantu konkurētspējas paaugstināšanai</w:t>
      </w:r>
      <w:r w:rsidRPr="000D1D84">
        <w:rPr>
          <w:rFonts w:eastAsia="Times New Roman" w:cs="Times New Roman"/>
          <w:color w:val="212529"/>
          <w:szCs w:val="24"/>
        </w:rPr>
        <w:t xml:space="preserve">, kas paredz atbalstu jaunu produktu un tehnoloģiju izstrādei un internaticionalizācijai. Kopumā šīm aktivitātēm paredzēts ANM finansējums 113,5 milj. </w:t>
      </w:r>
      <w:r w:rsidR="000D1D84" w:rsidRPr="000D1D84">
        <w:rPr>
          <w:rFonts w:eastAsia="Times New Roman" w:cs="Times New Roman"/>
          <w:i/>
          <w:iCs/>
          <w:color w:val="212529"/>
          <w:szCs w:val="24"/>
        </w:rPr>
        <w:t>euro</w:t>
      </w:r>
      <w:r w:rsidRPr="000D1D84">
        <w:rPr>
          <w:rFonts w:eastAsia="Times New Roman" w:cs="Times New Roman"/>
          <w:color w:val="212529"/>
          <w:szCs w:val="24"/>
        </w:rPr>
        <w:t xml:space="preserve"> apmērā un DP2027 finansējums 51,8 milj. </w:t>
      </w:r>
      <w:r w:rsidR="000D1D84" w:rsidRPr="000D1D84">
        <w:rPr>
          <w:rFonts w:eastAsia="Times New Roman" w:cs="Times New Roman"/>
          <w:i/>
          <w:iCs/>
          <w:color w:val="212529"/>
          <w:szCs w:val="24"/>
        </w:rPr>
        <w:t>euro</w:t>
      </w:r>
      <w:r w:rsidRPr="000D1D84">
        <w:rPr>
          <w:rFonts w:eastAsia="Times New Roman" w:cs="Times New Roman"/>
          <w:color w:val="212529"/>
          <w:szCs w:val="24"/>
        </w:rPr>
        <w:t xml:space="preserve"> apmērā</w:t>
      </w:r>
      <w:r w:rsidRPr="00B41BDC">
        <w:rPr>
          <w:rFonts w:eastAsia="Times New Roman" w:cs="Times New Roman"/>
          <w:color w:val="212529"/>
          <w:szCs w:val="24"/>
        </w:rPr>
        <w:t>.</w:t>
      </w:r>
      <w:r w:rsidR="000D1D84" w:rsidRPr="00B41BDC">
        <w:rPr>
          <w:rFonts w:eastAsia="Times New Roman" w:cs="Times New Roman"/>
          <w:color w:val="212529"/>
          <w:szCs w:val="24"/>
        </w:rPr>
        <w:t xml:space="preserve"> Latvijas inovāciju politikas prioritātes izvirzītas </w:t>
      </w:r>
      <w:hyperlink r:id="rId123">
        <w:r w:rsidR="00B41BDC" w:rsidRPr="00B41BDC">
          <w:rPr>
            <w:rStyle w:val="Hyperlink"/>
            <w:rFonts w:cs="Times New Roman"/>
            <w:i/>
            <w:iCs/>
            <w:color w:val="00859B"/>
          </w:rPr>
          <w:t>Nacionālās industriālās politikas pamatnostādnēs 2021.-2027.gadam</w:t>
        </w:r>
      </w:hyperlink>
      <w:r w:rsidR="000D1D84" w:rsidRPr="00B41BDC">
        <w:rPr>
          <w:rFonts w:eastAsia="Times New Roman" w:cs="Times New Roman"/>
          <w:color w:val="212529"/>
          <w:szCs w:val="24"/>
        </w:rPr>
        <w:t xml:space="preserve">. </w:t>
      </w:r>
      <w:r w:rsidR="000D1D84" w:rsidRPr="00DC783B">
        <w:rPr>
          <w:rFonts w:eastAsia="Times New Roman" w:cs="Times New Roman"/>
          <w:color w:val="212529"/>
          <w:szCs w:val="24"/>
        </w:rPr>
        <w:t xml:space="preserve">Inovācijas jeb inovāciju kapacitātes paaugstināšana ir viens no </w:t>
      </w:r>
      <w:r w:rsidR="00DC783B" w:rsidRPr="00DC783B">
        <w:rPr>
          <w:rFonts w:eastAsia="Times New Roman" w:cs="Times New Roman"/>
          <w:color w:val="212529"/>
          <w:szCs w:val="24"/>
        </w:rPr>
        <w:t>šo pamatnostādņu</w:t>
      </w:r>
      <w:r w:rsidR="000D1D84" w:rsidRPr="00DC783B">
        <w:rPr>
          <w:rFonts w:eastAsia="Times New Roman" w:cs="Times New Roman"/>
          <w:color w:val="212529"/>
          <w:szCs w:val="24"/>
        </w:rPr>
        <w:t xml:space="preserve"> galvenajiem rīcības virzieniem, lai stimulētu ekonomikas izaugsmi un nodrošinātu pielāgošanos Covid-19 radītajiem ierobežojumiem un nodrošinātu, ka krīzes skartās nozares spēj pielāgoties jaunajiem apstākļiem un turpina darbību, palielinot eksporta īpatsvaru.</w:t>
      </w:r>
      <w:r w:rsidR="00A72B2A">
        <w:rPr>
          <w:rFonts w:eastAsia="Times New Roman" w:cs="Times New Roman"/>
          <w:color w:val="212529"/>
          <w:szCs w:val="24"/>
        </w:rPr>
        <w:t xml:space="preserve"> Paredzēto i</w:t>
      </w:r>
      <w:r w:rsidRPr="000D1D84">
        <w:rPr>
          <w:rFonts w:eastAsia="Times New Roman" w:cs="Times New Roman"/>
          <w:color w:val="212529"/>
          <w:szCs w:val="24"/>
        </w:rPr>
        <w:t>nvestīciju mērķis ir palielināt privāto P&amp;A izdevumu apjomu, veicot mērķētas publiskās investīcijas, kas sekmētu jaunu produktu un pakalpojumu izstrādi, kā arī zināšanu pārnesi tautsaimniecībā. Tas tiks panākts ne tikai nodrošinot kritisko investīciju apjomu šī mērķa sasniegšanai, bet arī pilnveidojot inovāciju pārvaldības sistēmu. Uzsvars tiks likts uz pilnīgu inovāciju ekosistēmu veidošanu, aptverot pastāvošos sadarbības tīklus, nodrošinot stratēģisku specializāciju un inovāciju attīstību visas vietējās vērtību ķēdes ietvaros, kas nodrošinātu Latvijas uzņēmumu ciešāku integrāciju globālās vērtību ķēdēs un stiprinātu uzņēmumu konkurētspēju starptautiskos tirgos.</w:t>
      </w:r>
      <w:r w:rsidR="00A72B2A">
        <w:rPr>
          <w:rFonts w:eastAsia="Times New Roman" w:cs="Times New Roman"/>
          <w:color w:val="212529"/>
          <w:szCs w:val="24"/>
        </w:rPr>
        <w:t xml:space="preserve"> U</w:t>
      </w:r>
      <w:r w:rsidRPr="00A72B2A">
        <w:rPr>
          <w:rFonts w:eastAsia="Times New Roman" w:cs="Times New Roman"/>
          <w:color w:val="212529"/>
          <w:szCs w:val="24"/>
        </w:rPr>
        <w:t>zsākts darbs pie</w:t>
      </w:r>
      <w:r w:rsidRPr="000D1D84">
        <w:rPr>
          <w:rFonts w:eastAsia="Times New Roman" w:cs="Times New Roman"/>
          <w:color w:val="212529"/>
          <w:szCs w:val="24"/>
        </w:rPr>
        <w:t xml:space="preserve"> atbalsta programmu izstrādes, kuru ietvaros tiks atbalstītas š</w:t>
      </w:r>
      <w:r w:rsidR="00A72B2A">
        <w:rPr>
          <w:rFonts w:eastAsia="Times New Roman" w:cs="Times New Roman"/>
          <w:color w:val="212529"/>
          <w:szCs w:val="24"/>
        </w:rPr>
        <w:t>āda</w:t>
      </w:r>
      <w:r w:rsidRPr="000D1D84">
        <w:rPr>
          <w:rFonts w:eastAsia="Times New Roman" w:cs="Times New Roman"/>
          <w:color w:val="212529"/>
          <w:szCs w:val="24"/>
        </w:rPr>
        <w:t>s aktivitātes:</w:t>
      </w:r>
    </w:p>
    <w:p w14:paraId="55C84195" w14:textId="77777777" w:rsidR="00A72B2A" w:rsidRPr="00A72B2A" w:rsidRDefault="007C7CFD" w:rsidP="00BE6C4B">
      <w:pPr>
        <w:pStyle w:val="ListParagraph"/>
        <w:numPr>
          <w:ilvl w:val="0"/>
          <w:numId w:val="23"/>
        </w:numPr>
        <w:ind w:left="714" w:hanging="288"/>
        <w:contextualSpacing w:val="0"/>
        <w:jc w:val="both"/>
        <w:rPr>
          <w:rFonts w:eastAsiaTheme="minorEastAsia"/>
          <w:color w:val="212529"/>
        </w:rPr>
      </w:pPr>
      <w:r w:rsidRPr="00A72B2A">
        <w:rPr>
          <w:color w:val="212529"/>
        </w:rPr>
        <w:t>atbalsts komersantiem RIS3 specializācijas jomu ietvaros jaunu produktu un tehnoloģiju izstrādei (rūpnieciskie pētījumi, eksperimentālās izstrādnes, tehniski ekonomiskā priekšizpēte)</w:t>
      </w:r>
      <w:r w:rsidR="00A72B2A">
        <w:rPr>
          <w:color w:val="212529"/>
        </w:rPr>
        <w:t>;</w:t>
      </w:r>
    </w:p>
    <w:p w14:paraId="7E88E3B1" w14:textId="77777777" w:rsidR="00A72B2A" w:rsidRPr="00A72B2A" w:rsidRDefault="007C7CFD" w:rsidP="00BE6C4B">
      <w:pPr>
        <w:pStyle w:val="ListParagraph"/>
        <w:numPr>
          <w:ilvl w:val="0"/>
          <w:numId w:val="23"/>
        </w:numPr>
        <w:ind w:left="714" w:hanging="288"/>
        <w:contextualSpacing w:val="0"/>
        <w:jc w:val="both"/>
        <w:rPr>
          <w:rFonts w:eastAsiaTheme="minorEastAsia"/>
          <w:color w:val="212529"/>
        </w:rPr>
      </w:pPr>
      <w:r w:rsidRPr="00A72B2A">
        <w:rPr>
          <w:color w:val="212529"/>
        </w:rPr>
        <w:t>sadarbības veicināšanas aktivitātes starp uzņēmējdarbības un pētniecības sektoru</w:t>
      </w:r>
      <w:r w:rsidR="00A72B2A">
        <w:rPr>
          <w:color w:val="212529"/>
        </w:rPr>
        <w:t>;</w:t>
      </w:r>
    </w:p>
    <w:p w14:paraId="6493F316" w14:textId="77777777" w:rsidR="00A72B2A" w:rsidRPr="00A72B2A" w:rsidRDefault="007C7CFD" w:rsidP="00BE6C4B">
      <w:pPr>
        <w:pStyle w:val="ListParagraph"/>
        <w:numPr>
          <w:ilvl w:val="0"/>
          <w:numId w:val="23"/>
        </w:numPr>
        <w:ind w:left="714" w:hanging="288"/>
        <w:contextualSpacing w:val="0"/>
        <w:jc w:val="both"/>
        <w:rPr>
          <w:rFonts w:eastAsiaTheme="minorEastAsia"/>
          <w:color w:val="212529"/>
        </w:rPr>
      </w:pPr>
      <w:r w:rsidRPr="00A72B2A">
        <w:rPr>
          <w:color w:val="212529"/>
        </w:rPr>
        <w:t>eksporta veicināšanas un internacionalizācijas aktivitātes, t.sk. dalība ES līmeņa pētniecības un attīstības programmās</w:t>
      </w:r>
      <w:r w:rsidR="00A72B2A">
        <w:rPr>
          <w:color w:val="212529"/>
        </w:rPr>
        <w:t>;</w:t>
      </w:r>
    </w:p>
    <w:p w14:paraId="1AE18184" w14:textId="77777777" w:rsidR="007C7CFD" w:rsidRPr="00A72B2A" w:rsidRDefault="007C7CFD" w:rsidP="00BE6C4B">
      <w:pPr>
        <w:pStyle w:val="ListParagraph"/>
        <w:numPr>
          <w:ilvl w:val="0"/>
          <w:numId w:val="23"/>
        </w:numPr>
        <w:ind w:left="714" w:hanging="288"/>
        <w:contextualSpacing w:val="0"/>
        <w:jc w:val="both"/>
        <w:rPr>
          <w:rFonts w:eastAsiaTheme="minorEastAsia"/>
          <w:color w:val="212529"/>
        </w:rPr>
      </w:pPr>
      <w:r w:rsidRPr="00A72B2A">
        <w:rPr>
          <w:color w:val="212529"/>
        </w:rPr>
        <w:t>atbalsts Latvijas pārstāvju iesaistei Eiropas nozīmes pētniecības, attīstības un inovācijas projektu attīstības ekosistēmās jeb IPCEI</w:t>
      </w:r>
      <w:r w:rsidR="00A72B2A">
        <w:rPr>
          <w:color w:val="212529"/>
        </w:rPr>
        <w:t>.</w:t>
      </w:r>
    </w:p>
    <w:p w14:paraId="5832555B" w14:textId="0F6556DC" w:rsidR="003A5F83" w:rsidRPr="00C627DA" w:rsidRDefault="003A5F83" w:rsidP="003A5F83">
      <w:pPr>
        <w:spacing w:before="60" w:after="60" w:line="240" w:lineRule="auto"/>
        <w:jc w:val="both"/>
        <w:rPr>
          <w:rFonts w:eastAsia="Times New Roman"/>
          <w:szCs w:val="24"/>
        </w:rPr>
      </w:pPr>
      <w:r w:rsidRPr="00C627DA">
        <w:rPr>
          <w:rFonts w:eastAsia="Times New Roman"/>
          <w:szCs w:val="24"/>
        </w:rPr>
        <w:t>2021.</w:t>
      </w:r>
      <w:r>
        <w:rPr>
          <w:rFonts w:eastAsia="Times New Roman"/>
          <w:szCs w:val="24"/>
        </w:rPr>
        <w:t> </w:t>
      </w:r>
      <w:r w:rsidRPr="00C627DA">
        <w:rPr>
          <w:rFonts w:eastAsia="Times New Roman"/>
          <w:szCs w:val="24"/>
        </w:rPr>
        <w:t xml:space="preserve">gadā </w:t>
      </w:r>
      <w:r>
        <w:rPr>
          <w:rFonts w:eastAsia="Times New Roman"/>
          <w:szCs w:val="24"/>
        </w:rPr>
        <w:t>paredzēta</w:t>
      </w:r>
      <w:r w:rsidRPr="00C627DA">
        <w:rPr>
          <w:rFonts w:eastAsia="Times New Roman"/>
          <w:szCs w:val="24"/>
        </w:rPr>
        <w:t xml:space="preserve"> aktīva darbība izstrādājot </w:t>
      </w:r>
      <w:r w:rsidRPr="00790872">
        <w:rPr>
          <w:rFonts w:eastAsia="Times New Roman"/>
          <w:b/>
          <w:bCs/>
          <w:color w:val="00859B"/>
          <w:szCs w:val="24"/>
        </w:rPr>
        <w:t>ES fondu 2021.-2027.gada atbalsta programmas</w:t>
      </w:r>
      <w:r w:rsidR="00FD79CC">
        <w:rPr>
          <w:rFonts w:eastAsia="Times New Roman"/>
          <w:b/>
          <w:bCs/>
          <w:color w:val="00859B"/>
          <w:szCs w:val="24"/>
        </w:rPr>
        <w:t xml:space="preserve"> </w:t>
      </w:r>
      <w:r w:rsidRPr="00790872">
        <w:rPr>
          <w:b/>
          <w:bCs/>
          <w:color w:val="00859B"/>
        </w:rPr>
        <w:t>(DP2027)</w:t>
      </w:r>
      <w:r w:rsidRPr="00C627DA">
        <w:rPr>
          <w:rFonts w:eastAsia="Times New Roman"/>
          <w:szCs w:val="24"/>
        </w:rPr>
        <w:t xml:space="preserve"> plānojot atbalstu šādos virzienos:</w:t>
      </w:r>
    </w:p>
    <w:p w14:paraId="1E016AF0" w14:textId="15328867" w:rsidR="003A5F83" w:rsidRPr="00790872" w:rsidRDefault="003A5F83" w:rsidP="00BE6C4B">
      <w:pPr>
        <w:pStyle w:val="ListParagraph"/>
        <w:numPr>
          <w:ilvl w:val="0"/>
          <w:numId w:val="28"/>
        </w:numPr>
        <w:ind w:left="709" w:hanging="283"/>
        <w:contextualSpacing w:val="0"/>
        <w:jc w:val="both"/>
        <w:rPr>
          <w:bCs/>
        </w:rPr>
      </w:pPr>
      <w:r w:rsidRPr="00790872">
        <w:rPr>
          <w:b/>
          <w:color w:val="00859B"/>
        </w:rPr>
        <w:t xml:space="preserve">Finanšu instrumenti </w:t>
      </w:r>
      <w:r>
        <w:rPr>
          <w:b/>
          <w:color w:val="00859B"/>
        </w:rPr>
        <w:t>pētniecībai un attīstībai (</w:t>
      </w:r>
      <w:r w:rsidRPr="00790872">
        <w:rPr>
          <w:b/>
          <w:color w:val="00859B"/>
        </w:rPr>
        <w:t>P&amp;A</w:t>
      </w:r>
      <w:r>
        <w:rPr>
          <w:b/>
          <w:color w:val="00859B"/>
        </w:rPr>
        <w:t>)</w:t>
      </w:r>
      <w:r w:rsidR="00FD79CC">
        <w:rPr>
          <w:b/>
          <w:color w:val="00859B"/>
        </w:rPr>
        <w:t xml:space="preserve"> </w:t>
      </w:r>
      <w:r>
        <w:t>–</w:t>
      </w:r>
      <w:r w:rsidRPr="00790872">
        <w:t xml:space="preserve"> kombinētie aizdevumi inovatīvām iekārtām; aizdevumi P&amp;A darbībām: tehnoloģiju attīstībai, prototipēšanai u.c.; aizdevumi modernu tehnoloģiju pārnešanai.</w:t>
      </w:r>
    </w:p>
    <w:p w14:paraId="37703BBA" w14:textId="54155F67" w:rsidR="003A5F83" w:rsidRPr="00790872" w:rsidRDefault="003A5F83" w:rsidP="00BE6C4B">
      <w:pPr>
        <w:pStyle w:val="ListParagraph"/>
        <w:numPr>
          <w:ilvl w:val="0"/>
          <w:numId w:val="28"/>
        </w:numPr>
        <w:ind w:left="709" w:hanging="283"/>
        <w:contextualSpacing w:val="0"/>
        <w:jc w:val="both"/>
        <w:rPr>
          <w:bCs/>
          <w:iCs/>
        </w:rPr>
      </w:pPr>
      <w:r w:rsidRPr="00790872">
        <w:rPr>
          <w:b/>
          <w:color w:val="00859B"/>
        </w:rPr>
        <w:t>Finanšu instrumenti uzņēmējdarbības atbalstam</w:t>
      </w:r>
      <w:r w:rsidR="00EE48F2">
        <w:rPr>
          <w:b/>
          <w:color w:val="00859B"/>
        </w:rPr>
        <w:t xml:space="preserve"> </w:t>
      </w:r>
      <w:r>
        <w:rPr>
          <w:iCs/>
        </w:rPr>
        <w:t>–</w:t>
      </w:r>
      <w:r w:rsidR="00FD79CC">
        <w:rPr>
          <w:iCs/>
        </w:rPr>
        <w:t xml:space="preserve"> </w:t>
      </w:r>
      <w:r w:rsidRPr="00790872">
        <w:rPr>
          <w:iCs/>
        </w:rPr>
        <w:t>starta, izaugsmes aizdevumi; sēklas un izaugsmes stadijas riska kapitāla un mezanīna investīcijas; dauzpakāpju riska kapitāla fondi (ietver akcelerāciju, pirmssēklas, sēklas, izaugsmes stadijas); aizdevumi produktivitātēs kāpināšanai (investīcijas un apgrozāmie līdzekļi), atbalsts MVU dalībai Baltijas kapitāla tirgū; individuālās garantijas, eksporta kredītu garantijas; portfeļgarantijas.</w:t>
      </w:r>
    </w:p>
    <w:p w14:paraId="67B00D6F" w14:textId="68BF7EF6" w:rsidR="003A5F83" w:rsidRPr="00790872" w:rsidRDefault="003A5F83" w:rsidP="00BE6C4B">
      <w:pPr>
        <w:pStyle w:val="ListParagraph"/>
        <w:numPr>
          <w:ilvl w:val="0"/>
          <w:numId w:val="28"/>
        </w:numPr>
        <w:ind w:left="709" w:hanging="283"/>
        <w:contextualSpacing w:val="0"/>
        <w:jc w:val="both"/>
        <w:rPr>
          <w:bCs/>
          <w:iCs/>
        </w:rPr>
      </w:pPr>
      <w:r w:rsidRPr="00790872">
        <w:rPr>
          <w:b/>
          <w:iCs/>
          <w:color w:val="00859B"/>
        </w:rPr>
        <w:t>Atbalsts MVK</w:t>
      </w:r>
      <w:r w:rsidR="00EE48F2">
        <w:rPr>
          <w:b/>
          <w:iCs/>
          <w:color w:val="00859B"/>
        </w:rPr>
        <w:t xml:space="preserve"> </w:t>
      </w:r>
      <w:r w:rsidRPr="00790872">
        <w:rPr>
          <w:iCs/>
        </w:rPr>
        <w:t>– motivācija</w:t>
      </w:r>
      <w:r w:rsidR="003F7D43">
        <w:rPr>
          <w:iCs/>
        </w:rPr>
        <w:t>i</w:t>
      </w:r>
      <w:r w:rsidRPr="00790872">
        <w:rPr>
          <w:iCs/>
        </w:rPr>
        <w:t>; inkubācija</w:t>
      </w:r>
      <w:r w:rsidR="003F7D43">
        <w:rPr>
          <w:iCs/>
        </w:rPr>
        <w:t>i</w:t>
      </w:r>
      <w:r w:rsidRPr="00790872">
        <w:rPr>
          <w:iCs/>
        </w:rPr>
        <w:t>; tehnol</w:t>
      </w:r>
      <w:r>
        <w:rPr>
          <w:iCs/>
        </w:rPr>
        <w:t>o</w:t>
      </w:r>
      <w:r w:rsidRPr="00790872">
        <w:rPr>
          <w:iCs/>
        </w:rPr>
        <w:t>ģiju pārnese</w:t>
      </w:r>
      <w:r w:rsidR="003F7D43">
        <w:rPr>
          <w:iCs/>
        </w:rPr>
        <w:t>i</w:t>
      </w:r>
      <w:r w:rsidRPr="00790872">
        <w:rPr>
          <w:iCs/>
        </w:rPr>
        <w:t>; eksport</w:t>
      </w:r>
      <w:r w:rsidR="003F7D43">
        <w:rPr>
          <w:iCs/>
        </w:rPr>
        <w:t>am</w:t>
      </w:r>
      <w:r w:rsidRPr="00790872">
        <w:rPr>
          <w:iCs/>
        </w:rPr>
        <w:t>; tūrisma produktu attīstība</w:t>
      </w:r>
      <w:r w:rsidR="003F7D43">
        <w:rPr>
          <w:iCs/>
        </w:rPr>
        <w:t>i</w:t>
      </w:r>
      <w:r w:rsidRPr="00790872">
        <w:rPr>
          <w:iCs/>
        </w:rPr>
        <w:t>.</w:t>
      </w:r>
    </w:p>
    <w:p w14:paraId="6800445F" w14:textId="1576806E" w:rsidR="003A5F83" w:rsidRPr="00790872" w:rsidRDefault="003A5F83" w:rsidP="00BE6C4B">
      <w:pPr>
        <w:pStyle w:val="ListParagraph"/>
        <w:numPr>
          <w:ilvl w:val="0"/>
          <w:numId w:val="28"/>
        </w:numPr>
        <w:ind w:left="709" w:hanging="283"/>
        <w:contextualSpacing w:val="0"/>
        <w:rPr>
          <w:iCs/>
        </w:rPr>
      </w:pPr>
      <w:r w:rsidRPr="003A5F83">
        <w:rPr>
          <w:b/>
          <w:color w:val="00859B"/>
        </w:rPr>
        <w:t>Finanšu instrumenti digitalizācijai</w:t>
      </w:r>
      <w:r w:rsidR="00EE48F2">
        <w:rPr>
          <w:b/>
          <w:color w:val="00859B"/>
        </w:rPr>
        <w:t xml:space="preserve"> </w:t>
      </w:r>
      <w:r>
        <w:rPr>
          <w:iCs/>
        </w:rPr>
        <w:t>–</w:t>
      </w:r>
      <w:r w:rsidRPr="00790872">
        <w:rPr>
          <w:iCs/>
        </w:rPr>
        <w:t xml:space="preserve"> individuālās garantijas.</w:t>
      </w:r>
    </w:p>
    <w:p w14:paraId="6D4BE3AD" w14:textId="77777777" w:rsidR="007C7CFD" w:rsidRDefault="003A5F83" w:rsidP="004D3209">
      <w:pPr>
        <w:spacing w:before="60" w:after="60" w:line="240" w:lineRule="auto"/>
        <w:jc w:val="both"/>
        <w:rPr>
          <w:rFonts w:cs="Times New Roman"/>
          <w:szCs w:val="24"/>
        </w:rPr>
      </w:pPr>
      <w:r>
        <w:rPr>
          <w:rFonts w:cs="Times New Roman"/>
          <w:szCs w:val="24"/>
        </w:rPr>
        <w:t>Savukārt, l</w:t>
      </w:r>
      <w:r w:rsidR="007C7CFD" w:rsidRPr="000D1D84">
        <w:rPr>
          <w:rFonts w:cs="Times New Roman"/>
          <w:szCs w:val="24"/>
        </w:rPr>
        <w:t xml:space="preserve">ai atbalstītu komersantus jaunu tirgu apgūšanai un eksporta veicināšanai tūrisma nozarē, plānots izveidot </w:t>
      </w:r>
      <w:r w:rsidR="007C7CFD" w:rsidRPr="00A72B2A">
        <w:rPr>
          <w:rFonts w:cs="Times New Roman"/>
          <w:b/>
          <w:bCs/>
          <w:color w:val="00859B"/>
          <w:szCs w:val="24"/>
        </w:rPr>
        <w:t>tūrisma produktu attīstības programmu</w:t>
      </w:r>
      <w:r w:rsidR="007C7CFD" w:rsidRPr="000D1D84">
        <w:rPr>
          <w:rFonts w:cs="Times New Roman"/>
          <w:szCs w:val="24"/>
        </w:rPr>
        <w:t xml:space="preserve">. Tā tiks balstīta uz klasteru pieeju un tiks nodrošināta kompleksu uz inovācijām balstītu tūrisma produktu veidošanu klastera ietvaros. Projektu </w:t>
      </w:r>
      <w:r w:rsidR="007C7CFD" w:rsidRPr="000D1D84">
        <w:rPr>
          <w:rFonts w:cs="Times New Roman"/>
          <w:szCs w:val="24"/>
        </w:rPr>
        <w:lastRenderedPageBreak/>
        <w:t>īstenotāji - vietējā un reģionālā līmeņa klasteri vai nacionālā līmeņa tematiskie klasteri. Atbalsts grantu veidā tiks nodrošināts inovatīvu produktu izstrādē, lai sekmētu eksporta pieaugumu un komersantu spēju, piedāvājot produktus ar augstāku pievienoto vērtību. Kopējais programmas finansējums 6,5</w:t>
      </w:r>
      <w:r w:rsidR="003F7D43">
        <w:rPr>
          <w:rFonts w:cs="Times New Roman"/>
          <w:szCs w:val="24"/>
        </w:rPr>
        <w:t> </w:t>
      </w:r>
      <w:r w:rsidR="007C7CFD" w:rsidRPr="000D1D84">
        <w:rPr>
          <w:rFonts w:cs="Times New Roman"/>
          <w:szCs w:val="24"/>
        </w:rPr>
        <w:t>milj.</w:t>
      </w:r>
      <w:r w:rsidR="003F7D43">
        <w:rPr>
          <w:rFonts w:cs="Times New Roman"/>
          <w:szCs w:val="24"/>
        </w:rPr>
        <w:t> </w:t>
      </w:r>
      <w:r w:rsidR="00A72B2A" w:rsidRPr="00A72B2A">
        <w:rPr>
          <w:rFonts w:cs="Times New Roman"/>
          <w:i/>
          <w:iCs/>
          <w:szCs w:val="24"/>
        </w:rPr>
        <w:t>euro</w:t>
      </w:r>
      <w:r w:rsidR="007C7CFD" w:rsidRPr="000D1D84">
        <w:rPr>
          <w:rFonts w:cs="Times New Roman"/>
          <w:szCs w:val="24"/>
        </w:rPr>
        <w:t>.</w:t>
      </w:r>
    </w:p>
    <w:p w14:paraId="136A44A8" w14:textId="53BCC2E2" w:rsidR="003A5F83" w:rsidRPr="004D3209" w:rsidRDefault="003A5F83" w:rsidP="003A5F83">
      <w:pPr>
        <w:spacing w:before="60" w:after="60" w:line="240" w:lineRule="auto"/>
        <w:jc w:val="both"/>
        <w:rPr>
          <w:rFonts w:eastAsia="Times New Roman"/>
          <w:szCs w:val="24"/>
        </w:rPr>
      </w:pPr>
      <w:r w:rsidRPr="004D3209">
        <w:rPr>
          <w:rFonts w:eastAsia="Times New Roman"/>
          <w:szCs w:val="24"/>
        </w:rPr>
        <w:t>202</w:t>
      </w:r>
      <w:r w:rsidR="00A954E1" w:rsidRPr="004D3209">
        <w:rPr>
          <w:rFonts w:eastAsia="Times New Roman"/>
          <w:szCs w:val="24"/>
        </w:rPr>
        <w:t>1</w:t>
      </w:r>
      <w:r w:rsidRPr="004D3209">
        <w:rPr>
          <w:rFonts w:eastAsia="Times New Roman"/>
          <w:szCs w:val="24"/>
        </w:rPr>
        <w:t>.</w:t>
      </w:r>
      <w:r w:rsidR="00A954E1" w:rsidRPr="004D3209">
        <w:rPr>
          <w:rFonts w:eastAsia="Times New Roman"/>
          <w:szCs w:val="24"/>
        </w:rPr>
        <w:t> </w:t>
      </w:r>
      <w:r w:rsidRPr="004D3209">
        <w:rPr>
          <w:rFonts w:eastAsia="Times New Roman"/>
          <w:szCs w:val="24"/>
        </w:rPr>
        <w:t xml:space="preserve">gadā notiks darbs pie </w:t>
      </w:r>
      <w:r w:rsidRPr="004D3209">
        <w:rPr>
          <w:rFonts w:eastAsia="Times New Roman"/>
          <w:b/>
          <w:bCs/>
          <w:color w:val="00859B"/>
          <w:szCs w:val="24"/>
        </w:rPr>
        <w:t>ANM plānā</w:t>
      </w:r>
      <w:r w:rsidR="00FD79CC">
        <w:rPr>
          <w:rFonts w:eastAsia="Times New Roman"/>
          <w:b/>
          <w:bCs/>
          <w:color w:val="00859B"/>
          <w:szCs w:val="24"/>
        </w:rPr>
        <w:t xml:space="preserve"> </w:t>
      </w:r>
      <w:r w:rsidRPr="004D3209">
        <w:rPr>
          <w:rFonts w:eastAsia="Times New Roman"/>
          <w:szCs w:val="24"/>
        </w:rPr>
        <w:t xml:space="preserve">iekļauto aktivitāšu ieviešanas uzsākšanas, kur </w:t>
      </w:r>
      <w:r w:rsidR="00A954E1" w:rsidRPr="004D3209">
        <w:rPr>
          <w:rFonts w:eastAsia="Times New Roman"/>
          <w:szCs w:val="24"/>
        </w:rPr>
        <w:t>EM</w:t>
      </w:r>
      <w:r w:rsidRPr="004D3209">
        <w:rPr>
          <w:rFonts w:eastAsia="Times New Roman"/>
          <w:szCs w:val="24"/>
        </w:rPr>
        <w:t xml:space="preserve"> </w:t>
      </w:r>
      <w:r w:rsidR="00602B4A" w:rsidRPr="004D3209">
        <w:rPr>
          <w:rFonts w:eastAsia="Times New Roman"/>
          <w:szCs w:val="24"/>
        </w:rPr>
        <w:t>p</w:t>
      </w:r>
      <w:r w:rsidR="00602B4A">
        <w:rPr>
          <w:rFonts w:eastAsia="Times New Roman"/>
          <w:szCs w:val="24"/>
        </w:rPr>
        <w:t xml:space="preserve">aredz </w:t>
      </w:r>
      <w:r w:rsidR="005607B7">
        <w:rPr>
          <w:rFonts w:eastAsia="Times New Roman"/>
          <w:szCs w:val="24"/>
        </w:rPr>
        <w:t>nodrošināt</w:t>
      </w:r>
      <w:r w:rsidR="00602B4A">
        <w:rPr>
          <w:rFonts w:eastAsia="Times New Roman"/>
          <w:szCs w:val="24"/>
        </w:rPr>
        <w:t xml:space="preserve"> </w:t>
      </w:r>
      <w:r w:rsidR="004D3209">
        <w:rPr>
          <w:rFonts w:eastAsia="Times New Roman"/>
          <w:szCs w:val="24"/>
        </w:rPr>
        <w:t xml:space="preserve">arī vēl </w:t>
      </w:r>
      <w:r w:rsidRPr="004D3209">
        <w:rPr>
          <w:rFonts w:eastAsia="Times New Roman"/>
          <w:szCs w:val="24"/>
        </w:rPr>
        <w:t>šādas aktivitātes:</w:t>
      </w:r>
    </w:p>
    <w:p w14:paraId="6ED8AE94" w14:textId="682B68AB" w:rsidR="003A5F83" w:rsidRPr="00A954E1" w:rsidRDefault="003A5F83" w:rsidP="00BE6C4B">
      <w:pPr>
        <w:pStyle w:val="ListParagraph"/>
        <w:numPr>
          <w:ilvl w:val="0"/>
          <w:numId w:val="29"/>
        </w:numPr>
        <w:ind w:left="709" w:hanging="283"/>
        <w:contextualSpacing w:val="0"/>
        <w:jc w:val="both"/>
      </w:pPr>
      <w:r w:rsidRPr="004D3209">
        <w:rPr>
          <w:b/>
          <w:color w:val="00859B"/>
        </w:rPr>
        <w:t>Aizdevum</w:t>
      </w:r>
      <w:r w:rsidR="004D3209">
        <w:rPr>
          <w:b/>
          <w:color w:val="00859B"/>
        </w:rPr>
        <w:t>us</w:t>
      </w:r>
      <w:r w:rsidR="00FD79CC">
        <w:rPr>
          <w:b/>
          <w:color w:val="00859B"/>
        </w:rPr>
        <w:t xml:space="preserve"> </w:t>
      </w:r>
      <w:r w:rsidRPr="004D3209">
        <w:rPr>
          <w:b/>
          <w:color w:val="00859B"/>
        </w:rPr>
        <w:t>digitalizācijai</w:t>
      </w:r>
      <w:r w:rsidR="00FD79CC">
        <w:rPr>
          <w:b/>
          <w:color w:val="00859B"/>
        </w:rPr>
        <w:t xml:space="preserve"> </w:t>
      </w:r>
      <w:r w:rsidRPr="004D3209">
        <w:rPr>
          <w:bCs/>
        </w:rPr>
        <w:t>(45</w:t>
      </w:r>
      <w:r w:rsidR="004D3209">
        <w:rPr>
          <w:bCs/>
        </w:rPr>
        <w:t>,</w:t>
      </w:r>
      <w:r w:rsidRPr="004D3209">
        <w:rPr>
          <w:bCs/>
        </w:rPr>
        <w:t>1</w:t>
      </w:r>
      <w:r w:rsidR="004D3209">
        <w:rPr>
          <w:bCs/>
        </w:rPr>
        <w:t> </w:t>
      </w:r>
      <w:r w:rsidR="004D3209" w:rsidRPr="004D3209">
        <w:rPr>
          <w:bCs/>
        </w:rPr>
        <w:t>milj.</w:t>
      </w:r>
      <w:r w:rsidR="004D3209">
        <w:rPr>
          <w:bCs/>
        </w:rPr>
        <w:t> </w:t>
      </w:r>
      <w:r w:rsidR="004D3209" w:rsidRPr="004D3209">
        <w:rPr>
          <w:bCs/>
          <w:i/>
          <w:iCs/>
        </w:rPr>
        <w:t>euro</w:t>
      </w:r>
      <w:r w:rsidRPr="004D3209">
        <w:rPr>
          <w:bCs/>
        </w:rPr>
        <w:t>)</w:t>
      </w:r>
      <w:r w:rsidR="005607B7">
        <w:rPr>
          <w:bCs/>
        </w:rPr>
        <w:t>, paredzot</w:t>
      </w:r>
      <w:r w:rsidRPr="00A954E1">
        <w:t xml:space="preserve"> tradicionālo procesu digitalizācij</w:t>
      </w:r>
      <w:r w:rsidR="005607B7">
        <w:t>u</w:t>
      </w:r>
      <w:r w:rsidRPr="00A954E1">
        <w:t xml:space="preserve"> uzņēmumos; industrijas 4.0 risinājumu iegād</w:t>
      </w:r>
      <w:r w:rsidR="005607B7">
        <w:t>i</w:t>
      </w:r>
      <w:r w:rsidRPr="00A954E1">
        <w:t xml:space="preserve"> un ieviešan</w:t>
      </w:r>
      <w:r w:rsidR="005607B7">
        <w:t>u</w:t>
      </w:r>
      <w:r w:rsidRPr="00A954E1">
        <w:t>; 5G tīklā funkcionējošu sistēmu un iekārtu iegād</w:t>
      </w:r>
      <w:r w:rsidR="005607B7">
        <w:t>i</w:t>
      </w:r>
      <w:r w:rsidRPr="00A954E1">
        <w:t>; datu uzglabāšanas risinājumi</w:t>
      </w:r>
      <w:r w:rsidR="005607B7">
        <w:t>em</w:t>
      </w:r>
      <w:r w:rsidRPr="00A954E1">
        <w:t>; uzņēmējdarbības procesu digitalizācija</w:t>
      </w:r>
      <w:r w:rsidR="005607B7">
        <w:t>i</w:t>
      </w:r>
      <w:r w:rsidRPr="00A954E1">
        <w:t xml:space="preserve"> nepieciešamo esošo ražošanas un citu iekārtu atjaunošana</w:t>
      </w:r>
      <w:r w:rsidR="005607B7">
        <w:t>i</w:t>
      </w:r>
      <w:r w:rsidRPr="00A954E1">
        <w:t xml:space="preserve"> un efektivizēšana</w:t>
      </w:r>
      <w:r w:rsidR="005607B7">
        <w:t>i</w:t>
      </w:r>
      <w:r w:rsidRPr="00A954E1">
        <w:t xml:space="preserve"> un jaunu iekārtu iegāde</w:t>
      </w:r>
      <w:r w:rsidR="005607B7">
        <w:t>i</w:t>
      </w:r>
      <w:r w:rsidRPr="00A954E1">
        <w:t>; platformu ekonomika.</w:t>
      </w:r>
    </w:p>
    <w:p w14:paraId="09AE63E6" w14:textId="645B6938" w:rsidR="004D3209" w:rsidRDefault="004D3209" w:rsidP="00BE6C4B">
      <w:pPr>
        <w:pStyle w:val="ListParagraph"/>
        <w:numPr>
          <w:ilvl w:val="0"/>
          <w:numId w:val="29"/>
        </w:numPr>
        <w:ind w:left="709" w:hanging="283"/>
        <w:contextualSpacing w:val="0"/>
        <w:jc w:val="both"/>
      </w:pPr>
      <w:r w:rsidRPr="004D3209">
        <w:rPr>
          <w:b/>
          <w:color w:val="00859B"/>
        </w:rPr>
        <w:t>Nevienlīdzības mazināšanai atbalsts</w:t>
      </w:r>
      <w:r w:rsidRPr="004D3209">
        <w:rPr>
          <w:b/>
          <w:bCs/>
          <w:color w:val="00859B"/>
        </w:rPr>
        <w:t xml:space="preserve"> i</w:t>
      </w:r>
      <w:r w:rsidR="003A5F83" w:rsidRPr="004D3209">
        <w:rPr>
          <w:b/>
          <w:bCs/>
          <w:color w:val="00859B"/>
        </w:rPr>
        <w:t>ndustriālie</w:t>
      </w:r>
      <w:r w:rsidRPr="004D3209">
        <w:rPr>
          <w:b/>
          <w:bCs/>
          <w:color w:val="00859B"/>
        </w:rPr>
        <w:t>m</w:t>
      </w:r>
      <w:r w:rsidR="003A5F83" w:rsidRPr="004D3209">
        <w:rPr>
          <w:b/>
          <w:bCs/>
          <w:color w:val="00859B"/>
        </w:rPr>
        <w:t xml:space="preserve"> parki</w:t>
      </w:r>
      <w:r w:rsidRPr="004D3209">
        <w:rPr>
          <w:b/>
          <w:bCs/>
          <w:color w:val="00859B"/>
        </w:rPr>
        <w:t>em</w:t>
      </w:r>
      <w:r w:rsidR="00FD79CC">
        <w:rPr>
          <w:b/>
          <w:bCs/>
          <w:color w:val="00859B"/>
        </w:rPr>
        <w:t xml:space="preserve"> </w:t>
      </w:r>
      <w:r w:rsidR="003A5F83" w:rsidRPr="004D3209">
        <w:t>(80</w:t>
      </w:r>
      <w:r>
        <w:t> </w:t>
      </w:r>
      <w:r w:rsidR="003A5F83" w:rsidRPr="004D3209">
        <w:t>milj.</w:t>
      </w:r>
      <w:r>
        <w:t> </w:t>
      </w:r>
      <w:r w:rsidRPr="004D3209">
        <w:rPr>
          <w:i/>
          <w:iCs/>
        </w:rPr>
        <w:t>euro</w:t>
      </w:r>
      <w:r w:rsidR="003A5F83" w:rsidRPr="004D3209">
        <w:t>)</w:t>
      </w:r>
      <w:r w:rsidR="005607B7">
        <w:t xml:space="preserve">, paredzot </w:t>
      </w:r>
      <w:r w:rsidR="003A5F83" w:rsidRPr="004D3209">
        <w:t>attīst</w:t>
      </w:r>
      <w:r w:rsidR="005607B7">
        <w:t>ī</w:t>
      </w:r>
      <w:r w:rsidR="003A5F83" w:rsidRPr="004D3209">
        <w:t>t industriālās zonas reģionos, kas radīs privātās investīcijas, palielinot reģionu IKP un veicinot reģionu līdzsvarotu attīstību, kā arī radot darba vietas ar augstu pievienoto vērtību.</w:t>
      </w:r>
    </w:p>
    <w:p w14:paraId="023B130D" w14:textId="136561E0" w:rsidR="003A5F83" w:rsidRDefault="003A5F83" w:rsidP="00BE6C4B">
      <w:pPr>
        <w:pStyle w:val="ListParagraph"/>
        <w:numPr>
          <w:ilvl w:val="0"/>
          <w:numId w:val="29"/>
        </w:numPr>
        <w:ind w:left="709" w:hanging="283"/>
        <w:contextualSpacing w:val="0"/>
        <w:jc w:val="both"/>
      </w:pPr>
      <w:r w:rsidRPr="005607B7">
        <w:rPr>
          <w:b/>
          <w:color w:val="00859B"/>
        </w:rPr>
        <w:t>Klimata pārmaiņ</w:t>
      </w:r>
      <w:r w:rsidR="005607B7" w:rsidRPr="005607B7">
        <w:rPr>
          <w:b/>
          <w:color w:val="00859B"/>
        </w:rPr>
        <w:t>ām</w:t>
      </w:r>
      <w:r w:rsidRPr="005607B7">
        <w:rPr>
          <w:b/>
          <w:color w:val="00859B"/>
        </w:rPr>
        <w:t xml:space="preserve"> un vides ilgtspēja</w:t>
      </w:r>
      <w:r w:rsidR="004D3209" w:rsidRPr="005607B7">
        <w:rPr>
          <w:b/>
          <w:color w:val="00859B"/>
        </w:rPr>
        <w:t>i</w:t>
      </w:r>
      <w:r w:rsidR="005607B7" w:rsidRPr="005607B7">
        <w:rPr>
          <w:b/>
          <w:color w:val="00859B"/>
        </w:rPr>
        <w:t xml:space="preserve"> -</w:t>
      </w:r>
      <w:r w:rsidR="004D3209" w:rsidRPr="005607B7">
        <w:rPr>
          <w:b/>
          <w:color w:val="00859B"/>
        </w:rPr>
        <w:t xml:space="preserve"> atbalst</w:t>
      </w:r>
      <w:r w:rsidR="003F7D43" w:rsidRPr="005607B7">
        <w:rPr>
          <w:b/>
          <w:color w:val="00859B"/>
        </w:rPr>
        <w:t xml:space="preserve">s </w:t>
      </w:r>
      <w:r w:rsidR="004D3209" w:rsidRPr="005607B7">
        <w:rPr>
          <w:b/>
          <w:bCs/>
          <w:color w:val="00859B"/>
        </w:rPr>
        <w:t>e</w:t>
      </w:r>
      <w:r w:rsidRPr="005607B7">
        <w:rPr>
          <w:b/>
          <w:bCs/>
          <w:color w:val="00859B"/>
        </w:rPr>
        <w:t>nergoefektivitātes paaugstināšan</w:t>
      </w:r>
      <w:r w:rsidR="003F7D43" w:rsidRPr="005607B7">
        <w:rPr>
          <w:b/>
          <w:bCs/>
          <w:color w:val="00859B"/>
        </w:rPr>
        <w:t>ai</w:t>
      </w:r>
      <w:r w:rsidRPr="005607B7">
        <w:rPr>
          <w:b/>
          <w:bCs/>
          <w:color w:val="00859B"/>
        </w:rPr>
        <w:t xml:space="preserve"> uzņēmējdarbībā </w:t>
      </w:r>
      <w:r w:rsidRPr="005607B7">
        <w:t>(80</w:t>
      </w:r>
      <w:r w:rsidR="003F7D43" w:rsidRPr="005607B7">
        <w:t>,</w:t>
      </w:r>
      <w:r w:rsidRPr="005607B7">
        <w:t>6</w:t>
      </w:r>
      <w:r w:rsidR="003F7D43" w:rsidRPr="005607B7">
        <w:t> </w:t>
      </w:r>
      <w:r w:rsidRPr="005607B7">
        <w:t>milj.</w:t>
      </w:r>
      <w:r w:rsidR="003F7D43" w:rsidRPr="005607B7">
        <w:t> </w:t>
      </w:r>
      <w:r w:rsidR="003F7D43" w:rsidRPr="005607B7">
        <w:rPr>
          <w:i/>
          <w:iCs/>
        </w:rPr>
        <w:t>euro</w:t>
      </w:r>
      <w:r w:rsidRPr="005607B7">
        <w:t>)</w:t>
      </w:r>
      <w:r w:rsidR="005607B7" w:rsidRPr="005607B7">
        <w:t>,</w:t>
      </w:r>
      <w:r w:rsidRPr="005607B7">
        <w:t xml:space="preserve"> lai stimulētu saimnieciskās darbības veicējus pārskatīt līdzšinējos darbības procesus un tehnoloģiju izmantošanu un virzīties uz ilgtspējīgas saimniekošanas modeļiem, investīcijas ietvaros plānots izveidot finanšu instrumentu programmu uzņēmējdarbības energoefektivitātes pasākumiem un AER ieviešanai ar granta elementu kapitāla atlaides veidā. Šai aktivitātei paredzēts finansējums </w:t>
      </w:r>
      <w:r w:rsidR="005607B7" w:rsidRPr="005607B7">
        <w:t xml:space="preserve">44.06 milj. </w:t>
      </w:r>
      <w:r w:rsidR="005607B7" w:rsidRPr="005607B7">
        <w:rPr>
          <w:i/>
          <w:iCs/>
        </w:rPr>
        <w:t>euro</w:t>
      </w:r>
      <w:r w:rsidR="005607B7" w:rsidRPr="005607B7">
        <w:t xml:space="preserve"> apmērā </w:t>
      </w:r>
      <w:r w:rsidRPr="005607B7">
        <w:t xml:space="preserve">arī </w:t>
      </w:r>
      <w:r w:rsidRPr="005607B7">
        <w:rPr>
          <w:i/>
          <w:iCs/>
        </w:rPr>
        <w:t xml:space="preserve">Taisnīgas pārkārtošanas fonda </w:t>
      </w:r>
      <w:r w:rsidRPr="005607B7">
        <w:t>ietvaros.</w:t>
      </w:r>
    </w:p>
    <w:p w14:paraId="33687E41" w14:textId="4D2C46B2" w:rsidR="00314D7A" w:rsidRPr="005607B7" w:rsidRDefault="00314D7A" w:rsidP="00314D7A">
      <w:pPr>
        <w:spacing w:before="60" w:after="60" w:line="240" w:lineRule="auto"/>
        <w:jc w:val="both"/>
      </w:pPr>
      <w:r>
        <w:rPr>
          <w:rFonts w:cs="Times New Roman"/>
          <w:szCs w:val="24"/>
        </w:rPr>
        <w:t>Paredzēts</w:t>
      </w:r>
      <w:r w:rsidRPr="009C1141">
        <w:rPr>
          <w:rFonts w:cs="Times New Roman"/>
          <w:szCs w:val="24"/>
        </w:rPr>
        <w:t xml:space="preserve"> turpināt darb</w:t>
      </w:r>
      <w:r>
        <w:rPr>
          <w:rFonts w:cs="Times New Roman"/>
          <w:szCs w:val="24"/>
        </w:rPr>
        <w:t>u</w:t>
      </w:r>
      <w:r w:rsidRPr="009C1141">
        <w:rPr>
          <w:rFonts w:cs="Times New Roman"/>
          <w:szCs w:val="24"/>
        </w:rPr>
        <w:t xml:space="preserve"> </w:t>
      </w:r>
      <w:r>
        <w:rPr>
          <w:rFonts w:cs="Times New Roman"/>
          <w:szCs w:val="24"/>
        </w:rPr>
        <w:t xml:space="preserve">arī </w:t>
      </w:r>
      <w:r w:rsidRPr="009C1141">
        <w:rPr>
          <w:rFonts w:cs="Times New Roman"/>
          <w:szCs w:val="24"/>
        </w:rPr>
        <w:t>pie Norvēģijas finanšu instrumenta (NFI) 2014.-2021.</w:t>
      </w:r>
      <w:r>
        <w:rPr>
          <w:rFonts w:cs="Times New Roman"/>
          <w:szCs w:val="24"/>
        </w:rPr>
        <w:t> </w:t>
      </w:r>
      <w:r w:rsidRPr="009C1141">
        <w:rPr>
          <w:rFonts w:cs="Times New Roman"/>
          <w:szCs w:val="24"/>
        </w:rPr>
        <w:t xml:space="preserve">gadu plānošanas perioda programmas </w:t>
      </w:r>
      <w:r w:rsidRPr="009C1141">
        <w:rPr>
          <w:rFonts w:cs="Times New Roman"/>
          <w:i/>
          <w:iCs/>
          <w:szCs w:val="24"/>
        </w:rPr>
        <w:t>Uzņēmējdarbības attīstība, inovācijas un mazie un vidējie uzņēmumi</w:t>
      </w:r>
      <w:r w:rsidRPr="009C1141">
        <w:rPr>
          <w:rFonts w:cs="Times New Roman"/>
          <w:szCs w:val="24"/>
        </w:rPr>
        <w:t xml:space="preserve"> ieviešanas. Programmas ietvaros uzņēmumiem </w:t>
      </w:r>
      <w:r>
        <w:rPr>
          <w:rFonts w:cs="Times New Roman"/>
          <w:szCs w:val="24"/>
        </w:rPr>
        <w:t xml:space="preserve">tiks nodrošināts pieejams </w:t>
      </w:r>
      <w:r w:rsidRPr="009C1141">
        <w:rPr>
          <w:rFonts w:cs="Times New Roman"/>
          <w:szCs w:val="24"/>
        </w:rPr>
        <w:t>atbalsts jaunu, inovatīvu produktu un tehnoloģiju izstrādei un ieviešanai, kas sniedz ieguldījumu IKT, “zaļo” tehnoloģiju, kā arī sabiedrību iekļaujošu risinājumu attīstībā. Programmas visu aktivitāšu kopējais finansējums ir 14,7</w:t>
      </w:r>
      <w:r>
        <w:rPr>
          <w:rFonts w:cs="Times New Roman"/>
          <w:szCs w:val="24"/>
        </w:rPr>
        <w:t> </w:t>
      </w:r>
      <w:r w:rsidRPr="009C1141">
        <w:rPr>
          <w:rFonts w:cs="Times New Roman"/>
          <w:szCs w:val="24"/>
        </w:rPr>
        <w:t>milj.</w:t>
      </w:r>
      <w:r>
        <w:rPr>
          <w:rFonts w:cs="Times New Roman"/>
          <w:szCs w:val="24"/>
        </w:rPr>
        <w:t> </w:t>
      </w:r>
      <w:r w:rsidRPr="005A51D7">
        <w:rPr>
          <w:rFonts w:cs="Times New Roman"/>
          <w:i/>
          <w:iCs/>
          <w:szCs w:val="24"/>
        </w:rPr>
        <w:t>euro</w:t>
      </w:r>
      <w:r>
        <w:rPr>
          <w:rFonts w:cs="Times New Roman"/>
          <w:szCs w:val="24"/>
        </w:rPr>
        <w:t xml:space="preserve"> apmērā un to</w:t>
      </w:r>
      <w:r w:rsidRPr="009C1141">
        <w:rPr>
          <w:rFonts w:cs="Times New Roman"/>
          <w:szCs w:val="24"/>
        </w:rPr>
        <w:t xml:space="preserve"> paredzēts īstenot līdz 2024.</w:t>
      </w:r>
      <w:r>
        <w:rPr>
          <w:rFonts w:cs="Times New Roman"/>
          <w:szCs w:val="24"/>
        </w:rPr>
        <w:t> </w:t>
      </w:r>
      <w:r w:rsidRPr="009C1141">
        <w:rPr>
          <w:rFonts w:cs="Times New Roman"/>
          <w:szCs w:val="24"/>
        </w:rPr>
        <w:t>gada 30.</w:t>
      </w:r>
      <w:r>
        <w:rPr>
          <w:rFonts w:cs="Times New Roman"/>
          <w:szCs w:val="24"/>
        </w:rPr>
        <w:t> </w:t>
      </w:r>
      <w:r w:rsidRPr="009C1141">
        <w:rPr>
          <w:rFonts w:cs="Times New Roman"/>
          <w:szCs w:val="24"/>
        </w:rPr>
        <w:t>aprīlim.</w:t>
      </w:r>
    </w:p>
    <w:p w14:paraId="2F567872" w14:textId="77777777" w:rsidR="007C7CFD" w:rsidRPr="007C7CFD" w:rsidRDefault="007C7CFD" w:rsidP="00BE6C4B">
      <w:pPr>
        <w:pStyle w:val="ListParagraph"/>
        <w:numPr>
          <w:ilvl w:val="0"/>
          <w:numId w:val="22"/>
        </w:numPr>
        <w:tabs>
          <w:tab w:val="left" w:pos="567"/>
        </w:tabs>
        <w:spacing w:before="120" w:after="60"/>
        <w:ind w:left="0" w:firstLine="0"/>
        <w:contextualSpacing w:val="0"/>
        <w:jc w:val="both"/>
        <w:rPr>
          <w:b/>
          <w:bCs/>
        </w:rPr>
      </w:pPr>
      <w:r w:rsidRPr="007C7CFD">
        <w:rPr>
          <w:b/>
          <w:bCs/>
          <w:color w:val="00859B"/>
        </w:rPr>
        <w:t>Atbalsta programmas izstrāde pieejamu īres māju būvniecībai</w:t>
      </w:r>
    </w:p>
    <w:p w14:paraId="23577307" w14:textId="77777777" w:rsidR="00A72B2A" w:rsidRPr="00A72B2A" w:rsidRDefault="00A72B2A" w:rsidP="00A72B2A">
      <w:pPr>
        <w:spacing w:before="60" w:after="60" w:line="240" w:lineRule="auto"/>
        <w:jc w:val="both"/>
      </w:pPr>
      <w:r w:rsidRPr="00A72B2A">
        <w:t>2021.</w:t>
      </w:r>
      <w:r w:rsidR="003A5F83">
        <w:t> </w:t>
      </w:r>
      <w:r w:rsidRPr="00A72B2A">
        <w:t xml:space="preserve">gadā viena no </w:t>
      </w:r>
      <w:r>
        <w:t>EM</w:t>
      </w:r>
      <w:r w:rsidRPr="00A72B2A">
        <w:t xml:space="preserve"> prioritātēm ir atbalsta programmas zemu izmaksu īres mājokļu būvniecībai Ministru kabineta noteikumu izstrāde un saskaņošana. Atbalsta programmas īstenošanai ir piesaistīts finansējums 42,9</w:t>
      </w:r>
      <w:r w:rsidR="002604D6">
        <w:t> </w:t>
      </w:r>
      <w:r w:rsidRPr="00A72B2A">
        <w:t>milj</w:t>
      </w:r>
      <w:r w:rsidR="0028740F">
        <w:t>.</w:t>
      </w:r>
      <w:r w:rsidR="002604D6">
        <w:t> </w:t>
      </w:r>
      <w:r w:rsidR="0028740F" w:rsidRPr="0028740F">
        <w:rPr>
          <w:i/>
          <w:iCs/>
        </w:rPr>
        <w:t>euro</w:t>
      </w:r>
      <w:r w:rsidRPr="00A72B2A">
        <w:t xml:space="preserve"> apmērā Atveseļošanās un noturības mehānisma </w:t>
      </w:r>
      <w:r>
        <w:t xml:space="preserve">(ANM) </w:t>
      </w:r>
      <w:r w:rsidRPr="00A72B2A">
        <w:t xml:space="preserve">plāna ietvaros. Plānotās atbalsta programmas ietvaros paredzēts uzbūvēt vismaz 700 zemas īres maksas dzīvokļus. Paralēli, lai nodrošinātu ilgtermiņa risinājumu mājokļu pieejamības nodrošināšanai, uzsākts darbs pie ilgtermiņa mājokļu pieejamības fonda regulējuma un mehānisma izveides. </w:t>
      </w:r>
    </w:p>
    <w:p w14:paraId="6CE49434" w14:textId="77777777" w:rsidR="007C7CFD" w:rsidRPr="007C7CFD" w:rsidRDefault="007C7CFD" w:rsidP="00BE6C4B">
      <w:pPr>
        <w:pStyle w:val="ListParagraph"/>
        <w:numPr>
          <w:ilvl w:val="0"/>
          <w:numId w:val="22"/>
        </w:numPr>
        <w:tabs>
          <w:tab w:val="left" w:pos="567"/>
        </w:tabs>
        <w:spacing w:before="120" w:after="60"/>
        <w:ind w:left="0" w:firstLine="0"/>
        <w:contextualSpacing w:val="0"/>
        <w:jc w:val="both"/>
        <w:rPr>
          <w:b/>
          <w:bCs/>
        </w:rPr>
      </w:pPr>
      <w:r w:rsidRPr="007C7CFD">
        <w:rPr>
          <w:b/>
          <w:bCs/>
          <w:color w:val="00859B"/>
        </w:rPr>
        <w:t>Inovācijas iepirkuma veicināšana videi un klimatam draudzīgu risinājumu attīstībai un vietējo uzņēmumu atbalstam</w:t>
      </w:r>
    </w:p>
    <w:p w14:paraId="181685BB" w14:textId="77777777" w:rsidR="007C7CFD" w:rsidRDefault="005624C1" w:rsidP="005624C1">
      <w:pPr>
        <w:pStyle w:val="ListParagraph"/>
        <w:tabs>
          <w:tab w:val="left" w:pos="567"/>
        </w:tabs>
        <w:spacing w:before="60" w:after="60"/>
        <w:ind w:left="0"/>
        <w:contextualSpacing w:val="0"/>
        <w:jc w:val="both"/>
      </w:pPr>
      <w:r w:rsidRPr="00BD5C6D">
        <w:rPr>
          <w:rFonts w:cstheme="minorHAnsi"/>
        </w:rPr>
        <w:t>2021.</w:t>
      </w:r>
      <w:r>
        <w:rPr>
          <w:rFonts w:cstheme="minorHAnsi"/>
        </w:rPr>
        <w:t> </w:t>
      </w:r>
      <w:r w:rsidRPr="00BD5C6D">
        <w:rPr>
          <w:rFonts w:cstheme="minorHAnsi"/>
        </w:rPr>
        <w:t xml:space="preserve">gadā plānots pabeigt vadlīnijas inovācijas iepirkuma īstenošanai, lai veicinātu publiskā sektora pārstāvju izpratni par inovāciju iepirkuma īstenošanu un tā sniegtajām iespējām. </w:t>
      </w:r>
      <w:r w:rsidR="005E237B">
        <w:rPr>
          <w:rFonts w:cstheme="minorHAnsi"/>
        </w:rPr>
        <w:t>P</w:t>
      </w:r>
      <w:r w:rsidRPr="00BD5C6D">
        <w:rPr>
          <w:rFonts w:cstheme="minorHAnsi"/>
        </w:rPr>
        <w:t xml:space="preserve">lānots turpināt </w:t>
      </w:r>
      <w:r w:rsidR="005E237B">
        <w:rPr>
          <w:rFonts w:cstheme="minorHAnsi"/>
        </w:rPr>
        <w:t xml:space="preserve">arī </w:t>
      </w:r>
      <w:r w:rsidRPr="00BD5C6D">
        <w:rPr>
          <w:rFonts w:cstheme="minorHAnsi"/>
        </w:rPr>
        <w:t>informatīvās aktivitātes (zi</w:t>
      </w:r>
      <w:r>
        <w:rPr>
          <w:rFonts w:cstheme="minorHAnsi"/>
        </w:rPr>
        <w:t>ņ</w:t>
      </w:r>
      <w:r w:rsidRPr="00BD5C6D">
        <w:rPr>
          <w:rFonts w:cstheme="minorHAnsi"/>
        </w:rPr>
        <w:t>u vēstules, seminār</w:t>
      </w:r>
      <w:r w:rsidR="005E237B">
        <w:rPr>
          <w:rFonts w:cstheme="minorHAnsi"/>
        </w:rPr>
        <w:t>us</w:t>
      </w:r>
      <w:r w:rsidRPr="00BD5C6D">
        <w:rPr>
          <w:rFonts w:cstheme="minorHAnsi"/>
        </w:rPr>
        <w:t xml:space="preserve"> u.tml.),</w:t>
      </w:r>
      <w:r>
        <w:rPr>
          <w:rFonts w:cstheme="minorHAnsi"/>
        </w:rPr>
        <w:t xml:space="preserve"> kā arī</w:t>
      </w:r>
      <w:r w:rsidRPr="00BD5C6D">
        <w:rPr>
          <w:rFonts w:cstheme="minorHAnsi"/>
        </w:rPr>
        <w:t xml:space="preserve"> izstrādāt saturu apmācību lekcij</w:t>
      </w:r>
      <w:r>
        <w:rPr>
          <w:rFonts w:cstheme="minorHAnsi"/>
        </w:rPr>
        <w:t>ām un konceptu apbalvojuma ieviešanai veiksmīgākajiem inovāciju iepirkumu īstenotājiem.</w:t>
      </w:r>
    </w:p>
    <w:p w14:paraId="33150DB5" w14:textId="5611AA43" w:rsidR="005E4124" w:rsidRDefault="005E4124" w:rsidP="005624C1">
      <w:pPr>
        <w:spacing w:before="60" w:after="60" w:line="240" w:lineRule="auto"/>
        <w:jc w:val="both"/>
        <w:rPr>
          <w:szCs w:val="24"/>
        </w:rPr>
      </w:pPr>
      <w:r w:rsidRPr="00DC783B">
        <w:rPr>
          <w:szCs w:val="24"/>
        </w:rPr>
        <w:t>2021.</w:t>
      </w:r>
      <w:r w:rsidR="005E237B" w:rsidRPr="00DC783B">
        <w:rPr>
          <w:szCs w:val="24"/>
        </w:rPr>
        <w:t> </w:t>
      </w:r>
      <w:r w:rsidRPr="00DC783B">
        <w:rPr>
          <w:szCs w:val="24"/>
        </w:rPr>
        <w:t xml:space="preserve">gadā paredzēts turpināt un uzsākt pasākumus, kas vērsti uz </w:t>
      </w:r>
      <w:r w:rsidR="005E237B" w:rsidRPr="00DC783B">
        <w:rPr>
          <w:b/>
          <w:bCs/>
          <w:color w:val="00859B"/>
          <w:szCs w:val="24"/>
        </w:rPr>
        <w:t>privātā sektora (</w:t>
      </w:r>
      <w:r w:rsidRPr="00DC783B">
        <w:rPr>
          <w:b/>
          <w:bCs/>
          <w:color w:val="00859B"/>
          <w:szCs w:val="24"/>
        </w:rPr>
        <w:t>uzņēmumu</w:t>
      </w:r>
      <w:r w:rsidR="005E237B" w:rsidRPr="00DC783B">
        <w:rPr>
          <w:b/>
          <w:bCs/>
          <w:color w:val="00859B"/>
          <w:szCs w:val="24"/>
        </w:rPr>
        <w:t>)</w:t>
      </w:r>
      <w:r w:rsidRPr="00DC783B">
        <w:rPr>
          <w:b/>
          <w:bCs/>
          <w:color w:val="00859B"/>
          <w:szCs w:val="24"/>
        </w:rPr>
        <w:t xml:space="preserve"> investīciju palielināšanu P&amp;A un inovācijās</w:t>
      </w:r>
      <w:r w:rsidR="005E237B" w:rsidRPr="00DC783B">
        <w:rPr>
          <w:b/>
          <w:bCs/>
          <w:color w:val="00859B"/>
          <w:szCs w:val="24"/>
        </w:rPr>
        <w:t xml:space="preserve"> sekmēšanu</w:t>
      </w:r>
      <w:r w:rsidRPr="00DC783B">
        <w:rPr>
          <w:szCs w:val="24"/>
        </w:rPr>
        <w:t>, kā arī šo investīciju labāku uzskaiti statistikā. Nozīmīgu ieguldījumu uzņēmumu P&amp;A investīciju sekmēšanā paredzēts nodrošināt ar inovāciju un digitalizācijas valsts atbalsta programmu izstrādi, kas paredzēs uzņēmumu līdzfinansējumu inovāciju un digitalizācijas projektu īstenošanai. Paredzēts turpināt informēt uzņēmumus par P&amp;A un inovāciju nozīmi konkurētspējas priekšrocību radīšanā, kā arī informēt par P&amp;A datu uzskaites aktualitāti un nepieciešamību gan uzņēmumiem, gan kopējās Latvijas P&amp;A statistikas uzlabošanai. 2021.</w:t>
      </w:r>
      <w:r w:rsidR="00DC783B" w:rsidRPr="00DC783B">
        <w:rPr>
          <w:szCs w:val="24"/>
        </w:rPr>
        <w:t> </w:t>
      </w:r>
      <w:r w:rsidRPr="00DC783B">
        <w:rPr>
          <w:szCs w:val="24"/>
        </w:rPr>
        <w:t>gadā paredzēts vienoties par uzlabotu inovāciju institucionālās pārvaldības modeli,</w:t>
      </w:r>
      <w:r w:rsidR="00A05D53">
        <w:rPr>
          <w:szCs w:val="24"/>
        </w:rPr>
        <w:t xml:space="preserve"> </w:t>
      </w:r>
      <w:r w:rsidRPr="00DC783B">
        <w:rPr>
          <w:szCs w:val="24"/>
        </w:rPr>
        <w:t xml:space="preserve">kas atbild par inovāciju, zinātnes un pētniecības politikas izstrādi un praktisku </w:t>
      </w:r>
      <w:r w:rsidRPr="00DC783B">
        <w:rPr>
          <w:szCs w:val="24"/>
        </w:rPr>
        <w:lastRenderedPageBreak/>
        <w:t xml:space="preserve">ieviešanu, </w:t>
      </w:r>
      <w:r w:rsidR="00DC783B" w:rsidRPr="00DC783B">
        <w:rPr>
          <w:szCs w:val="24"/>
        </w:rPr>
        <w:t xml:space="preserve">veidojot labāku sadarbību starp institūcijām, </w:t>
      </w:r>
      <w:r w:rsidRPr="00DC783B">
        <w:rPr>
          <w:szCs w:val="24"/>
        </w:rPr>
        <w:t>cita starpā, rad</w:t>
      </w:r>
      <w:r w:rsidR="00DC783B" w:rsidRPr="00DC783B">
        <w:rPr>
          <w:szCs w:val="24"/>
        </w:rPr>
        <w:t>o</w:t>
      </w:r>
      <w:r w:rsidRPr="00DC783B">
        <w:rPr>
          <w:szCs w:val="24"/>
        </w:rPr>
        <w:t>t priekšnosacījumus kopējo investīciju P&amp;A pieaugumam.</w:t>
      </w:r>
    </w:p>
    <w:p w14:paraId="49BBAA20" w14:textId="77777777" w:rsidR="007C7CFD" w:rsidRPr="00B35182" w:rsidRDefault="007C7CFD" w:rsidP="00BE6C4B">
      <w:pPr>
        <w:pStyle w:val="ListParagraph"/>
        <w:numPr>
          <w:ilvl w:val="0"/>
          <w:numId w:val="22"/>
        </w:numPr>
        <w:tabs>
          <w:tab w:val="left" w:pos="567"/>
        </w:tabs>
        <w:spacing w:before="120" w:after="60"/>
        <w:ind w:left="0" w:firstLine="0"/>
        <w:contextualSpacing w:val="0"/>
        <w:jc w:val="both"/>
        <w:rPr>
          <w:b/>
          <w:bCs/>
        </w:rPr>
      </w:pPr>
      <w:r w:rsidRPr="00B35182">
        <w:rPr>
          <w:b/>
          <w:bCs/>
          <w:color w:val="00859B"/>
        </w:rPr>
        <w:t>OIK izmaksu sloga mazināšana un atbalsta sistēmas normatīvā regulējuma reformas noslēgšana</w:t>
      </w:r>
    </w:p>
    <w:p w14:paraId="3F7A7181" w14:textId="77777777" w:rsidR="007C7CFD" w:rsidRPr="0028740F" w:rsidRDefault="0028740F" w:rsidP="0028740F">
      <w:pPr>
        <w:pStyle w:val="ListParagraph"/>
        <w:tabs>
          <w:tab w:val="left" w:pos="567"/>
        </w:tabs>
        <w:spacing w:before="60" w:after="60"/>
        <w:ind w:left="0"/>
        <w:contextualSpacing w:val="0"/>
        <w:jc w:val="both"/>
      </w:pPr>
      <w:r w:rsidRPr="0028740F">
        <w:t>Elektroenerģijas OIK jomā 2021. gadā plānots noslēgt darbu pie grozījumiem OI regulējumā, tādējādi pabeidzot visaptverošo OI sistēmas regulējuma sakārtošanas procesu. Līdz ar grozījumiem MK noteikumu līmenī tiks nostiprināts elektrostaciju vienotā tehnoloģiskā cikla princips, aktualizēta elektrostaciju pārkompensācijas novēršanas (IRR) metodika, stiprināts enerģijas ražotāju uzraudzības mehānisms, noteikta kārtība kopējā valsts atbalsta perioda ierobežošanai, kā arī lielākā detalizācijas pakāpē kā līdz šim precizēta atbalsta saņēmēju atbildība par noteikumu izpildi.</w:t>
      </w:r>
    </w:p>
    <w:p w14:paraId="57614092" w14:textId="77777777" w:rsidR="005B74B4" w:rsidRPr="00B35182" w:rsidRDefault="007C7CFD" w:rsidP="00BE6C4B">
      <w:pPr>
        <w:pStyle w:val="ListParagraph"/>
        <w:numPr>
          <w:ilvl w:val="0"/>
          <w:numId w:val="22"/>
        </w:numPr>
        <w:tabs>
          <w:tab w:val="left" w:pos="567"/>
        </w:tabs>
        <w:spacing w:before="120" w:after="60"/>
        <w:ind w:left="0" w:firstLine="0"/>
        <w:contextualSpacing w:val="0"/>
        <w:jc w:val="both"/>
        <w:rPr>
          <w:rFonts w:eastAsia="Calibri"/>
          <w:b/>
          <w:bCs/>
        </w:rPr>
      </w:pPr>
      <w:r w:rsidRPr="00B35182">
        <w:rPr>
          <w:b/>
          <w:bCs/>
          <w:color w:val="00859B"/>
        </w:rPr>
        <w:t>Neto sistēmas elektroenerģijas pašpatērētājiem paplašināšana un pilnveide</w:t>
      </w:r>
    </w:p>
    <w:p w14:paraId="48F711A8" w14:textId="0ECA67C8" w:rsidR="005B74B4" w:rsidRDefault="0028740F" w:rsidP="00627C09">
      <w:pPr>
        <w:pStyle w:val="ListParagraph"/>
        <w:spacing w:before="20" w:after="20"/>
        <w:ind w:left="0"/>
        <w:contextualSpacing w:val="0"/>
        <w:jc w:val="both"/>
        <w:rPr>
          <w:rFonts w:eastAsia="Calibri"/>
          <w:highlight w:val="yellow"/>
        </w:rPr>
      </w:pPr>
      <w:r>
        <w:t xml:space="preserve">Turpinot elektroenerģijas neto sistēmas pilnveidi, EM </w:t>
      </w:r>
      <w:r w:rsidRPr="005624C1">
        <w:t xml:space="preserve">atbilstoši </w:t>
      </w:r>
      <w:r w:rsidR="005624C1" w:rsidRPr="005624C1">
        <w:t xml:space="preserve">NEKP </w:t>
      </w:r>
      <w:r w:rsidRPr="005624C1">
        <w:t xml:space="preserve">2021.-2030.gadam noteiktajam </w:t>
      </w:r>
      <w:r>
        <w:t>rīcības virzienam “</w:t>
      </w:r>
      <w:r w:rsidRPr="008063E2">
        <w:t xml:space="preserve">Ekonomiski pamatotas enerģijas pašražošanas, pašpatēriņa un </w:t>
      </w:r>
      <w:r>
        <w:t xml:space="preserve">atjaunojamās enerģijas </w:t>
      </w:r>
      <w:r w:rsidRPr="008063E2">
        <w:t>kopienu veicināšana</w:t>
      </w:r>
      <w:r>
        <w:t xml:space="preserve">” </w:t>
      </w:r>
      <w:r w:rsidR="005624C1">
        <w:t xml:space="preserve">paredzēts </w:t>
      </w:r>
      <w:r>
        <w:t>izstrādā</w:t>
      </w:r>
      <w:r w:rsidR="005624C1">
        <w:t>t</w:t>
      </w:r>
      <w:r w:rsidR="00A05D53">
        <w:t xml:space="preserve"> </w:t>
      </w:r>
      <w:r w:rsidRPr="005624C1">
        <w:rPr>
          <w:b/>
          <w:bCs/>
          <w:color w:val="00859B"/>
        </w:rPr>
        <w:t xml:space="preserve">grozījumus </w:t>
      </w:r>
      <w:r w:rsidRPr="005624C1">
        <w:rPr>
          <w:b/>
          <w:bCs/>
          <w:i/>
          <w:iCs/>
          <w:color w:val="00859B"/>
        </w:rPr>
        <w:t>Elektroenerģijas tirgus likumā</w:t>
      </w:r>
      <w:r>
        <w:t xml:space="preserve">, kuru mērķis ir visaptveroša esošās neto sistēmas atjaunināšana un modernizācija, tostarp ņemot vērā aktuālās tendences atjaunojamās enerģijas ražošanas nozarē, kā arī citu valstu pieredzi. Grozījumu projekts cita starpā paredz sistēmu paplašināt, sniedzot iespēju tajā piedalīties arī juridiskajiem pašpatērētājiem. Kā būtisku jauninājumu </w:t>
      </w:r>
      <w:r w:rsidR="00EC287F">
        <w:t>EM</w:t>
      </w:r>
      <w:r>
        <w:t xml:space="preserve"> piedāvā ieviest t.s</w:t>
      </w:r>
      <w:r w:rsidR="00A05D53">
        <w:t>k</w:t>
      </w:r>
      <w:r>
        <w:t xml:space="preserve">. attālinātā pašpatēriņa iespēju, nosakot, ka </w:t>
      </w:r>
      <w:r>
        <w:rPr>
          <w:color w:val="000000" w:themeColor="text1"/>
        </w:rPr>
        <w:t>vienā lietotāja objektā saražoto elektroenerģiju neto sistēmas ietvaros var izmantot citos lietotāja objektos.</w:t>
      </w:r>
      <w:r w:rsidR="00A05D53">
        <w:rPr>
          <w:color w:val="000000" w:themeColor="text1"/>
        </w:rPr>
        <w:t xml:space="preserve"> </w:t>
      </w:r>
      <w:r>
        <w:t>Paredzēti arī citi uzlabojumi, kam būtu jāsekmē aktīvāka tirgus risinājumu veidošana plašākai šī enerģijas ražošanas veida attīstīšanai.</w:t>
      </w:r>
    </w:p>
    <w:p w14:paraId="496D3418" w14:textId="05FC1929" w:rsidR="0028740F" w:rsidRPr="00F12B18" w:rsidRDefault="0028740F" w:rsidP="005624C1">
      <w:pPr>
        <w:spacing w:before="120" w:after="60" w:line="240" w:lineRule="auto"/>
        <w:jc w:val="both"/>
        <w:rPr>
          <w:szCs w:val="24"/>
        </w:rPr>
      </w:pPr>
      <w:r w:rsidRPr="00F12B18">
        <w:rPr>
          <w:szCs w:val="24"/>
        </w:rPr>
        <w:t xml:space="preserve">Kā viena no </w:t>
      </w:r>
      <w:r w:rsidR="00F12B18">
        <w:rPr>
          <w:szCs w:val="24"/>
        </w:rPr>
        <w:t xml:space="preserve">EM </w:t>
      </w:r>
      <w:r w:rsidRPr="00F12B18">
        <w:rPr>
          <w:szCs w:val="24"/>
        </w:rPr>
        <w:t>2021.</w:t>
      </w:r>
      <w:r w:rsidR="00F12B18">
        <w:rPr>
          <w:szCs w:val="24"/>
        </w:rPr>
        <w:t> </w:t>
      </w:r>
      <w:r w:rsidRPr="00F12B18">
        <w:rPr>
          <w:szCs w:val="24"/>
        </w:rPr>
        <w:t>gada prioritātēm ir jāizceļ</w:t>
      </w:r>
      <w:r w:rsidR="007F744A">
        <w:rPr>
          <w:szCs w:val="24"/>
        </w:rPr>
        <w:t xml:space="preserve"> arī</w:t>
      </w:r>
      <w:r w:rsidR="00A05D53">
        <w:rPr>
          <w:szCs w:val="24"/>
        </w:rPr>
        <w:t xml:space="preserve"> </w:t>
      </w:r>
      <w:r w:rsidRPr="00F12B18">
        <w:rPr>
          <w:b/>
          <w:bCs/>
          <w:color w:val="008080"/>
          <w:szCs w:val="24"/>
        </w:rPr>
        <w:t xml:space="preserve">grozījumi </w:t>
      </w:r>
      <w:r w:rsidRPr="005624C1">
        <w:rPr>
          <w:b/>
          <w:bCs/>
          <w:i/>
          <w:iCs/>
          <w:color w:val="008080"/>
          <w:szCs w:val="24"/>
        </w:rPr>
        <w:t>Enerģētikas likumā</w:t>
      </w:r>
      <w:r w:rsidR="00F12B18">
        <w:rPr>
          <w:szCs w:val="24"/>
        </w:rPr>
        <w:t>, kas</w:t>
      </w:r>
      <w:r w:rsidRPr="00F12B18">
        <w:rPr>
          <w:szCs w:val="24"/>
        </w:rPr>
        <w:t xml:space="preserve"> paredz ievērojamas izmaiņas dažādās enerģētikas jomās un galvenokārt ir vērsts uz AER projektu attīstības veicināšanu, energoefektivitātes stimulēšanu un iedzīvotāju aktīvāku iesaisti enerģijas ražošanā. Ar mērķi atvieglot jaunu enerģijas ražošanas iekārtu ieviešanu, likumprojekts paredz izveidot vienoto kontaktpunktu, kas koordinētu administratīvo atļauju un tehnisko noteikumu saņemšanu līdz enerģijas ražošanas iekārtu nodošanai ekspluatācijā un, elektrostaciju gadījumā, līdz to pieslēgšanai elektrotīklam. Tas nozīmē, ka enerģijas ražošanas iekārtu ieviesējam nebūtu jāvēršas pie vairākām iestādēm, bet nepieciešamās darbības atļauju saņemšanai tiktu veiktas ar vienas iestādes starpniecību, ka</w:t>
      </w:r>
      <w:r w:rsidR="001F10FF">
        <w:rPr>
          <w:szCs w:val="24"/>
        </w:rPr>
        <w:t>s</w:t>
      </w:r>
      <w:r w:rsidRPr="00F12B18">
        <w:rPr>
          <w:szCs w:val="24"/>
        </w:rPr>
        <w:t xml:space="preserve"> nodrošinās kopējo procesa koordināciju un komunikāciju ar iesniedzēju. </w:t>
      </w:r>
      <w:r w:rsidR="00F12B18">
        <w:rPr>
          <w:szCs w:val="24"/>
        </w:rPr>
        <w:t>L</w:t>
      </w:r>
      <w:r w:rsidRPr="00F12B18">
        <w:rPr>
          <w:szCs w:val="24"/>
        </w:rPr>
        <w:t xml:space="preserve">ikumprojektā </w:t>
      </w:r>
      <w:r w:rsidR="00F12B18">
        <w:rPr>
          <w:szCs w:val="24"/>
        </w:rPr>
        <w:t xml:space="preserve">arī </w:t>
      </w:r>
      <w:r w:rsidRPr="00F12B18">
        <w:rPr>
          <w:szCs w:val="24"/>
        </w:rPr>
        <w:t xml:space="preserve">iekļauts priekšlikums biogāzes ražotājiem un sašķidrinātās dabasgāzes (SDG) sistēmas operatoriem sniegt plašākas pieslēguma iespējas, novēršot pastāvošos ierobežojumus. Pašlaik biogāzes ražotājiem un SDG sistēmas operatoriem iespējams pieslēgties tikai dabasgāzes pārvades sistēmai. Līdz ar veiktajiem grozījumiem paredzēts sniegt iespējas pieslēgties arī dabasgāzes sadales sistēmai. </w:t>
      </w:r>
      <w:r w:rsidR="00F12B18">
        <w:rPr>
          <w:szCs w:val="24"/>
        </w:rPr>
        <w:t>SPRK</w:t>
      </w:r>
      <w:r w:rsidRPr="00F12B18">
        <w:rPr>
          <w:szCs w:val="24"/>
        </w:rPr>
        <w:t xml:space="preserve"> savukārt apstiprinās dabasgāzes sadales sistēmas pieslēguma noteikumus, ko biometāna ražotājiem, SDG sistēmu operatoriem un dabasgāzes lietotājiem izstrādājis dabasgāzes sadales sistēmas operators. 2021.</w:t>
      </w:r>
      <w:r w:rsidR="00F12B18">
        <w:rPr>
          <w:szCs w:val="24"/>
        </w:rPr>
        <w:t> </w:t>
      </w:r>
      <w:r w:rsidRPr="00F12B18">
        <w:rPr>
          <w:szCs w:val="24"/>
        </w:rPr>
        <w:t>gad</w:t>
      </w:r>
      <w:r w:rsidR="00835DE3">
        <w:rPr>
          <w:szCs w:val="24"/>
        </w:rPr>
        <w:t xml:space="preserve">ā EM </w:t>
      </w:r>
      <w:r w:rsidRPr="00F12B18">
        <w:rPr>
          <w:szCs w:val="24"/>
        </w:rPr>
        <w:t>turpinās darb</w:t>
      </w:r>
      <w:r w:rsidR="00835DE3">
        <w:rPr>
          <w:szCs w:val="24"/>
        </w:rPr>
        <w:t>u</w:t>
      </w:r>
      <w:r w:rsidRPr="00F12B18">
        <w:rPr>
          <w:szCs w:val="24"/>
        </w:rPr>
        <w:t xml:space="preserve">, meklējot efektīvākos risinājumus, lai nodrošinātu vienlīdzīgus nosacījumus attiecībā uz pieslēguma iespējām decentralizētos tīklos, kā arī, lai nodrošinātu, ka biogāze, ūdeņradis un cita veida gāzveida kurināmais iegūtu no reģionālā gāzes tirgus pastāvēšanas. </w:t>
      </w:r>
    </w:p>
    <w:p w14:paraId="7D74634B" w14:textId="77777777" w:rsidR="0028740F" w:rsidRPr="00F12B18" w:rsidRDefault="007441A3" w:rsidP="00835DE3">
      <w:pPr>
        <w:spacing w:before="60" w:after="60" w:line="240" w:lineRule="auto"/>
        <w:jc w:val="both"/>
        <w:rPr>
          <w:szCs w:val="24"/>
        </w:rPr>
      </w:pPr>
      <w:r>
        <w:rPr>
          <w:szCs w:val="24"/>
        </w:rPr>
        <w:t>J</w:t>
      </w:r>
      <w:r w:rsidR="0028740F" w:rsidRPr="00F12B18">
        <w:rPr>
          <w:szCs w:val="24"/>
        </w:rPr>
        <w:t xml:space="preserve">āuzsver </w:t>
      </w:r>
      <w:r>
        <w:rPr>
          <w:szCs w:val="24"/>
        </w:rPr>
        <w:t xml:space="preserve">arī plānotie </w:t>
      </w:r>
      <w:r w:rsidR="0028740F" w:rsidRPr="001F10FF">
        <w:rPr>
          <w:b/>
          <w:bCs/>
          <w:color w:val="00859B"/>
          <w:szCs w:val="24"/>
        </w:rPr>
        <w:t xml:space="preserve">grozījumi </w:t>
      </w:r>
      <w:r w:rsidR="0028740F" w:rsidRPr="001F10FF">
        <w:rPr>
          <w:b/>
          <w:bCs/>
          <w:i/>
          <w:iCs/>
          <w:color w:val="00859B"/>
          <w:szCs w:val="24"/>
        </w:rPr>
        <w:t>Elektroenerģijas tirgus likumā</w:t>
      </w:r>
      <w:r w:rsidR="0028740F" w:rsidRPr="00F12B18">
        <w:rPr>
          <w:szCs w:val="24"/>
        </w:rPr>
        <w:t>, ar k</w:t>
      </w:r>
      <w:r w:rsidR="00835DE3">
        <w:rPr>
          <w:szCs w:val="24"/>
        </w:rPr>
        <w:t>o</w:t>
      </w:r>
      <w:r w:rsidR="0028740F" w:rsidRPr="00F12B18">
        <w:rPr>
          <w:szCs w:val="24"/>
        </w:rPr>
        <w:t xml:space="preserve"> tiks paplašinātas iespējas elektroenerģijas ražošanai no AER pašpatēriņam. </w:t>
      </w:r>
      <w:r w:rsidR="00835DE3">
        <w:rPr>
          <w:szCs w:val="24"/>
        </w:rPr>
        <w:t>G</w:t>
      </w:r>
      <w:r w:rsidR="0028740F" w:rsidRPr="00F12B18">
        <w:rPr>
          <w:szCs w:val="24"/>
        </w:rPr>
        <w:t xml:space="preserve">rozījumi paredz jaunu regulējumu attiecībā uz to elektroenerģiju, ko galalietotājs pats saražo savām vajadzībām no AER (saules, vēja u.c.). Šim galalietotājam tiks sniegtas iespējas ražot elektroenerģiju ne tikai objektā, kurā tā tiek patērēta, bet arī attālināti. Proti, galalietotājs, piemēram, varēs ražot elektroenerģiju no saules paneļiem vai vēja ģeneratora savā lauku īpašumā, bet patērēt dzīvoklī pilsētā. Tāpat arī būs iespēja savstarpēji dalīties </w:t>
      </w:r>
      <w:r w:rsidR="00835DE3">
        <w:rPr>
          <w:szCs w:val="24"/>
        </w:rPr>
        <w:t>vai</w:t>
      </w:r>
      <w:r w:rsidR="0028740F" w:rsidRPr="00F12B18">
        <w:rPr>
          <w:szCs w:val="24"/>
        </w:rPr>
        <w:t xml:space="preserve"> kopīgot saražoto elektroenerģiju, kā arī veidot elektroenerģijas energokopienas – elektroenerģijas patērētāj</w:t>
      </w:r>
      <w:r w:rsidR="00835DE3">
        <w:rPr>
          <w:szCs w:val="24"/>
        </w:rPr>
        <w:t>us</w:t>
      </w:r>
      <w:r w:rsidR="0028740F" w:rsidRPr="00F12B18">
        <w:rPr>
          <w:szCs w:val="24"/>
        </w:rPr>
        <w:t xml:space="preserve">, kas apvienojas juridiskā savienībā un patērē elektroenerģiju, ko saražojuši kopīgā saules paneļu vai vēja ģeneratoru parkā. Kopumā šie elektroenerģijas pašražošanas jauninājumi likumdošanā veicinās mikroģeneratoru un elektrostaciju attīstību Latvijā, vienlaikus ļaujot ilgtermiņā </w:t>
      </w:r>
      <w:r w:rsidR="0028740F" w:rsidRPr="00F12B18">
        <w:rPr>
          <w:szCs w:val="24"/>
        </w:rPr>
        <w:lastRenderedPageBreak/>
        <w:t>gan optimizēt elektroenerģijas patēriņa izmaksas fiziskām un juridiskām personām, gan valstiskā līmenī veicināt AER izmantošanas mērķu sasniegšanu.</w:t>
      </w:r>
    </w:p>
    <w:p w14:paraId="751227A2" w14:textId="1A9B0125" w:rsidR="0028740F" w:rsidRPr="00F12B18" w:rsidRDefault="0028740F" w:rsidP="00835DE3">
      <w:pPr>
        <w:spacing w:before="60" w:after="60" w:line="240" w:lineRule="auto"/>
        <w:jc w:val="both"/>
        <w:rPr>
          <w:szCs w:val="24"/>
        </w:rPr>
      </w:pPr>
      <w:r w:rsidRPr="00F12B18">
        <w:rPr>
          <w:szCs w:val="24"/>
        </w:rPr>
        <w:t>2021.</w:t>
      </w:r>
      <w:r w:rsidR="00835DE3">
        <w:rPr>
          <w:szCs w:val="24"/>
        </w:rPr>
        <w:t> </w:t>
      </w:r>
      <w:r w:rsidRPr="00F12B18">
        <w:rPr>
          <w:szCs w:val="24"/>
        </w:rPr>
        <w:t xml:space="preserve">gadā plānots turpināt jau ieskāto darbu pie </w:t>
      </w:r>
      <w:r w:rsidRPr="00F12B18">
        <w:rPr>
          <w:b/>
          <w:bCs/>
          <w:color w:val="008080"/>
          <w:szCs w:val="24"/>
        </w:rPr>
        <w:t>Latvijas obligāto valsts naftas produktu drošības rezervju uzturēšanas kārtības pilnveidošanas</w:t>
      </w:r>
      <w:r w:rsidR="00835DE3">
        <w:rPr>
          <w:szCs w:val="24"/>
        </w:rPr>
        <w:t>,</w:t>
      </w:r>
      <w:r w:rsidR="001130D1">
        <w:rPr>
          <w:szCs w:val="24"/>
        </w:rPr>
        <w:t xml:space="preserve"> </w:t>
      </w:r>
      <w:r w:rsidR="00835DE3">
        <w:rPr>
          <w:szCs w:val="24"/>
        </w:rPr>
        <w:t>p</w:t>
      </w:r>
      <w:r w:rsidRPr="00F12B18">
        <w:rPr>
          <w:szCs w:val="24"/>
        </w:rPr>
        <w:t>aredz</w:t>
      </w:r>
      <w:r w:rsidR="00835DE3">
        <w:rPr>
          <w:szCs w:val="24"/>
        </w:rPr>
        <w:t>o</w:t>
      </w:r>
      <w:r w:rsidRPr="00F12B18">
        <w:rPr>
          <w:szCs w:val="24"/>
        </w:rPr>
        <w:t>t pakāpeniski palielināt drošības rezervju apjomu, kas glabājas Latvijas teritorijā. Tāpat arī piecu gadu laikā paredzēts mainīt rezervju uzturēšanas modeli, iegādājoties drošības rezerves valsts īpašumā un veicot pāreju uz aģentūras modeli. Šāds risinājums sniegtu ieguvumus piegāžu ātruma un drošuma ziņā. Jaunas modelis būtu lētāks rezervju uzturēšanas ziņā</w:t>
      </w:r>
      <w:r w:rsidR="00835DE3">
        <w:rPr>
          <w:szCs w:val="24"/>
        </w:rPr>
        <w:t xml:space="preserve"> un</w:t>
      </w:r>
      <w:r w:rsidRPr="00F12B18">
        <w:rPr>
          <w:szCs w:val="24"/>
        </w:rPr>
        <w:t xml:space="preserve"> arī drošāks, jo naftas produkti piederēs valstij un lielāks apjoms glabāsies Latvijā. Līdz ar to tiks stiprināta piegādes drošība un savlaicīga naftas produktu pieejamība krīzes gadījumā, kā arī kopējā valsts noturība pret apdraudējumu.</w:t>
      </w:r>
      <w:r w:rsidR="001130D1">
        <w:rPr>
          <w:szCs w:val="24"/>
        </w:rPr>
        <w:t xml:space="preserve"> </w:t>
      </w:r>
      <w:r w:rsidR="00835DE3" w:rsidRPr="00F12B18">
        <w:rPr>
          <w:szCs w:val="24"/>
        </w:rPr>
        <w:t>Š</w:t>
      </w:r>
      <w:r w:rsidRPr="00F12B18">
        <w:rPr>
          <w:szCs w:val="24"/>
        </w:rPr>
        <w:t>īs reformas īstenošanas ietvaros izveidotā aģentūra varēs rīkot publisku iepirkumu par naftas produktu infrastruktūras īri, kas potenciāli palielinās iespējas, ka iepirkumā piedalīsies vairāki Latvijas komersanti.</w:t>
      </w:r>
    </w:p>
    <w:p w14:paraId="54876790" w14:textId="3BE66774" w:rsidR="0028740F" w:rsidRDefault="0028740F" w:rsidP="00835DE3">
      <w:pPr>
        <w:spacing w:before="60" w:after="60" w:line="240" w:lineRule="auto"/>
        <w:jc w:val="both"/>
        <w:rPr>
          <w:szCs w:val="24"/>
        </w:rPr>
      </w:pPr>
      <w:r w:rsidRPr="00F12B18">
        <w:rPr>
          <w:szCs w:val="24"/>
        </w:rPr>
        <w:t>Raugoties no reģionālās perspektīvas, 2021.</w:t>
      </w:r>
      <w:r w:rsidR="007441A3">
        <w:rPr>
          <w:szCs w:val="24"/>
        </w:rPr>
        <w:t> </w:t>
      </w:r>
      <w:r w:rsidRPr="00F12B18">
        <w:rPr>
          <w:szCs w:val="24"/>
        </w:rPr>
        <w:t xml:space="preserve">gadā plānots parakstīt </w:t>
      </w:r>
      <w:r w:rsidRPr="00F12B18">
        <w:rPr>
          <w:b/>
          <w:bCs/>
          <w:color w:val="008080"/>
          <w:szCs w:val="24"/>
        </w:rPr>
        <w:t>starptautisko līgumu starp Latvijas Republikas valdību un Igaunijas Republikas/Lietuvas Republikas valdību</w:t>
      </w:r>
      <w:r w:rsidR="001130D1">
        <w:rPr>
          <w:b/>
          <w:bCs/>
          <w:color w:val="008080"/>
          <w:szCs w:val="24"/>
        </w:rPr>
        <w:t xml:space="preserve"> </w:t>
      </w:r>
      <w:r w:rsidRPr="00F12B18">
        <w:rPr>
          <w:szCs w:val="24"/>
        </w:rPr>
        <w:t xml:space="preserve">par solidaritātes pasākumiem gāzes piegādes drošības aizsardzībai (Solidaritātes līgums), kas izriet no </w:t>
      </w:r>
      <w:r w:rsidRPr="00835DE3">
        <w:rPr>
          <w:i/>
          <w:iCs/>
          <w:szCs w:val="24"/>
        </w:rPr>
        <w:t>Regulas (ES) 2017/1938 par gāzes piegādes drošības aizsardzības pasākumiem</w:t>
      </w:r>
      <w:r w:rsidR="005E237B" w:rsidRPr="007441A3">
        <w:rPr>
          <w:rStyle w:val="FootnoteReference"/>
          <w:szCs w:val="24"/>
        </w:rPr>
        <w:footnoteReference w:id="54"/>
      </w:r>
      <w:r w:rsidRPr="00F12B18">
        <w:rPr>
          <w:szCs w:val="24"/>
        </w:rPr>
        <w:t xml:space="preserve">. </w:t>
      </w:r>
      <w:r w:rsidR="00835DE3">
        <w:rPr>
          <w:szCs w:val="24"/>
        </w:rPr>
        <w:t xml:space="preserve">Minētā </w:t>
      </w:r>
      <w:r w:rsidR="007441A3">
        <w:rPr>
          <w:szCs w:val="24"/>
        </w:rPr>
        <w:t>r</w:t>
      </w:r>
      <w:r w:rsidRPr="007441A3">
        <w:rPr>
          <w:szCs w:val="24"/>
        </w:rPr>
        <w:t>egula</w:t>
      </w:r>
      <w:r w:rsidR="001130D1">
        <w:rPr>
          <w:szCs w:val="24"/>
        </w:rPr>
        <w:t xml:space="preserve"> </w:t>
      </w:r>
      <w:r w:rsidRPr="00F12B18">
        <w:rPr>
          <w:szCs w:val="24"/>
        </w:rPr>
        <w:t>izklāsta nosacījumus, kā ārkārtas apstākļos savstarpēji savienotās valstis viena otrai sniedz solidaritātes pasākumus, proti, nodrošina iztrūkstošās gāzes plūsmas solidaritātē aizsargājamo lietotāju nodrošināšanai. Solidaritātē aizsargājamie lietotāji ir tā lietotāju grupa, kuras dabasgāzes daudzums netiek ne samazināts, ne arī ierobežos ārkārtas apstākļu gadījumā. Pēc būtības līgumā ietvertā vienošanās paredz juridiskos, tehniskos un finansiālos aspektus solidaritātes pasākumu piemērošanai.</w:t>
      </w:r>
    </w:p>
    <w:p w14:paraId="699CE6F0" w14:textId="1ED75765" w:rsidR="00627C09" w:rsidRPr="00F5511B" w:rsidRDefault="00627C09" w:rsidP="00A50FA9">
      <w:pPr>
        <w:pStyle w:val="ListParagraph"/>
        <w:spacing w:before="20" w:after="20"/>
        <w:ind w:left="0"/>
        <w:contextualSpacing w:val="0"/>
        <w:jc w:val="both"/>
        <w:rPr>
          <w:rFonts w:eastAsia="Calibri"/>
          <w:highlight w:val="yellow"/>
        </w:rPr>
      </w:pPr>
    </w:p>
    <w:p w14:paraId="4354670B" w14:textId="77777777" w:rsidR="008627B0" w:rsidRPr="00F5511B" w:rsidRDefault="008627B0" w:rsidP="003C6A28">
      <w:pPr>
        <w:pStyle w:val="ListParagraph"/>
        <w:spacing w:before="20" w:after="20"/>
        <w:ind w:left="0"/>
        <w:contextualSpacing w:val="0"/>
        <w:jc w:val="both"/>
        <w:rPr>
          <w:highlight w:val="yellow"/>
          <w:lang w:eastAsia="en-US"/>
        </w:rPr>
        <w:sectPr w:rsidR="008627B0" w:rsidRPr="00F5511B" w:rsidSect="00CC472C">
          <w:footerReference w:type="default" r:id="rId124"/>
          <w:type w:val="continuous"/>
          <w:pgSz w:w="11906" w:h="16838" w:code="9"/>
          <w:pgMar w:top="1134" w:right="1134" w:bottom="1134" w:left="1134" w:header="709" w:footer="408" w:gutter="0"/>
          <w:pgNumType w:start="4"/>
          <w:cols w:space="708"/>
          <w:titlePg/>
          <w:docGrid w:linePitch="381"/>
        </w:sectPr>
      </w:pPr>
    </w:p>
    <w:p w14:paraId="1801F361" w14:textId="77777777" w:rsidR="004015E4" w:rsidRPr="00D75DB7" w:rsidRDefault="008E0258" w:rsidP="00BE6C4B">
      <w:pPr>
        <w:pStyle w:val="Heading1"/>
        <w:numPr>
          <w:ilvl w:val="0"/>
          <w:numId w:val="9"/>
        </w:numPr>
        <w:spacing w:after="60"/>
        <w:ind w:left="714" w:hanging="357"/>
      </w:pPr>
      <w:bookmarkStart w:id="96" w:name="_Pielikums._EM_plānošanas"/>
      <w:bookmarkStart w:id="97" w:name="_Pielikums._EM_aktuālo"/>
      <w:bookmarkStart w:id="98" w:name="_Toc78874618"/>
      <w:bookmarkStart w:id="99" w:name="_Toc520374382"/>
      <w:bookmarkEnd w:id="96"/>
      <w:bookmarkEnd w:id="97"/>
      <w:r w:rsidRPr="00D75DB7">
        <w:lastRenderedPageBreak/>
        <w:t>P</w:t>
      </w:r>
      <w:r w:rsidR="0007454F" w:rsidRPr="00D75DB7">
        <w:t xml:space="preserve">ielikums. </w:t>
      </w:r>
      <w:bookmarkStart w:id="100" w:name="_Toc520374381"/>
      <w:r w:rsidR="004015E4" w:rsidRPr="00D75DB7">
        <w:t xml:space="preserve">EM </w:t>
      </w:r>
      <w:r w:rsidR="00A2621A" w:rsidRPr="00D75DB7">
        <w:t xml:space="preserve">aktuālo </w:t>
      </w:r>
      <w:r w:rsidR="004015E4" w:rsidRPr="00D75DB7">
        <w:t>plānošanas dokumentu saraksts</w:t>
      </w:r>
      <w:bookmarkEnd w:id="98"/>
      <w:bookmarkEnd w:id="100"/>
    </w:p>
    <w:tbl>
      <w:tblPr>
        <w:tblStyle w:val="TableGrid"/>
        <w:tblW w:w="5000" w:type="pct"/>
        <w:tblLayout w:type="fixed"/>
        <w:tblLook w:val="04A0" w:firstRow="1" w:lastRow="0" w:firstColumn="1" w:lastColumn="0" w:noHBand="0" w:noVBand="1"/>
      </w:tblPr>
      <w:tblGrid>
        <w:gridCol w:w="702"/>
        <w:gridCol w:w="3308"/>
        <w:gridCol w:w="6191"/>
        <w:gridCol w:w="4359"/>
      </w:tblGrid>
      <w:tr w:rsidR="004015E4" w:rsidRPr="00D75DB7" w14:paraId="30955075" w14:textId="77777777" w:rsidTr="00322169">
        <w:trPr>
          <w:trHeight w:val="567"/>
          <w:tblHeader/>
        </w:trPr>
        <w:tc>
          <w:tcPr>
            <w:tcW w:w="241" w:type="pct"/>
          </w:tcPr>
          <w:p w14:paraId="1DE296AC" w14:textId="77777777" w:rsidR="004015E4" w:rsidRPr="00D75DB7" w:rsidRDefault="004015E4" w:rsidP="00325DF8">
            <w:pPr>
              <w:spacing w:after="0" w:line="240" w:lineRule="auto"/>
              <w:jc w:val="center"/>
              <w:rPr>
                <w:rFonts w:cs="Times New Roman"/>
                <w:b/>
                <w:sz w:val="22"/>
                <w:shd w:val="clear" w:color="auto" w:fill="E2E2E2"/>
              </w:rPr>
            </w:pPr>
            <w:r w:rsidRPr="00D75DB7">
              <w:rPr>
                <w:rFonts w:cs="Times New Roman"/>
                <w:b/>
                <w:sz w:val="22"/>
              </w:rPr>
              <w:t>Nr.</w:t>
            </w:r>
          </w:p>
        </w:tc>
        <w:tc>
          <w:tcPr>
            <w:tcW w:w="1136" w:type="pct"/>
          </w:tcPr>
          <w:p w14:paraId="18BB1470" w14:textId="77777777" w:rsidR="004015E4" w:rsidRPr="00D75DB7" w:rsidRDefault="004015E4" w:rsidP="00325DF8">
            <w:pPr>
              <w:spacing w:after="0" w:line="240" w:lineRule="auto"/>
              <w:jc w:val="center"/>
              <w:rPr>
                <w:rFonts w:cs="Times New Roman"/>
                <w:b/>
                <w:sz w:val="22"/>
                <w:shd w:val="clear" w:color="auto" w:fill="E2E2E2"/>
              </w:rPr>
            </w:pPr>
            <w:r w:rsidRPr="00D75DB7">
              <w:rPr>
                <w:rFonts w:cs="Times New Roman"/>
                <w:b/>
                <w:sz w:val="22"/>
              </w:rPr>
              <w:t xml:space="preserve">EM atbildības joma/nozare </w:t>
            </w:r>
            <w:r w:rsidRPr="00586256">
              <w:rPr>
                <w:rFonts w:cs="Times New Roman"/>
                <w:b/>
                <w:sz w:val="20"/>
                <w:szCs w:val="20"/>
              </w:rPr>
              <w:t>(atbilstoši EM nolikuma</w:t>
            </w:r>
            <w:r w:rsidR="00F24BB1" w:rsidRPr="00586256">
              <w:rPr>
                <w:rStyle w:val="FootnoteReference"/>
                <w:rFonts w:cs="Times New Roman"/>
                <w:b/>
                <w:sz w:val="20"/>
                <w:szCs w:val="20"/>
              </w:rPr>
              <w:footnoteReference w:id="55"/>
            </w:r>
            <w:r w:rsidRPr="00586256">
              <w:rPr>
                <w:rFonts w:cs="Times New Roman"/>
                <w:b/>
                <w:sz w:val="20"/>
                <w:szCs w:val="20"/>
              </w:rPr>
              <w:t xml:space="preserve"> punktam)</w:t>
            </w:r>
          </w:p>
        </w:tc>
        <w:tc>
          <w:tcPr>
            <w:tcW w:w="2126" w:type="pct"/>
          </w:tcPr>
          <w:p w14:paraId="5C0BB8E5" w14:textId="77777777" w:rsidR="004015E4" w:rsidRPr="00D75DB7" w:rsidRDefault="004015E4" w:rsidP="00325DF8">
            <w:pPr>
              <w:spacing w:after="0" w:line="240" w:lineRule="auto"/>
              <w:jc w:val="center"/>
              <w:rPr>
                <w:rFonts w:cs="Times New Roman"/>
                <w:b/>
                <w:sz w:val="22"/>
                <w:shd w:val="clear" w:color="auto" w:fill="E2E2E2"/>
              </w:rPr>
            </w:pPr>
            <w:r w:rsidRPr="00D75DB7">
              <w:rPr>
                <w:rFonts w:cs="Times New Roman"/>
                <w:b/>
                <w:sz w:val="22"/>
              </w:rPr>
              <w:t>Apstiprinātais politikas plānošanas dokuments attiecīgajā jomā</w:t>
            </w:r>
            <w:r w:rsidR="00650B8D" w:rsidRPr="00D75DB7">
              <w:rPr>
                <w:rFonts w:cs="Times New Roman"/>
                <w:b/>
                <w:sz w:val="22"/>
              </w:rPr>
              <w:t>, tiesību akts</w:t>
            </w:r>
            <w:r w:rsidR="00D86659">
              <w:rPr>
                <w:rFonts w:cs="Times New Roman"/>
                <w:b/>
                <w:sz w:val="22"/>
              </w:rPr>
              <w:t>, ziņojums</w:t>
            </w:r>
          </w:p>
        </w:tc>
        <w:tc>
          <w:tcPr>
            <w:tcW w:w="1497" w:type="pct"/>
          </w:tcPr>
          <w:p w14:paraId="48C10979" w14:textId="77777777" w:rsidR="004015E4" w:rsidRPr="00D75DB7" w:rsidRDefault="004015E4" w:rsidP="00325DF8">
            <w:pPr>
              <w:spacing w:after="0" w:line="240" w:lineRule="auto"/>
              <w:rPr>
                <w:rFonts w:cs="Times New Roman"/>
                <w:b/>
                <w:sz w:val="22"/>
              </w:rPr>
            </w:pPr>
            <w:r w:rsidRPr="00D75DB7">
              <w:rPr>
                <w:rFonts w:cs="Times New Roman"/>
                <w:b/>
                <w:sz w:val="22"/>
              </w:rPr>
              <w:t>Norādes uz dokumenta atrašanas vietu</w:t>
            </w:r>
          </w:p>
        </w:tc>
      </w:tr>
      <w:tr w:rsidR="004015E4" w:rsidRPr="00F5511B" w14:paraId="0FDA67D4" w14:textId="77777777" w:rsidTr="00322169">
        <w:trPr>
          <w:trHeight w:val="619"/>
        </w:trPr>
        <w:tc>
          <w:tcPr>
            <w:tcW w:w="241" w:type="pct"/>
            <w:vMerge w:val="restart"/>
          </w:tcPr>
          <w:p w14:paraId="6B3C68C0" w14:textId="77777777" w:rsidR="004015E4" w:rsidRPr="00F5511B" w:rsidRDefault="004015E4" w:rsidP="00325DF8">
            <w:pPr>
              <w:spacing w:after="0" w:line="240" w:lineRule="auto"/>
              <w:jc w:val="center"/>
              <w:rPr>
                <w:rFonts w:cs="Times New Roman"/>
                <w:b/>
                <w:sz w:val="22"/>
                <w:highlight w:val="yellow"/>
              </w:rPr>
            </w:pPr>
            <w:r w:rsidRPr="00416F83">
              <w:rPr>
                <w:rFonts w:cs="Times New Roman"/>
                <w:b/>
                <w:sz w:val="22"/>
              </w:rPr>
              <w:t>1.</w:t>
            </w:r>
          </w:p>
        </w:tc>
        <w:tc>
          <w:tcPr>
            <w:tcW w:w="1136" w:type="pct"/>
            <w:vMerge w:val="restart"/>
          </w:tcPr>
          <w:p w14:paraId="078B7C33" w14:textId="77777777" w:rsidR="006A03F1" w:rsidRPr="006A03F1" w:rsidRDefault="00EF1F00" w:rsidP="006A03F1">
            <w:pPr>
              <w:pStyle w:val="tv213"/>
              <w:spacing w:before="0" w:beforeAutospacing="0" w:after="0" w:afterAutospacing="0"/>
              <w:rPr>
                <w:rFonts w:eastAsiaTheme="minorHAnsi"/>
                <w:sz w:val="22"/>
                <w:szCs w:val="22"/>
                <w:lang w:eastAsia="en-US"/>
              </w:rPr>
            </w:pPr>
            <w:r w:rsidRPr="006A03F1">
              <w:rPr>
                <w:rFonts w:eastAsiaTheme="minorHAnsi"/>
                <w:sz w:val="22"/>
                <w:szCs w:val="22"/>
                <w:lang w:eastAsia="en-US"/>
              </w:rPr>
              <w:t>Ārējā ekonomiskā politika (4.1.1.)</w:t>
            </w:r>
            <w:r w:rsidR="003205CB" w:rsidRPr="006A03F1">
              <w:rPr>
                <w:rFonts w:eastAsiaTheme="minorHAnsi"/>
                <w:sz w:val="22"/>
                <w:szCs w:val="22"/>
                <w:lang w:eastAsia="en-US"/>
              </w:rPr>
              <w:t>;</w:t>
            </w:r>
          </w:p>
          <w:p w14:paraId="0D285A1E" w14:textId="77777777" w:rsidR="006A03F1" w:rsidRPr="006A03F1" w:rsidRDefault="006A03F1" w:rsidP="006A03F1">
            <w:pPr>
              <w:pStyle w:val="tv213"/>
              <w:spacing w:before="0" w:beforeAutospacing="0" w:after="0" w:afterAutospacing="0"/>
              <w:rPr>
                <w:rFonts w:eastAsia="Franklin Gothic Book"/>
                <w:sz w:val="22"/>
                <w:szCs w:val="22"/>
              </w:rPr>
            </w:pPr>
            <w:r w:rsidRPr="006A03F1">
              <w:rPr>
                <w:rFonts w:eastAsiaTheme="minorHAnsi"/>
                <w:sz w:val="22"/>
                <w:szCs w:val="22"/>
              </w:rPr>
              <w:t>K</w:t>
            </w:r>
            <w:r w:rsidRPr="006A03F1">
              <w:rPr>
                <w:rFonts w:eastAsia="Franklin Gothic Book"/>
                <w:sz w:val="22"/>
                <w:szCs w:val="22"/>
              </w:rPr>
              <w:t>onkurētspējas attīstības politika</w:t>
            </w:r>
            <w:r>
              <w:rPr>
                <w:rFonts w:eastAsia="Franklin Gothic Book"/>
                <w:sz w:val="22"/>
                <w:szCs w:val="22"/>
              </w:rPr>
              <w:t> </w:t>
            </w:r>
            <w:r w:rsidRPr="006A03F1">
              <w:rPr>
                <w:rFonts w:eastAsia="Franklin Gothic Book"/>
                <w:sz w:val="22"/>
                <w:szCs w:val="22"/>
              </w:rPr>
              <w:t xml:space="preserve">(4.1.7.); </w:t>
            </w:r>
          </w:p>
          <w:p w14:paraId="6015DD1B" w14:textId="77777777" w:rsidR="006A03F1" w:rsidRPr="006A03F1" w:rsidRDefault="006A03F1" w:rsidP="006A03F1">
            <w:pPr>
              <w:pStyle w:val="tv213"/>
              <w:spacing w:before="0" w:beforeAutospacing="0" w:after="0" w:afterAutospacing="0"/>
              <w:rPr>
                <w:rFonts w:eastAsia="Franklin Gothic Book"/>
                <w:sz w:val="22"/>
                <w:szCs w:val="22"/>
              </w:rPr>
            </w:pPr>
            <w:r w:rsidRPr="006A03F1">
              <w:rPr>
                <w:rFonts w:eastAsia="Franklin Gothic Book"/>
                <w:sz w:val="22"/>
                <w:szCs w:val="22"/>
              </w:rPr>
              <w:t>Rūpniecības politika (4.1.11.);</w:t>
            </w:r>
          </w:p>
          <w:p w14:paraId="41D03517" w14:textId="77777777" w:rsidR="003205CB" w:rsidRPr="006A03F1" w:rsidRDefault="00352487" w:rsidP="006A03F1">
            <w:pPr>
              <w:pStyle w:val="tv213"/>
              <w:spacing w:before="0" w:beforeAutospacing="0" w:after="0" w:afterAutospacing="0"/>
              <w:rPr>
                <w:rFonts w:eastAsiaTheme="minorHAnsi"/>
                <w:sz w:val="22"/>
                <w:szCs w:val="22"/>
                <w:lang w:eastAsia="en-US"/>
              </w:rPr>
            </w:pPr>
            <w:r w:rsidRPr="006A03F1">
              <w:rPr>
                <w:rFonts w:eastAsiaTheme="minorHAnsi"/>
                <w:sz w:val="22"/>
                <w:szCs w:val="22"/>
                <w:lang w:eastAsia="en-US"/>
              </w:rPr>
              <w:t>T</w:t>
            </w:r>
            <w:r w:rsidR="004015E4" w:rsidRPr="006A03F1">
              <w:rPr>
                <w:rFonts w:eastAsiaTheme="minorHAnsi"/>
                <w:sz w:val="22"/>
                <w:szCs w:val="22"/>
                <w:lang w:eastAsia="en-US"/>
              </w:rPr>
              <w:t xml:space="preserve">autsaimniecības </w:t>
            </w:r>
            <w:r w:rsidR="003205CB" w:rsidRPr="006A03F1">
              <w:rPr>
                <w:rFonts w:eastAsiaTheme="minorHAnsi"/>
                <w:sz w:val="22"/>
                <w:szCs w:val="22"/>
                <w:lang w:eastAsia="en-US"/>
              </w:rPr>
              <w:t>struktūr</w:t>
            </w:r>
            <w:r w:rsidR="004015E4" w:rsidRPr="006A03F1">
              <w:rPr>
                <w:rFonts w:eastAsiaTheme="minorHAnsi"/>
                <w:sz w:val="22"/>
                <w:szCs w:val="22"/>
                <w:lang w:eastAsia="en-US"/>
              </w:rPr>
              <w:t>politik</w:t>
            </w:r>
            <w:r w:rsidR="003205CB" w:rsidRPr="006A03F1">
              <w:rPr>
                <w:rFonts w:eastAsiaTheme="minorHAnsi"/>
                <w:sz w:val="22"/>
                <w:szCs w:val="22"/>
                <w:lang w:eastAsia="en-US"/>
              </w:rPr>
              <w:t>a</w:t>
            </w:r>
            <w:r w:rsidR="00D86659">
              <w:rPr>
                <w:rFonts w:eastAsiaTheme="minorHAnsi"/>
                <w:sz w:val="22"/>
                <w:szCs w:val="22"/>
                <w:lang w:eastAsia="en-US"/>
              </w:rPr>
              <w:t> </w:t>
            </w:r>
            <w:r w:rsidR="003205CB" w:rsidRPr="006A03F1">
              <w:rPr>
                <w:rFonts w:eastAsiaTheme="minorHAnsi"/>
                <w:sz w:val="22"/>
                <w:szCs w:val="22"/>
                <w:lang w:eastAsia="en-US"/>
              </w:rPr>
              <w:t>(4.1.13.)</w:t>
            </w:r>
          </w:p>
          <w:p w14:paraId="6B919CDA" w14:textId="77777777" w:rsidR="004015E4" w:rsidRPr="003205CB" w:rsidRDefault="004015E4" w:rsidP="00325DF8">
            <w:pPr>
              <w:pStyle w:val="tv213"/>
              <w:spacing w:before="0" w:beforeAutospacing="0" w:after="0" w:afterAutospacing="0"/>
              <w:jc w:val="both"/>
              <w:rPr>
                <w:rFonts w:eastAsiaTheme="minorHAnsi"/>
                <w:color w:val="333333"/>
                <w:sz w:val="22"/>
                <w:szCs w:val="22"/>
                <w:lang w:eastAsia="en-US"/>
              </w:rPr>
            </w:pPr>
          </w:p>
        </w:tc>
        <w:tc>
          <w:tcPr>
            <w:tcW w:w="2126" w:type="pct"/>
          </w:tcPr>
          <w:p w14:paraId="4C3B4DCE" w14:textId="77777777" w:rsidR="004015E4" w:rsidRPr="00F5511B" w:rsidRDefault="00A548C7" w:rsidP="00325DF8">
            <w:pPr>
              <w:spacing w:after="0" w:line="240" w:lineRule="auto"/>
              <w:rPr>
                <w:rFonts w:cs="Times New Roman"/>
                <w:b/>
                <w:sz w:val="22"/>
                <w:highlight w:val="yellow"/>
              </w:rPr>
            </w:pPr>
            <w:hyperlink r:id="rId125" w:history="1">
              <w:r w:rsidR="001D24BE" w:rsidRPr="00416F83">
                <w:rPr>
                  <w:rStyle w:val="Emphasis"/>
                  <w:color w:val="00859B"/>
                  <w:sz w:val="22"/>
                  <w:u w:val="single"/>
                </w:rPr>
                <w:t>Nacionālāsindustriālāspolitikaspamatnostādnes</w:t>
              </w:r>
              <w:r w:rsidR="001D24BE" w:rsidRPr="00416F83">
                <w:rPr>
                  <w:rStyle w:val="Hyperlink"/>
                  <w:i/>
                  <w:iCs/>
                  <w:color w:val="00859B"/>
                  <w:sz w:val="22"/>
                </w:rPr>
                <w:t>2014.-2020.gadam</w:t>
              </w:r>
            </w:hyperlink>
            <w:r w:rsidR="004015E4" w:rsidRPr="00416F83">
              <w:rPr>
                <w:rFonts w:cs="Times New Roman"/>
                <w:sz w:val="22"/>
              </w:rPr>
              <w:t xml:space="preserve">, </w:t>
            </w:r>
            <w:r w:rsidR="00E7199C" w:rsidRPr="00416F83">
              <w:rPr>
                <w:sz w:val="22"/>
              </w:rPr>
              <w:t xml:space="preserve">MK </w:t>
            </w:r>
            <w:r w:rsidR="00E7199C" w:rsidRPr="00416F83">
              <w:rPr>
                <w:rFonts w:cs="Times New Roman"/>
                <w:bCs/>
                <w:sz w:val="22"/>
              </w:rPr>
              <w:t xml:space="preserve">28.06.2013. </w:t>
            </w:r>
            <w:r w:rsidR="00E7199C" w:rsidRPr="00416F83">
              <w:rPr>
                <w:sz w:val="22"/>
              </w:rPr>
              <w:t>rīkojums Nr.282</w:t>
            </w:r>
          </w:p>
        </w:tc>
        <w:tc>
          <w:tcPr>
            <w:tcW w:w="1497" w:type="pct"/>
          </w:tcPr>
          <w:p w14:paraId="1A24C65C" w14:textId="77777777" w:rsidR="00CE199F" w:rsidRPr="00F5511B" w:rsidRDefault="00A548C7" w:rsidP="00325DF8">
            <w:pPr>
              <w:spacing w:after="0" w:line="240" w:lineRule="auto"/>
              <w:rPr>
                <w:rFonts w:cs="Times New Roman"/>
                <w:sz w:val="20"/>
                <w:szCs w:val="20"/>
                <w:highlight w:val="yellow"/>
              </w:rPr>
            </w:pPr>
            <w:hyperlink r:id="rId126" w:history="1">
              <w:r w:rsidR="00CE199F" w:rsidRPr="00322169">
                <w:rPr>
                  <w:rStyle w:val="Hyperlink"/>
                  <w:rFonts w:cs="Times New Roman"/>
                  <w:color w:val="auto"/>
                  <w:sz w:val="20"/>
                  <w:szCs w:val="20"/>
                  <w:u w:val="none"/>
                </w:rPr>
                <w:t>https://likumi.lv/ta/id/257875-par-nacionalas-industrialas-politikas-pamatnostadnem-2014-2020-gadam</w:t>
              </w:r>
            </w:hyperlink>
          </w:p>
        </w:tc>
      </w:tr>
      <w:tr w:rsidR="00416F83" w:rsidRPr="00F5511B" w14:paraId="67051CC5" w14:textId="77777777" w:rsidTr="00322169">
        <w:trPr>
          <w:trHeight w:val="567"/>
        </w:trPr>
        <w:tc>
          <w:tcPr>
            <w:tcW w:w="241" w:type="pct"/>
            <w:vMerge/>
          </w:tcPr>
          <w:p w14:paraId="48CDF087" w14:textId="77777777" w:rsidR="00416F83" w:rsidRPr="00F5511B" w:rsidRDefault="00416F83" w:rsidP="00325DF8">
            <w:pPr>
              <w:spacing w:after="0" w:line="240" w:lineRule="auto"/>
              <w:jc w:val="center"/>
              <w:rPr>
                <w:rFonts w:cs="Times New Roman"/>
                <w:b/>
                <w:sz w:val="22"/>
                <w:highlight w:val="yellow"/>
              </w:rPr>
            </w:pPr>
          </w:p>
        </w:tc>
        <w:tc>
          <w:tcPr>
            <w:tcW w:w="1136" w:type="pct"/>
            <w:vMerge/>
          </w:tcPr>
          <w:p w14:paraId="1F9153F2" w14:textId="77777777" w:rsidR="00416F83" w:rsidRPr="00F5511B" w:rsidRDefault="00416F83" w:rsidP="00325DF8">
            <w:pPr>
              <w:pStyle w:val="tv213"/>
              <w:spacing w:before="0" w:beforeAutospacing="0" w:after="0" w:afterAutospacing="0"/>
              <w:jc w:val="both"/>
              <w:rPr>
                <w:rFonts w:ascii="Arial" w:hAnsi="Arial" w:cs="Arial"/>
                <w:color w:val="414142"/>
                <w:sz w:val="20"/>
                <w:szCs w:val="20"/>
                <w:highlight w:val="yellow"/>
              </w:rPr>
            </w:pPr>
          </w:p>
        </w:tc>
        <w:tc>
          <w:tcPr>
            <w:tcW w:w="2126" w:type="pct"/>
          </w:tcPr>
          <w:p w14:paraId="254E29C8" w14:textId="77777777" w:rsidR="00416F83" w:rsidRPr="00416F83" w:rsidRDefault="00A548C7" w:rsidP="0054169C">
            <w:pPr>
              <w:pStyle w:val="liknoteik"/>
              <w:spacing w:before="0" w:beforeAutospacing="0" w:after="0" w:afterAutospacing="0"/>
              <w:rPr>
                <w:bCs/>
                <w:sz w:val="22"/>
                <w:szCs w:val="22"/>
                <w:highlight w:val="yellow"/>
              </w:rPr>
            </w:pPr>
            <w:hyperlink r:id="rId127" w:history="1">
              <w:r w:rsidR="00416F83" w:rsidRPr="00416F83">
                <w:rPr>
                  <w:rStyle w:val="Hyperlink"/>
                  <w:i/>
                  <w:iCs/>
                  <w:color w:val="00859B"/>
                  <w:sz w:val="22"/>
                  <w:szCs w:val="22"/>
                </w:rPr>
                <w:t>Nacionālās industriālās politikas pamatnostādnes 2021.-2027.gadam</w:t>
              </w:r>
            </w:hyperlink>
            <w:r w:rsidR="00416F83">
              <w:rPr>
                <w:sz w:val="22"/>
                <w:szCs w:val="22"/>
              </w:rPr>
              <w:t xml:space="preserve">, </w:t>
            </w:r>
            <w:r w:rsidR="00416F83" w:rsidRPr="00416F83">
              <w:rPr>
                <w:sz w:val="22"/>
                <w:szCs w:val="22"/>
              </w:rPr>
              <w:t>MK 16.02.2020. rīkojums Nr.93</w:t>
            </w:r>
          </w:p>
        </w:tc>
        <w:tc>
          <w:tcPr>
            <w:tcW w:w="1497" w:type="pct"/>
          </w:tcPr>
          <w:p w14:paraId="42A5A058" w14:textId="77777777" w:rsidR="00416F83" w:rsidRPr="00F5511B" w:rsidRDefault="00416F83" w:rsidP="00325DF8">
            <w:pPr>
              <w:spacing w:after="0" w:line="240" w:lineRule="auto"/>
              <w:rPr>
                <w:rFonts w:cs="Times New Roman"/>
                <w:sz w:val="20"/>
                <w:szCs w:val="20"/>
                <w:highlight w:val="yellow"/>
              </w:rPr>
            </w:pPr>
            <w:r w:rsidRPr="00416F83">
              <w:rPr>
                <w:rFonts w:cs="Times New Roman"/>
                <w:sz w:val="20"/>
                <w:szCs w:val="20"/>
              </w:rPr>
              <w:t>https://likumi.lv/ta/id/321037-par-nacionalas-industrialas-politikas-pamatnostadnem-2021-2027-gadam</w:t>
            </w:r>
          </w:p>
        </w:tc>
      </w:tr>
      <w:tr w:rsidR="004015E4" w:rsidRPr="00F5511B" w14:paraId="4C0833EC" w14:textId="77777777" w:rsidTr="00322169">
        <w:trPr>
          <w:trHeight w:val="567"/>
        </w:trPr>
        <w:tc>
          <w:tcPr>
            <w:tcW w:w="241" w:type="pct"/>
            <w:vMerge/>
          </w:tcPr>
          <w:p w14:paraId="4A2D9260" w14:textId="77777777" w:rsidR="004015E4" w:rsidRPr="00F5511B" w:rsidRDefault="004015E4" w:rsidP="00325DF8">
            <w:pPr>
              <w:spacing w:after="0" w:line="240" w:lineRule="auto"/>
              <w:jc w:val="center"/>
              <w:rPr>
                <w:rFonts w:cs="Times New Roman"/>
                <w:b/>
                <w:sz w:val="22"/>
                <w:highlight w:val="yellow"/>
              </w:rPr>
            </w:pPr>
          </w:p>
        </w:tc>
        <w:tc>
          <w:tcPr>
            <w:tcW w:w="1136" w:type="pct"/>
            <w:vMerge/>
          </w:tcPr>
          <w:p w14:paraId="51553A6D" w14:textId="77777777" w:rsidR="004015E4" w:rsidRPr="00F5511B" w:rsidRDefault="004015E4" w:rsidP="00325DF8">
            <w:pPr>
              <w:pStyle w:val="tv213"/>
              <w:spacing w:before="0" w:beforeAutospacing="0" w:after="0" w:afterAutospacing="0"/>
              <w:jc w:val="both"/>
              <w:rPr>
                <w:rFonts w:ascii="Arial" w:hAnsi="Arial" w:cs="Arial"/>
                <w:color w:val="414142"/>
                <w:sz w:val="20"/>
                <w:szCs w:val="20"/>
                <w:highlight w:val="yellow"/>
              </w:rPr>
            </w:pPr>
          </w:p>
        </w:tc>
        <w:tc>
          <w:tcPr>
            <w:tcW w:w="2126" w:type="pct"/>
          </w:tcPr>
          <w:p w14:paraId="4DAF415C" w14:textId="77777777" w:rsidR="004015E4" w:rsidRPr="005775F7" w:rsidRDefault="00322169" w:rsidP="0054169C">
            <w:pPr>
              <w:pStyle w:val="liknoteik"/>
              <w:spacing w:before="0" w:beforeAutospacing="0" w:after="0" w:afterAutospacing="0"/>
              <w:rPr>
                <w:bCs/>
                <w:sz w:val="22"/>
                <w:szCs w:val="22"/>
                <w:highlight w:val="yellow"/>
              </w:rPr>
            </w:pPr>
            <w:r w:rsidRPr="005775F7">
              <w:rPr>
                <w:rStyle w:val="Hyperlink"/>
                <w:i/>
                <w:iCs/>
                <w:color w:val="00859B"/>
                <w:sz w:val="22"/>
                <w:szCs w:val="22"/>
              </w:rPr>
              <w:t>Informatīvais ziņojums</w:t>
            </w:r>
            <w:r w:rsidR="005775F7">
              <w:rPr>
                <w:rStyle w:val="Hyperlink"/>
                <w:i/>
                <w:iCs/>
                <w:color w:val="00859B"/>
              </w:rPr>
              <w:t>“</w:t>
            </w:r>
            <w:hyperlink r:id="rId128" w:history="1">
              <w:r w:rsidRPr="005775F7">
                <w:rPr>
                  <w:rStyle w:val="Hyperlink"/>
                  <w:i/>
                  <w:iCs/>
                  <w:color w:val="00859B"/>
                  <w:sz w:val="22"/>
                  <w:szCs w:val="22"/>
                </w:rPr>
                <w:t>Par vienota valsts tēla izstrādi</w:t>
              </w:r>
            </w:hyperlink>
            <w:r w:rsidR="005775F7">
              <w:rPr>
                <w:rStyle w:val="Hyperlink"/>
                <w:i/>
                <w:iCs/>
                <w:color w:val="00859B"/>
                <w:sz w:val="22"/>
                <w:szCs w:val="22"/>
              </w:rPr>
              <w:t>”</w:t>
            </w:r>
            <w:r w:rsidRPr="005775F7">
              <w:rPr>
                <w:sz w:val="22"/>
                <w:szCs w:val="22"/>
              </w:rPr>
              <w:t>, MK 29.09.2020. prot. Nr.56 55.§</w:t>
            </w:r>
          </w:p>
        </w:tc>
        <w:tc>
          <w:tcPr>
            <w:tcW w:w="1497" w:type="pct"/>
          </w:tcPr>
          <w:p w14:paraId="576B577D" w14:textId="77777777" w:rsidR="004015E4" w:rsidRPr="00F5511B" w:rsidRDefault="00322169" w:rsidP="00325DF8">
            <w:pPr>
              <w:spacing w:after="0" w:line="240" w:lineRule="auto"/>
              <w:rPr>
                <w:rFonts w:cs="Times New Roman"/>
                <w:sz w:val="20"/>
                <w:szCs w:val="20"/>
                <w:highlight w:val="yellow"/>
              </w:rPr>
            </w:pPr>
            <w:r w:rsidRPr="00322169">
              <w:rPr>
                <w:rFonts w:cs="Times New Roman"/>
                <w:sz w:val="20"/>
                <w:szCs w:val="20"/>
              </w:rPr>
              <w:t>http://tap.mk.gov.lv/mk/tap/?pid=40491531</w:t>
            </w:r>
          </w:p>
        </w:tc>
      </w:tr>
      <w:tr w:rsidR="004015E4" w:rsidRPr="00F5511B" w14:paraId="08022253" w14:textId="77777777" w:rsidTr="00322169">
        <w:trPr>
          <w:trHeight w:val="624"/>
        </w:trPr>
        <w:tc>
          <w:tcPr>
            <w:tcW w:w="241" w:type="pct"/>
            <w:vMerge/>
          </w:tcPr>
          <w:p w14:paraId="71BCB295" w14:textId="77777777" w:rsidR="004015E4" w:rsidRPr="00F5511B" w:rsidRDefault="004015E4" w:rsidP="00325DF8">
            <w:pPr>
              <w:spacing w:after="0" w:line="240" w:lineRule="auto"/>
              <w:jc w:val="center"/>
              <w:rPr>
                <w:rFonts w:cs="Times New Roman"/>
                <w:b/>
                <w:sz w:val="22"/>
                <w:highlight w:val="yellow"/>
              </w:rPr>
            </w:pPr>
          </w:p>
        </w:tc>
        <w:tc>
          <w:tcPr>
            <w:tcW w:w="1136" w:type="pct"/>
            <w:vMerge/>
          </w:tcPr>
          <w:p w14:paraId="6F1BF3C4" w14:textId="77777777" w:rsidR="004015E4" w:rsidRPr="00F5511B" w:rsidRDefault="004015E4" w:rsidP="00325DF8">
            <w:pPr>
              <w:pStyle w:val="tv213"/>
              <w:spacing w:before="0" w:beforeAutospacing="0" w:after="0" w:afterAutospacing="0"/>
              <w:jc w:val="both"/>
              <w:rPr>
                <w:rFonts w:ascii="Arial" w:hAnsi="Arial" w:cs="Arial"/>
                <w:color w:val="414142"/>
                <w:sz w:val="20"/>
                <w:szCs w:val="20"/>
                <w:highlight w:val="yellow"/>
              </w:rPr>
            </w:pPr>
          </w:p>
        </w:tc>
        <w:tc>
          <w:tcPr>
            <w:tcW w:w="2126" w:type="pct"/>
          </w:tcPr>
          <w:p w14:paraId="1E6386F0" w14:textId="77777777" w:rsidR="004015E4" w:rsidRPr="00416F83" w:rsidRDefault="00A548C7" w:rsidP="00325DF8">
            <w:pPr>
              <w:spacing w:after="0" w:line="240" w:lineRule="auto"/>
              <w:rPr>
                <w:rFonts w:cs="Times New Roman"/>
                <w:sz w:val="22"/>
              </w:rPr>
            </w:pPr>
            <w:hyperlink r:id="rId129" w:history="1">
              <w:r w:rsidR="004015E4" w:rsidRPr="00416F83">
                <w:rPr>
                  <w:rFonts w:cs="Times New Roman"/>
                  <w:i/>
                  <w:iCs/>
                  <w:color w:val="00859B"/>
                  <w:sz w:val="22"/>
                  <w:u w:val="single"/>
                </w:rPr>
                <w:t>Latvijas nacionālā reformu programma "ES 2020" stratēģijas īstenošanai</w:t>
              </w:r>
            </w:hyperlink>
            <w:r w:rsidR="004015E4" w:rsidRPr="00416F83">
              <w:rPr>
                <w:rFonts w:cs="Times New Roman"/>
                <w:sz w:val="22"/>
              </w:rPr>
              <w:t xml:space="preserve">, </w:t>
            </w:r>
            <w:r w:rsidR="0040282C" w:rsidRPr="00416F83">
              <w:rPr>
                <w:rFonts w:cs="Times New Roman"/>
                <w:sz w:val="22"/>
              </w:rPr>
              <w:t xml:space="preserve">apstiprināta MK </w:t>
            </w:r>
            <w:r w:rsidR="004015E4" w:rsidRPr="00416F83">
              <w:rPr>
                <w:rFonts w:cs="Times New Roman"/>
                <w:bCs/>
                <w:sz w:val="22"/>
              </w:rPr>
              <w:t>26.04.2011.</w:t>
            </w:r>
            <w:r w:rsidR="0040282C" w:rsidRPr="00416F83">
              <w:rPr>
                <w:rFonts w:cs="Times New Roman"/>
                <w:bCs/>
                <w:sz w:val="22"/>
              </w:rPr>
              <w:t xml:space="preserve"> sēdē.</w:t>
            </w:r>
          </w:p>
        </w:tc>
        <w:tc>
          <w:tcPr>
            <w:tcW w:w="1497" w:type="pct"/>
          </w:tcPr>
          <w:p w14:paraId="6B3C6BD8" w14:textId="77777777" w:rsidR="00820837" w:rsidRPr="00416F83" w:rsidRDefault="00820837" w:rsidP="00325DF8">
            <w:pPr>
              <w:spacing w:after="0" w:line="240" w:lineRule="auto"/>
              <w:rPr>
                <w:rFonts w:cs="Times New Roman"/>
                <w:sz w:val="20"/>
                <w:szCs w:val="20"/>
              </w:rPr>
            </w:pPr>
            <w:r w:rsidRPr="00416F83">
              <w:rPr>
                <w:rFonts w:cs="Times New Roman"/>
                <w:sz w:val="20"/>
                <w:szCs w:val="20"/>
              </w:rPr>
              <w:t>http://polsis.mk.gov.lv/documents/4294</w:t>
            </w:r>
          </w:p>
        </w:tc>
      </w:tr>
      <w:tr w:rsidR="00EF1F00" w:rsidRPr="00F5511B" w14:paraId="571886FF" w14:textId="77777777" w:rsidTr="00322169">
        <w:trPr>
          <w:trHeight w:val="850"/>
        </w:trPr>
        <w:tc>
          <w:tcPr>
            <w:tcW w:w="241" w:type="pct"/>
            <w:tcBorders>
              <w:bottom w:val="nil"/>
            </w:tcBorders>
          </w:tcPr>
          <w:p w14:paraId="54EB9082" w14:textId="77777777" w:rsidR="00EF1F00" w:rsidRPr="003D1671" w:rsidRDefault="00416F83" w:rsidP="005775F7">
            <w:pPr>
              <w:spacing w:after="0" w:line="240" w:lineRule="auto"/>
              <w:jc w:val="center"/>
              <w:rPr>
                <w:rFonts w:cs="Times New Roman"/>
                <w:b/>
                <w:sz w:val="22"/>
              </w:rPr>
            </w:pPr>
            <w:r>
              <w:rPr>
                <w:rFonts w:cs="Times New Roman"/>
                <w:b/>
                <w:sz w:val="22"/>
              </w:rPr>
              <w:t>2</w:t>
            </w:r>
            <w:r w:rsidR="00EF1F00" w:rsidRPr="003D1671">
              <w:rPr>
                <w:rFonts w:cs="Times New Roman"/>
                <w:b/>
                <w:sz w:val="22"/>
              </w:rPr>
              <w:t>.</w:t>
            </w:r>
          </w:p>
        </w:tc>
        <w:tc>
          <w:tcPr>
            <w:tcW w:w="1136" w:type="pct"/>
            <w:tcBorders>
              <w:bottom w:val="nil"/>
            </w:tcBorders>
          </w:tcPr>
          <w:p w14:paraId="6C13BA91" w14:textId="77777777" w:rsidR="00EF1F00" w:rsidRPr="003D1671" w:rsidRDefault="00EF1F00" w:rsidP="005775F7">
            <w:pPr>
              <w:pStyle w:val="tv213"/>
              <w:spacing w:before="0" w:beforeAutospacing="0" w:after="0" w:afterAutospacing="0"/>
              <w:jc w:val="both"/>
              <w:rPr>
                <w:rFonts w:ascii="Arial" w:hAnsi="Arial" w:cs="Arial"/>
                <w:sz w:val="20"/>
                <w:szCs w:val="20"/>
              </w:rPr>
            </w:pPr>
            <w:r w:rsidRPr="003D1671">
              <w:rPr>
                <w:rFonts w:eastAsiaTheme="minorHAnsi"/>
                <w:sz w:val="22"/>
                <w:szCs w:val="22"/>
                <w:lang w:eastAsia="en-US"/>
              </w:rPr>
              <w:t xml:space="preserve">Būvniecības politika (4.1.2.) </w:t>
            </w:r>
          </w:p>
        </w:tc>
        <w:tc>
          <w:tcPr>
            <w:tcW w:w="2126" w:type="pct"/>
            <w:tcBorders>
              <w:bottom w:val="nil"/>
            </w:tcBorders>
          </w:tcPr>
          <w:p w14:paraId="4BE949BB" w14:textId="77777777" w:rsidR="00EF1F00" w:rsidRPr="00EF1F00" w:rsidRDefault="00A548C7" w:rsidP="005775F7">
            <w:pPr>
              <w:spacing w:after="0" w:line="240" w:lineRule="auto"/>
              <w:rPr>
                <w:rFonts w:cs="Times New Roman"/>
                <w:sz w:val="22"/>
              </w:rPr>
            </w:pPr>
            <w:hyperlink r:id="rId130" w:tgtFrame="_blank" w:history="1">
              <w:r w:rsidR="00EF1F00" w:rsidRPr="00EF1F00">
                <w:rPr>
                  <w:rFonts w:cs="Times New Roman"/>
                  <w:i/>
                  <w:iCs/>
                  <w:color w:val="00859B"/>
                  <w:sz w:val="22"/>
                  <w:u w:val="single"/>
                </w:rPr>
                <w:t>Latvijas būvniecības nozares attīstības stratēģija 2017. – 2024.gadam</w:t>
              </w:r>
            </w:hyperlink>
            <w:r w:rsidR="00EF1F00" w:rsidRPr="00EF1F00">
              <w:rPr>
                <w:rFonts w:cs="Times New Roman"/>
                <w:sz w:val="22"/>
              </w:rPr>
              <w:t>, apstiprināta Latvijas Būvniecības padomes 13.04.2017. sēdē.</w:t>
            </w:r>
          </w:p>
        </w:tc>
        <w:tc>
          <w:tcPr>
            <w:tcW w:w="1497" w:type="pct"/>
            <w:tcBorders>
              <w:bottom w:val="nil"/>
            </w:tcBorders>
          </w:tcPr>
          <w:p w14:paraId="4FBE6AEB" w14:textId="77777777" w:rsidR="00EF1F00" w:rsidRPr="00EF1F00" w:rsidRDefault="00A548C7" w:rsidP="005775F7">
            <w:pPr>
              <w:spacing w:after="0" w:line="240" w:lineRule="auto"/>
              <w:rPr>
                <w:rFonts w:cs="Times New Roman"/>
                <w:sz w:val="20"/>
                <w:szCs w:val="20"/>
              </w:rPr>
            </w:pPr>
            <w:hyperlink r:id="rId131" w:history="1">
              <w:r w:rsidR="00EF1F00" w:rsidRPr="00EF1F00">
                <w:rPr>
                  <w:rFonts w:cs="Times New Roman"/>
                  <w:sz w:val="20"/>
                  <w:szCs w:val="20"/>
                </w:rPr>
                <w:t>https://www.em.gov.lv/lv/nozares_politika/buvnieciba/buvniecibas_strategija/</w:t>
              </w:r>
            </w:hyperlink>
          </w:p>
        </w:tc>
      </w:tr>
      <w:tr w:rsidR="00811039" w:rsidRPr="00F5511B" w14:paraId="36CF4C40" w14:textId="77777777" w:rsidTr="00322169">
        <w:trPr>
          <w:trHeight w:val="624"/>
        </w:trPr>
        <w:tc>
          <w:tcPr>
            <w:tcW w:w="241" w:type="pct"/>
            <w:vMerge w:val="restart"/>
          </w:tcPr>
          <w:p w14:paraId="62FFC55E" w14:textId="77777777" w:rsidR="00811039" w:rsidRPr="003D1671" w:rsidRDefault="00811039" w:rsidP="00811039">
            <w:pPr>
              <w:spacing w:after="0" w:line="240" w:lineRule="auto"/>
              <w:jc w:val="center"/>
              <w:rPr>
                <w:rFonts w:cs="Times New Roman"/>
                <w:b/>
                <w:sz w:val="22"/>
              </w:rPr>
            </w:pPr>
            <w:r w:rsidRPr="003D1671">
              <w:rPr>
                <w:rFonts w:cs="Times New Roman"/>
                <w:b/>
                <w:sz w:val="22"/>
              </w:rPr>
              <w:t>3.</w:t>
            </w:r>
          </w:p>
        </w:tc>
        <w:tc>
          <w:tcPr>
            <w:tcW w:w="1136" w:type="pct"/>
            <w:vMerge w:val="restart"/>
          </w:tcPr>
          <w:p w14:paraId="09439419" w14:textId="77777777" w:rsidR="00811039" w:rsidRPr="003D1671" w:rsidRDefault="003D1671" w:rsidP="00811039">
            <w:pPr>
              <w:pStyle w:val="tv213"/>
              <w:spacing w:before="0" w:after="0"/>
              <w:jc w:val="both"/>
              <w:rPr>
                <w:rFonts w:eastAsiaTheme="minorHAnsi"/>
                <w:sz w:val="22"/>
                <w:szCs w:val="22"/>
                <w:lang w:eastAsia="en-US"/>
              </w:rPr>
            </w:pPr>
            <w:r w:rsidRPr="003D1671">
              <w:rPr>
                <w:rFonts w:eastAsiaTheme="minorHAnsi"/>
                <w:sz w:val="22"/>
                <w:szCs w:val="22"/>
                <w:lang w:eastAsia="en-US"/>
              </w:rPr>
              <w:t>E</w:t>
            </w:r>
            <w:r w:rsidR="00811039" w:rsidRPr="003D1671">
              <w:rPr>
                <w:rFonts w:eastAsiaTheme="minorHAnsi"/>
                <w:sz w:val="22"/>
                <w:szCs w:val="22"/>
                <w:lang w:eastAsia="en-US"/>
              </w:rPr>
              <w:t xml:space="preserve">nerģētikas </w:t>
            </w:r>
            <w:r w:rsidRPr="003D1671">
              <w:rPr>
                <w:rFonts w:eastAsiaTheme="minorHAnsi"/>
                <w:sz w:val="22"/>
                <w:szCs w:val="22"/>
                <w:lang w:eastAsia="en-US"/>
              </w:rPr>
              <w:t xml:space="preserve">politika </w:t>
            </w:r>
            <w:r w:rsidR="00811039" w:rsidRPr="003D1671">
              <w:rPr>
                <w:rFonts w:eastAsiaTheme="minorHAnsi"/>
                <w:sz w:val="22"/>
                <w:szCs w:val="22"/>
                <w:lang w:eastAsia="en-US"/>
              </w:rPr>
              <w:t>(</w:t>
            </w:r>
            <w:r w:rsidRPr="003D1671">
              <w:rPr>
                <w:rFonts w:eastAsiaTheme="minorHAnsi"/>
                <w:sz w:val="22"/>
                <w:szCs w:val="22"/>
                <w:lang w:eastAsia="en-US"/>
              </w:rPr>
              <w:t>4</w:t>
            </w:r>
            <w:r w:rsidR="00811039" w:rsidRPr="003D1671">
              <w:rPr>
                <w:rFonts w:eastAsiaTheme="minorHAnsi"/>
                <w:sz w:val="22"/>
                <w:szCs w:val="22"/>
                <w:lang w:eastAsia="en-US"/>
              </w:rPr>
              <w:t>.</w:t>
            </w:r>
            <w:r w:rsidRPr="003D1671">
              <w:rPr>
                <w:rFonts w:eastAsiaTheme="minorHAnsi"/>
                <w:sz w:val="22"/>
                <w:szCs w:val="22"/>
                <w:lang w:eastAsia="en-US"/>
              </w:rPr>
              <w:t>1</w:t>
            </w:r>
            <w:r w:rsidR="00811039" w:rsidRPr="003D1671">
              <w:rPr>
                <w:rFonts w:eastAsiaTheme="minorHAnsi"/>
                <w:sz w:val="22"/>
                <w:szCs w:val="22"/>
                <w:lang w:eastAsia="en-US"/>
              </w:rPr>
              <w:t>.3.)</w:t>
            </w:r>
          </w:p>
        </w:tc>
        <w:tc>
          <w:tcPr>
            <w:tcW w:w="2126" w:type="pct"/>
          </w:tcPr>
          <w:p w14:paraId="00953A9C" w14:textId="77777777" w:rsidR="00811039" w:rsidRPr="004B0CBD" w:rsidRDefault="00A548C7" w:rsidP="00EF795C">
            <w:pPr>
              <w:pStyle w:val="liknoteik"/>
              <w:rPr>
                <w:sz w:val="22"/>
                <w:szCs w:val="22"/>
              </w:rPr>
            </w:pPr>
            <w:hyperlink r:id="rId132" w:history="1">
              <w:r w:rsidR="00EF795C" w:rsidRPr="004B0CBD">
                <w:rPr>
                  <w:rStyle w:val="Hyperlink"/>
                  <w:i/>
                  <w:iCs/>
                  <w:color w:val="00859B"/>
                  <w:sz w:val="22"/>
                  <w:szCs w:val="22"/>
                </w:rPr>
                <w:t>Latvijas Nacionālais enerģētikas un klimata plāns 2021.-2030.gadam</w:t>
              </w:r>
            </w:hyperlink>
            <w:r w:rsidR="00811039" w:rsidRPr="004B0CBD">
              <w:rPr>
                <w:sz w:val="22"/>
                <w:szCs w:val="22"/>
              </w:rPr>
              <w:t xml:space="preserve">, </w:t>
            </w:r>
            <w:r w:rsidR="00EF795C" w:rsidRPr="004B0CBD">
              <w:rPr>
                <w:sz w:val="22"/>
                <w:szCs w:val="22"/>
              </w:rPr>
              <w:t>MK 04.02.2020. rīkojums Nr.46</w:t>
            </w:r>
          </w:p>
        </w:tc>
        <w:tc>
          <w:tcPr>
            <w:tcW w:w="1497" w:type="pct"/>
          </w:tcPr>
          <w:p w14:paraId="77F616A2" w14:textId="77777777" w:rsidR="00811039" w:rsidRPr="004B0CBD" w:rsidRDefault="00EF795C" w:rsidP="00811039">
            <w:pPr>
              <w:spacing w:after="0" w:line="240" w:lineRule="auto"/>
              <w:rPr>
                <w:sz w:val="20"/>
                <w:szCs w:val="20"/>
              </w:rPr>
            </w:pPr>
            <w:r w:rsidRPr="004B0CBD">
              <w:rPr>
                <w:sz w:val="20"/>
                <w:szCs w:val="20"/>
              </w:rPr>
              <w:t>https://likumi.lv/ta/id/312423-par-latvijas-nacionalo-energetikas-un-klimata-planu-20212030-gadam</w:t>
            </w:r>
          </w:p>
        </w:tc>
      </w:tr>
      <w:tr w:rsidR="00811039" w:rsidRPr="00F5511B" w14:paraId="7934A82D" w14:textId="77777777" w:rsidTr="00322169">
        <w:trPr>
          <w:trHeight w:val="567"/>
        </w:trPr>
        <w:tc>
          <w:tcPr>
            <w:tcW w:w="241" w:type="pct"/>
            <w:vMerge/>
          </w:tcPr>
          <w:p w14:paraId="49ACFAF5" w14:textId="77777777" w:rsidR="00811039" w:rsidRPr="00F5511B" w:rsidRDefault="00811039" w:rsidP="00811039">
            <w:pPr>
              <w:spacing w:after="0" w:line="240" w:lineRule="auto"/>
              <w:jc w:val="center"/>
              <w:rPr>
                <w:rFonts w:cs="Times New Roman"/>
                <w:b/>
                <w:sz w:val="22"/>
                <w:highlight w:val="yellow"/>
              </w:rPr>
            </w:pPr>
          </w:p>
        </w:tc>
        <w:tc>
          <w:tcPr>
            <w:tcW w:w="1136" w:type="pct"/>
            <w:vMerge/>
          </w:tcPr>
          <w:p w14:paraId="0C245C54" w14:textId="77777777" w:rsidR="00811039" w:rsidRPr="00F5511B" w:rsidRDefault="00811039" w:rsidP="00811039">
            <w:pPr>
              <w:pStyle w:val="tv213"/>
              <w:spacing w:before="0" w:beforeAutospacing="0" w:after="0" w:afterAutospacing="0"/>
              <w:jc w:val="both"/>
              <w:rPr>
                <w:b/>
                <w:sz w:val="22"/>
                <w:szCs w:val="22"/>
                <w:highlight w:val="yellow"/>
              </w:rPr>
            </w:pPr>
          </w:p>
        </w:tc>
        <w:tc>
          <w:tcPr>
            <w:tcW w:w="2126" w:type="pct"/>
          </w:tcPr>
          <w:p w14:paraId="69F6B564" w14:textId="77777777" w:rsidR="00811039" w:rsidRPr="00416F83" w:rsidRDefault="00A548C7" w:rsidP="00811039">
            <w:pPr>
              <w:spacing w:after="0" w:line="240" w:lineRule="auto"/>
              <w:rPr>
                <w:rFonts w:cs="Times New Roman"/>
                <w:sz w:val="22"/>
              </w:rPr>
            </w:pPr>
            <w:hyperlink r:id="rId133" w:history="1">
              <w:r w:rsidR="00811039" w:rsidRPr="00416F83">
                <w:rPr>
                  <w:rFonts w:cs="Times New Roman"/>
                  <w:i/>
                  <w:iCs/>
                  <w:color w:val="00859B"/>
                  <w:sz w:val="22"/>
                  <w:u w:val="single"/>
                </w:rPr>
                <w:t>Enerģētikas attīstības pamatnostādnes 2016.–2020.gadam</w:t>
              </w:r>
            </w:hyperlink>
            <w:r w:rsidR="00811039" w:rsidRPr="00416F83">
              <w:rPr>
                <w:rFonts w:cs="Times New Roman"/>
                <w:sz w:val="22"/>
              </w:rPr>
              <w:t xml:space="preserve">, </w:t>
            </w:r>
            <w:r w:rsidR="00811039" w:rsidRPr="00416F83">
              <w:rPr>
                <w:sz w:val="22"/>
              </w:rPr>
              <w:t>MK </w:t>
            </w:r>
            <w:r w:rsidR="00811039" w:rsidRPr="00416F83">
              <w:rPr>
                <w:rFonts w:cs="Times New Roman"/>
                <w:bCs/>
                <w:sz w:val="22"/>
              </w:rPr>
              <w:t xml:space="preserve">09.02.2016. </w:t>
            </w:r>
            <w:r w:rsidR="00811039" w:rsidRPr="00416F83">
              <w:rPr>
                <w:sz w:val="22"/>
              </w:rPr>
              <w:t>rīkojums Nr.129</w:t>
            </w:r>
          </w:p>
        </w:tc>
        <w:tc>
          <w:tcPr>
            <w:tcW w:w="1497" w:type="pct"/>
          </w:tcPr>
          <w:p w14:paraId="3899A3FB" w14:textId="77777777" w:rsidR="00811039" w:rsidRPr="00416F83" w:rsidRDefault="00A548C7" w:rsidP="00811039">
            <w:pPr>
              <w:spacing w:after="0" w:line="240" w:lineRule="auto"/>
              <w:rPr>
                <w:rFonts w:cs="Times New Roman"/>
                <w:sz w:val="20"/>
                <w:szCs w:val="20"/>
              </w:rPr>
            </w:pPr>
            <w:hyperlink r:id="rId134" w:history="1">
              <w:r w:rsidR="00811039" w:rsidRPr="00416F83">
                <w:rPr>
                  <w:rFonts w:cs="Times New Roman"/>
                  <w:sz w:val="20"/>
                  <w:szCs w:val="20"/>
                </w:rPr>
                <w:t>https://likumi.lv/ta/id/280236-par-energetikas-attistibas-pamatnostadnem-2016-2020-gadam</w:t>
              </w:r>
            </w:hyperlink>
          </w:p>
        </w:tc>
      </w:tr>
      <w:tr w:rsidR="00811039" w:rsidRPr="00F5511B" w14:paraId="701F7FBF" w14:textId="77777777" w:rsidTr="00322169">
        <w:trPr>
          <w:trHeight w:val="567"/>
        </w:trPr>
        <w:tc>
          <w:tcPr>
            <w:tcW w:w="241" w:type="pct"/>
            <w:vMerge/>
          </w:tcPr>
          <w:p w14:paraId="7424B7F0" w14:textId="77777777" w:rsidR="00811039" w:rsidRPr="00F5511B" w:rsidRDefault="00811039" w:rsidP="00811039">
            <w:pPr>
              <w:spacing w:after="0" w:line="240" w:lineRule="auto"/>
              <w:jc w:val="center"/>
              <w:rPr>
                <w:rFonts w:cs="Times New Roman"/>
                <w:b/>
                <w:sz w:val="22"/>
                <w:highlight w:val="yellow"/>
              </w:rPr>
            </w:pPr>
          </w:p>
        </w:tc>
        <w:tc>
          <w:tcPr>
            <w:tcW w:w="1136" w:type="pct"/>
            <w:vMerge/>
          </w:tcPr>
          <w:p w14:paraId="3FB15A1D" w14:textId="77777777" w:rsidR="00811039" w:rsidRPr="00F5511B" w:rsidRDefault="00811039" w:rsidP="00811039">
            <w:pPr>
              <w:pStyle w:val="tv213"/>
              <w:spacing w:before="0" w:beforeAutospacing="0" w:after="0" w:afterAutospacing="0"/>
              <w:jc w:val="both"/>
              <w:rPr>
                <w:b/>
                <w:sz w:val="22"/>
                <w:szCs w:val="22"/>
                <w:highlight w:val="yellow"/>
              </w:rPr>
            </w:pPr>
          </w:p>
        </w:tc>
        <w:tc>
          <w:tcPr>
            <w:tcW w:w="2126" w:type="pct"/>
          </w:tcPr>
          <w:p w14:paraId="11DAE1FB" w14:textId="77777777" w:rsidR="00811039" w:rsidRPr="00F5511B" w:rsidRDefault="00A548C7" w:rsidP="00811039">
            <w:pPr>
              <w:spacing w:after="0" w:line="240" w:lineRule="auto"/>
              <w:rPr>
                <w:rFonts w:cs="Times New Roman"/>
                <w:sz w:val="22"/>
                <w:highlight w:val="yellow"/>
              </w:rPr>
            </w:pPr>
            <w:hyperlink r:id="rId135" w:history="1">
              <w:r w:rsidR="00322169" w:rsidRPr="00322169">
                <w:rPr>
                  <w:rStyle w:val="Hyperlink"/>
                  <w:i/>
                  <w:iCs/>
                  <w:color w:val="00859B"/>
                  <w:sz w:val="22"/>
                </w:rPr>
                <w:t>Konceptuālais ziņojums “Kompleksi pasākumi obligātā iepirkuma komponentes problemātikas risināšanai un elektroenerģija tirgus attīstībai”</w:t>
              </w:r>
            </w:hyperlink>
            <w:r w:rsidR="00811039" w:rsidRPr="00322169">
              <w:rPr>
                <w:sz w:val="22"/>
              </w:rPr>
              <w:t xml:space="preserve">, </w:t>
            </w:r>
            <w:r w:rsidR="00CE199F" w:rsidRPr="00322169">
              <w:t xml:space="preserve">MK </w:t>
            </w:r>
            <w:r w:rsidR="00322169" w:rsidRPr="00322169">
              <w:rPr>
                <w:sz w:val="22"/>
              </w:rPr>
              <w:t>1</w:t>
            </w:r>
            <w:r w:rsidR="00CE199F" w:rsidRPr="00322169">
              <w:rPr>
                <w:sz w:val="22"/>
              </w:rPr>
              <w:t>2.</w:t>
            </w:r>
            <w:r w:rsidR="00322169" w:rsidRPr="00322169">
              <w:rPr>
                <w:sz w:val="22"/>
              </w:rPr>
              <w:t>1</w:t>
            </w:r>
            <w:r w:rsidR="00CE199F" w:rsidRPr="00322169">
              <w:rPr>
                <w:sz w:val="22"/>
              </w:rPr>
              <w:t>0.20</w:t>
            </w:r>
            <w:r w:rsidR="00322169" w:rsidRPr="00322169">
              <w:rPr>
                <w:sz w:val="22"/>
              </w:rPr>
              <w:t>20</w:t>
            </w:r>
            <w:r w:rsidR="00CE199F" w:rsidRPr="00322169">
              <w:rPr>
                <w:sz w:val="22"/>
              </w:rPr>
              <w:t xml:space="preserve">. </w:t>
            </w:r>
            <w:r w:rsidR="00CE199F" w:rsidRPr="00322169">
              <w:t>rīkojums Nr.5</w:t>
            </w:r>
            <w:r w:rsidR="00322169" w:rsidRPr="00322169">
              <w:t>95</w:t>
            </w:r>
          </w:p>
        </w:tc>
        <w:tc>
          <w:tcPr>
            <w:tcW w:w="1497" w:type="pct"/>
          </w:tcPr>
          <w:p w14:paraId="151C0CB0" w14:textId="77777777" w:rsidR="00A2621A" w:rsidRPr="00322169" w:rsidRDefault="00322169" w:rsidP="00811039">
            <w:pPr>
              <w:spacing w:after="0" w:line="240" w:lineRule="auto"/>
              <w:rPr>
                <w:rFonts w:cs="Times New Roman"/>
                <w:sz w:val="20"/>
                <w:szCs w:val="20"/>
                <w:highlight w:val="yellow"/>
              </w:rPr>
            </w:pPr>
            <w:r w:rsidRPr="00322169">
              <w:rPr>
                <w:sz w:val="20"/>
                <w:szCs w:val="20"/>
              </w:rPr>
              <w:t>https://likumi.lv/ta/id/317922-par-konceptualo-zinojumu-kompleksi-pasakumi-obligata-iepirkuma-komponentes-problematikas-risinasanai-un-elektroenergijas</w:t>
            </w:r>
          </w:p>
        </w:tc>
      </w:tr>
      <w:tr w:rsidR="00CE3562" w:rsidRPr="00F5511B" w14:paraId="5A3F4856" w14:textId="77777777" w:rsidTr="00B41BDC">
        <w:trPr>
          <w:trHeight w:val="1515"/>
        </w:trPr>
        <w:tc>
          <w:tcPr>
            <w:tcW w:w="241" w:type="pct"/>
            <w:vMerge w:val="restart"/>
          </w:tcPr>
          <w:p w14:paraId="0374AAFE" w14:textId="77777777" w:rsidR="00CE3562" w:rsidRPr="00F5511B" w:rsidRDefault="00CE3562" w:rsidP="00811039">
            <w:pPr>
              <w:spacing w:after="0" w:line="240" w:lineRule="auto"/>
              <w:jc w:val="center"/>
              <w:rPr>
                <w:rFonts w:cs="Times New Roman"/>
                <w:b/>
                <w:sz w:val="22"/>
                <w:highlight w:val="yellow"/>
              </w:rPr>
            </w:pPr>
            <w:r w:rsidRPr="005775F7">
              <w:rPr>
                <w:rFonts w:cs="Times New Roman"/>
                <w:b/>
                <w:sz w:val="22"/>
              </w:rPr>
              <w:t>4.</w:t>
            </w:r>
          </w:p>
        </w:tc>
        <w:tc>
          <w:tcPr>
            <w:tcW w:w="1136" w:type="pct"/>
            <w:vMerge w:val="restart"/>
          </w:tcPr>
          <w:p w14:paraId="2DD07544" w14:textId="77777777" w:rsidR="00CE3562" w:rsidRDefault="00CE3562" w:rsidP="005775F7">
            <w:pPr>
              <w:pStyle w:val="tv213"/>
              <w:spacing w:before="0" w:beforeAutospacing="0" w:after="0" w:afterAutospacing="0"/>
              <w:rPr>
                <w:rFonts w:eastAsiaTheme="minorHAnsi"/>
                <w:sz w:val="22"/>
                <w:szCs w:val="22"/>
                <w:lang w:eastAsia="en-US"/>
              </w:rPr>
            </w:pPr>
            <w:r w:rsidRPr="003205CB">
              <w:rPr>
                <w:rFonts w:eastAsiaTheme="minorHAnsi"/>
                <w:sz w:val="22"/>
                <w:szCs w:val="22"/>
                <w:lang w:eastAsia="en-US"/>
              </w:rPr>
              <w:t>Inovāciju attīstības politika (4.1.5.)</w:t>
            </w:r>
          </w:p>
          <w:p w14:paraId="312F84E0" w14:textId="77777777" w:rsidR="00CE3562" w:rsidRPr="005775F7" w:rsidRDefault="00CE3562" w:rsidP="005775F7">
            <w:pPr>
              <w:pStyle w:val="tv213"/>
              <w:spacing w:before="0" w:beforeAutospacing="0" w:after="0" w:afterAutospacing="0"/>
              <w:rPr>
                <w:rFonts w:eastAsiaTheme="minorHAnsi"/>
                <w:sz w:val="22"/>
                <w:szCs w:val="22"/>
                <w:lang w:eastAsia="en-US"/>
              </w:rPr>
            </w:pPr>
          </w:p>
        </w:tc>
        <w:tc>
          <w:tcPr>
            <w:tcW w:w="2126" w:type="pct"/>
          </w:tcPr>
          <w:p w14:paraId="070950AF" w14:textId="77777777" w:rsidR="00CE3562" w:rsidRDefault="00A548C7" w:rsidP="001941A0">
            <w:pPr>
              <w:spacing w:after="0" w:line="240" w:lineRule="auto"/>
              <w:rPr>
                <w:sz w:val="22"/>
              </w:rPr>
            </w:pPr>
            <w:hyperlink r:id="rId136" w:history="1">
              <w:r w:rsidR="00CE3562" w:rsidRPr="005775F7">
                <w:rPr>
                  <w:rStyle w:val="Hyperlink"/>
                  <w:i/>
                  <w:iCs/>
                  <w:color w:val="00859B"/>
                  <w:sz w:val="22"/>
                </w:rPr>
                <w:t>Viedās specializācijas stratēģija (RIS3)</w:t>
              </w:r>
            </w:hyperlink>
            <w:r w:rsidR="00CE3562" w:rsidRPr="005775F7">
              <w:rPr>
                <w:sz w:val="22"/>
              </w:rPr>
              <w:t xml:space="preserve">, saskaņā ar MK 10.03.2020. sēdē izskatīto </w:t>
            </w:r>
            <w:hyperlink r:id="rId137" w:history="1">
              <w:r w:rsidR="00CE3562" w:rsidRPr="005775F7">
                <w:rPr>
                  <w:rStyle w:val="Hyperlink"/>
                  <w:i/>
                  <w:iCs/>
                  <w:color w:val="00859B"/>
                  <w:sz w:val="22"/>
                </w:rPr>
                <w:t>informatīvo ziņojumu "Viedās specializācijas stratēģijas monitorings. Otrais ziņojums"</w:t>
              </w:r>
            </w:hyperlink>
            <w:r w:rsidR="00CE3562" w:rsidRPr="005775F7">
              <w:rPr>
                <w:sz w:val="22"/>
              </w:rPr>
              <w:t xml:space="preserve">, </w:t>
            </w:r>
          </w:p>
          <w:p w14:paraId="0B68EBBF" w14:textId="77777777" w:rsidR="00CE3562" w:rsidRPr="00322169" w:rsidRDefault="00CE3562" w:rsidP="001941A0">
            <w:pPr>
              <w:spacing w:after="0" w:line="240" w:lineRule="auto"/>
              <w:rPr>
                <w:rFonts w:cs="Times New Roman"/>
                <w:b/>
                <w:bCs/>
                <w:sz w:val="22"/>
              </w:rPr>
            </w:pPr>
            <w:r w:rsidRPr="005775F7">
              <w:rPr>
                <w:sz w:val="20"/>
                <w:szCs w:val="20"/>
              </w:rPr>
              <w:t>MK nolēma, ka 2021.-2027.gada plānošanas periodā Viedās specializācijas stratēģijas dokuments ir Nacionālās industriālās attīstības pamatnostādnes</w:t>
            </w:r>
          </w:p>
        </w:tc>
        <w:tc>
          <w:tcPr>
            <w:tcW w:w="1497" w:type="pct"/>
          </w:tcPr>
          <w:p w14:paraId="5328AB45" w14:textId="77777777" w:rsidR="00CE3562" w:rsidRPr="00322169" w:rsidRDefault="00A548C7" w:rsidP="00811039">
            <w:pPr>
              <w:spacing w:after="0" w:line="240" w:lineRule="auto"/>
              <w:rPr>
                <w:rFonts w:cs="Times New Roman"/>
                <w:sz w:val="20"/>
                <w:szCs w:val="20"/>
              </w:rPr>
            </w:pPr>
            <w:hyperlink r:id="rId138" w:history="1">
              <w:r w:rsidR="00CE3562" w:rsidRPr="00322169">
                <w:rPr>
                  <w:rStyle w:val="Hyperlink"/>
                  <w:color w:val="auto"/>
                  <w:sz w:val="20"/>
                  <w:szCs w:val="20"/>
                  <w:u w:val="none"/>
                </w:rPr>
                <w:t>https://www.izm.gov.lv/images/zinatne/IZM_ Viedas_Specializ_strategija_2013.pdf</w:t>
              </w:r>
            </w:hyperlink>
          </w:p>
        </w:tc>
      </w:tr>
      <w:tr w:rsidR="00CE3562" w:rsidRPr="00F5511B" w14:paraId="0FFEE963" w14:textId="77777777" w:rsidTr="00322169">
        <w:trPr>
          <w:trHeight w:val="722"/>
        </w:trPr>
        <w:tc>
          <w:tcPr>
            <w:tcW w:w="241" w:type="pct"/>
            <w:vMerge/>
          </w:tcPr>
          <w:p w14:paraId="48C6F604" w14:textId="77777777" w:rsidR="00CE3562" w:rsidRPr="00F5511B" w:rsidRDefault="00CE3562" w:rsidP="003205CB">
            <w:pPr>
              <w:spacing w:after="0" w:line="240" w:lineRule="auto"/>
              <w:jc w:val="center"/>
              <w:rPr>
                <w:rFonts w:cs="Times New Roman"/>
                <w:b/>
                <w:sz w:val="22"/>
                <w:highlight w:val="yellow"/>
              </w:rPr>
            </w:pPr>
          </w:p>
        </w:tc>
        <w:tc>
          <w:tcPr>
            <w:tcW w:w="1136" w:type="pct"/>
            <w:vMerge/>
          </w:tcPr>
          <w:p w14:paraId="13D8CB13" w14:textId="77777777" w:rsidR="00CE3562" w:rsidRPr="00F5511B" w:rsidRDefault="00CE3562" w:rsidP="003205CB">
            <w:pPr>
              <w:pStyle w:val="tv213"/>
              <w:spacing w:before="0" w:beforeAutospacing="0" w:after="0" w:afterAutospacing="0"/>
              <w:jc w:val="both"/>
              <w:rPr>
                <w:rFonts w:eastAsiaTheme="minorHAnsi"/>
                <w:sz w:val="22"/>
                <w:szCs w:val="22"/>
                <w:highlight w:val="yellow"/>
                <w:lang w:eastAsia="en-US"/>
              </w:rPr>
            </w:pPr>
          </w:p>
        </w:tc>
        <w:tc>
          <w:tcPr>
            <w:tcW w:w="2126" w:type="pct"/>
          </w:tcPr>
          <w:p w14:paraId="7EF366A6" w14:textId="77777777" w:rsidR="00CE3562" w:rsidRPr="00F5511B" w:rsidRDefault="00A548C7" w:rsidP="003205CB">
            <w:pPr>
              <w:pStyle w:val="liknoteik"/>
              <w:spacing w:before="0" w:beforeAutospacing="0" w:after="0" w:afterAutospacing="0"/>
              <w:rPr>
                <w:sz w:val="22"/>
                <w:szCs w:val="22"/>
                <w:highlight w:val="yellow"/>
              </w:rPr>
            </w:pPr>
            <w:hyperlink r:id="rId139" w:history="1">
              <w:r w:rsidR="00CE3562" w:rsidRPr="00416F83">
                <w:rPr>
                  <w:rStyle w:val="Hyperlink"/>
                  <w:i/>
                  <w:iCs/>
                  <w:color w:val="00859B"/>
                  <w:sz w:val="22"/>
                  <w:szCs w:val="22"/>
                </w:rPr>
                <w:t>Nacionālās industriālās politikas pamatnostādnes 2021.-2027.gadam</w:t>
              </w:r>
            </w:hyperlink>
            <w:r w:rsidR="00CE3562">
              <w:rPr>
                <w:sz w:val="22"/>
                <w:szCs w:val="22"/>
              </w:rPr>
              <w:t xml:space="preserve">, </w:t>
            </w:r>
            <w:r w:rsidR="00CE3562" w:rsidRPr="00416F83">
              <w:rPr>
                <w:sz w:val="22"/>
                <w:szCs w:val="22"/>
              </w:rPr>
              <w:t>MK 16.02.2020. rīkojums Nr.93</w:t>
            </w:r>
          </w:p>
        </w:tc>
        <w:tc>
          <w:tcPr>
            <w:tcW w:w="1497" w:type="pct"/>
          </w:tcPr>
          <w:p w14:paraId="5AB5EAD6" w14:textId="77777777" w:rsidR="00CE3562" w:rsidRPr="00F5511B" w:rsidRDefault="00CE3562" w:rsidP="003205CB">
            <w:pPr>
              <w:spacing w:after="0" w:line="240" w:lineRule="auto"/>
              <w:rPr>
                <w:sz w:val="20"/>
                <w:szCs w:val="20"/>
                <w:highlight w:val="yellow"/>
              </w:rPr>
            </w:pPr>
            <w:r w:rsidRPr="00416F83">
              <w:rPr>
                <w:rFonts w:cs="Times New Roman"/>
                <w:sz w:val="20"/>
                <w:szCs w:val="20"/>
              </w:rPr>
              <w:t>https://likumi.lv/ta/id/321037-par-nacionalas-industrialas-politikas-pamatnostadnem-2021-2027-gadam</w:t>
            </w:r>
          </w:p>
        </w:tc>
      </w:tr>
      <w:tr w:rsidR="00CE3562" w:rsidRPr="00F5511B" w14:paraId="5CBEB12F" w14:textId="77777777" w:rsidTr="00322169">
        <w:trPr>
          <w:trHeight w:val="722"/>
        </w:trPr>
        <w:tc>
          <w:tcPr>
            <w:tcW w:w="241" w:type="pct"/>
            <w:vMerge/>
          </w:tcPr>
          <w:p w14:paraId="414C460B" w14:textId="77777777" w:rsidR="00CE3562" w:rsidRPr="00F5511B" w:rsidRDefault="00CE3562" w:rsidP="003205CB">
            <w:pPr>
              <w:spacing w:after="0" w:line="240" w:lineRule="auto"/>
              <w:jc w:val="center"/>
              <w:rPr>
                <w:rFonts w:cs="Times New Roman"/>
                <w:b/>
                <w:sz w:val="22"/>
                <w:highlight w:val="yellow"/>
              </w:rPr>
            </w:pPr>
          </w:p>
        </w:tc>
        <w:tc>
          <w:tcPr>
            <w:tcW w:w="1136" w:type="pct"/>
            <w:vMerge/>
          </w:tcPr>
          <w:p w14:paraId="2627EDFD" w14:textId="77777777" w:rsidR="00CE3562" w:rsidRPr="00F5511B" w:rsidRDefault="00CE3562" w:rsidP="003205CB">
            <w:pPr>
              <w:pStyle w:val="tv213"/>
              <w:spacing w:before="0" w:beforeAutospacing="0" w:after="0" w:afterAutospacing="0"/>
              <w:jc w:val="both"/>
              <w:rPr>
                <w:rFonts w:eastAsiaTheme="minorHAnsi"/>
                <w:sz w:val="22"/>
                <w:szCs w:val="22"/>
                <w:highlight w:val="yellow"/>
                <w:lang w:eastAsia="en-US"/>
              </w:rPr>
            </w:pPr>
          </w:p>
        </w:tc>
        <w:tc>
          <w:tcPr>
            <w:tcW w:w="2126" w:type="pct"/>
          </w:tcPr>
          <w:p w14:paraId="64E1BC27" w14:textId="77777777" w:rsidR="00CE3562" w:rsidRDefault="00A548C7" w:rsidP="003205CB">
            <w:pPr>
              <w:pStyle w:val="liknoteik"/>
              <w:spacing w:before="0" w:beforeAutospacing="0" w:after="0" w:afterAutospacing="0"/>
            </w:pPr>
            <w:hyperlink r:id="rId140" w:tgtFrame="_self" w:history="1">
              <w:r w:rsidR="00CE3562" w:rsidRPr="00322169">
                <w:rPr>
                  <w:rStyle w:val="Hyperlink"/>
                  <w:i/>
                  <w:iCs/>
                  <w:color w:val="00859B"/>
                  <w:sz w:val="22"/>
                </w:rPr>
                <w:t>Zinātnes un tehnoloģijas attīstības un inovācijas pamatnostādnes 2014.-2020.gadam</w:t>
              </w:r>
            </w:hyperlink>
            <w:r w:rsidR="00CE3562" w:rsidRPr="00322169">
              <w:rPr>
                <w:sz w:val="22"/>
              </w:rPr>
              <w:t>, MK 28.12.2013. rīkojums Nr.685.</w:t>
            </w:r>
          </w:p>
        </w:tc>
        <w:tc>
          <w:tcPr>
            <w:tcW w:w="1497" w:type="pct"/>
          </w:tcPr>
          <w:p w14:paraId="42FC1BAE" w14:textId="77777777" w:rsidR="00CE3562" w:rsidRPr="00416F83" w:rsidRDefault="00A548C7" w:rsidP="003205CB">
            <w:pPr>
              <w:spacing w:after="0" w:line="240" w:lineRule="auto"/>
              <w:rPr>
                <w:rFonts w:cs="Times New Roman"/>
                <w:sz w:val="20"/>
                <w:szCs w:val="20"/>
              </w:rPr>
            </w:pPr>
            <w:hyperlink r:id="rId141" w:history="1">
              <w:r w:rsidR="00CE3562" w:rsidRPr="00322169">
                <w:rPr>
                  <w:rStyle w:val="Hyperlink"/>
                  <w:rFonts w:cs="Times New Roman"/>
                  <w:color w:val="auto"/>
                  <w:sz w:val="20"/>
                  <w:szCs w:val="20"/>
                  <w:u w:val="none"/>
                </w:rPr>
                <w:t>https://likumi.lv/ta/id/263464-par-zinatnes-tehnologijas-attistibas-un-inovacijas-pamatnostadnem-2014-2020-gadam</w:t>
              </w:r>
            </w:hyperlink>
          </w:p>
        </w:tc>
      </w:tr>
      <w:tr w:rsidR="00CE3562" w:rsidRPr="00F5511B" w14:paraId="67F3B39B" w14:textId="77777777" w:rsidTr="00322169">
        <w:trPr>
          <w:trHeight w:val="722"/>
        </w:trPr>
        <w:tc>
          <w:tcPr>
            <w:tcW w:w="241" w:type="pct"/>
            <w:vMerge/>
          </w:tcPr>
          <w:p w14:paraId="1AA04326" w14:textId="77777777" w:rsidR="00CE3562" w:rsidRPr="00F5511B" w:rsidRDefault="00CE3562" w:rsidP="003205CB">
            <w:pPr>
              <w:spacing w:after="0" w:line="240" w:lineRule="auto"/>
              <w:jc w:val="center"/>
              <w:rPr>
                <w:rFonts w:cs="Times New Roman"/>
                <w:b/>
                <w:sz w:val="22"/>
                <w:highlight w:val="yellow"/>
              </w:rPr>
            </w:pPr>
          </w:p>
        </w:tc>
        <w:tc>
          <w:tcPr>
            <w:tcW w:w="1136" w:type="pct"/>
            <w:vMerge/>
          </w:tcPr>
          <w:p w14:paraId="113CD1F0" w14:textId="77777777" w:rsidR="00CE3562" w:rsidRPr="00F5511B" w:rsidRDefault="00CE3562" w:rsidP="003205CB">
            <w:pPr>
              <w:pStyle w:val="tv213"/>
              <w:spacing w:before="0" w:beforeAutospacing="0" w:after="0" w:afterAutospacing="0"/>
              <w:jc w:val="both"/>
              <w:rPr>
                <w:rFonts w:eastAsiaTheme="minorHAnsi"/>
                <w:sz w:val="22"/>
                <w:szCs w:val="22"/>
                <w:highlight w:val="yellow"/>
                <w:lang w:eastAsia="en-US"/>
              </w:rPr>
            </w:pPr>
          </w:p>
        </w:tc>
        <w:tc>
          <w:tcPr>
            <w:tcW w:w="2126" w:type="pct"/>
          </w:tcPr>
          <w:p w14:paraId="654EA273" w14:textId="77777777" w:rsidR="00CE3562" w:rsidRPr="00B41BDC" w:rsidRDefault="00A548C7" w:rsidP="003205CB">
            <w:pPr>
              <w:pStyle w:val="liknoteik"/>
              <w:spacing w:before="0" w:beforeAutospacing="0" w:after="0" w:afterAutospacing="0"/>
              <w:rPr>
                <w:sz w:val="22"/>
                <w:szCs w:val="22"/>
              </w:rPr>
            </w:pPr>
            <w:hyperlink r:id="rId142" w:history="1">
              <w:r w:rsidR="00B41BDC" w:rsidRPr="00B41BDC">
                <w:rPr>
                  <w:rStyle w:val="Hyperlink"/>
                  <w:i/>
                  <w:iCs/>
                  <w:color w:val="00859B"/>
                  <w:sz w:val="22"/>
                  <w:szCs w:val="22"/>
                </w:rPr>
                <w:t>Zinātnes, tehnoloģijas attīstības un inovācijas pamatnostādnes 2021.-2027.gadam</w:t>
              </w:r>
            </w:hyperlink>
            <w:r w:rsidR="00B41BDC" w:rsidRPr="00B41BDC">
              <w:rPr>
                <w:sz w:val="22"/>
                <w:szCs w:val="22"/>
              </w:rPr>
              <w:t>, MK 14.04.2021. rīkojums Nr.246.</w:t>
            </w:r>
          </w:p>
        </w:tc>
        <w:tc>
          <w:tcPr>
            <w:tcW w:w="1497" w:type="pct"/>
          </w:tcPr>
          <w:p w14:paraId="14BB13CF" w14:textId="77777777" w:rsidR="00CE3562" w:rsidRPr="00B41BDC" w:rsidRDefault="00B41BDC" w:rsidP="003205CB">
            <w:pPr>
              <w:spacing w:after="0" w:line="240" w:lineRule="auto"/>
              <w:rPr>
                <w:sz w:val="20"/>
                <w:szCs w:val="20"/>
              </w:rPr>
            </w:pPr>
            <w:r w:rsidRPr="00B41BDC">
              <w:rPr>
                <w:sz w:val="20"/>
                <w:szCs w:val="20"/>
              </w:rPr>
              <w:t>https://likumi.lv/ta/id/322468-par-zinatnes-tehnologijas-attistibas-un-inovacijas-pamatnostadnem-20212027-gadam</w:t>
            </w:r>
          </w:p>
        </w:tc>
      </w:tr>
      <w:tr w:rsidR="009E309C" w:rsidRPr="00F5511B" w14:paraId="7C793A58" w14:textId="77777777" w:rsidTr="009E309C">
        <w:trPr>
          <w:trHeight w:val="794"/>
        </w:trPr>
        <w:tc>
          <w:tcPr>
            <w:tcW w:w="241" w:type="pct"/>
            <w:vMerge w:val="restart"/>
          </w:tcPr>
          <w:p w14:paraId="0B3E1F1F" w14:textId="77777777" w:rsidR="009E309C" w:rsidRPr="005775F7" w:rsidRDefault="009E309C" w:rsidP="009E309C">
            <w:pPr>
              <w:spacing w:after="0" w:line="240" w:lineRule="auto"/>
              <w:jc w:val="center"/>
              <w:rPr>
                <w:rFonts w:cs="Times New Roman"/>
                <w:b/>
                <w:sz w:val="22"/>
              </w:rPr>
            </w:pPr>
            <w:r w:rsidRPr="005775F7">
              <w:rPr>
                <w:rFonts w:cs="Times New Roman"/>
                <w:b/>
                <w:sz w:val="22"/>
              </w:rPr>
              <w:t>5.</w:t>
            </w:r>
          </w:p>
        </w:tc>
        <w:tc>
          <w:tcPr>
            <w:tcW w:w="1136" w:type="pct"/>
            <w:vMerge w:val="restart"/>
          </w:tcPr>
          <w:p w14:paraId="693CAB9F" w14:textId="77777777" w:rsidR="009E309C" w:rsidRDefault="009E309C" w:rsidP="009E309C">
            <w:pPr>
              <w:pStyle w:val="tv213"/>
              <w:spacing w:before="0" w:beforeAutospacing="0" w:after="0" w:afterAutospacing="0"/>
              <w:rPr>
                <w:rFonts w:eastAsia="Franklin Gothic Book"/>
                <w:sz w:val="22"/>
                <w:szCs w:val="22"/>
              </w:rPr>
            </w:pPr>
            <w:r w:rsidRPr="00D86659">
              <w:rPr>
                <w:rFonts w:eastAsia="Franklin Gothic Book"/>
                <w:sz w:val="22"/>
                <w:szCs w:val="22"/>
              </w:rPr>
              <w:t>Iekšējā tirgus politika (4.1.4.);</w:t>
            </w:r>
          </w:p>
          <w:p w14:paraId="5790D7EA" w14:textId="77777777" w:rsidR="009E309C" w:rsidRPr="00D86659" w:rsidRDefault="009E309C" w:rsidP="009E309C">
            <w:pPr>
              <w:pStyle w:val="tv213"/>
              <w:spacing w:before="0" w:beforeAutospacing="0" w:after="0" w:afterAutospacing="0"/>
              <w:rPr>
                <w:rFonts w:eastAsia="Franklin Gothic Book"/>
                <w:sz w:val="22"/>
                <w:szCs w:val="22"/>
              </w:rPr>
            </w:pPr>
            <w:r>
              <w:rPr>
                <w:rFonts w:eastAsia="Franklin Gothic Book"/>
                <w:sz w:val="22"/>
                <w:szCs w:val="22"/>
              </w:rPr>
              <w:t>K</w:t>
            </w:r>
            <w:r w:rsidRPr="00D86659">
              <w:rPr>
                <w:rFonts w:eastAsia="Franklin Gothic Book"/>
                <w:sz w:val="22"/>
                <w:szCs w:val="22"/>
              </w:rPr>
              <w:t>omercdarbības attīstības politika</w:t>
            </w:r>
            <w:r>
              <w:rPr>
                <w:rFonts w:eastAsia="Franklin Gothic Book"/>
                <w:sz w:val="22"/>
                <w:szCs w:val="22"/>
              </w:rPr>
              <w:t> (4.1.6.);</w:t>
            </w:r>
          </w:p>
          <w:p w14:paraId="6AB80E16" w14:textId="77777777" w:rsidR="009E309C" w:rsidRPr="00D86659" w:rsidRDefault="009E309C" w:rsidP="009E309C">
            <w:pPr>
              <w:pStyle w:val="tv213"/>
              <w:spacing w:before="0" w:beforeAutospacing="0" w:after="0" w:afterAutospacing="0"/>
              <w:rPr>
                <w:rFonts w:eastAsia="Franklin Gothic Book"/>
                <w:sz w:val="22"/>
                <w:szCs w:val="22"/>
              </w:rPr>
            </w:pPr>
            <w:r w:rsidRPr="00D86659">
              <w:rPr>
                <w:rFonts w:eastAsia="Franklin Gothic Book"/>
                <w:sz w:val="22"/>
                <w:szCs w:val="22"/>
              </w:rPr>
              <w:t>Patērētāju tiesību aizsardzības politika (4.1.9.)</w:t>
            </w:r>
          </w:p>
          <w:p w14:paraId="32015947" w14:textId="77777777" w:rsidR="009E309C" w:rsidRPr="00F5511B" w:rsidRDefault="009E309C" w:rsidP="009E309C">
            <w:pPr>
              <w:pStyle w:val="tv213"/>
              <w:spacing w:before="0" w:beforeAutospacing="0" w:after="0" w:afterAutospacing="0"/>
              <w:jc w:val="both"/>
              <w:rPr>
                <w:rFonts w:eastAsiaTheme="minorHAnsi"/>
                <w:sz w:val="22"/>
                <w:szCs w:val="22"/>
                <w:highlight w:val="yellow"/>
                <w:lang w:eastAsia="en-US"/>
              </w:rPr>
            </w:pPr>
          </w:p>
        </w:tc>
        <w:tc>
          <w:tcPr>
            <w:tcW w:w="2126" w:type="pct"/>
          </w:tcPr>
          <w:p w14:paraId="78CAD939" w14:textId="77777777" w:rsidR="009E309C" w:rsidRPr="009E309C" w:rsidRDefault="00A548C7" w:rsidP="009E309C">
            <w:pPr>
              <w:spacing w:after="0" w:line="240" w:lineRule="auto"/>
              <w:rPr>
                <w:sz w:val="22"/>
              </w:rPr>
            </w:pPr>
            <w:hyperlink r:id="rId143" w:history="1">
              <w:r w:rsidR="009E309C" w:rsidRPr="009E309C">
                <w:rPr>
                  <w:rFonts w:cs="Times New Roman"/>
                  <w:i/>
                  <w:iCs/>
                  <w:color w:val="00859B"/>
                  <w:sz w:val="22"/>
                  <w:u w:val="single"/>
                </w:rPr>
                <w:t>Uzņēmējdarbības vides pilnveidošanas pasākumu plāns 2019.–2022.gadam</w:t>
              </w:r>
            </w:hyperlink>
            <w:r w:rsidR="009E309C" w:rsidRPr="009E309C">
              <w:rPr>
                <w:rFonts w:cs="Times New Roman"/>
                <w:sz w:val="22"/>
              </w:rPr>
              <w:t xml:space="preserve">, </w:t>
            </w:r>
            <w:r w:rsidR="009E309C" w:rsidRPr="009E309C">
              <w:rPr>
                <w:sz w:val="22"/>
              </w:rPr>
              <w:t xml:space="preserve">MK </w:t>
            </w:r>
            <w:r w:rsidR="009E309C" w:rsidRPr="009E309C">
              <w:rPr>
                <w:rFonts w:cs="Times New Roman"/>
                <w:sz w:val="22"/>
              </w:rPr>
              <w:t>22.05.2019.</w:t>
            </w:r>
            <w:r w:rsidR="009E309C" w:rsidRPr="009E309C">
              <w:rPr>
                <w:sz w:val="22"/>
              </w:rPr>
              <w:t xml:space="preserve"> rīkojums Nr.247 </w:t>
            </w:r>
          </w:p>
          <w:p w14:paraId="18FC5725" w14:textId="77777777" w:rsidR="009E309C" w:rsidRPr="00F5511B" w:rsidRDefault="009E309C" w:rsidP="009E309C">
            <w:pPr>
              <w:spacing w:after="0" w:line="240" w:lineRule="auto"/>
              <w:rPr>
                <w:rFonts w:cs="Times New Roman"/>
                <w:sz w:val="22"/>
                <w:highlight w:val="yellow"/>
              </w:rPr>
            </w:pPr>
            <w:r w:rsidRPr="009E309C">
              <w:rPr>
                <w:rFonts w:cs="Times New Roman"/>
                <w:sz w:val="22"/>
              </w:rPr>
              <w:t>(</w:t>
            </w:r>
            <w:r w:rsidRPr="009E309C">
              <w:rPr>
                <w:rFonts w:cs="Times New Roman"/>
                <w:sz w:val="20"/>
                <w:szCs w:val="20"/>
              </w:rPr>
              <w:t>t.sk. par “Konsultē vispirms” principa ieviešanu).</w:t>
            </w:r>
          </w:p>
        </w:tc>
        <w:tc>
          <w:tcPr>
            <w:tcW w:w="1497" w:type="pct"/>
          </w:tcPr>
          <w:p w14:paraId="23A7EE99" w14:textId="77777777" w:rsidR="009E309C" w:rsidRPr="00F5511B" w:rsidRDefault="00A548C7" w:rsidP="009E309C">
            <w:pPr>
              <w:spacing w:after="0" w:line="240" w:lineRule="auto"/>
              <w:rPr>
                <w:rFonts w:cs="Times New Roman"/>
                <w:sz w:val="20"/>
                <w:szCs w:val="20"/>
                <w:highlight w:val="yellow"/>
              </w:rPr>
            </w:pPr>
            <w:hyperlink r:id="rId144" w:history="1">
              <w:r w:rsidR="009E309C" w:rsidRPr="009E309C">
                <w:rPr>
                  <w:rFonts w:cs="Times New Roman"/>
                  <w:sz w:val="20"/>
                  <w:szCs w:val="20"/>
                </w:rPr>
                <w:t>https://likumi.lv/ta/id/307037-par-uznemejdarbibas-vides-pilnveidosanas-pasakumu-planu-2019-2022-gadam</w:t>
              </w:r>
            </w:hyperlink>
          </w:p>
        </w:tc>
      </w:tr>
      <w:tr w:rsidR="009E309C" w:rsidRPr="00F5511B" w14:paraId="3908BB07" w14:textId="77777777" w:rsidTr="00322169">
        <w:trPr>
          <w:trHeight w:val="567"/>
        </w:trPr>
        <w:tc>
          <w:tcPr>
            <w:tcW w:w="241" w:type="pct"/>
            <w:vMerge/>
          </w:tcPr>
          <w:p w14:paraId="51C04F35" w14:textId="77777777" w:rsidR="009E309C" w:rsidRPr="00F5511B" w:rsidRDefault="009E309C" w:rsidP="009E309C">
            <w:pPr>
              <w:spacing w:after="0" w:line="240" w:lineRule="auto"/>
              <w:jc w:val="center"/>
              <w:rPr>
                <w:rFonts w:cs="Times New Roman"/>
                <w:b/>
                <w:sz w:val="22"/>
                <w:highlight w:val="yellow"/>
              </w:rPr>
            </w:pPr>
          </w:p>
        </w:tc>
        <w:tc>
          <w:tcPr>
            <w:tcW w:w="1136" w:type="pct"/>
            <w:vMerge/>
          </w:tcPr>
          <w:p w14:paraId="59AB8D3A" w14:textId="77777777" w:rsidR="009E309C" w:rsidRPr="00F5511B" w:rsidRDefault="009E309C" w:rsidP="009E309C">
            <w:pPr>
              <w:pStyle w:val="tv213"/>
              <w:spacing w:before="0" w:beforeAutospacing="0" w:after="0" w:afterAutospacing="0"/>
              <w:jc w:val="both"/>
              <w:rPr>
                <w:rFonts w:eastAsiaTheme="minorHAnsi"/>
                <w:sz w:val="22"/>
                <w:szCs w:val="22"/>
                <w:highlight w:val="yellow"/>
                <w:lang w:eastAsia="en-US"/>
              </w:rPr>
            </w:pPr>
          </w:p>
        </w:tc>
        <w:tc>
          <w:tcPr>
            <w:tcW w:w="2126" w:type="pct"/>
          </w:tcPr>
          <w:p w14:paraId="2555D645" w14:textId="77777777" w:rsidR="009E309C" w:rsidRPr="00B41BDC" w:rsidRDefault="00A548C7" w:rsidP="009E309C">
            <w:pPr>
              <w:pStyle w:val="liknoteik"/>
              <w:rPr>
                <w:sz w:val="22"/>
                <w:szCs w:val="22"/>
              </w:rPr>
            </w:pPr>
            <w:hyperlink r:id="rId145" w:history="1">
              <w:r w:rsidR="009E309C" w:rsidRPr="00B41BDC">
                <w:rPr>
                  <w:rStyle w:val="Hyperlink"/>
                  <w:i/>
                  <w:iCs/>
                  <w:color w:val="00859B"/>
                  <w:sz w:val="22"/>
                  <w:szCs w:val="22"/>
                </w:rPr>
                <w:t>Rīcības plāns publisko iepirkumu sistēmas uzlabošanai</w:t>
              </w:r>
            </w:hyperlink>
            <w:r w:rsidR="009E309C" w:rsidRPr="00B41BDC">
              <w:rPr>
                <w:sz w:val="22"/>
                <w:szCs w:val="22"/>
              </w:rPr>
              <w:t>, MK 11.02.2020. rīkojums Nr.49.</w:t>
            </w:r>
          </w:p>
        </w:tc>
        <w:tc>
          <w:tcPr>
            <w:tcW w:w="1497" w:type="pct"/>
          </w:tcPr>
          <w:p w14:paraId="6909D3A1" w14:textId="77777777" w:rsidR="009E309C" w:rsidRPr="00B41BDC" w:rsidRDefault="00A548C7" w:rsidP="009E309C">
            <w:pPr>
              <w:spacing w:after="0" w:line="240" w:lineRule="auto"/>
              <w:rPr>
                <w:sz w:val="20"/>
                <w:szCs w:val="20"/>
              </w:rPr>
            </w:pPr>
            <w:hyperlink r:id="rId146" w:history="1">
              <w:r w:rsidR="009E309C" w:rsidRPr="00B41BDC">
                <w:rPr>
                  <w:rStyle w:val="Hyperlink"/>
                  <w:color w:val="auto"/>
                  <w:sz w:val="20"/>
                  <w:szCs w:val="20"/>
                  <w:u w:val="none"/>
                </w:rPr>
                <w:t>https://likumi.lv/ta/id/312539-par-ricibas-planu-publisko-iepirkumu-sistemas-uzlabosanai</w:t>
              </w:r>
            </w:hyperlink>
          </w:p>
        </w:tc>
      </w:tr>
      <w:tr w:rsidR="009E309C" w:rsidRPr="00F5511B" w14:paraId="616F05EB" w14:textId="77777777" w:rsidTr="00322169">
        <w:trPr>
          <w:trHeight w:val="567"/>
        </w:trPr>
        <w:tc>
          <w:tcPr>
            <w:tcW w:w="241" w:type="pct"/>
          </w:tcPr>
          <w:p w14:paraId="1EFBD8D5" w14:textId="77777777" w:rsidR="009E309C" w:rsidRPr="005775F7" w:rsidRDefault="009E309C" w:rsidP="009E309C">
            <w:pPr>
              <w:spacing w:after="0" w:line="240" w:lineRule="auto"/>
              <w:jc w:val="center"/>
              <w:rPr>
                <w:rFonts w:cs="Times New Roman"/>
                <w:b/>
                <w:sz w:val="22"/>
              </w:rPr>
            </w:pPr>
            <w:r w:rsidRPr="005775F7">
              <w:rPr>
                <w:rFonts w:cs="Times New Roman"/>
                <w:b/>
                <w:sz w:val="22"/>
              </w:rPr>
              <w:t>6.</w:t>
            </w:r>
          </w:p>
        </w:tc>
        <w:tc>
          <w:tcPr>
            <w:tcW w:w="1136" w:type="pct"/>
          </w:tcPr>
          <w:p w14:paraId="3EBA1C53" w14:textId="77777777" w:rsidR="009E309C" w:rsidRDefault="009E309C" w:rsidP="009E309C">
            <w:pPr>
              <w:pStyle w:val="tv213"/>
              <w:spacing w:before="0" w:beforeAutospacing="0" w:after="0" w:afterAutospacing="0"/>
              <w:jc w:val="both"/>
              <w:rPr>
                <w:rFonts w:eastAsiaTheme="minorHAnsi"/>
                <w:sz w:val="22"/>
                <w:szCs w:val="22"/>
                <w:lang w:eastAsia="en-US"/>
              </w:rPr>
            </w:pPr>
            <w:r w:rsidRPr="006A03F1">
              <w:rPr>
                <w:rFonts w:eastAsiaTheme="minorHAnsi"/>
                <w:sz w:val="22"/>
                <w:szCs w:val="22"/>
                <w:lang w:eastAsia="en-US"/>
              </w:rPr>
              <w:t>Standartizācijas politiku (4.1.12.)</w:t>
            </w:r>
          </w:p>
          <w:p w14:paraId="04DD77CB" w14:textId="77777777" w:rsidR="009E309C" w:rsidRPr="009E309C" w:rsidRDefault="009E309C" w:rsidP="009E309C">
            <w:pPr>
              <w:pStyle w:val="tv213"/>
              <w:spacing w:before="0" w:beforeAutospacing="0" w:after="0" w:afterAutospacing="0"/>
              <w:jc w:val="both"/>
              <w:rPr>
                <w:rFonts w:eastAsiaTheme="minorHAnsi"/>
                <w:sz w:val="22"/>
                <w:szCs w:val="22"/>
                <w:lang w:eastAsia="en-US"/>
              </w:rPr>
            </w:pPr>
          </w:p>
        </w:tc>
        <w:tc>
          <w:tcPr>
            <w:tcW w:w="2126" w:type="pct"/>
          </w:tcPr>
          <w:p w14:paraId="3F495FD8" w14:textId="77777777" w:rsidR="009E309C" w:rsidRPr="009E309C" w:rsidRDefault="00A548C7" w:rsidP="009E309C">
            <w:pPr>
              <w:spacing w:after="0" w:line="240" w:lineRule="auto"/>
              <w:rPr>
                <w:sz w:val="22"/>
              </w:rPr>
            </w:pPr>
            <w:hyperlink r:id="rId147" w:history="1">
              <w:r w:rsidR="009E309C" w:rsidRPr="009E309C">
                <w:rPr>
                  <w:rFonts w:cs="Times New Roman"/>
                  <w:i/>
                  <w:iCs/>
                  <w:color w:val="00859B"/>
                  <w:sz w:val="22"/>
                  <w:u w:val="single"/>
                </w:rPr>
                <w:t>Konceptuāls ziņojums "Par Latvijas nacionālās standartizācijas sistēmas pilnveidošanu"</w:t>
              </w:r>
            </w:hyperlink>
            <w:r w:rsidR="009E309C" w:rsidRPr="009E309C">
              <w:rPr>
                <w:rFonts w:cs="Times New Roman"/>
                <w:sz w:val="22"/>
              </w:rPr>
              <w:t xml:space="preserve">, </w:t>
            </w:r>
            <w:r w:rsidR="009E309C" w:rsidRPr="009E309C">
              <w:rPr>
                <w:sz w:val="22"/>
              </w:rPr>
              <w:t xml:space="preserve">MK </w:t>
            </w:r>
            <w:r w:rsidR="009E309C" w:rsidRPr="009E309C">
              <w:rPr>
                <w:rFonts w:cs="Times New Roman"/>
                <w:sz w:val="22"/>
              </w:rPr>
              <w:t xml:space="preserve">21.09.2016. </w:t>
            </w:r>
            <w:r w:rsidR="009E309C" w:rsidRPr="009E309C">
              <w:rPr>
                <w:sz w:val="22"/>
              </w:rPr>
              <w:t xml:space="preserve">rīkojums Nr.534, </w:t>
            </w:r>
          </w:p>
          <w:p w14:paraId="7CEEA4AD" w14:textId="77777777" w:rsidR="009E309C" w:rsidRPr="009E309C" w:rsidRDefault="009E309C" w:rsidP="009E309C">
            <w:pPr>
              <w:spacing w:after="0" w:line="240" w:lineRule="auto"/>
              <w:rPr>
                <w:rFonts w:cs="Times New Roman"/>
                <w:bCs/>
                <w:sz w:val="22"/>
              </w:rPr>
            </w:pPr>
            <w:r w:rsidRPr="009E309C">
              <w:rPr>
                <w:sz w:val="20"/>
                <w:szCs w:val="20"/>
              </w:rPr>
              <w:t>Ņemot vērā</w:t>
            </w:r>
            <w:r w:rsidRPr="009E309C">
              <w:rPr>
                <w:rFonts w:cs="Times New Roman"/>
                <w:sz w:val="20"/>
                <w:szCs w:val="20"/>
              </w:rPr>
              <w:t xml:space="preserve"> pieņemtos grozījumus, darbs turpinājās arī 2020.gadā</w:t>
            </w:r>
            <w:r w:rsidRPr="009E309C">
              <w:rPr>
                <w:rFonts w:cs="Times New Roman"/>
                <w:i/>
                <w:iCs/>
                <w:sz w:val="22"/>
              </w:rPr>
              <w:t>.</w:t>
            </w:r>
          </w:p>
        </w:tc>
        <w:tc>
          <w:tcPr>
            <w:tcW w:w="1497" w:type="pct"/>
          </w:tcPr>
          <w:p w14:paraId="6A307E6D" w14:textId="77777777" w:rsidR="009E309C" w:rsidRPr="009E309C" w:rsidRDefault="00A548C7" w:rsidP="009E309C">
            <w:pPr>
              <w:spacing w:after="0" w:line="240" w:lineRule="auto"/>
              <w:rPr>
                <w:rFonts w:cs="Times New Roman"/>
                <w:sz w:val="20"/>
                <w:szCs w:val="20"/>
              </w:rPr>
            </w:pPr>
            <w:hyperlink r:id="rId148" w:history="1">
              <w:r w:rsidR="009E309C" w:rsidRPr="009E309C">
                <w:rPr>
                  <w:rStyle w:val="Hyperlink"/>
                  <w:rFonts w:cs="Times New Roman"/>
                  <w:color w:val="auto"/>
                  <w:sz w:val="20"/>
                  <w:szCs w:val="20"/>
                  <w:u w:val="none"/>
                </w:rPr>
                <w:t>https://likumi.lv/ta/id/284921-par-konceptualo-zinojumu-par-latvijas-nacionalas-standartizacijas-sistemas-pilnveidosanu</w:t>
              </w:r>
            </w:hyperlink>
          </w:p>
        </w:tc>
      </w:tr>
      <w:tr w:rsidR="009E309C" w:rsidRPr="00F5511B" w14:paraId="6365725D" w14:textId="77777777" w:rsidTr="009E309C">
        <w:trPr>
          <w:trHeight w:val="567"/>
        </w:trPr>
        <w:tc>
          <w:tcPr>
            <w:tcW w:w="241" w:type="pct"/>
          </w:tcPr>
          <w:p w14:paraId="7B42FEE8" w14:textId="77777777" w:rsidR="009E309C" w:rsidRPr="00352487" w:rsidRDefault="009E309C" w:rsidP="009E309C">
            <w:pPr>
              <w:spacing w:after="0" w:line="240" w:lineRule="auto"/>
              <w:jc w:val="center"/>
              <w:rPr>
                <w:rFonts w:cs="Times New Roman"/>
                <w:b/>
                <w:sz w:val="22"/>
              </w:rPr>
            </w:pPr>
            <w:r>
              <w:rPr>
                <w:rFonts w:cs="Times New Roman"/>
                <w:b/>
                <w:sz w:val="22"/>
              </w:rPr>
              <w:t>7</w:t>
            </w:r>
            <w:r w:rsidRPr="00352487">
              <w:rPr>
                <w:rFonts w:cs="Times New Roman"/>
                <w:b/>
                <w:sz w:val="22"/>
              </w:rPr>
              <w:t>.</w:t>
            </w:r>
          </w:p>
        </w:tc>
        <w:tc>
          <w:tcPr>
            <w:tcW w:w="1136" w:type="pct"/>
          </w:tcPr>
          <w:p w14:paraId="5439F1C2" w14:textId="77777777" w:rsidR="009E309C" w:rsidRDefault="009E309C" w:rsidP="009E309C">
            <w:pPr>
              <w:pStyle w:val="tv213"/>
              <w:spacing w:before="0" w:beforeAutospacing="0" w:after="0" w:afterAutospacing="0"/>
              <w:jc w:val="both"/>
              <w:rPr>
                <w:rFonts w:eastAsiaTheme="minorHAnsi"/>
                <w:sz w:val="22"/>
                <w:szCs w:val="22"/>
                <w:lang w:eastAsia="en-US"/>
              </w:rPr>
            </w:pPr>
            <w:r w:rsidRPr="00EF1F00">
              <w:rPr>
                <w:rFonts w:eastAsiaTheme="minorHAnsi"/>
                <w:sz w:val="22"/>
                <w:szCs w:val="22"/>
                <w:lang w:eastAsia="en-US"/>
              </w:rPr>
              <w:t>Tūrisma politika (4.1.14.)</w:t>
            </w:r>
          </w:p>
          <w:p w14:paraId="4DFC7378" w14:textId="77777777" w:rsidR="00991BD7" w:rsidRPr="00352487" w:rsidRDefault="00991BD7" w:rsidP="009E309C">
            <w:pPr>
              <w:pStyle w:val="tv213"/>
              <w:spacing w:before="0" w:beforeAutospacing="0" w:after="0" w:afterAutospacing="0"/>
              <w:jc w:val="both"/>
              <w:rPr>
                <w:b/>
                <w:sz w:val="22"/>
                <w:szCs w:val="22"/>
              </w:rPr>
            </w:pPr>
          </w:p>
        </w:tc>
        <w:tc>
          <w:tcPr>
            <w:tcW w:w="2126" w:type="pct"/>
          </w:tcPr>
          <w:p w14:paraId="68E6B42F" w14:textId="77777777" w:rsidR="009E309C" w:rsidRPr="00352487" w:rsidRDefault="00A548C7" w:rsidP="009E309C">
            <w:pPr>
              <w:spacing w:after="0" w:line="240" w:lineRule="auto"/>
              <w:rPr>
                <w:rFonts w:cs="Times New Roman"/>
                <w:b/>
                <w:sz w:val="22"/>
              </w:rPr>
            </w:pPr>
            <w:hyperlink r:id="rId149" w:history="1">
              <w:r w:rsidR="009E309C" w:rsidRPr="00352487">
                <w:rPr>
                  <w:rFonts w:cs="Times New Roman"/>
                  <w:i/>
                  <w:iCs/>
                  <w:color w:val="00859B"/>
                  <w:sz w:val="22"/>
                  <w:u w:val="single"/>
                </w:rPr>
                <w:t>Latvijas tūrisma attīstības pamatnostādnes 2014.–2020.gadam</w:t>
              </w:r>
            </w:hyperlink>
            <w:r w:rsidR="009E309C" w:rsidRPr="00352487">
              <w:rPr>
                <w:rFonts w:cs="Times New Roman"/>
                <w:sz w:val="22"/>
              </w:rPr>
              <w:t xml:space="preserve">, </w:t>
            </w:r>
            <w:r w:rsidR="009E309C" w:rsidRPr="00352487">
              <w:rPr>
                <w:rFonts w:cs="Times New Roman"/>
                <w:bCs/>
                <w:sz w:val="22"/>
              </w:rPr>
              <w:t xml:space="preserve">MK 03.07.2014. rīkojums Nr.326 </w:t>
            </w:r>
          </w:p>
        </w:tc>
        <w:tc>
          <w:tcPr>
            <w:tcW w:w="1497" w:type="pct"/>
          </w:tcPr>
          <w:p w14:paraId="759B56FF" w14:textId="77777777" w:rsidR="009E309C" w:rsidRPr="00352487" w:rsidRDefault="00A548C7" w:rsidP="009E309C">
            <w:pPr>
              <w:spacing w:after="0" w:line="240" w:lineRule="auto"/>
              <w:rPr>
                <w:rFonts w:cs="Times New Roman"/>
                <w:sz w:val="20"/>
                <w:szCs w:val="20"/>
              </w:rPr>
            </w:pPr>
            <w:hyperlink r:id="rId150" w:history="1">
              <w:r w:rsidR="009E309C" w:rsidRPr="00352487">
                <w:rPr>
                  <w:rStyle w:val="Hyperlink"/>
                  <w:rFonts w:cs="Times New Roman"/>
                  <w:color w:val="auto"/>
                  <w:sz w:val="20"/>
                  <w:szCs w:val="20"/>
                  <w:u w:val="none"/>
                </w:rPr>
                <w:t>https://likumi.lv/ta/id/267332-par-latvijas-turisma-attistibas-pamatnostadnem-2014-2020-gadam</w:t>
              </w:r>
            </w:hyperlink>
          </w:p>
        </w:tc>
      </w:tr>
      <w:tr w:rsidR="009E309C" w:rsidRPr="00F5511B" w14:paraId="78C34BD8" w14:textId="77777777" w:rsidTr="00322169">
        <w:trPr>
          <w:trHeight w:val="454"/>
        </w:trPr>
        <w:tc>
          <w:tcPr>
            <w:tcW w:w="241" w:type="pct"/>
            <w:vMerge w:val="restart"/>
          </w:tcPr>
          <w:p w14:paraId="45E15232" w14:textId="77777777" w:rsidR="009E309C" w:rsidRPr="00F5511B" w:rsidRDefault="009E309C" w:rsidP="009E309C">
            <w:pPr>
              <w:spacing w:after="0" w:line="240" w:lineRule="auto"/>
              <w:jc w:val="center"/>
              <w:rPr>
                <w:rFonts w:cs="Times New Roman"/>
                <w:b/>
                <w:sz w:val="22"/>
                <w:highlight w:val="yellow"/>
              </w:rPr>
            </w:pPr>
            <w:r w:rsidRPr="005775F7">
              <w:rPr>
                <w:rFonts w:cs="Times New Roman"/>
                <w:b/>
                <w:sz w:val="22"/>
              </w:rPr>
              <w:t>8.</w:t>
            </w:r>
          </w:p>
        </w:tc>
        <w:tc>
          <w:tcPr>
            <w:tcW w:w="1136" w:type="pct"/>
            <w:vMerge w:val="restart"/>
          </w:tcPr>
          <w:p w14:paraId="701B1E07" w14:textId="77777777" w:rsidR="009E309C" w:rsidRDefault="009E309C" w:rsidP="009E309C">
            <w:pPr>
              <w:pStyle w:val="tv213"/>
              <w:spacing w:before="0" w:beforeAutospacing="0" w:after="0" w:afterAutospacing="0"/>
              <w:jc w:val="both"/>
              <w:rPr>
                <w:rFonts w:eastAsia="Franklin Gothic Book"/>
                <w:sz w:val="22"/>
                <w:szCs w:val="22"/>
              </w:rPr>
            </w:pPr>
            <w:r w:rsidRPr="00D86659">
              <w:rPr>
                <w:rFonts w:eastAsia="Franklin Gothic Book"/>
                <w:sz w:val="22"/>
                <w:szCs w:val="22"/>
              </w:rPr>
              <w:t>Mājokļu politika (4.1.8.)</w:t>
            </w:r>
          </w:p>
          <w:p w14:paraId="5B5BF8E3" w14:textId="77777777" w:rsidR="00991BD7" w:rsidRPr="00D86659" w:rsidRDefault="00991BD7" w:rsidP="009E309C">
            <w:pPr>
              <w:pStyle w:val="tv213"/>
              <w:spacing w:before="0" w:beforeAutospacing="0" w:after="0" w:afterAutospacing="0"/>
              <w:jc w:val="both"/>
              <w:rPr>
                <w:b/>
                <w:sz w:val="22"/>
                <w:szCs w:val="22"/>
                <w:highlight w:val="yellow"/>
              </w:rPr>
            </w:pPr>
          </w:p>
        </w:tc>
        <w:tc>
          <w:tcPr>
            <w:tcW w:w="2126" w:type="pct"/>
          </w:tcPr>
          <w:p w14:paraId="72681087" w14:textId="77777777" w:rsidR="009E309C" w:rsidRPr="005775F7" w:rsidRDefault="00A548C7" w:rsidP="009E309C">
            <w:pPr>
              <w:spacing w:after="0" w:line="240" w:lineRule="auto"/>
              <w:rPr>
                <w:rFonts w:cs="Times New Roman"/>
                <w:sz w:val="22"/>
                <w:highlight w:val="yellow"/>
              </w:rPr>
            </w:pPr>
            <w:hyperlink r:id="rId151" w:history="1">
              <w:r w:rsidR="009E309C">
                <w:rPr>
                  <w:rStyle w:val="Hyperlink"/>
                  <w:i/>
                  <w:iCs/>
                  <w:color w:val="00859B"/>
                  <w:sz w:val="22"/>
                </w:rPr>
                <w:t>In</w:t>
              </w:r>
              <w:r w:rsidR="009E309C" w:rsidRPr="005775F7">
                <w:rPr>
                  <w:rStyle w:val="Hyperlink"/>
                  <w:i/>
                  <w:iCs/>
                  <w:color w:val="00859B"/>
                  <w:sz w:val="22"/>
                </w:rPr>
                <w:t>formatīv</w:t>
              </w:r>
              <w:r w:rsidR="009E309C">
                <w:rPr>
                  <w:rStyle w:val="Hyperlink"/>
                  <w:i/>
                  <w:iCs/>
                  <w:color w:val="00859B"/>
                  <w:sz w:val="22"/>
                </w:rPr>
                <w:t>ais</w:t>
              </w:r>
              <w:r w:rsidR="009E309C" w:rsidRPr="005775F7">
                <w:rPr>
                  <w:rStyle w:val="Hyperlink"/>
                  <w:i/>
                  <w:iCs/>
                  <w:color w:val="00859B"/>
                  <w:sz w:val="22"/>
                </w:rPr>
                <w:t xml:space="preserve"> ziņojum</w:t>
              </w:r>
              <w:r w:rsidR="009E309C">
                <w:rPr>
                  <w:rStyle w:val="Hyperlink"/>
                  <w:i/>
                  <w:iCs/>
                  <w:color w:val="00859B"/>
                  <w:sz w:val="22"/>
                </w:rPr>
                <w:t>s</w:t>
              </w:r>
              <w:r w:rsidR="009E309C" w:rsidRPr="005775F7">
                <w:rPr>
                  <w:rStyle w:val="Hyperlink"/>
                  <w:i/>
                  <w:iCs/>
                  <w:color w:val="00859B"/>
                  <w:sz w:val="22"/>
                </w:rPr>
                <w:t xml:space="preserve"> “Ēku atjaunošanas ilgtermiņa stratēģija”</w:t>
              </w:r>
            </w:hyperlink>
            <w:r w:rsidR="009E309C">
              <w:rPr>
                <w:sz w:val="22"/>
              </w:rPr>
              <w:t>, M</w:t>
            </w:r>
            <w:r w:rsidR="009E309C" w:rsidRPr="005775F7">
              <w:rPr>
                <w:sz w:val="22"/>
              </w:rPr>
              <w:t>K </w:t>
            </w:r>
            <w:r w:rsidR="009E309C">
              <w:rPr>
                <w:sz w:val="22"/>
              </w:rPr>
              <w:t>10</w:t>
            </w:r>
            <w:r w:rsidR="009E309C" w:rsidRPr="005775F7">
              <w:rPr>
                <w:sz w:val="22"/>
              </w:rPr>
              <w:t>.</w:t>
            </w:r>
            <w:r w:rsidR="009E309C">
              <w:rPr>
                <w:sz w:val="22"/>
              </w:rPr>
              <w:t>11</w:t>
            </w:r>
            <w:r w:rsidR="009E309C" w:rsidRPr="005775F7">
              <w:rPr>
                <w:sz w:val="22"/>
              </w:rPr>
              <w:t>.2020. prot. Nr.</w:t>
            </w:r>
            <w:r w:rsidR="009E309C">
              <w:rPr>
                <w:sz w:val="22"/>
              </w:rPr>
              <w:t>702</w:t>
            </w:r>
            <w:r w:rsidR="009E309C" w:rsidRPr="005775F7">
              <w:rPr>
                <w:sz w:val="22"/>
              </w:rPr>
              <w:t>5.§</w:t>
            </w:r>
          </w:p>
        </w:tc>
        <w:tc>
          <w:tcPr>
            <w:tcW w:w="1497" w:type="pct"/>
          </w:tcPr>
          <w:p w14:paraId="1D4EF2BF" w14:textId="77777777" w:rsidR="009E309C" w:rsidRPr="00F5511B" w:rsidRDefault="009E309C" w:rsidP="009E309C">
            <w:pPr>
              <w:spacing w:after="0" w:line="240" w:lineRule="auto"/>
              <w:rPr>
                <w:rFonts w:cs="Times New Roman"/>
                <w:sz w:val="20"/>
                <w:szCs w:val="20"/>
                <w:highlight w:val="yellow"/>
              </w:rPr>
            </w:pPr>
            <w:r w:rsidRPr="005775F7">
              <w:rPr>
                <w:rFonts w:cs="Times New Roman"/>
                <w:sz w:val="20"/>
                <w:szCs w:val="20"/>
              </w:rPr>
              <w:t>http://tap.mk.gov.lv/mk/tap/?pid=40487380</w:t>
            </w:r>
          </w:p>
        </w:tc>
      </w:tr>
      <w:tr w:rsidR="009E309C" w:rsidRPr="00F5511B" w14:paraId="0AC6E931" w14:textId="77777777" w:rsidTr="00322169">
        <w:trPr>
          <w:trHeight w:val="454"/>
        </w:trPr>
        <w:tc>
          <w:tcPr>
            <w:tcW w:w="241" w:type="pct"/>
            <w:vMerge/>
          </w:tcPr>
          <w:p w14:paraId="7741A217" w14:textId="77777777" w:rsidR="009E309C" w:rsidRPr="00F5511B" w:rsidRDefault="009E309C" w:rsidP="009E309C">
            <w:pPr>
              <w:spacing w:after="0" w:line="240" w:lineRule="auto"/>
              <w:jc w:val="center"/>
              <w:rPr>
                <w:rFonts w:cs="Times New Roman"/>
                <w:b/>
                <w:sz w:val="22"/>
                <w:highlight w:val="yellow"/>
              </w:rPr>
            </w:pPr>
          </w:p>
        </w:tc>
        <w:tc>
          <w:tcPr>
            <w:tcW w:w="1136" w:type="pct"/>
            <w:vMerge/>
          </w:tcPr>
          <w:p w14:paraId="2BF439AD" w14:textId="77777777" w:rsidR="009E309C" w:rsidRPr="00D86659" w:rsidRDefault="009E309C" w:rsidP="009E309C">
            <w:pPr>
              <w:pStyle w:val="tv213"/>
              <w:spacing w:before="0" w:beforeAutospacing="0" w:after="0" w:afterAutospacing="0"/>
              <w:jc w:val="both"/>
              <w:rPr>
                <w:rFonts w:eastAsia="Franklin Gothic Book"/>
                <w:sz w:val="22"/>
                <w:szCs w:val="22"/>
              </w:rPr>
            </w:pPr>
          </w:p>
        </w:tc>
        <w:tc>
          <w:tcPr>
            <w:tcW w:w="2126" w:type="pct"/>
          </w:tcPr>
          <w:p w14:paraId="53557C49" w14:textId="77777777" w:rsidR="009E309C" w:rsidRPr="005775F7" w:rsidRDefault="00A548C7" w:rsidP="009E309C">
            <w:pPr>
              <w:spacing w:after="0" w:line="240" w:lineRule="auto"/>
              <w:rPr>
                <w:sz w:val="22"/>
              </w:rPr>
            </w:pPr>
            <w:hyperlink r:id="rId152" w:history="1">
              <w:r w:rsidR="009E309C" w:rsidRPr="005775F7">
                <w:rPr>
                  <w:rStyle w:val="Hyperlink"/>
                  <w:i/>
                  <w:iCs/>
                  <w:color w:val="00859B"/>
                  <w:sz w:val="22"/>
                </w:rPr>
                <w:t>Rīcības plān</w:t>
              </w:r>
              <w:r w:rsidR="00991BD7">
                <w:rPr>
                  <w:rStyle w:val="Hyperlink"/>
                  <w:i/>
                  <w:iCs/>
                  <w:color w:val="00859B"/>
                  <w:sz w:val="22"/>
                </w:rPr>
                <w:t>s</w:t>
              </w:r>
              <w:r w:rsidR="009E309C" w:rsidRPr="005775F7">
                <w:rPr>
                  <w:rStyle w:val="Hyperlink"/>
                  <w:i/>
                  <w:iCs/>
                  <w:color w:val="00859B"/>
                  <w:sz w:val="22"/>
                </w:rPr>
                <w:t xml:space="preserve"> pasākumiem dzīvojamā fonda tehniskā stāvokļa pilnveidošanai ekspluatācijas laikā</w:t>
              </w:r>
            </w:hyperlink>
            <w:r w:rsidR="009E309C">
              <w:rPr>
                <w:rFonts w:cs="Times New Roman"/>
                <w:bCs/>
                <w:sz w:val="22"/>
              </w:rPr>
              <w:t>, M</w:t>
            </w:r>
            <w:r w:rsidR="009E309C" w:rsidRPr="00352487">
              <w:rPr>
                <w:rFonts w:cs="Times New Roman"/>
                <w:bCs/>
                <w:sz w:val="22"/>
              </w:rPr>
              <w:t xml:space="preserve">K </w:t>
            </w:r>
            <w:r w:rsidR="009E309C">
              <w:rPr>
                <w:rFonts w:cs="Times New Roman"/>
                <w:bCs/>
                <w:sz w:val="22"/>
              </w:rPr>
              <w:t>11</w:t>
            </w:r>
            <w:r w:rsidR="009E309C" w:rsidRPr="00352487">
              <w:rPr>
                <w:rFonts w:cs="Times New Roman"/>
                <w:bCs/>
                <w:sz w:val="22"/>
              </w:rPr>
              <w:t>.</w:t>
            </w:r>
            <w:r w:rsidR="009E309C">
              <w:rPr>
                <w:rFonts w:cs="Times New Roman"/>
                <w:bCs/>
                <w:sz w:val="22"/>
              </w:rPr>
              <w:t>12</w:t>
            </w:r>
            <w:r w:rsidR="009E309C" w:rsidRPr="00352487">
              <w:rPr>
                <w:rFonts w:cs="Times New Roman"/>
                <w:bCs/>
                <w:sz w:val="22"/>
              </w:rPr>
              <w:t>.20</w:t>
            </w:r>
            <w:r w:rsidR="009E309C">
              <w:rPr>
                <w:rFonts w:cs="Times New Roman"/>
                <w:bCs/>
                <w:sz w:val="22"/>
              </w:rPr>
              <w:t>20</w:t>
            </w:r>
            <w:r w:rsidR="009E309C" w:rsidRPr="00352487">
              <w:rPr>
                <w:rFonts w:cs="Times New Roman"/>
                <w:bCs/>
                <w:sz w:val="22"/>
              </w:rPr>
              <w:t>. rīkojums Nr.</w:t>
            </w:r>
            <w:r w:rsidR="009E309C">
              <w:rPr>
                <w:rFonts w:cs="Times New Roman"/>
                <w:bCs/>
                <w:sz w:val="22"/>
              </w:rPr>
              <w:t>7</w:t>
            </w:r>
            <w:r w:rsidR="009E309C" w:rsidRPr="00352487">
              <w:rPr>
                <w:rFonts w:cs="Times New Roman"/>
                <w:bCs/>
                <w:sz w:val="22"/>
              </w:rPr>
              <w:t>6</w:t>
            </w:r>
            <w:r w:rsidR="009E309C">
              <w:rPr>
                <w:rFonts w:cs="Times New Roman"/>
                <w:bCs/>
                <w:sz w:val="22"/>
              </w:rPr>
              <w:t>1</w:t>
            </w:r>
          </w:p>
        </w:tc>
        <w:tc>
          <w:tcPr>
            <w:tcW w:w="1497" w:type="pct"/>
          </w:tcPr>
          <w:p w14:paraId="118DDF94" w14:textId="77777777" w:rsidR="009E309C" w:rsidRPr="005775F7" w:rsidRDefault="009E309C" w:rsidP="009E309C">
            <w:pPr>
              <w:spacing w:after="0" w:line="240" w:lineRule="auto"/>
              <w:rPr>
                <w:rFonts w:cs="Times New Roman"/>
                <w:sz w:val="20"/>
                <w:szCs w:val="20"/>
              </w:rPr>
            </w:pPr>
            <w:r w:rsidRPr="005775F7">
              <w:rPr>
                <w:rFonts w:cs="Times New Roman"/>
                <w:sz w:val="20"/>
                <w:szCs w:val="20"/>
              </w:rPr>
              <w:t>https://likumi.lv/ta/id/319472-par-ricibas-planu-pasakumiem-dzivojama-fonda-tehniska-stavokla-pilnveidosanai-ekspluatacijas-laika</w:t>
            </w:r>
          </w:p>
        </w:tc>
      </w:tr>
      <w:tr w:rsidR="009E309C" w:rsidRPr="00F5511B" w14:paraId="03BA9D7F" w14:textId="77777777" w:rsidTr="00322169">
        <w:trPr>
          <w:trHeight w:val="850"/>
        </w:trPr>
        <w:tc>
          <w:tcPr>
            <w:tcW w:w="241" w:type="pct"/>
          </w:tcPr>
          <w:p w14:paraId="0BECA7AA" w14:textId="77777777" w:rsidR="009E309C" w:rsidRPr="00B81A1F" w:rsidRDefault="009E309C" w:rsidP="009E309C">
            <w:pPr>
              <w:spacing w:after="0" w:line="240" w:lineRule="auto"/>
              <w:jc w:val="center"/>
              <w:rPr>
                <w:rFonts w:cs="Times New Roman"/>
                <w:b/>
                <w:sz w:val="22"/>
              </w:rPr>
            </w:pPr>
            <w:r>
              <w:rPr>
                <w:rFonts w:cs="Times New Roman"/>
                <w:b/>
                <w:sz w:val="22"/>
              </w:rPr>
              <w:t>9</w:t>
            </w:r>
            <w:r w:rsidRPr="00B81A1F">
              <w:rPr>
                <w:rFonts w:cs="Times New Roman"/>
                <w:b/>
                <w:sz w:val="22"/>
              </w:rPr>
              <w:t>.</w:t>
            </w:r>
          </w:p>
        </w:tc>
        <w:tc>
          <w:tcPr>
            <w:tcW w:w="1136" w:type="pct"/>
          </w:tcPr>
          <w:p w14:paraId="10E8D457" w14:textId="77777777" w:rsidR="009E309C" w:rsidRDefault="009E309C" w:rsidP="009E309C">
            <w:pPr>
              <w:pStyle w:val="tv213"/>
              <w:spacing w:before="0" w:beforeAutospacing="0" w:after="0" w:afterAutospacing="0"/>
              <w:jc w:val="both"/>
              <w:rPr>
                <w:rFonts w:eastAsiaTheme="minorHAnsi"/>
                <w:sz w:val="22"/>
                <w:szCs w:val="22"/>
                <w:lang w:eastAsia="en-US"/>
              </w:rPr>
            </w:pPr>
            <w:r>
              <w:rPr>
                <w:rFonts w:eastAsiaTheme="minorHAnsi"/>
                <w:sz w:val="22"/>
                <w:szCs w:val="22"/>
                <w:lang w:eastAsia="en-US"/>
              </w:rPr>
              <w:t xml:space="preserve">Privatizācijas politika (4.1.10) </w:t>
            </w:r>
          </w:p>
          <w:p w14:paraId="4F26CE31" w14:textId="77777777" w:rsidR="009E309C" w:rsidRPr="00B21FBD" w:rsidRDefault="009E309C" w:rsidP="009E309C">
            <w:pPr>
              <w:pStyle w:val="tv213"/>
              <w:spacing w:before="0" w:beforeAutospacing="0" w:after="0" w:afterAutospacing="0"/>
              <w:jc w:val="both"/>
              <w:rPr>
                <w:b/>
                <w:sz w:val="20"/>
                <w:szCs w:val="20"/>
              </w:rPr>
            </w:pPr>
          </w:p>
        </w:tc>
        <w:tc>
          <w:tcPr>
            <w:tcW w:w="2126" w:type="pct"/>
          </w:tcPr>
          <w:p w14:paraId="1EC11DAC" w14:textId="77777777" w:rsidR="009E309C" w:rsidRDefault="00A548C7" w:rsidP="009E309C">
            <w:pPr>
              <w:spacing w:after="0" w:line="240" w:lineRule="auto"/>
              <w:jc w:val="both"/>
              <w:rPr>
                <w:sz w:val="22"/>
              </w:rPr>
            </w:pPr>
            <w:hyperlink r:id="rId153" w:history="1">
              <w:r w:rsidR="009E309C" w:rsidRPr="00B81A1F">
                <w:rPr>
                  <w:rStyle w:val="Hyperlink"/>
                  <w:i/>
                  <w:iCs/>
                  <w:color w:val="00859B"/>
                </w:rPr>
                <w:t>V</w:t>
              </w:r>
              <w:r w:rsidR="009E309C" w:rsidRPr="00B81A1F">
                <w:rPr>
                  <w:rStyle w:val="Hyperlink"/>
                  <w:rFonts w:cs="Times New Roman"/>
                  <w:i/>
                  <w:iCs/>
                  <w:color w:val="00859B"/>
                  <w:sz w:val="22"/>
                </w:rPr>
                <w:t>alsts un pašvaldību īpašuma privatizācijas valsts stratēģija (pamatnostādnes)</w:t>
              </w:r>
            </w:hyperlink>
            <w:r w:rsidR="009E309C" w:rsidRPr="00B81A1F">
              <w:rPr>
                <w:rFonts w:cs="Times New Roman"/>
                <w:sz w:val="22"/>
              </w:rPr>
              <w:t xml:space="preserve">, </w:t>
            </w:r>
            <w:r w:rsidR="009E309C" w:rsidRPr="00B81A1F">
              <w:rPr>
                <w:sz w:val="22"/>
              </w:rPr>
              <w:t xml:space="preserve">MK </w:t>
            </w:r>
            <w:r w:rsidR="009E309C" w:rsidRPr="00B81A1F">
              <w:rPr>
                <w:rFonts w:cs="Times New Roman"/>
                <w:sz w:val="22"/>
              </w:rPr>
              <w:t>04.08.2003.</w:t>
            </w:r>
            <w:r w:rsidR="009E309C" w:rsidRPr="00B81A1F">
              <w:rPr>
                <w:sz w:val="22"/>
              </w:rPr>
              <w:t xml:space="preserve"> rīkojums Nr.486</w:t>
            </w:r>
          </w:p>
          <w:p w14:paraId="719C0A3A" w14:textId="77777777" w:rsidR="009E309C" w:rsidRPr="00B81A1F" w:rsidRDefault="009E309C" w:rsidP="009E309C">
            <w:pPr>
              <w:spacing w:after="0" w:line="240" w:lineRule="auto"/>
              <w:jc w:val="both"/>
              <w:rPr>
                <w:rFonts w:cs="Times New Roman"/>
                <w:sz w:val="22"/>
              </w:rPr>
            </w:pPr>
            <w:r w:rsidRPr="00B21FBD">
              <w:rPr>
                <w:sz w:val="20"/>
                <w:szCs w:val="20"/>
              </w:rPr>
              <w:t>EM turpina strādāt pie privatizācijas procesa pabeigšanas</w:t>
            </w:r>
          </w:p>
        </w:tc>
        <w:tc>
          <w:tcPr>
            <w:tcW w:w="1497" w:type="pct"/>
          </w:tcPr>
          <w:p w14:paraId="0A413C7F" w14:textId="77777777" w:rsidR="009E309C" w:rsidRPr="00B81A1F" w:rsidRDefault="00A548C7" w:rsidP="009E309C">
            <w:pPr>
              <w:spacing w:after="0" w:line="240" w:lineRule="auto"/>
              <w:rPr>
                <w:rFonts w:cs="Times New Roman"/>
                <w:sz w:val="20"/>
                <w:szCs w:val="20"/>
              </w:rPr>
            </w:pPr>
            <w:hyperlink r:id="rId154" w:history="1">
              <w:r w:rsidR="009E309C" w:rsidRPr="00B81A1F">
                <w:rPr>
                  <w:rStyle w:val="Hyperlink"/>
                  <w:rFonts w:cs="Times New Roman"/>
                  <w:color w:val="auto"/>
                  <w:sz w:val="20"/>
                  <w:szCs w:val="20"/>
                  <w:u w:val="none"/>
                </w:rPr>
                <w:t>https://likumi.lv/ta/id/77812-par-valsts-un-pasvaldibu-ipasuma-privatizacijas-valsts-strategiju-pamatnostadnem</w:t>
              </w:r>
            </w:hyperlink>
          </w:p>
        </w:tc>
      </w:tr>
    </w:tbl>
    <w:p w14:paraId="2938BDF2" w14:textId="77777777" w:rsidR="004015E4" w:rsidRPr="00B81A1F" w:rsidRDefault="004015E4" w:rsidP="006937F0">
      <w:pPr>
        <w:spacing w:before="60" w:after="20"/>
        <w:jc w:val="both"/>
        <w:rPr>
          <w:rFonts w:cs="Times New Roman"/>
          <w:i/>
          <w:sz w:val="18"/>
          <w:szCs w:val="18"/>
        </w:rPr>
      </w:pPr>
      <w:r w:rsidRPr="00B81A1F">
        <w:rPr>
          <w:rFonts w:cs="Times New Roman"/>
          <w:i/>
          <w:sz w:val="18"/>
          <w:szCs w:val="18"/>
        </w:rPr>
        <w:t>Avots: www.likumi.lv; Politikas plānošanas dokumentu datubāze POLSIS, EM mājas lapa, EM nolikums, EM departamentu informācija</w:t>
      </w:r>
    </w:p>
    <w:p w14:paraId="00DBB839" w14:textId="77777777" w:rsidR="00B03F01" w:rsidRPr="00F5511B" w:rsidRDefault="00B03F01">
      <w:pPr>
        <w:spacing w:after="0" w:line="240" w:lineRule="auto"/>
        <w:rPr>
          <w:rFonts w:cs="Times New Roman"/>
          <w:i/>
          <w:sz w:val="18"/>
          <w:szCs w:val="18"/>
          <w:highlight w:val="yellow"/>
        </w:rPr>
      </w:pPr>
    </w:p>
    <w:p w14:paraId="083704E1" w14:textId="77777777" w:rsidR="003E3763" w:rsidRPr="00F5511B" w:rsidRDefault="003E3763">
      <w:pPr>
        <w:spacing w:after="0" w:line="240" w:lineRule="auto"/>
        <w:rPr>
          <w:rFonts w:cs="Times New Roman"/>
          <w:i/>
          <w:sz w:val="18"/>
          <w:szCs w:val="18"/>
          <w:highlight w:val="yellow"/>
        </w:rPr>
      </w:pPr>
      <w:r w:rsidRPr="00F5511B">
        <w:rPr>
          <w:rFonts w:cs="Times New Roman"/>
          <w:i/>
          <w:sz w:val="18"/>
          <w:szCs w:val="18"/>
          <w:highlight w:val="yellow"/>
        </w:rPr>
        <w:br w:type="page"/>
      </w:r>
    </w:p>
    <w:p w14:paraId="41C2D89F" w14:textId="77777777" w:rsidR="00B50A89" w:rsidRPr="00F5511B" w:rsidRDefault="00B50A89" w:rsidP="00290B7C">
      <w:pPr>
        <w:spacing w:before="20" w:after="20"/>
        <w:jc w:val="both"/>
        <w:rPr>
          <w:rFonts w:cs="Times New Roman"/>
          <w:i/>
          <w:sz w:val="18"/>
          <w:szCs w:val="18"/>
          <w:highlight w:val="yellow"/>
        </w:rPr>
      </w:pPr>
    </w:p>
    <w:p w14:paraId="6AFD2988" w14:textId="1A272BD3" w:rsidR="0007454F" w:rsidRPr="004B7530" w:rsidRDefault="00290B7C" w:rsidP="00BE6C4B">
      <w:pPr>
        <w:pStyle w:val="Heading1"/>
        <w:numPr>
          <w:ilvl w:val="0"/>
          <w:numId w:val="9"/>
        </w:numPr>
        <w:spacing w:after="60"/>
        <w:ind w:left="714" w:hanging="357"/>
      </w:pPr>
      <w:bookmarkStart w:id="101" w:name="_EM_darbības_virziena"/>
      <w:bookmarkStart w:id="102" w:name="_Toc78874619"/>
      <w:bookmarkEnd w:id="101"/>
      <w:r w:rsidRPr="004B7530">
        <w:t xml:space="preserve">Pielikums. </w:t>
      </w:r>
      <w:r w:rsidR="0007454F" w:rsidRPr="004B7530">
        <w:t xml:space="preserve">EM </w:t>
      </w:r>
      <w:r w:rsidR="0007454F" w:rsidRPr="004B7530">
        <w:rPr>
          <w:b w:val="0"/>
        </w:rPr>
        <w:t>darbības</w:t>
      </w:r>
      <w:r w:rsidR="0007454F" w:rsidRPr="004B7530">
        <w:t xml:space="preserve"> virziena “Produktivitātes paaugstināšana” </w:t>
      </w:r>
      <w:r w:rsidR="00F2362C" w:rsidRPr="004B7530">
        <w:t>rezultatīvo rādītāju dinamika</w:t>
      </w:r>
      <w:bookmarkEnd w:id="99"/>
      <w:bookmarkEnd w:id="102"/>
    </w:p>
    <w:tbl>
      <w:tblPr>
        <w:tblW w:w="14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35"/>
        <w:gridCol w:w="4706"/>
        <w:gridCol w:w="1417"/>
        <w:gridCol w:w="1417"/>
        <w:gridCol w:w="1417"/>
        <w:gridCol w:w="1417"/>
        <w:gridCol w:w="1417"/>
      </w:tblGrid>
      <w:tr w:rsidR="005C5C57" w:rsidRPr="00F5511B" w14:paraId="5DB6FA32" w14:textId="77777777" w:rsidTr="007715C6">
        <w:trPr>
          <w:trHeight w:val="382"/>
          <w:jc w:val="center"/>
        </w:trPr>
        <w:tc>
          <w:tcPr>
            <w:tcW w:w="2835" w:type="dxa"/>
            <w:vMerge w:val="restart"/>
            <w:shd w:val="clear" w:color="auto" w:fill="FFFFFF" w:themeFill="background1"/>
            <w:vAlign w:val="center"/>
          </w:tcPr>
          <w:p w14:paraId="0D2F3FCB" w14:textId="77777777" w:rsidR="005C5C57" w:rsidRPr="004B7530" w:rsidRDefault="005C5C57" w:rsidP="006158BA">
            <w:pPr>
              <w:pStyle w:val="naislab"/>
              <w:spacing w:before="0" w:after="0"/>
              <w:jc w:val="center"/>
              <w:rPr>
                <w:b/>
                <w:sz w:val="24"/>
              </w:rPr>
            </w:pPr>
            <w:r w:rsidRPr="004B7530">
              <w:rPr>
                <w:b/>
                <w:sz w:val="24"/>
              </w:rPr>
              <w:t>Rezultāts</w:t>
            </w:r>
          </w:p>
        </w:tc>
        <w:tc>
          <w:tcPr>
            <w:tcW w:w="4706" w:type="dxa"/>
            <w:vMerge w:val="restart"/>
            <w:shd w:val="clear" w:color="auto" w:fill="FFFFFF" w:themeFill="background1"/>
            <w:vAlign w:val="center"/>
          </w:tcPr>
          <w:p w14:paraId="68AF0C1C" w14:textId="77777777" w:rsidR="005C5C57" w:rsidRPr="004B7530" w:rsidRDefault="005C5C57" w:rsidP="006158BA">
            <w:pPr>
              <w:pStyle w:val="naislab"/>
              <w:spacing w:before="0" w:after="0"/>
              <w:jc w:val="center"/>
              <w:rPr>
                <w:b/>
                <w:sz w:val="24"/>
              </w:rPr>
            </w:pPr>
            <w:r w:rsidRPr="004B7530">
              <w:rPr>
                <w:b/>
                <w:sz w:val="24"/>
              </w:rPr>
              <w:t>Rezultatīvais rādītājs</w:t>
            </w:r>
          </w:p>
        </w:tc>
        <w:tc>
          <w:tcPr>
            <w:tcW w:w="7085" w:type="dxa"/>
            <w:gridSpan w:val="5"/>
            <w:shd w:val="clear" w:color="auto" w:fill="FFFFFF" w:themeFill="background1"/>
            <w:vAlign w:val="center"/>
          </w:tcPr>
          <w:p w14:paraId="1E70854F" w14:textId="46B186EB" w:rsidR="005C5C57" w:rsidRPr="004B7530" w:rsidRDefault="005C5C57" w:rsidP="002C04D4">
            <w:pPr>
              <w:pStyle w:val="naislab"/>
              <w:spacing w:before="0" w:after="0"/>
              <w:jc w:val="center"/>
              <w:rPr>
                <w:b/>
                <w:sz w:val="24"/>
              </w:rPr>
            </w:pPr>
            <w:r w:rsidRPr="004B7530">
              <w:rPr>
                <w:b/>
                <w:sz w:val="24"/>
              </w:rPr>
              <w:t>Rezultatīvā rādītāja skaitliskās vērtības</w:t>
            </w:r>
          </w:p>
        </w:tc>
      </w:tr>
      <w:tr w:rsidR="00DB7D76" w:rsidRPr="00F5511B" w14:paraId="07790235" w14:textId="77777777" w:rsidTr="005C5C57">
        <w:trPr>
          <w:trHeight w:val="20"/>
          <w:jc w:val="center"/>
        </w:trPr>
        <w:tc>
          <w:tcPr>
            <w:tcW w:w="2835" w:type="dxa"/>
            <w:vMerge/>
            <w:shd w:val="clear" w:color="auto" w:fill="00859B"/>
          </w:tcPr>
          <w:p w14:paraId="4FA9297A" w14:textId="77777777" w:rsidR="005C5C57" w:rsidRPr="004B7530" w:rsidRDefault="005C5C57" w:rsidP="00A065A3">
            <w:pPr>
              <w:pStyle w:val="naislab"/>
              <w:spacing w:before="0" w:after="0"/>
              <w:jc w:val="left"/>
              <w:rPr>
                <w:sz w:val="24"/>
              </w:rPr>
            </w:pPr>
          </w:p>
        </w:tc>
        <w:tc>
          <w:tcPr>
            <w:tcW w:w="4706" w:type="dxa"/>
            <w:vMerge/>
            <w:shd w:val="clear" w:color="auto" w:fill="00859B"/>
          </w:tcPr>
          <w:p w14:paraId="27A91AF1" w14:textId="77777777" w:rsidR="005C5C57" w:rsidRPr="004B7530" w:rsidRDefault="005C5C57" w:rsidP="00A065A3">
            <w:pPr>
              <w:pStyle w:val="naislab"/>
              <w:spacing w:before="0" w:after="0"/>
              <w:jc w:val="left"/>
              <w:rPr>
                <w:sz w:val="24"/>
              </w:rPr>
            </w:pPr>
          </w:p>
        </w:tc>
        <w:tc>
          <w:tcPr>
            <w:tcW w:w="1417" w:type="dxa"/>
            <w:shd w:val="clear" w:color="auto" w:fill="DAEEF3" w:themeFill="accent5" w:themeFillTint="33"/>
            <w:vAlign w:val="center"/>
          </w:tcPr>
          <w:p w14:paraId="266CB144" w14:textId="39C9938F" w:rsidR="005C5C57" w:rsidRPr="004B7530" w:rsidRDefault="00DB7D76" w:rsidP="002C04D4">
            <w:pPr>
              <w:pStyle w:val="naislab"/>
              <w:spacing w:before="0" w:after="0"/>
              <w:jc w:val="center"/>
              <w:rPr>
                <w:b/>
                <w:sz w:val="24"/>
              </w:rPr>
            </w:pPr>
            <w:r w:rsidRPr="004B7530">
              <w:rPr>
                <w:b/>
                <w:sz w:val="24"/>
              </w:rPr>
              <w:t>201</w:t>
            </w:r>
            <w:r>
              <w:rPr>
                <w:b/>
                <w:sz w:val="24"/>
              </w:rPr>
              <w:t>9</w:t>
            </w:r>
            <w:r w:rsidR="005C5C57" w:rsidRPr="004B7530">
              <w:rPr>
                <w:b/>
                <w:sz w:val="24"/>
              </w:rPr>
              <w:t>.</w:t>
            </w:r>
          </w:p>
          <w:p w14:paraId="32D93407" w14:textId="77777777" w:rsidR="005C5C57" w:rsidRPr="004B7530" w:rsidRDefault="005C5C57" w:rsidP="002C04D4">
            <w:pPr>
              <w:pStyle w:val="naislab"/>
              <w:spacing w:before="0" w:after="0"/>
              <w:jc w:val="center"/>
              <w:rPr>
                <w:sz w:val="24"/>
              </w:rPr>
            </w:pPr>
            <w:r w:rsidRPr="004B7530">
              <w:rPr>
                <w:b/>
                <w:sz w:val="24"/>
              </w:rPr>
              <w:t>(fakts)</w:t>
            </w:r>
          </w:p>
        </w:tc>
        <w:tc>
          <w:tcPr>
            <w:tcW w:w="1417" w:type="dxa"/>
            <w:shd w:val="clear" w:color="auto" w:fill="FFFFFF"/>
            <w:vAlign w:val="center"/>
          </w:tcPr>
          <w:p w14:paraId="51ADBE78" w14:textId="687BE981" w:rsidR="005C5C57" w:rsidRPr="004B7530" w:rsidRDefault="00DB7D76" w:rsidP="002C04D4">
            <w:pPr>
              <w:pStyle w:val="naislab"/>
              <w:spacing w:before="0" w:after="0"/>
              <w:jc w:val="center"/>
              <w:rPr>
                <w:b/>
                <w:sz w:val="24"/>
              </w:rPr>
            </w:pPr>
            <w:r w:rsidRPr="004B7530">
              <w:rPr>
                <w:b/>
                <w:sz w:val="24"/>
              </w:rPr>
              <w:t>20</w:t>
            </w:r>
            <w:r>
              <w:rPr>
                <w:b/>
                <w:sz w:val="24"/>
              </w:rPr>
              <w:t>20</w:t>
            </w:r>
            <w:r w:rsidR="005C5C57" w:rsidRPr="004B7530">
              <w:rPr>
                <w:b/>
                <w:sz w:val="24"/>
              </w:rPr>
              <w:t>.</w:t>
            </w:r>
          </w:p>
          <w:p w14:paraId="1170D7D7" w14:textId="77777777" w:rsidR="005C5C57" w:rsidRPr="004B7530" w:rsidRDefault="005C5C57" w:rsidP="002C04D4">
            <w:pPr>
              <w:pStyle w:val="naislab"/>
              <w:spacing w:before="0" w:after="0"/>
              <w:jc w:val="center"/>
              <w:rPr>
                <w:noProof/>
                <w:sz w:val="24"/>
              </w:rPr>
            </w:pPr>
            <w:r w:rsidRPr="004B7530">
              <w:rPr>
                <w:b/>
                <w:sz w:val="24"/>
              </w:rPr>
              <w:t>(plāns)</w:t>
            </w:r>
          </w:p>
        </w:tc>
        <w:tc>
          <w:tcPr>
            <w:tcW w:w="1417" w:type="dxa"/>
            <w:shd w:val="clear" w:color="auto" w:fill="DAEEF3" w:themeFill="accent5" w:themeFillTint="33"/>
            <w:vAlign w:val="center"/>
          </w:tcPr>
          <w:p w14:paraId="31150934" w14:textId="1B8D88F0" w:rsidR="005C5C57" w:rsidRPr="004B7530" w:rsidRDefault="00DB7D76" w:rsidP="002C04D4">
            <w:pPr>
              <w:pStyle w:val="naislab"/>
              <w:spacing w:before="0" w:after="0"/>
              <w:jc w:val="center"/>
              <w:rPr>
                <w:b/>
                <w:sz w:val="24"/>
              </w:rPr>
            </w:pPr>
            <w:r w:rsidRPr="004B7530">
              <w:rPr>
                <w:b/>
                <w:sz w:val="24"/>
              </w:rPr>
              <w:t>20</w:t>
            </w:r>
            <w:r>
              <w:rPr>
                <w:b/>
                <w:sz w:val="24"/>
              </w:rPr>
              <w:t>20</w:t>
            </w:r>
            <w:r w:rsidR="005C5C57" w:rsidRPr="004B7530">
              <w:rPr>
                <w:b/>
                <w:sz w:val="24"/>
              </w:rPr>
              <w:t>.</w:t>
            </w:r>
          </w:p>
          <w:p w14:paraId="0F0EEF47" w14:textId="77777777" w:rsidR="005C5C57" w:rsidRPr="004B7530" w:rsidRDefault="005C5C57" w:rsidP="002C04D4">
            <w:pPr>
              <w:pStyle w:val="naislab"/>
              <w:spacing w:before="0" w:after="0"/>
              <w:jc w:val="center"/>
              <w:rPr>
                <w:sz w:val="24"/>
              </w:rPr>
            </w:pPr>
            <w:r w:rsidRPr="004B7530">
              <w:rPr>
                <w:b/>
                <w:sz w:val="24"/>
              </w:rPr>
              <w:t>(fakts)</w:t>
            </w:r>
          </w:p>
        </w:tc>
        <w:tc>
          <w:tcPr>
            <w:tcW w:w="1417" w:type="dxa"/>
            <w:shd w:val="clear" w:color="auto" w:fill="FFFFFF"/>
            <w:vAlign w:val="center"/>
          </w:tcPr>
          <w:p w14:paraId="14F8BB9C" w14:textId="2A4E844D" w:rsidR="005C5C57" w:rsidRPr="004B7530" w:rsidRDefault="005C5C57" w:rsidP="005C5C57">
            <w:pPr>
              <w:pStyle w:val="naislab"/>
              <w:spacing w:before="0" w:after="0"/>
              <w:jc w:val="center"/>
              <w:rPr>
                <w:sz w:val="24"/>
              </w:rPr>
            </w:pPr>
            <w:r w:rsidRPr="004B7530">
              <w:rPr>
                <w:b/>
                <w:sz w:val="24"/>
              </w:rPr>
              <w:t>20</w:t>
            </w:r>
            <w:r>
              <w:rPr>
                <w:b/>
                <w:sz w:val="24"/>
              </w:rPr>
              <w:t>21</w:t>
            </w:r>
            <w:r w:rsidRPr="004B7530">
              <w:rPr>
                <w:b/>
                <w:sz w:val="24"/>
              </w:rPr>
              <w:t>.</w:t>
            </w:r>
          </w:p>
        </w:tc>
        <w:tc>
          <w:tcPr>
            <w:tcW w:w="1417" w:type="dxa"/>
            <w:shd w:val="clear" w:color="auto" w:fill="auto"/>
            <w:vAlign w:val="center"/>
          </w:tcPr>
          <w:p w14:paraId="72E99EAB" w14:textId="0312C69D" w:rsidR="005C5C57" w:rsidRPr="004B7530" w:rsidRDefault="005C5C57" w:rsidP="005C5C57">
            <w:pPr>
              <w:pStyle w:val="naislab"/>
              <w:spacing w:before="0" w:after="0"/>
              <w:jc w:val="center"/>
              <w:rPr>
                <w:sz w:val="24"/>
              </w:rPr>
            </w:pPr>
            <w:r w:rsidRPr="004B7530">
              <w:rPr>
                <w:b/>
                <w:sz w:val="24"/>
              </w:rPr>
              <w:t>20</w:t>
            </w:r>
            <w:r>
              <w:rPr>
                <w:b/>
                <w:sz w:val="24"/>
              </w:rPr>
              <w:t>22</w:t>
            </w:r>
            <w:r w:rsidRPr="004B7530">
              <w:rPr>
                <w:b/>
                <w:sz w:val="24"/>
              </w:rPr>
              <w:t>.</w:t>
            </w:r>
          </w:p>
        </w:tc>
      </w:tr>
      <w:tr w:rsidR="00DB7D76" w:rsidRPr="00F5511B" w14:paraId="10692CA3" w14:textId="77777777" w:rsidTr="005C5C57">
        <w:trPr>
          <w:trHeight w:val="20"/>
          <w:jc w:val="center"/>
        </w:trPr>
        <w:tc>
          <w:tcPr>
            <w:tcW w:w="2835" w:type="dxa"/>
            <w:vMerge w:val="restart"/>
            <w:shd w:val="clear" w:color="auto" w:fill="FFFFFF"/>
          </w:tcPr>
          <w:p w14:paraId="485656F0" w14:textId="77777777" w:rsidR="005C5C57" w:rsidRPr="00F5511B" w:rsidRDefault="005C5C57" w:rsidP="00A065A3">
            <w:pPr>
              <w:pStyle w:val="naislab"/>
              <w:spacing w:before="0" w:after="0"/>
              <w:jc w:val="left"/>
              <w:rPr>
                <w:sz w:val="24"/>
                <w:highlight w:val="yellow"/>
              </w:rPr>
            </w:pPr>
            <w:r w:rsidRPr="001A3D04">
              <w:rPr>
                <w:sz w:val="24"/>
              </w:rPr>
              <w:t>1.1. Palielinās Latvijas apstrādes rūpniecības ieguldījums IKP</w:t>
            </w:r>
          </w:p>
        </w:tc>
        <w:tc>
          <w:tcPr>
            <w:tcW w:w="4706" w:type="dxa"/>
            <w:shd w:val="clear" w:color="auto" w:fill="FFFFFF"/>
          </w:tcPr>
          <w:p w14:paraId="33520B0E" w14:textId="00E37026" w:rsidR="005C5C57" w:rsidRPr="00F5511B" w:rsidRDefault="005C5C57" w:rsidP="00A065A3">
            <w:pPr>
              <w:pStyle w:val="naislab"/>
              <w:spacing w:before="0" w:after="0"/>
              <w:jc w:val="left"/>
              <w:rPr>
                <w:sz w:val="24"/>
                <w:highlight w:val="yellow"/>
              </w:rPr>
            </w:pPr>
            <w:r w:rsidRPr="001A3D04">
              <w:rPr>
                <w:sz w:val="24"/>
              </w:rPr>
              <w:t>1.1.1. Produktivitāte apstrādes rūpniecībā (pievienotā vērtība salīdzināmās cenās,</w:t>
            </w:r>
            <w:r>
              <w:rPr>
                <w:sz w:val="24"/>
              </w:rPr>
              <w:t xml:space="preserve"> </w:t>
            </w:r>
            <w:r w:rsidRPr="001A3D04">
              <w:rPr>
                <w:i/>
                <w:sz w:val="24"/>
              </w:rPr>
              <w:t>euro</w:t>
            </w:r>
            <w:r w:rsidRPr="001A3D04">
              <w:rPr>
                <w:sz w:val="24"/>
              </w:rPr>
              <w:t xml:space="preserve"> uz 1 nodarbināto</w:t>
            </w:r>
            <w:r w:rsidRPr="00273C38">
              <w:rPr>
                <w:sz w:val="24"/>
              </w:rPr>
              <w:t xml:space="preserve">, </w:t>
            </w:r>
            <w:r w:rsidRPr="00ED45EB">
              <w:rPr>
                <w:sz w:val="24"/>
              </w:rPr>
              <w:t>2015.</w:t>
            </w:r>
            <w:r w:rsidRPr="00273C38">
              <w:rPr>
                <w:sz w:val="24"/>
              </w:rPr>
              <w:t>gada</w:t>
            </w:r>
            <w:r w:rsidRPr="001A3D04">
              <w:rPr>
                <w:sz w:val="24"/>
              </w:rPr>
              <w:t xml:space="preserve"> cenās) </w:t>
            </w:r>
          </w:p>
        </w:tc>
        <w:tc>
          <w:tcPr>
            <w:tcW w:w="1417" w:type="dxa"/>
            <w:shd w:val="clear" w:color="auto" w:fill="DAEEF3" w:themeFill="accent5" w:themeFillTint="33"/>
            <w:vAlign w:val="center"/>
          </w:tcPr>
          <w:p w14:paraId="3771CDDB" w14:textId="215E0171" w:rsidR="005C5C57" w:rsidRPr="00DB7D76" w:rsidRDefault="00DB7D76" w:rsidP="008315E2">
            <w:pPr>
              <w:pStyle w:val="naislab"/>
              <w:spacing w:before="0" w:after="0"/>
              <w:jc w:val="center"/>
              <w:rPr>
                <w:sz w:val="24"/>
              </w:rPr>
            </w:pPr>
            <w:r>
              <w:rPr>
                <w:sz w:val="24"/>
              </w:rPr>
              <w:t>26665,2</w:t>
            </w:r>
          </w:p>
        </w:tc>
        <w:tc>
          <w:tcPr>
            <w:tcW w:w="1417" w:type="dxa"/>
            <w:shd w:val="clear" w:color="auto" w:fill="FFFFFF"/>
            <w:vAlign w:val="center"/>
          </w:tcPr>
          <w:p w14:paraId="23F32898" w14:textId="76966798" w:rsidR="005C5C57" w:rsidRPr="00DB7D76" w:rsidRDefault="00DB7D76" w:rsidP="00A065A3">
            <w:pPr>
              <w:pStyle w:val="naislab"/>
              <w:spacing w:before="0" w:after="0"/>
              <w:jc w:val="center"/>
              <w:rPr>
                <w:sz w:val="24"/>
              </w:rPr>
            </w:pPr>
            <w:r>
              <w:rPr>
                <w:sz w:val="24"/>
              </w:rPr>
              <w:t>26284</w:t>
            </w:r>
          </w:p>
        </w:tc>
        <w:tc>
          <w:tcPr>
            <w:tcW w:w="1417" w:type="dxa"/>
            <w:shd w:val="clear" w:color="auto" w:fill="DAEEF3" w:themeFill="accent5" w:themeFillTint="33"/>
            <w:vAlign w:val="center"/>
          </w:tcPr>
          <w:p w14:paraId="4269277C" w14:textId="448359AC" w:rsidR="005C5C57" w:rsidRPr="00DB7D76" w:rsidRDefault="00DB7D76" w:rsidP="001A3D04">
            <w:pPr>
              <w:pStyle w:val="naislab"/>
              <w:spacing w:before="0" w:after="0"/>
              <w:jc w:val="center"/>
              <w:rPr>
                <w:sz w:val="24"/>
              </w:rPr>
            </w:pPr>
            <w:r>
              <w:rPr>
                <w:sz w:val="24"/>
              </w:rPr>
              <w:t>26570,6</w:t>
            </w:r>
          </w:p>
        </w:tc>
        <w:tc>
          <w:tcPr>
            <w:tcW w:w="1417" w:type="dxa"/>
            <w:shd w:val="clear" w:color="auto" w:fill="FFFFFF"/>
            <w:vAlign w:val="center"/>
          </w:tcPr>
          <w:p w14:paraId="571C98D6" w14:textId="4AEBFD01" w:rsidR="005C5C57" w:rsidRPr="00DB7D76" w:rsidRDefault="00DB7D76" w:rsidP="00A065A3">
            <w:pPr>
              <w:pStyle w:val="naislab"/>
              <w:spacing w:before="0" w:after="0"/>
              <w:jc w:val="center"/>
              <w:rPr>
                <w:sz w:val="24"/>
              </w:rPr>
            </w:pPr>
            <w:r>
              <w:rPr>
                <w:sz w:val="24"/>
              </w:rPr>
              <w:t>27204</w:t>
            </w:r>
          </w:p>
        </w:tc>
        <w:tc>
          <w:tcPr>
            <w:tcW w:w="1417" w:type="dxa"/>
            <w:shd w:val="clear" w:color="auto" w:fill="auto"/>
            <w:vAlign w:val="center"/>
          </w:tcPr>
          <w:p w14:paraId="7F202CF2" w14:textId="6EADE729" w:rsidR="005C5C57" w:rsidRPr="00DB7D76" w:rsidRDefault="00DB7D76" w:rsidP="00A065A3">
            <w:pPr>
              <w:pStyle w:val="naislab"/>
              <w:spacing w:before="0" w:after="0"/>
              <w:jc w:val="center"/>
              <w:rPr>
                <w:sz w:val="24"/>
              </w:rPr>
            </w:pPr>
            <w:r>
              <w:rPr>
                <w:sz w:val="24"/>
              </w:rPr>
              <w:t>28156</w:t>
            </w:r>
          </w:p>
        </w:tc>
      </w:tr>
      <w:tr w:rsidR="00AC0D20" w:rsidRPr="00F5511B" w14:paraId="79793433" w14:textId="77777777" w:rsidTr="00B67AD6">
        <w:trPr>
          <w:trHeight w:val="567"/>
          <w:jc w:val="center"/>
        </w:trPr>
        <w:tc>
          <w:tcPr>
            <w:tcW w:w="2835" w:type="dxa"/>
            <w:vMerge/>
            <w:shd w:val="clear" w:color="auto" w:fill="FFFFFF"/>
          </w:tcPr>
          <w:p w14:paraId="2DE23245" w14:textId="77777777" w:rsidR="005C5C57" w:rsidRPr="00F5511B" w:rsidRDefault="005C5C57" w:rsidP="00A065A3">
            <w:pPr>
              <w:pStyle w:val="naislab"/>
              <w:spacing w:before="0" w:after="0"/>
              <w:jc w:val="left"/>
              <w:rPr>
                <w:sz w:val="24"/>
                <w:highlight w:val="yellow"/>
              </w:rPr>
            </w:pPr>
          </w:p>
        </w:tc>
        <w:tc>
          <w:tcPr>
            <w:tcW w:w="4706" w:type="dxa"/>
            <w:shd w:val="clear" w:color="auto" w:fill="FFFFFF"/>
          </w:tcPr>
          <w:p w14:paraId="59AF5EBA" w14:textId="5465C63E" w:rsidR="005C5C57" w:rsidRPr="00F5511B" w:rsidRDefault="005C5C57" w:rsidP="00A065A3">
            <w:pPr>
              <w:pStyle w:val="naislab"/>
              <w:spacing w:before="0" w:after="0"/>
              <w:jc w:val="left"/>
              <w:rPr>
                <w:sz w:val="24"/>
                <w:highlight w:val="yellow"/>
              </w:rPr>
            </w:pPr>
            <w:r w:rsidRPr="001A3D04">
              <w:rPr>
                <w:sz w:val="24"/>
              </w:rPr>
              <w:t>1.1.2. Apstrādes rūpniecības ieguldījuma daļa Kopējā pievienotā vērtībā</w:t>
            </w:r>
            <w:r w:rsidR="00DB7D76">
              <w:rPr>
                <w:sz w:val="24"/>
              </w:rPr>
              <w:t xml:space="preserve"> faktiskajās cenās</w:t>
            </w:r>
            <w:r w:rsidR="00DB7D76" w:rsidRPr="001A3D04">
              <w:rPr>
                <w:sz w:val="24"/>
              </w:rPr>
              <w:t xml:space="preserve"> </w:t>
            </w:r>
            <w:r w:rsidRPr="001A3D04">
              <w:rPr>
                <w:sz w:val="24"/>
              </w:rPr>
              <w:t>(%)</w:t>
            </w:r>
          </w:p>
        </w:tc>
        <w:tc>
          <w:tcPr>
            <w:tcW w:w="1417" w:type="dxa"/>
            <w:shd w:val="clear" w:color="auto" w:fill="DAEEF3" w:themeFill="accent5" w:themeFillTint="33"/>
            <w:vAlign w:val="center"/>
          </w:tcPr>
          <w:p w14:paraId="491BC5EC" w14:textId="2C743123" w:rsidR="005C5C57" w:rsidRPr="005C5C57" w:rsidRDefault="00DB7D76" w:rsidP="00A065A3">
            <w:pPr>
              <w:pStyle w:val="naislab"/>
              <w:spacing w:before="0" w:after="0"/>
              <w:jc w:val="center"/>
              <w:rPr>
                <w:sz w:val="24"/>
              </w:rPr>
            </w:pPr>
            <w:r>
              <w:rPr>
                <w:sz w:val="24"/>
              </w:rPr>
              <w:t>12,0</w:t>
            </w:r>
          </w:p>
        </w:tc>
        <w:tc>
          <w:tcPr>
            <w:tcW w:w="1417" w:type="dxa"/>
            <w:shd w:val="clear" w:color="auto" w:fill="FFFFFF"/>
            <w:vAlign w:val="center"/>
          </w:tcPr>
          <w:p w14:paraId="4984D204" w14:textId="76BCA1C9" w:rsidR="005C5C57" w:rsidRPr="00DB7D76" w:rsidRDefault="00DB7D76" w:rsidP="00A065A3">
            <w:pPr>
              <w:pStyle w:val="naislab"/>
              <w:spacing w:before="0" w:after="0"/>
              <w:jc w:val="center"/>
              <w:rPr>
                <w:sz w:val="24"/>
              </w:rPr>
            </w:pPr>
            <w:r>
              <w:rPr>
                <w:sz w:val="24"/>
              </w:rPr>
              <w:t>-</w:t>
            </w:r>
          </w:p>
        </w:tc>
        <w:tc>
          <w:tcPr>
            <w:tcW w:w="1417" w:type="dxa"/>
            <w:shd w:val="clear" w:color="auto" w:fill="DAEEF3" w:themeFill="accent5" w:themeFillTint="33"/>
            <w:vAlign w:val="center"/>
          </w:tcPr>
          <w:p w14:paraId="0779B0C8" w14:textId="3D9784B2" w:rsidR="005C5C57" w:rsidRPr="00DB7D76" w:rsidRDefault="005C5C57" w:rsidP="00A065A3">
            <w:pPr>
              <w:pStyle w:val="naislab"/>
              <w:spacing w:before="0" w:after="0"/>
              <w:jc w:val="center"/>
              <w:rPr>
                <w:sz w:val="24"/>
              </w:rPr>
            </w:pPr>
            <w:r w:rsidRPr="00DB7D76">
              <w:rPr>
                <w:sz w:val="24"/>
              </w:rPr>
              <w:t>12,</w:t>
            </w:r>
            <w:r w:rsidR="00DB7D76">
              <w:rPr>
                <w:sz w:val="24"/>
              </w:rPr>
              <w:t>2</w:t>
            </w:r>
          </w:p>
        </w:tc>
        <w:tc>
          <w:tcPr>
            <w:tcW w:w="1417" w:type="dxa"/>
            <w:shd w:val="clear" w:color="auto" w:fill="FFFFFF"/>
            <w:vAlign w:val="center"/>
          </w:tcPr>
          <w:p w14:paraId="627FAD83" w14:textId="4699EE92" w:rsidR="005C5C57" w:rsidRPr="00DB7D76" w:rsidRDefault="00DB7D76" w:rsidP="00A065A3">
            <w:pPr>
              <w:pStyle w:val="naislab"/>
              <w:spacing w:before="0" w:after="0"/>
              <w:jc w:val="center"/>
              <w:rPr>
                <w:sz w:val="24"/>
              </w:rPr>
            </w:pPr>
            <w:r>
              <w:rPr>
                <w:sz w:val="24"/>
              </w:rPr>
              <w:t>-</w:t>
            </w:r>
          </w:p>
        </w:tc>
        <w:tc>
          <w:tcPr>
            <w:tcW w:w="1417" w:type="dxa"/>
            <w:shd w:val="clear" w:color="auto" w:fill="auto"/>
            <w:vAlign w:val="center"/>
          </w:tcPr>
          <w:p w14:paraId="57307805" w14:textId="1A623886" w:rsidR="005C5C57" w:rsidRPr="00DB7D76" w:rsidRDefault="00DB7D76" w:rsidP="00A065A3">
            <w:pPr>
              <w:pStyle w:val="naislab"/>
              <w:spacing w:before="0" w:after="0"/>
              <w:jc w:val="center"/>
              <w:rPr>
                <w:sz w:val="24"/>
              </w:rPr>
            </w:pPr>
            <w:r>
              <w:rPr>
                <w:sz w:val="24"/>
              </w:rPr>
              <w:t>12,5</w:t>
            </w:r>
          </w:p>
        </w:tc>
      </w:tr>
      <w:tr w:rsidR="00AC0D20" w:rsidRPr="00F5511B" w14:paraId="020FD2E7" w14:textId="77777777" w:rsidTr="00B67AD6">
        <w:trPr>
          <w:trHeight w:val="624"/>
          <w:jc w:val="center"/>
        </w:trPr>
        <w:tc>
          <w:tcPr>
            <w:tcW w:w="2835" w:type="dxa"/>
            <w:shd w:val="clear" w:color="auto" w:fill="FFFFFF"/>
          </w:tcPr>
          <w:p w14:paraId="39D4874F" w14:textId="77777777" w:rsidR="005C5C57" w:rsidRPr="00F5511B" w:rsidRDefault="005C5C57" w:rsidP="00A065A3">
            <w:pPr>
              <w:pStyle w:val="naislab"/>
              <w:spacing w:before="0" w:after="0"/>
              <w:jc w:val="left"/>
              <w:rPr>
                <w:sz w:val="24"/>
                <w:highlight w:val="yellow"/>
              </w:rPr>
            </w:pPr>
            <w:r w:rsidRPr="006758D4">
              <w:rPr>
                <w:sz w:val="24"/>
              </w:rPr>
              <w:t>1.2. Palielinās ieguldījumi pētniecībā un attīstībā</w:t>
            </w:r>
          </w:p>
        </w:tc>
        <w:tc>
          <w:tcPr>
            <w:tcW w:w="4706" w:type="dxa"/>
            <w:shd w:val="clear" w:color="auto" w:fill="FFFFFF"/>
          </w:tcPr>
          <w:p w14:paraId="2957A210" w14:textId="67B4B019" w:rsidR="005C5C57" w:rsidRPr="006758D4" w:rsidRDefault="005C5C57" w:rsidP="00A065A3">
            <w:pPr>
              <w:pStyle w:val="naislab"/>
              <w:spacing w:before="0" w:after="0"/>
              <w:jc w:val="left"/>
              <w:rPr>
                <w:sz w:val="24"/>
              </w:rPr>
            </w:pPr>
            <w:r w:rsidRPr="006758D4">
              <w:rPr>
                <w:sz w:val="24"/>
              </w:rPr>
              <w:t xml:space="preserve">1.2.1. </w:t>
            </w:r>
            <w:r w:rsidRPr="00273C38">
              <w:rPr>
                <w:sz w:val="24"/>
              </w:rPr>
              <w:t>Finansējuma īpatsvars pētniecībai un attīstībai IKP (% no IKP)</w:t>
            </w:r>
          </w:p>
        </w:tc>
        <w:tc>
          <w:tcPr>
            <w:tcW w:w="1417" w:type="dxa"/>
            <w:shd w:val="clear" w:color="auto" w:fill="DAEEF3" w:themeFill="accent5" w:themeFillTint="33"/>
            <w:vAlign w:val="center"/>
          </w:tcPr>
          <w:p w14:paraId="22F3C387" w14:textId="77777777" w:rsidR="005C5C57" w:rsidRDefault="005C5C57" w:rsidP="006758D4">
            <w:pPr>
              <w:pStyle w:val="naislab"/>
              <w:spacing w:before="0" w:after="0"/>
              <w:jc w:val="center"/>
              <w:rPr>
                <w:sz w:val="24"/>
              </w:rPr>
            </w:pPr>
            <w:r w:rsidRPr="005C5C57">
              <w:rPr>
                <w:sz w:val="24"/>
              </w:rPr>
              <w:t>0,63</w:t>
            </w:r>
          </w:p>
          <w:p w14:paraId="58CB305B" w14:textId="20706AB9" w:rsidR="009D3CED" w:rsidRPr="005C5C57" w:rsidRDefault="009D3CED" w:rsidP="006758D4">
            <w:pPr>
              <w:pStyle w:val="naislab"/>
              <w:spacing w:before="0" w:after="0"/>
              <w:jc w:val="center"/>
              <w:rPr>
                <w:sz w:val="24"/>
              </w:rPr>
            </w:pPr>
            <w:r>
              <w:rPr>
                <w:sz w:val="24"/>
              </w:rPr>
              <w:t>(2018)</w:t>
            </w:r>
          </w:p>
        </w:tc>
        <w:tc>
          <w:tcPr>
            <w:tcW w:w="1417" w:type="dxa"/>
            <w:shd w:val="clear" w:color="auto" w:fill="FFFFFF"/>
            <w:vAlign w:val="center"/>
          </w:tcPr>
          <w:p w14:paraId="060AE6E8" w14:textId="53E5BEDF" w:rsidR="005C5C57" w:rsidRPr="009D3CED" w:rsidRDefault="009D3CED" w:rsidP="00A065A3">
            <w:pPr>
              <w:pStyle w:val="naislab"/>
              <w:spacing w:before="0" w:after="0"/>
              <w:jc w:val="center"/>
              <w:rPr>
                <w:sz w:val="24"/>
              </w:rPr>
            </w:pPr>
            <w:r>
              <w:rPr>
                <w:sz w:val="24"/>
              </w:rPr>
              <w:t>-</w:t>
            </w:r>
          </w:p>
        </w:tc>
        <w:tc>
          <w:tcPr>
            <w:tcW w:w="1417" w:type="dxa"/>
            <w:shd w:val="clear" w:color="auto" w:fill="DAEEF3" w:themeFill="accent5" w:themeFillTint="33"/>
            <w:vAlign w:val="center"/>
          </w:tcPr>
          <w:p w14:paraId="5D18EDB0" w14:textId="2FD85BA3" w:rsidR="005C5C57" w:rsidRDefault="005C5C57" w:rsidP="00A065A3">
            <w:pPr>
              <w:pStyle w:val="naislab"/>
              <w:spacing w:before="0" w:after="0"/>
              <w:jc w:val="center"/>
              <w:rPr>
                <w:sz w:val="24"/>
              </w:rPr>
            </w:pPr>
            <w:r w:rsidRPr="009D3CED">
              <w:rPr>
                <w:sz w:val="24"/>
              </w:rPr>
              <w:t>0,</w:t>
            </w:r>
            <w:r w:rsidR="009D3CED" w:rsidRPr="009D3CED">
              <w:rPr>
                <w:sz w:val="24"/>
              </w:rPr>
              <w:t>6</w:t>
            </w:r>
            <w:r w:rsidR="009D3CED">
              <w:rPr>
                <w:sz w:val="24"/>
              </w:rPr>
              <w:t>4</w:t>
            </w:r>
          </w:p>
          <w:p w14:paraId="6B490F92" w14:textId="0B97870A" w:rsidR="009D3CED" w:rsidRPr="009D3CED" w:rsidRDefault="009D3CED" w:rsidP="00A065A3">
            <w:pPr>
              <w:pStyle w:val="naislab"/>
              <w:spacing w:before="0" w:after="0"/>
              <w:jc w:val="center"/>
              <w:rPr>
                <w:sz w:val="24"/>
              </w:rPr>
            </w:pPr>
            <w:r>
              <w:rPr>
                <w:sz w:val="24"/>
              </w:rPr>
              <w:t>(2019)</w:t>
            </w:r>
          </w:p>
        </w:tc>
        <w:tc>
          <w:tcPr>
            <w:tcW w:w="1417" w:type="dxa"/>
            <w:shd w:val="clear" w:color="auto" w:fill="FFFFFF"/>
            <w:vAlign w:val="center"/>
          </w:tcPr>
          <w:p w14:paraId="6CE74434" w14:textId="1A4041E7" w:rsidR="005C5C57" w:rsidRPr="009D3CED" w:rsidRDefault="009D3CED" w:rsidP="00A065A3">
            <w:pPr>
              <w:pStyle w:val="naislab"/>
              <w:spacing w:before="0" w:after="0"/>
              <w:jc w:val="center"/>
              <w:rPr>
                <w:sz w:val="24"/>
              </w:rPr>
            </w:pPr>
            <w:r>
              <w:rPr>
                <w:sz w:val="24"/>
              </w:rPr>
              <w:t>-</w:t>
            </w:r>
          </w:p>
        </w:tc>
        <w:tc>
          <w:tcPr>
            <w:tcW w:w="1417" w:type="dxa"/>
            <w:shd w:val="clear" w:color="auto" w:fill="auto"/>
            <w:vAlign w:val="center"/>
          </w:tcPr>
          <w:p w14:paraId="7F307BF1" w14:textId="2E2CEB8C" w:rsidR="005C5C57" w:rsidRPr="009D3CED" w:rsidRDefault="009D3CED" w:rsidP="00A065A3">
            <w:pPr>
              <w:pStyle w:val="naislab"/>
              <w:spacing w:before="0" w:after="0"/>
              <w:jc w:val="center"/>
              <w:rPr>
                <w:sz w:val="24"/>
              </w:rPr>
            </w:pPr>
            <w:r>
              <w:rPr>
                <w:sz w:val="24"/>
              </w:rPr>
              <w:t>0,75</w:t>
            </w:r>
          </w:p>
        </w:tc>
      </w:tr>
      <w:tr w:rsidR="00AC0D20" w:rsidRPr="00F5511B" w14:paraId="28C6A41D" w14:textId="77777777" w:rsidTr="00B67AD6">
        <w:trPr>
          <w:trHeight w:val="567"/>
          <w:jc w:val="center"/>
        </w:trPr>
        <w:tc>
          <w:tcPr>
            <w:tcW w:w="2835" w:type="dxa"/>
            <w:vMerge w:val="restart"/>
            <w:shd w:val="clear" w:color="auto" w:fill="FFFFFF"/>
          </w:tcPr>
          <w:p w14:paraId="341A8F42" w14:textId="77777777" w:rsidR="005C5C57" w:rsidRPr="00F5511B" w:rsidRDefault="005C5C57" w:rsidP="00A065A3">
            <w:pPr>
              <w:pStyle w:val="naislab"/>
              <w:spacing w:before="0" w:after="0"/>
              <w:jc w:val="left"/>
              <w:rPr>
                <w:sz w:val="24"/>
                <w:highlight w:val="yellow"/>
              </w:rPr>
            </w:pPr>
            <w:r w:rsidRPr="006758D4">
              <w:rPr>
                <w:sz w:val="24"/>
              </w:rPr>
              <w:t>1.3. Pieaug Latvijas tautsaimniecības un komersantu konkurētspēja</w:t>
            </w:r>
          </w:p>
        </w:tc>
        <w:tc>
          <w:tcPr>
            <w:tcW w:w="4706" w:type="dxa"/>
            <w:shd w:val="clear" w:color="auto" w:fill="FFFFFF"/>
          </w:tcPr>
          <w:p w14:paraId="79F69850" w14:textId="77777777" w:rsidR="005C5C57" w:rsidRPr="00F5511B" w:rsidRDefault="005C5C57" w:rsidP="00A065A3">
            <w:pPr>
              <w:pStyle w:val="naislab"/>
              <w:spacing w:before="0" w:after="0"/>
              <w:jc w:val="left"/>
              <w:rPr>
                <w:sz w:val="24"/>
                <w:highlight w:val="yellow"/>
              </w:rPr>
            </w:pPr>
            <w:r w:rsidRPr="006758D4">
              <w:rPr>
                <w:sz w:val="24"/>
              </w:rPr>
              <w:t>1.3.1. Kopējais primārās enerģijas patēriņš (tūkst. TJ)</w:t>
            </w:r>
          </w:p>
        </w:tc>
        <w:tc>
          <w:tcPr>
            <w:tcW w:w="1417" w:type="dxa"/>
            <w:shd w:val="clear" w:color="auto" w:fill="DAEEF3" w:themeFill="accent5" w:themeFillTint="33"/>
            <w:vAlign w:val="center"/>
          </w:tcPr>
          <w:p w14:paraId="7F23AA3C" w14:textId="77777777" w:rsidR="005C5C57" w:rsidRDefault="005C5C57" w:rsidP="00A065A3">
            <w:pPr>
              <w:pStyle w:val="naislab"/>
              <w:spacing w:before="0" w:after="0"/>
              <w:jc w:val="center"/>
              <w:rPr>
                <w:sz w:val="24"/>
              </w:rPr>
            </w:pPr>
            <w:r w:rsidRPr="005C5C57">
              <w:rPr>
                <w:sz w:val="24"/>
              </w:rPr>
              <w:t>196</w:t>
            </w:r>
          </w:p>
          <w:p w14:paraId="0261418E" w14:textId="53F89969" w:rsidR="00AC0D20" w:rsidRPr="009D3CED" w:rsidRDefault="00AC0D20" w:rsidP="00A065A3">
            <w:pPr>
              <w:pStyle w:val="naislab"/>
              <w:spacing w:before="0" w:after="0"/>
              <w:jc w:val="center"/>
              <w:rPr>
                <w:sz w:val="24"/>
              </w:rPr>
            </w:pPr>
            <w:r>
              <w:rPr>
                <w:sz w:val="24"/>
              </w:rPr>
              <w:t>(2018)</w:t>
            </w:r>
          </w:p>
        </w:tc>
        <w:tc>
          <w:tcPr>
            <w:tcW w:w="1417" w:type="dxa"/>
            <w:shd w:val="clear" w:color="auto" w:fill="FFFFFF"/>
            <w:vAlign w:val="center"/>
          </w:tcPr>
          <w:p w14:paraId="681CA8B2" w14:textId="77777777" w:rsidR="005C5C57" w:rsidRPr="009D3CED" w:rsidRDefault="005C5C57" w:rsidP="00A065A3">
            <w:pPr>
              <w:pStyle w:val="naislab"/>
              <w:spacing w:before="0" w:after="0"/>
              <w:jc w:val="center"/>
              <w:rPr>
                <w:sz w:val="24"/>
              </w:rPr>
            </w:pPr>
            <w:r w:rsidRPr="009D3CED">
              <w:rPr>
                <w:sz w:val="24"/>
              </w:rPr>
              <w:t>-</w:t>
            </w:r>
          </w:p>
        </w:tc>
        <w:tc>
          <w:tcPr>
            <w:tcW w:w="1417" w:type="dxa"/>
            <w:shd w:val="clear" w:color="auto" w:fill="DAEEF3" w:themeFill="accent5" w:themeFillTint="33"/>
            <w:vAlign w:val="center"/>
          </w:tcPr>
          <w:p w14:paraId="2A465AB7" w14:textId="4FF4C16F" w:rsidR="005C5C57" w:rsidRDefault="009D3CED" w:rsidP="00A065A3">
            <w:pPr>
              <w:pStyle w:val="naislab"/>
              <w:spacing w:before="0" w:after="0"/>
              <w:jc w:val="center"/>
              <w:rPr>
                <w:sz w:val="24"/>
              </w:rPr>
            </w:pPr>
            <w:r>
              <w:rPr>
                <w:sz w:val="24"/>
              </w:rPr>
              <w:t>190,9</w:t>
            </w:r>
          </w:p>
          <w:p w14:paraId="2E8092C7" w14:textId="38582018" w:rsidR="009D3CED" w:rsidRPr="009D3CED" w:rsidRDefault="009D3CED" w:rsidP="00A065A3">
            <w:pPr>
              <w:pStyle w:val="naislab"/>
              <w:spacing w:before="0" w:after="0"/>
              <w:jc w:val="center"/>
              <w:rPr>
                <w:sz w:val="24"/>
              </w:rPr>
            </w:pPr>
            <w:r>
              <w:rPr>
                <w:sz w:val="24"/>
              </w:rPr>
              <w:t>(2019)</w:t>
            </w:r>
          </w:p>
        </w:tc>
        <w:tc>
          <w:tcPr>
            <w:tcW w:w="1417" w:type="dxa"/>
            <w:shd w:val="clear" w:color="auto" w:fill="FFFFFF"/>
            <w:vAlign w:val="center"/>
          </w:tcPr>
          <w:p w14:paraId="158BAC2B" w14:textId="50944981" w:rsidR="005C5C57" w:rsidRPr="009D3CED" w:rsidRDefault="009D3CED" w:rsidP="00A065A3">
            <w:pPr>
              <w:pStyle w:val="naislab"/>
              <w:spacing w:before="0" w:after="0"/>
              <w:jc w:val="center"/>
              <w:rPr>
                <w:sz w:val="24"/>
              </w:rPr>
            </w:pPr>
            <w:r>
              <w:rPr>
                <w:sz w:val="24"/>
              </w:rPr>
              <w:t>-</w:t>
            </w:r>
          </w:p>
        </w:tc>
        <w:tc>
          <w:tcPr>
            <w:tcW w:w="1417" w:type="dxa"/>
            <w:shd w:val="clear" w:color="auto" w:fill="auto"/>
            <w:vAlign w:val="center"/>
          </w:tcPr>
          <w:p w14:paraId="2A58B93A" w14:textId="75B92720" w:rsidR="005C5C57" w:rsidRPr="009D3CED" w:rsidRDefault="009D3CED" w:rsidP="00A065A3">
            <w:pPr>
              <w:pStyle w:val="naislab"/>
              <w:spacing w:before="0" w:after="0"/>
              <w:jc w:val="center"/>
              <w:rPr>
                <w:sz w:val="24"/>
              </w:rPr>
            </w:pPr>
            <w:r>
              <w:rPr>
                <w:sz w:val="24"/>
              </w:rPr>
              <w:t>186</w:t>
            </w:r>
          </w:p>
        </w:tc>
      </w:tr>
      <w:tr w:rsidR="00DB7D76" w:rsidRPr="00F5511B" w14:paraId="35610BAE" w14:textId="77777777" w:rsidTr="005C5C57">
        <w:trPr>
          <w:trHeight w:val="20"/>
          <w:jc w:val="center"/>
        </w:trPr>
        <w:tc>
          <w:tcPr>
            <w:tcW w:w="2835" w:type="dxa"/>
            <w:vMerge/>
            <w:shd w:val="clear" w:color="auto" w:fill="FFFFFF"/>
          </w:tcPr>
          <w:p w14:paraId="6792AF4B" w14:textId="77777777" w:rsidR="005C5C57" w:rsidRPr="00F5511B" w:rsidRDefault="005C5C57" w:rsidP="00A065A3">
            <w:pPr>
              <w:pStyle w:val="naislab"/>
              <w:spacing w:before="0" w:after="0"/>
              <w:jc w:val="left"/>
              <w:rPr>
                <w:sz w:val="24"/>
                <w:highlight w:val="yellow"/>
              </w:rPr>
            </w:pPr>
          </w:p>
        </w:tc>
        <w:tc>
          <w:tcPr>
            <w:tcW w:w="4706" w:type="dxa"/>
            <w:shd w:val="clear" w:color="auto" w:fill="FFFFFF"/>
          </w:tcPr>
          <w:p w14:paraId="015BCA62" w14:textId="77777777" w:rsidR="005C5C57" w:rsidRPr="006758D4" w:rsidRDefault="005C5C57" w:rsidP="006758D4">
            <w:pPr>
              <w:pStyle w:val="naislab"/>
              <w:spacing w:before="0" w:after="0"/>
              <w:jc w:val="left"/>
              <w:rPr>
                <w:sz w:val="24"/>
                <w:highlight w:val="yellow"/>
              </w:rPr>
            </w:pPr>
            <w:r w:rsidRPr="006758D4">
              <w:rPr>
                <w:sz w:val="24"/>
              </w:rPr>
              <w:t xml:space="preserve">1.3.2. Energoatkarība, </w:t>
            </w:r>
            <w:r w:rsidRPr="006758D4">
              <w:rPr>
                <w:rFonts w:cstheme="minorHAnsi"/>
                <w:color w:val="000000" w:themeColor="text1"/>
                <w:sz w:val="24"/>
              </w:rPr>
              <w:t>importa īpatsvars bruto iekšzemes enerģijas patēriņā (t.sk. bunkurēšana) (%)</w:t>
            </w:r>
          </w:p>
        </w:tc>
        <w:tc>
          <w:tcPr>
            <w:tcW w:w="1417" w:type="dxa"/>
            <w:tcBorders>
              <w:bottom w:val="single" w:sz="4" w:space="0" w:color="auto"/>
            </w:tcBorders>
            <w:shd w:val="clear" w:color="auto" w:fill="DAEEF3" w:themeFill="accent5" w:themeFillTint="33"/>
            <w:vAlign w:val="center"/>
          </w:tcPr>
          <w:p w14:paraId="62AB7BD1" w14:textId="1E52E1F0" w:rsidR="005C5C57" w:rsidRDefault="005C5C57" w:rsidP="00A065A3">
            <w:pPr>
              <w:pStyle w:val="naislab"/>
              <w:spacing w:before="0" w:after="0"/>
              <w:jc w:val="center"/>
              <w:rPr>
                <w:sz w:val="24"/>
              </w:rPr>
            </w:pPr>
            <w:r w:rsidRPr="005C5C57">
              <w:rPr>
                <w:sz w:val="24"/>
              </w:rPr>
              <w:t>44,</w:t>
            </w:r>
            <w:r w:rsidR="00AC0D20">
              <w:rPr>
                <w:sz w:val="24"/>
              </w:rPr>
              <w:t>1</w:t>
            </w:r>
          </w:p>
          <w:p w14:paraId="3F75D0E3" w14:textId="32E1DFC9" w:rsidR="00AC0D20" w:rsidRPr="00AC0D20" w:rsidRDefault="00AC0D20" w:rsidP="00A065A3">
            <w:pPr>
              <w:pStyle w:val="naislab"/>
              <w:spacing w:before="0" w:after="0"/>
              <w:jc w:val="center"/>
              <w:rPr>
                <w:sz w:val="24"/>
              </w:rPr>
            </w:pPr>
            <w:r>
              <w:rPr>
                <w:sz w:val="24"/>
              </w:rPr>
              <w:t>(2017)</w:t>
            </w:r>
          </w:p>
        </w:tc>
        <w:tc>
          <w:tcPr>
            <w:tcW w:w="1417" w:type="dxa"/>
            <w:tcBorders>
              <w:bottom w:val="single" w:sz="4" w:space="0" w:color="auto"/>
            </w:tcBorders>
            <w:shd w:val="clear" w:color="auto" w:fill="FFFFFF"/>
            <w:vAlign w:val="center"/>
          </w:tcPr>
          <w:p w14:paraId="25DB68E9" w14:textId="6CB26557" w:rsidR="005C5C57" w:rsidRPr="00AC0D20" w:rsidRDefault="00AC0D20" w:rsidP="00A065A3">
            <w:pPr>
              <w:pStyle w:val="naislab"/>
              <w:spacing w:before="0" w:after="0"/>
              <w:jc w:val="center"/>
              <w:rPr>
                <w:sz w:val="24"/>
              </w:rPr>
            </w:pPr>
            <w:r>
              <w:rPr>
                <w:sz w:val="24"/>
              </w:rPr>
              <w:t>44,1</w:t>
            </w:r>
          </w:p>
        </w:tc>
        <w:tc>
          <w:tcPr>
            <w:tcW w:w="1417" w:type="dxa"/>
            <w:tcBorders>
              <w:bottom w:val="single" w:sz="4" w:space="0" w:color="auto"/>
            </w:tcBorders>
            <w:shd w:val="clear" w:color="auto" w:fill="DAEEF3" w:themeFill="accent5" w:themeFillTint="33"/>
            <w:vAlign w:val="center"/>
          </w:tcPr>
          <w:p w14:paraId="5C62E7E3" w14:textId="33BFA0D1" w:rsidR="005C5C57" w:rsidRDefault="00AC0D20" w:rsidP="00A065A3">
            <w:pPr>
              <w:pStyle w:val="naislab"/>
              <w:spacing w:before="0" w:after="0"/>
              <w:jc w:val="center"/>
              <w:rPr>
                <w:color w:val="000000" w:themeColor="text1"/>
                <w:sz w:val="24"/>
              </w:rPr>
            </w:pPr>
            <w:r>
              <w:rPr>
                <w:color w:val="000000" w:themeColor="text1"/>
                <w:sz w:val="24"/>
              </w:rPr>
              <w:t>43,96</w:t>
            </w:r>
          </w:p>
          <w:p w14:paraId="6D548151" w14:textId="71A4C6CA" w:rsidR="00AC0D20" w:rsidRPr="00AC0D20" w:rsidRDefault="00AC0D20" w:rsidP="00A065A3">
            <w:pPr>
              <w:pStyle w:val="naislab"/>
              <w:spacing w:before="0" w:after="0"/>
              <w:jc w:val="center"/>
              <w:rPr>
                <w:color w:val="000000" w:themeColor="text1"/>
                <w:sz w:val="24"/>
              </w:rPr>
            </w:pPr>
            <w:r>
              <w:rPr>
                <w:color w:val="000000" w:themeColor="text1"/>
                <w:sz w:val="24"/>
              </w:rPr>
              <w:t>(2019)</w:t>
            </w:r>
          </w:p>
        </w:tc>
        <w:tc>
          <w:tcPr>
            <w:tcW w:w="1417" w:type="dxa"/>
            <w:tcBorders>
              <w:bottom w:val="single" w:sz="4" w:space="0" w:color="auto"/>
            </w:tcBorders>
            <w:shd w:val="clear" w:color="auto" w:fill="FFFFFF"/>
            <w:vAlign w:val="center"/>
          </w:tcPr>
          <w:p w14:paraId="5DF1F5FD" w14:textId="7DAFF561" w:rsidR="005C5C57" w:rsidRPr="00AC0D20" w:rsidRDefault="00AC0D20" w:rsidP="00A065A3">
            <w:pPr>
              <w:pStyle w:val="naislab"/>
              <w:spacing w:before="0" w:after="0"/>
              <w:jc w:val="center"/>
              <w:rPr>
                <w:sz w:val="24"/>
              </w:rPr>
            </w:pPr>
            <w:r>
              <w:rPr>
                <w:sz w:val="24"/>
              </w:rPr>
              <w:t>-</w:t>
            </w:r>
          </w:p>
        </w:tc>
        <w:tc>
          <w:tcPr>
            <w:tcW w:w="1417" w:type="dxa"/>
            <w:tcBorders>
              <w:bottom w:val="single" w:sz="4" w:space="0" w:color="auto"/>
            </w:tcBorders>
            <w:shd w:val="clear" w:color="auto" w:fill="auto"/>
            <w:vAlign w:val="center"/>
          </w:tcPr>
          <w:p w14:paraId="2676C49A" w14:textId="62657862" w:rsidR="005C5C57" w:rsidRPr="00AC0D20" w:rsidRDefault="00AC0D20" w:rsidP="00A065A3">
            <w:pPr>
              <w:pStyle w:val="naislab"/>
              <w:spacing w:before="0" w:after="0"/>
              <w:jc w:val="center"/>
              <w:rPr>
                <w:sz w:val="24"/>
              </w:rPr>
            </w:pPr>
            <w:r>
              <w:rPr>
                <w:sz w:val="24"/>
              </w:rPr>
              <w:t>38,9</w:t>
            </w:r>
          </w:p>
        </w:tc>
      </w:tr>
      <w:tr w:rsidR="00DB7D76" w:rsidRPr="00F5511B" w14:paraId="06B8608B" w14:textId="77777777" w:rsidTr="005C5C57">
        <w:trPr>
          <w:trHeight w:val="20"/>
          <w:jc w:val="center"/>
        </w:trPr>
        <w:tc>
          <w:tcPr>
            <w:tcW w:w="2835" w:type="dxa"/>
            <w:vMerge/>
            <w:shd w:val="clear" w:color="auto" w:fill="FFFFFF"/>
          </w:tcPr>
          <w:p w14:paraId="6709F3D7" w14:textId="77777777" w:rsidR="005C5C57" w:rsidRPr="00F5511B" w:rsidRDefault="005C5C57" w:rsidP="00A065A3">
            <w:pPr>
              <w:pStyle w:val="naislab"/>
              <w:spacing w:before="0" w:after="0"/>
              <w:jc w:val="left"/>
              <w:rPr>
                <w:sz w:val="24"/>
                <w:highlight w:val="yellow"/>
              </w:rPr>
            </w:pPr>
          </w:p>
        </w:tc>
        <w:tc>
          <w:tcPr>
            <w:tcW w:w="4706" w:type="dxa"/>
            <w:shd w:val="clear" w:color="auto" w:fill="FFFFFF"/>
          </w:tcPr>
          <w:p w14:paraId="03DC72F3" w14:textId="77777777" w:rsidR="005C5C57" w:rsidRPr="00F5511B" w:rsidRDefault="005C5C57" w:rsidP="00A065A3">
            <w:pPr>
              <w:pStyle w:val="naislab"/>
              <w:spacing w:before="0" w:after="0"/>
              <w:jc w:val="left"/>
              <w:rPr>
                <w:sz w:val="24"/>
                <w:highlight w:val="yellow"/>
              </w:rPr>
            </w:pPr>
            <w:r w:rsidRPr="008B0C3D">
              <w:rPr>
                <w:sz w:val="24"/>
              </w:rPr>
              <w:t>1.3.3. Latvijas novērtējums Globālās konkurētspējas indeksa pētījumā (vieta valstu reitingā/kopējais apkopojamo valstu skaits)</w:t>
            </w:r>
          </w:p>
        </w:tc>
        <w:tc>
          <w:tcPr>
            <w:tcW w:w="1417" w:type="dxa"/>
            <w:shd w:val="clear" w:color="auto" w:fill="DAEEF3" w:themeFill="accent5" w:themeFillTint="33"/>
            <w:vAlign w:val="center"/>
          </w:tcPr>
          <w:p w14:paraId="2EDEBEB0" w14:textId="111A96E3" w:rsidR="005C5C57" w:rsidRPr="005C5C57" w:rsidRDefault="00AC0D20" w:rsidP="00A065A3">
            <w:pPr>
              <w:pStyle w:val="naislab"/>
              <w:spacing w:before="0" w:after="0"/>
              <w:jc w:val="center"/>
              <w:rPr>
                <w:sz w:val="24"/>
              </w:rPr>
            </w:pPr>
            <w:r>
              <w:rPr>
                <w:sz w:val="24"/>
              </w:rPr>
              <w:t>41/141</w:t>
            </w:r>
          </w:p>
        </w:tc>
        <w:tc>
          <w:tcPr>
            <w:tcW w:w="1417" w:type="dxa"/>
            <w:shd w:val="clear" w:color="auto" w:fill="FFFFFF"/>
            <w:vAlign w:val="center"/>
          </w:tcPr>
          <w:p w14:paraId="32463750" w14:textId="77777777" w:rsidR="005C5C57" w:rsidRPr="005C5C57" w:rsidRDefault="005C5C57" w:rsidP="00A065A3">
            <w:pPr>
              <w:pStyle w:val="naislab"/>
              <w:spacing w:before="0" w:after="0"/>
              <w:jc w:val="center"/>
              <w:rPr>
                <w:sz w:val="24"/>
              </w:rPr>
            </w:pPr>
            <w:r w:rsidRPr="005C5C57">
              <w:rPr>
                <w:sz w:val="24"/>
              </w:rPr>
              <w:t>-</w:t>
            </w:r>
          </w:p>
        </w:tc>
        <w:tc>
          <w:tcPr>
            <w:tcW w:w="1417" w:type="dxa"/>
            <w:shd w:val="clear" w:color="auto" w:fill="DAEEF3" w:themeFill="accent5" w:themeFillTint="33"/>
            <w:vAlign w:val="center"/>
          </w:tcPr>
          <w:p w14:paraId="4AC4B594" w14:textId="5FCA0BAF" w:rsidR="005C5C57" w:rsidRPr="005C5C57" w:rsidRDefault="00AC0D20" w:rsidP="00A065A3">
            <w:pPr>
              <w:pStyle w:val="naislab"/>
              <w:spacing w:before="0" w:after="0"/>
              <w:jc w:val="center"/>
              <w:rPr>
                <w:sz w:val="24"/>
              </w:rPr>
            </w:pPr>
            <w:r>
              <w:rPr>
                <w:sz w:val="24"/>
              </w:rPr>
              <w:t>n.a.*</w:t>
            </w:r>
          </w:p>
        </w:tc>
        <w:tc>
          <w:tcPr>
            <w:tcW w:w="1417" w:type="dxa"/>
            <w:shd w:val="clear" w:color="auto" w:fill="FFFFFF"/>
            <w:vAlign w:val="center"/>
          </w:tcPr>
          <w:p w14:paraId="7776CD79" w14:textId="3CBB1E01" w:rsidR="005C5C57" w:rsidRPr="00AC0D20" w:rsidRDefault="00AC0D20" w:rsidP="00A065A3">
            <w:pPr>
              <w:pStyle w:val="naislab"/>
              <w:spacing w:before="0" w:after="0"/>
              <w:jc w:val="center"/>
              <w:rPr>
                <w:sz w:val="24"/>
              </w:rPr>
            </w:pPr>
            <w:r>
              <w:rPr>
                <w:sz w:val="24"/>
              </w:rPr>
              <w:t>-</w:t>
            </w:r>
          </w:p>
        </w:tc>
        <w:tc>
          <w:tcPr>
            <w:tcW w:w="1417" w:type="dxa"/>
            <w:shd w:val="clear" w:color="auto" w:fill="auto"/>
            <w:vAlign w:val="center"/>
          </w:tcPr>
          <w:p w14:paraId="23B58B94" w14:textId="248FA623" w:rsidR="005C5C57" w:rsidRPr="00AC0D20" w:rsidRDefault="00AC0D20" w:rsidP="00A065A3">
            <w:pPr>
              <w:pStyle w:val="naislab"/>
              <w:spacing w:before="0" w:after="0"/>
              <w:jc w:val="center"/>
              <w:rPr>
                <w:sz w:val="24"/>
              </w:rPr>
            </w:pPr>
            <w:r>
              <w:rPr>
                <w:sz w:val="24"/>
              </w:rPr>
              <w:t>39/n.a.</w:t>
            </w:r>
          </w:p>
        </w:tc>
      </w:tr>
    </w:tbl>
    <w:p w14:paraId="6A5C7BAD" w14:textId="75651716" w:rsidR="00F608F7" w:rsidRPr="004B7530" w:rsidRDefault="00F608F7" w:rsidP="006937F0">
      <w:pPr>
        <w:pStyle w:val="ListParagraph"/>
        <w:spacing w:before="60"/>
        <w:ind w:left="0" w:right="-28"/>
        <w:rPr>
          <w:i/>
          <w:sz w:val="18"/>
          <w:szCs w:val="18"/>
        </w:rPr>
      </w:pPr>
      <w:r w:rsidRPr="004B7530">
        <w:rPr>
          <w:i/>
          <w:sz w:val="18"/>
          <w:szCs w:val="18"/>
        </w:rPr>
        <w:t>Avots: EM darbības stratēģija 20</w:t>
      </w:r>
      <w:r w:rsidR="004B7530">
        <w:rPr>
          <w:i/>
          <w:sz w:val="18"/>
          <w:szCs w:val="18"/>
        </w:rPr>
        <w:t>20</w:t>
      </w:r>
      <w:r w:rsidRPr="004B7530">
        <w:rPr>
          <w:i/>
          <w:sz w:val="18"/>
          <w:szCs w:val="18"/>
        </w:rPr>
        <w:t>.-20</w:t>
      </w:r>
      <w:r w:rsidR="004B7530">
        <w:rPr>
          <w:i/>
          <w:sz w:val="18"/>
          <w:szCs w:val="18"/>
        </w:rPr>
        <w:t>22</w:t>
      </w:r>
      <w:r w:rsidRPr="004B7530">
        <w:rPr>
          <w:i/>
          <w:sz w:val="18"/>
          <w:szCs w:val="18"/>
        </w:rPr>
        <w:t xml:space="preserve">.gadam, CSP datubāze; Eurostat datubāze, </w:t>
      </w:r>
      <w:r w:rsidR="009D3CED">
        <w:rPr>
          <w:i/>
          <w:sz w:val="18"/>
          <w:szCs w:val="18"/>
        </w:rPr>
        <w:t>d</w:t>
      </w:r>
      <w:r w:rsidR="009D3CED" w:rsidRPr="00D03C31">
        <w:rPr>
          <w:i/>
          <w:sz w:val="18"/>
          <w:szCs w:val="18"/>
        </w:rPr>
        <w:t>ati par 2020.gadu izgūti 2021.gada jūlija mēnesī (2</w:t>
      </w:r>
      <w:r w:rsidR="009D3CED">
        <w:rPr>
          <w:i/>
          <w:sz w:val="18"/>
          <w:szCs w:val="18"/>
        </w:rPr>
        <w:t>7</w:t>
      </w:r>
      <w:r w:rsidR="009D3CED" w:rsidRPr="00D03C31">
        <w:rPr>
          <w:i/>
          <w:sz w:val="18"/>
          <w:szCs w:val="18"/>
        </w:rPr>
        <w:t>.0</w:t>
      </w:r>
      <w:r w:rsidR="009D3CED">
        <w:rPr>
          <w:i/>
          <w:sz w:val="18"/>
          <w:szCs w:val="18"/>
        </w:rPr>
        <w:t>7</w:t>
      </w:r>
      <w:r w:rsidR="009D3CED" w:rsidRPr="00D03C31">
        <w:rPr>
          <w:i/>
          <w:sz w:val="18"/>
          <w:szCs w:val="18"/>
        </w:rPr>
        <w:t>.202</w:t>
      </w:r>
      <w:r w:rsidR="009D3CED">
        <w:rPr>
          <w:i/>
          <w:sz w:val="18"/>
          <w:szCs w:val="18"/>
        </w:rPr>
        <w:t>1</w:t>
      </w:r>
      <w:r w:rsidR="009D3CED" w:rsidRPr="00D03C31">
        <w:rPr>
          <w:i/>
          <w:sz w:val="18"/>
          <w:szCs w:val="18"/>
        </w:rPr>
        <w:t>.)</w:t>
      </w:r>
    </w:p>
    <w:p w14:paraId="79018B1D" w14:textId="7C70D511" w:rsidR="00F608F7" w:rsidRPr="00AC0D20" w:rsidRDefault="00F608F7" w:rsidP="00F608F7">
      <w:pPr>
        <w:pStyle w:val="ListParagraph"/>
        <w:ind w:left="0" w:right="108"/>
        <w:rPr>
          <w:i/>
          <w:sz w:val="18"/>
          <w:szCs w:val="18"/>
          <w:highlight w:val="yellow"/>
        </w:rPr>
      </w:pPr>
      <w:r w:rsidRPr="00AC0D20">
        <w:rPr>
          <w:i/>
          <w:sz w:val="18"/>
          <w:szCs w:val="18"/>
        </w:rPr>
        <w:t xml:space="preserve">* </w:t>
      </w:r>
      <w:r w:rsidR="00AC0D20" w:rsidRPr="00AC0D20">
        <w:rPr>
          <w:i/>
          <w:iCs/>
          <w:color w:val="000000" w:themeColor="text1"/>
          <w:sz w:val="18"/>
          <w:szCs w:val="18"/>
        </w:rPr>
        <w:t>Globālās konkurētspējas indeksa novērtēšanas vietā 2020.gadā tika sagatavots speciālizdevums (</w:t>
      </w:r>
      <w:hyperlink r:id="rId155" w:history="1">
        <w:r w:rsidR="00AC0D20" w:rsidRPr="00AC0D20">
          <w:rPr>
            <w:rStyle w:val="Hyperlink"/>
            <w:i/>
            <w:iCs/>
            <w:color w:val="00859B"/>
            <w:sz w:val="18"/>
            <w:szCs w:val="18"/>
          </w:rPr>
          <w:t>http://www3.weforum.org/docs/WEF_TheGlobalCompetitivenessReport2020.pdf</w:t>
        </w:r>
      </w:hyperlink>
      <w:r w:rsidR="00AC0D20" w:rsidRPr="00AC0D20">
        <w:rPr>
          <w:i/>
          <w:iCs/>
          <w:color w:val="000000" w:themeColor="text1"/>
          <w:sz w:val="18"/>
          <w:szCs w:val="18"/>
        </w:rPr>
        <w:t xml:space="preserve">) </w:t>
      </w:r>
    </w:p>
    <w:p w14:paraId="41796915" w14:textId="77777777" w:rsidR="005C5C57" w:rsidRPr="00F5511B" w:rsidRDefault="005C5C57" w:rsidP="008D631D">
      <w:pPr>
        <w:pStyle w:val="ListParagraph"/>
        <w:ind w:left="0" w:right="108"/>
        <w:rPr>
          <w:i/>
          <w:sz w:val="18"/>
          <w:szCs w:val="18"/>
          <w:highlight w:val="yellow"/>
        </w:rPr>
      </w:pPr>
    </w:p>
    <w:p w14:paraId="768FCEEA" w14:textId="77777777" w:rsidR="00B91024" w:rsidRPr="00F5511B" w:rsidRDefault="00B91024" w:rsidP="008D631D">
      <w:pPr>
        <w:pStyle w:val="ListParagraph"/>
        <w:ind w:left="0" w:right="108"/>
        <w:rPr>
          <w:i/>
          <w:sz w:val="18"/>
          <w:szCs w:val="18"/>
          <w:highlight w:val="yellow"/>
        </w:rPr>
      </w:pPr>
      <w:r w:rsidRPr="00F5511B">
        <w:rPr>
          <w:i/>
          <w:sz w:val="18"/>
          <w:szCs w:val="18"/>
          <w:highlight w:val="yellow"/>
        </w:rPr>
        <w:br w:type="page"/>
      </w:r>
    </w:p>
    <w:p w14:paraId="0601E830" w14:textId="77777777" w:rsidR="00C85E1B" w:rsidRPr="00F5511B" w:rsidRDefault="00C85E1B">
      <w:pPr>
        <w:spacing w:after="0" w:line="240" w:lineRule="auto"/>
        <w:rPr>
          <w:rFonts w:eastAsia="Times New Roman" w:cs="Times New Roman"/>
          <w:i/>
          <w:sz w:val="18"/>
          <w:szCs w:val="18"/>
          <w:highlight w:val="yellow"/>
          <w:lang w:eastAsia="lv-LV"/>
        </w:rPr>
      </w:pPr>
    </w:p>
    <w:p w14:paraId="1235329C" w14:textId="380CC324" w:rsidR="00CB5405" w:rsidRPr="008B0C3D" w:rsidRDefault="008E0258" w:rsidP="00BE6C4B">
      <w:pPr>
        <w:pStyle w:val="Heading1"/>
        <w:numPr>
          <w:ilvl w:val="0"/>
          <w:numId w:val="9"/>
        </w:numPr>
        <w:spacing w:after="60"/>
        <w:ind w:left="714" w:hanging="357"/>
      </w:pPr>
      <w:bookmarkStart w:id="103" w:name="_Pielikums._EM_darbības"/>
      <w:bookmarkStart w:id="104" w:name="_Toc520374383"/>
      <w:bookmarkStart w:id="105" w:name="_Toc78874620"/>
      <w:bookmarkEnd w:id="103"/>
      <w:r w:rsidRPr="008B0C3D">
        <w:rPr>
          <w:b w:val="0"/>
        </w:rPr>
        <w:t>P</w:t>
      </w:r>
      <w:r w:rsidR="00CB5405" w:rsidRPr="008B0C3D">
        <w:rPr>
          <w:b w:val="0"/>
        </w:rPr>
        <w:t>ielikums</w:t>
      </w:r>
      <w:r w:rsidR="00CB5405" w:rsidRPr="008B0C3D">
        <w:t>. EM darbības virziena “</w:t>
      </w:r>
      <w:r w:rsidR="00CB5405" w:rsidRPr="008B0C3D">
        <w:rPr>
          <w:rFonts w:eastAsia="Franklin Gothic Book"/>
        </w:rPr>
        <w:t>Eksporta veicināšana</w:t>
      </w:r>
      <w:r w:rsidR="00CB5405" w:rsidRPr="008B0C3D">
        <w:t>” rezultatīvo rādītāju dinamika</w:t>
      </w:r>
      <w:bookmarkEnd w:id="104"/>
      <w:bookmarkEnd w:id="105"/>
    </w:p>
    <w:tbl>
      <w:tblPr>
        <w:tblpPr w:leftFromText="180" w:rightFromText="180" w:vertAnchor="text" w:tblpXSpec="center" w:tblpY="1"/>
        <w:tblOverlap w:val="neve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01"/>
        <w:gridCol w:w="3968"/>
        <w:gridCol w:w="1422"/>
        <w:gridCol w:w="1422"/>
        <w:gridCol w:w="1422"/>
        <w:gridCol w:w="1422"/>
        <w:gridCol w:w="1419"/>
      </w:tblGrid>
      <w:tr w:rsidR="000137EB" w:rsidRPr="00F5511B" w14:paraId="5CD00FC7" w14:textId="77777777" w:rsidTr="000137EB">
        <w:trPr>
          <w:trHeight w:val="397"/>
        </w:trPr>
        <w:tc>
          <w:tcPr>
            <w:tcW w:w="1175" w:type="pct"/>
            <w:vMerge w:val="restart"/>
            <w:shd w:val="clear" w:color="auto" w:fill="FFFFFF" w:themeFill="background1"/>
            <w:vAlign w:val="center"/>
          </w:tcPr>
          <w:p w14:paraId="1DE354DA" w14:textId="77777777" w:rsidR="00901046" w:rsidRPr="008B0C3D" w:rsidRDefault="00901046" w:rsidP="006158BA">
            <w:pPr>
              <w:pStyle w:val="naislab"/>
              <w:spacing w:before="0" w:after="0"/>
              <w:jc w:val="center"/>
              <w:rPr>
                <w:sz w:val="24"/>
              </w:rPr>
            </w:pPr>
            <w:r w:rsidRPr="008B0C3D">
              <w:rPr>
                <w:b/>
                <w:sz w:val="24"/>
              </w:rPr>
              <w:t>Rezultāts</w:t>
            </w:r>
          </w:p>
        </w:tc>
        <w:tc>
          <w:tcPr>
            <w:tcW w:w="1371" w:type="pct"/>
            <w:vMerge w:val="restart"/>
            <w:shd w:val="clear" w:color="auto" w:fill="FFFFFF" w:themeFill="background1"/>
            <w:vAlign w:val="center"/>
          </w:tcPr>
          <w:p w14:paraId="353B024B" w14:textId="77777777" w:rsidR="00901046" w:rsidRPr="00F5511B" w:rsidRDefault="00901046" w:rsidP="006158BA">
            <w:pPr>
              <w:pStyle w:val="naislab"/>
              <w:spacing w:before="0" w:after="0"/>
              <w:jc w:val="center"/>
              <w:rPr>
                <w:sz w:val="24"/>
                <w:highlight w:val="yellow"/>
              </w:rPr>
            </w:pPr>
            <w:r w:rsidRPr="008B0C3D">
              <w:rPr>
                <w:b/>
                <w:sz w:val="24"/>
              </w:rPr>
              <w:t>Rezultatīvais rādītājs</w:t>
            </w:r>
          </w:p>
        </w:tc>
        <w:tc>
          <w:tcPr>
            <w:tcW w:w="2454" w:type="pct"/>
            <w:gridSpan w:val="5"/>
            <w:shd w:val="clear" w:color="auto" w:fill="FFFFFF" w:themeFill="background1"/>
            <w:vAlign w:val="center"/>
          </w:tcPr>
          <w:p w14:paraId="33D3BB95" w14:textId="6F5F06A5" w:rsidR="00901046" w:rsidRPr="00F5511B" w:rsidRDefault="00901046" w:rsidP="002C04D4">
            <w:pPr>
              <w:pStyle w:val="naislab"/>
              <w:spacing w:before="0" w:after="0"/>
              <w:jc w:val="center"/>
              <w:rPr>
                <w:sz w:val="24"/>
                <w:highlight w:val="yellow"/>
              </w:rPr>
            </w:pPr>
            <w:r w:rsidRPr="008B0C3D">
              <w:rPr>
                <w:b/>
                <w:sz w:val="24"/>
              </w:rPr>
              <w:t>Rezultatīvā rādītāja skaitliskās vērtības</w:t>
            </w:r>
          </w:p>
        </w:tc>
      </w:tr>
      <w:tr w:rsidR="000137EB" w:rsidRPr="00F5511B" w14:paraId="54344572" w14:textId="77777777" w:rsidTr="000137EB">
        <w:trPr>
          <w:trHeight w:val="20"/>
        </w:trPr>
        <w:tc>
          <w:tcPr>
            <w:tcW w:w="1175" w:type="pct"/>
            <w:vMerge/>
            <w:shd w:val="clear" w:color="auto" w:fill="00859B"/>
          </w:tcPr>
          <w:p w14:paraId="34FA3E87" w14:textId="77777777" w:rsidR="001A175E" w:rsidRPr="008B0C3D" w:rsidRDefault="001A175E" w:rsidP="00A065A3">
            <w:pPr>
              <w:pStyle w:val="naislab"/>
              <w:spacing w:before="0" w:after="0"/>
              <w:jc w:val="left"/>
              <w:rPr>
                <w:sz w:val="24"/>
              </w:rPr>
            </w:pPr>
          </w:p>
        </w:tc>
        <w:tc>
          <w:tcPr>
            <w:tcW w:w="1371" w:type="pct"/>
            <w:vMerge/>
            <w:shd w:val="clear" w:color="auto" w:fill="00859B"/>
          </w:tcPr>
          <w:p w14:paraId="7F3D96D5" w14:textId="77777777" w:rsidR="001A175E" w:rsidRPr="00F5511B" w:rsidRDefault="001A175E" w:rsidP="00A065A3">
            <w:pPr>
              <w:pStyle w:val="naislab"/>
              <w:spacing w:before="0" w:after="0"/>
              <w:jc w:val="left"/>
              <w:rPr>
                <w:sz w:val="24"/>
                <w:highlight w:val="yellow"/>
              </w:rPr>
            </w:pPr>
          </w:p>
        </w:tc>
        <w:tc>
          <w:tcPr>
            <w:tcW w:w="491" w:type="pct"/>
            <w:shd w:val="clear" w:color="auto" w:fill="DAEEF3" w:themeFill="accent5" w:themeFillTint="33"/>
            <w:vAlign w:val="center"/>
          </w:tcPr>
          <w:p w14:paraId="37757D0C" w14:textId="6420921D" w:rsidR="001A175E" w:rsidRPr="008B0C3D" w:rsidRDefault="00901046" w:rsidP="002C04D4">
            <w:pPr>
              <w:pStyle w:val="naislab"/>
              <w:spacing w:before="0" w:after="0"/>
              <w:jc w:val="center"/>
              <w:rPr>
                <w:b/>
                <w:sz w:val="24"/>
              </w:rPr>
            </w:pPr>
            <w:r w:rsidRPr="008B0C3D">
              <w:rPr>
                <w:b/>
                <w:sz w:val="24"/>
              </w:rPr>
              <w:t>201</w:t>
            </w:r>
            <w:r>
              <w:rPr>
                <w:b/>
                <w:sz w:val="24"/>
              </w:rPr>
              <w:t>9</w:t>
            </w:r>
            <w:r w:rsidR="001A175E" w:rsidRPr="008B0C3D">
              <w:rPr>
                <w:b/>
                <w:sz w:val="24"/>
              </w:rPr>
              <w:t>.</w:t>
            </w:r>
          </w:p>
          <w:p w14:paraId="314B0589" w14:textId="77777777" w:rsidR="001A175E" w:rsidRPr="008B0C3D" w:rsidRDefault="001A175E" w:rsidP="002C04D4">
            <w:pPr>
              <w:pStyle w:val="naislab"/>
              <w:spacing w:before="0" w:after="0"/>
              <w:jc w:val="center"/>
              <w:rPr>
                <w:sz w:val="24"/>
              </w:rPr>
            </w:pPr>
            <w:r w:rsidRPr="008B0C3D">
              <w:rPr>
                <w:b/>
                <w:sz w:val="24"/>
              </w:rPr>
              <w:t>(fakts)</w:t>
            </w:r>
          </w:p>
        </w:tc>
        <w:tc>
          <w:tcPr>
            <w:tcW w:w="491" w:type="pct"/>
            <w:shd w:val="clear" w:color="auto" w:fill="FFFFFF"/>
            <w:vAlign w:val="center"/>
          </w:tcPr>
          <w:p w14:paraId="262019E2" w14:textId="18BDB709" w:rsidR="001A175E" w:rsidRPr="008B0C3D" w:rsidRDefault="00901046" w:rsidP="002C04D4">
            <w:pPr>
              <w:pStyle w:val="naislab"/>
              <w:spacing w:before="0" w:after="0"/>
              <w:jc w:val="center"/>
              <w:rPr>
                <w:b/>
                <w:sz w:val="24"/>
              </w:rPr>
            </w:pPr>
            <w:r w:rsidRPr="008B0C3D">
              <w:rPr>
                <w:b/>
                <w:sz w:val="24"/>
              </w:rPr>
              <w:t>20</w:t>
            </w:r>
            <w:r>
              <w:rPr>
                <w:b/>
                <w:sz w:val="24"/>
              </w:rPr>
              <w:t>20</w:t>
            </w:r>
            <w:r w:rsidR="001A175E" w:rsidRPr="008B0C3D">
              <w:rPr>
                <w:b/>
                <w:sz w:val="24"/>
              </w:rPr>
              <w:t>.</w:t>
            </w:r>
          </w:p>
          <w:p w14:paraId="388DC706" w14:textId="77777777" w:rsidR="001A175E" w:rsidRPr="008B0C3D" w:rsidRDefault="001A175E" w:rsidP="002C04D4">
            <w:pPr>
              <w:pStyle w:val="naislab"/>
              <w:spacing w:before="0" w:after="0"/>
              <w:jc w:val="center"/>
              <w:rPr>
                <w:sz w:val="24"/>
              </w:rPr>
            </w:pPr>
            <w:r w:rsidRPr="008B0C3D">
              <w:rPr>
                <w:b/>
                <w:sz w:val="24"/>
              </w:rPr>
              <w:t>(plāns)</w:t>
            </w:r>
          </w:p>
        </w:tc>
        <w:tc>
          <w:tcPr>
            <w:tcW w:w="491" w:type="pct"/>
            <w:shd w:val="clear" w:color="auto" w:fill="DAEEF3" w:themeFill="accent5" w:themeFillTint="33"/>
            <w:vAlign w:val="center"/>
          </w:tcPr>
          <w:p w14:paraId="3218F571" w14:textId="0E03FA91" w:rsidR="001A175E" w:rsidRPr="008B0C3D" w:rsidRDefault="00901046" w:rsidP="002C04D4">
            <w:pPr>
              <w:pStyle w:val="naislab"/>
              <w:spacing w:before="0" w:after="0"/>
              <w:jc w:val="center"/>
              <w:rPr>
                <w:b/>
                <w:sz w:val="24"/>
              </w:rPr>
            </w:pPr>
            <w:r w:rsidRPr="008B0C3D">
              <w:rPr>
                <w:b/>
                <w:sz w:val="24"/>
              </w:rPr>
              <w:t>20</w:t>
            </w:r>
            <w:r>
              <w:rPr>
                <w:b/>
                <w:sz w:val="24"/>
              </w:rPr>
              <w:t>20</w:t>
            </w:r>
            <w:r w:rsidR="001A175E" w:rsidRPr="008B0C3D">
              <w:rPr>
                <w:b/>
                <w:sz w:val="24"/>
              </w:rPr>
              <w:t>.</w:t>
            </w:r>
          </w:p>
          <w:p w14:paraId="028CB5BD" w14:textId="77777777" w:rsidR="001A175E" w:rsidRPr="00F5511B" w:rsidRDefault="001A175E" w:rsidP="002C04D4">
            <w:pPr>
              <w:pStyle w:val="naislab"/>
              <w:spacing w:before="0" w:after="0"/>
              <w:jc w:val="center"/>
              <w:rPr>
                <w:b/>
                <w:sz w:val="24"/>
                <w:highlight w:val="yellow"/>
              </w:rPr>
            </w:pPr>
            <w:r w:rsidRPr="008B0C3D">
              <w:rPr>
                <w:b/>
                <w:sz w:val="24"/>
              </w:rPr>
              <w:t>(fakts)</w:t>
            </w:r>
          </w:p>
        </w:tc>
        <w:tc>
          <w:tcPr>
            <w:tcW w:w="491" w:type="pct"/>
            <w:shd w:val="clear" w:color="auto" w:fill="FFFFFF"/>
            <w:vAlign w:val="center"/>
          </w:tcPr>
          <w:p w14:paraId="7C8B204D" w14:textId="2F8F9D2D" w:rsidR="001A175E" w:rsidRPr="00F5511B" w:rsidRDefault="00901046" w:rsidP="00901046">
            <w:pPr>
              <w:pStyle w:val="naislab"/>
              <w:spacing w:before="0" w:after="0"/>
              <w:jc w:val="center"/>
              <w:rPr>
                <w:b/>
                <w:sz w:val="24"/>
                <w:highlight w:val="yellow"/>
              </w:rPr>
            </w:pPr>
            <w:r w:rsidRPr="008B0C3D">
              <w:rPr>
                <w:b/>
                <w:sz w:val="24"/>
              </w:rPr>
              <w:t>202</w:t>
            </w:r>
            <w:r>
              <w:rPr>
                <w:b/>
                <w:sz w:val="24"/>
              </w:rPr>
              <w:t>1</w:t>
            </w:r>
            <w:r w:rsidR="001A175E" w:rsidRPr="008B0C3D">
              <w:rPr>
                <w:b/>
                <w:sz w:val="24"/>
              </w:rPr>
              <w:t>.</w:t>
            </w:r>
          </w:p>
        </w:tc>
        <w:tc>
          <w:tcPr>
            <w:tcW w:w="489" w:type="pct"/>
            <w:shd w:val="clear" w:color="auto" w:fill="auto"/>
            <w:vAlign w:val="center"/>
          </w:tcPr>
          <w:p w14:paraId="7572E7D1" w14:textId="13F0376B" w:rsidR="001A175E" w:rsidRPr="00F5511B" w:rsidRDefault="00901046" w:rsidP="00901046">
            <w:pPr>
              <w:pStyle w:val="naislab"/>
              <w:spacing w:before="0" w:after="0"/>
              <w:jc w:val="center"/>
              <w:rPr>
                <w:sz w:val="24"/>
                <w:highlight w:val="yellow"/>
              </w:rPr>
            </w:pPr>
            <w:r w:rsidRPr="001423FA">
              <w:rPr>
                <w:b/>
                <w:sz w:val="24"/>
              </w:rPr>
              <w:t>202</w:t>
            </w:r>
            <w:r>
              <w:rPr>
                <w:b/>
                <w:sz w:val="24"/>
              </w:rPr>
              <w:t>2</w:t>
            </w:r>
            <w:r w:rsidR="001A175E" w:rsidRPr="001423FA">
              <w:rPr>
                <w:b/>
                <w:sz w:val="24"/>
              </w:rPr>
              <w:t>.</w:t>
            </w:r>
          </w:p>
        </w:tc>
      </w:tr>
      <w:tr w:rsidR="000137EB" w:rsidRPr="00F5511B" w14:paraId="1945CF85" w14:textId="77777777" w:rsidTr="000137EB">
        <w:trPr>
          <w:trHeight w:val="721"/>
        </w:trPr>
        <w:tc>
          <w:tcPr>
            <w:tcW w:w="1175" w:type="pct"/>
            <w:vMerge w:val="restart"/>
            <w:shd w:val="clear" w:color="auto" w:fill="FFFFFF"/>
          </w:tcPr>
          <w:p w14:paraId="74590CB0" w14:textId="77777777" w:rsidR="001A175E" w:rsidRPr="008B0C3D" w:rsidRDefault="001A175E" w:rsidP="00A065A3">
            <w:pPr>
              <w:pStyle w:val="naislab"/>
              <w:spacing w:before="0" w:after="0"/>
              <w:jc w:val="left"/>
              <w:rPr>
                <w:sz w:val="24"/>
              </w:rPr>
            </w:pPr>
            <w:r w:rsidRPr="008B0C3D">
              <w:rPr>
                <w:sz w:val="24"/>
              </w:rPr>
              <w:t>2.1. Palielinās Latvijas eksports</w:t>
            </w:r>
          </w:p>
        </w:tc>
        <w:tc>
          <w:tcPr>
            <w:tcW w:w="1371" w:type="pct"/>
            <w:shd w:val="clear" w:color="auto" w:fill="FFFFFF"/>
          </w:tcPr>
          <w:p w14:paraId="1748B9D2" w14:textId="77777777" w:rsidR="001A175E" w:rsidRPr="00F5511B" w:rsidRDefault="001A175E" w:rsidP="00A065A3">
            <w:pPr>
              <w:pStyle w:val="naislab"/>
              <w:spacing w:before="0" w:after="0"/>
              <w:jc w:val="left"/>
              <w:rPr>
                <w:sz w:val="24"/>
                <w:highlight w:val="yellow"/>
              </w:rPr>
            </w:pPr>
            <w:r w:rsidRPr="008B0C3D">
              <w:rPr>
                <w:sz w:val="24"/>
              </w:rPr>
              <w:t xml:space="preserve">2.1.1. Eksporta dinamika salīdzināmās cenās (milj. </w:t>
            </w:r>
            <w:r w:rsidRPr="008B0C3D">
              <w:rPr>
                <w:i/>
                <w:sz w:val="24"/>
              </w:rPr>
              <w:t>euro</w:t>
            </w:r>
            <w:r w:rsidRPr="008B0C3D">
              <w:rPr>
                <w:sz w:val="24"/>
              </w:rPr>
              <w:t xml:space="preserve">) </w:t>
            </w:r>
          </w:p>
        </w:tc>
        <w:tc>
          <w:tcPr>
            <w:tcW w:w="491" w:type="pct"/>
            <w:shd w:val="clear" w:color="auto" w:fill="DAEEF3" w:themeFill="accent5" w:themeFillTint="33"/>
            <w:vAlign w:val="center"/>
          </w:tcPr>
          <w:p w14:paraId="75912E9E" w14:textId="7D9A770B" w:rsidR="001A175E" w:rsidRDefault="001A175E" w:rsidP="001423FA">
            <w:pPr>
              <w:pStyle w:val="naislab"/>
              <w:spacing w:before="0" w:after="0"/>
              <w:jc w:val="center"/>
              <w:rPr>
                <w:sz w:val="24"/>
              </w:rPr>
            </w:pPr>
            <w:r w:rsidRPr="00901046">
              <w:rPr>
                <w:sz w:val="24"/>
              </w:rPr>
              <w:t>17</w:t>
            </w:r>
            <w:r w:rsidR="00901046">
              <w:rPr>
                <w:sz w:val="24"/>
              </w:rPr>
              <w:t> </w:t>
            </w:r>
            <w:r w:rsidRPr="00901046">
              <w:rPr>
                <w:sz w:val="24"/>
              </w:rPr>
              <w:t>052</w:t>
            </w:r>
          </w:p>
          <w:p w14:paraId="0F6E4FA7" w14:textId="6D548EAA" w:rsidR="00901046" w:rsidRPr="001A175E" w:rsidRDefault="00901046" w:rsidP="001423FA">
            <w:pPr>
              <w:pStyle w:val="naislab"/>
              <w:spacing w:before="0" w:after="0"/>
              <w:jc w:val="center"/>
              <w:rPr>
                <w:sz w:val="24"/>
              </w:rPr>
            </w:pPr>
            <w:r>
              <w:rPr>
                <w:sz w:val="24"/>
              </w:rPr>
              <w:t>(2018)</w:t>
            </w:r>
          </w:p>
        </w:tc>
        <w:tc>
          <w:tcPr>
            <w:tcW w:w="491" w:type="pct"/>
            <w:shd w:val="clear" w:color="auto" w:fill="FFFFFF"/>
            <w:vAlign w:val="center"/>
          </w:tcPr>
          <w:p w14:paraId="15F2783C" w14:textId="1181CC54" w:rsidR="001A175E" w:rsidRPr="001A175E" w:rsidRDefault="00901046" w:rsidP="00A065A3">
            <w:pPr>
              <w:pStyle w:val="naislab"/>
              <w:spacing w:before="0" w:after="0"/>
              <w:jc w:val="center"/>
              <w:rPr>
                <w:sz w:val="24"/>
              </w:rPr>
            </w:pPr>
            <w:r>
              <w:rPr>
                <w:sz w:val="24"/>
              </w:rPr>
              <w:t>17 811</w:t>
            </w:r>
          </w:p>
        </w:tc>
        <w:tc>
          <w:tcPr>
            <w:tcW w:w="491" w:type="pct"/>
            <w:shd w:val="clear" w:color="auto" w:fill="DAEEF3" w:themeFill="accent5" w:themeFillTint="33"/>
            <w:vAlign w:val="center"/>
          </w:tcPr>
          <w:p w14:paraId="11FB62FA" w14:textId="3F5DB190" w:rsidR="001A175E" w:rsidRPr="00901046" w:rsidRDefault="00901046" w:rsidP="00A065A3">
            <w:pPr>
              <w:pStyle w:val="naislab"/>
              <w:spacing w:before="0" w:after="0"/>
              <w:jc w:val="center"/>
              <w:rPr>
                <w:sz w:val="24"/>
              </w:rPr>
            </w:pPr>
            <w:r>
              <w:rPr>
                <w:sz w:val="24"/>
              </w:rPr>
              <w:t>16 962,8</w:t>
            </w:r>
          </w:p>
        </w:tc>
        <w:tc>
          <w:tcPr>
            <w:tcW w:w="491" w:type="pct"/>
            <w:shd w:val="clear" w:color="auto" w:fill="FFFFFF"/>
            <w:vAlign w:val="center"/>
          </w:tcPr>
          <w:p w14:paraId="7410C7BD" w14:textId="308509F8" w:rsidR="001A175E" w:rsidRPr="00901046" w:rsidRDefault="00901046" w:rsidP="00A065A3">
            <w:pPr>
              <w:pStyle w:val="naislab"/>
              <w:spacing w:before="0" w:after="0"/>
              <w:jc w:val="center"/>
              <w:rPr>
                <w:sz w:val="24"/>
              </w:rPr>
            </w:pPr>
            <w:r>
              <w:rPr>
                <w:sz w:val="24"/>
              </w:rPr>
              <w:t>18 167</w:t>
            </w:r>
          </w:p>
        </w:tc>
        <w:tc>
          <w:tcPr>
            <w:tcW w:w="489" w:type="pct"/>
            <w:shd w:val="clear" w:color="auto" w:fill="auto"/>
            <w:vAlign w:val="center"/>
          </w:tcPr>
          <w:p w14:paraId="42CBA355" w14:textId="3E64574E" w:rsidR="001A175E" w:rsidRPr="00901046" w:rsidRDefault="00901046" w:rsidP="00A065A3">
            <w:pPr>
              <w:pStyle w:val="naislab"/>
              <w:spacing w:before="0" w:after="0"/>
              <w:jc w:val="center"/>
              <w:rPr>
                <w:sz w:val="24"/>
              </w:rPr>
            </w:pPr>
            <w:r>
              <w:rPr>
                <w:sz w:val="24"/>
              </w:rPr>
              <w:t>18 530</w:t>
            </w:r>
          </w:p>
        </w:tc>
      </w:tr>
      <w:tr w:rsidR="000137EB" w:rsidRPr="00F5511B" w14:paraId="6F58C736" w14:textId="77777777" w:rsidTr="000137EB">
        <w:trPr>
          <w:trHeight w:val="20"/>
        </w:trPr>
        <w:tc>
          <w:tcPr>
            <w:tcW w:w="1175" w:type="pct"/>
            <w:vMerge/>
            <w:shd w:val="clear" w:color="auto" w:fill="FFFFFF"/>
          </w:tcPr>
          <w:p w14:paraId="2636DA6A" w14:textId="77777777" w:rsidR="001A175E" w:rsidRPr="00F5511B" w:rsidRDefault="001A175E" w:rsidP="00A065A3">
            <w:pPr>
              <w:pStyle w:val="naislab"/>
              <w:spacing w:before="0" w:after="0"/>
              <w:jc w:val="left"/>
              <w:rPr>
                <w:sz w:val="24"/>
                <w:highlight w:val="yellow"/>
              </w:rPr>
            </w:pPr>
          </w:p>
        </w:tc>
        <w:tc>
          <w:tcPr>
            <w:tcW w:w="1371" w:type="pct"/>
            <w:shd w:val="clear" w:color="auto" w:fill="FFFFFF"/>
          </w:tcPr>
          <w:p w14:paraId="2165D7B8" w14:textId="77777777" w:rsidR="001A175E" w:rsidRPr="001423FA" w:rsidRDefault="001A175E" w:rsidP="00A065A3">
            <w:pPr>
              <w:pStyle w:val="naislab"/>
              <w:spacing w:before="0" w:after="0"/>
              <w:jc w:val="left"/>
              <w:rPr>
                <w:sz w:val="24"/>
                <w:highlight w:val="yellow"/>
              </w:rPr>
            </w:pPr>
            <w:r w:rsidRPr="001423FA">
              <w:rPr>
                <w:sz w:val="24"/>
              </w:rPr>
              <w:t>2.1.2. Vidējais preču un pakalpojumu eksporta (faktiskajās cenās) pieauguma temps, (%)</w:t>
            </w:r>
          </w:p>
        </w:tc>
        <w:tc>
          <w:tcPr>
            <w:tcW w:w="491" w:type="pct"/>
            <w:shd w:val="clear" w:color="auto" w:fill="DAEEF3" w:themeFill="accent5" w:themeFillTint="33"/>
            <w:vAlign w:val="center"/>
          </w:tcPr>
          <w:p w14:paraId="6D471ABF" w14:textId="72B68B15" w:rsidR="001A175E" w:rsidRDefault="001A175E" w:rsidP="00A065A3">
            <w:pPr>
              <w:pStyle w:val="naislab"/>
              <w:spacing w:before="0" w:after="0"/>
              <w:jc w:val="center"/>
              <w:rPr>
                <w:sz w:val="24"/>
              </w:rPr>
            </w:pPr>
            <w:r w:rsidRPr="00901046">
              <w:rPr>
                <w:sz w:val="24"/>
              </w:rPr>
              <w:t>7,0</w:t>
            </w:r>
          </w:p>
          <w:p w14:paraId="6553A2EB" w14:textId="68B1778B" w:rsidR="005E79B0" w:rsidRPr="00901046" w:rsidRDefault="005E79B0" w:rsidP="00A065A3">
            <w:pPr>
              <w:pStyle w:val="naislab"/>
              <w:spacing w:before="0" w:after="0"/>
              <w:jc w:val="center"/>
              <w:rPr>
                <w:sz w:val="24"/>
              </w:rPr>
            </w:pPr>
            <w:r>
              <w:rPr>
                <w:sz w:val="24"/>
              </w:rPr>
              <w:t>(2018)</w:t>
            </w:r>
          </w:p>
        </w:tc>
        <w:tc>
          <w:tcPr>
            <w:tcW w:w="491" w:type="pct"/>
            <w:shd w:val="clear" w:color="auto" w:fill="FFFFFF"/>
            <w:vAlign w:val="center"/>
          </w:tcPr>
          <w:p w14:paraId="549E0BA7" w14:textId="62DBE941" w:rsidR="001A175E" w:rsidRPr="00901046" w:rsidRDefault="001A175E" w:rsidP="001423FA">
            <w:pPr>
              <w:pStyle w:val="naislab"/>
              <w:spacing w:before="0" w:after="0"/>
              <w:jc w:val="center"/>
              <w:rPr>
                <w:sz w:val="24"/>
              </w:rPr>
            </w:pPr>
            <w:r w:rsidRPr="00901046">
              <w:rPr>
                <w:sz w:val="24"/>
              </w:rPr>
              <w:t>4</w:t>
            </w:r>
            <w:r w:rsidR="005E79B0">
              <w:rPr>
                <w:sz w:val="24"/>
              </w:rPr>
              <w:t>%</w:t>
            </w:r>
            <w:r w:rsidRPr="00901046">
              <w:rPr>
                <w:sz w:val="24"/>
              </w:rPr>
              <w:t xml:space="preserve"> </w:t>
            </w:r>
          </w:p>
          <w:p w14:paraId="6CDC32ED" w14:textId="16A36753" w:rsidR="001A175E" w:rsidRPr="00901046" w:rsidRDefault="005E79B0" w:rsidP="005E79B0">
            <w:pPr>
              <w:pStyle w:val="naislab"/>
              <w:spacing w:before="0" w:after="0"/>
              <w:jc w:val="center"/>
              <w:rPr>
                <w:sz w:val="24"/>
              </w:rPr>
            </w:pPr>
            <w:r>
              <w:rPr>
                <w:sz w:val="20"/>
                <w:szCs w:val="20"/>
              </w:rPr>
              <w:t xml:space="preserve">pieaugums </w:t>
            </w:r>
            <w:r w:rsidRPr="00901046">
              <w:rPr>
                <w:sz w:val="20"/>
                <w:szCs w:val="20"/>
              </w:rPr>
              <w:t xml:space="preserve">vidēji gadā </w:t>
            </w:r>
            <w:r w:rsidR="001A175E" w:rsidRPr="00901046">
              <w:rPr>
                <w:sz w:val="20"/>
                <w:szCs w:val="20"/>
              </w:rPr>
              <w:t>(</w:t>
            </w:r>
            <w:r w:rsidRPr="00901046">
              <w:rPr>
                <w:sz w:val="20"/>
                <w:szCs w:val="20"/>
              </w:rPr>
              <w:t>20</w:t>
            </w:r>
            <w:r>
              <w:rPr>
                <w:sz w:val="20"/>
                <w:szCs w:val="20"/>
              </w:rPr>
              <w:t>20</w:t>
            </w:r>
            <w:r w:rsidR="001A175E" w:rsidRPr="00901046">
              <w:rPr>
                <w:sz w:val="20"/>
                <w:szCs w:val="20"/>
              </w:rPr>
              <w:t>.-</w:t>
            </w:r>
            <w:r w:rsidRPr="00901046">
              <w:rPr>
                <w:sz w:val="20"/>
                <w:szCs w:val="20"/>
              </w:rPr>
              <w:t>202</w:t>
            </w:r>
            <w:r>
              <w:rPr>
                <w:sz w:val="20"/>
                <w:szCs w:val="20"/>
              </w:rPr>
              <w:t>2</w:t>
            </w:r>
            <w:r w:rsidR="001A175E" w:rsidRPr="00901046">
              <w:rPr>
                <w:sz w:val="20"/>
                <w:szCs w:val="20"/>
              </w:rPr>
              <w:t>.)</w:t>
            </w:r>
          </w:p>
        </w:tc>
        <w:tc>
          <w:tcPr>
            <w:tcW w:w="491" w:type="pct"/>
            <w:shd w:val="clear" w:color="auto" w:fill="DAEEF3" w:themeFill="accent5" w:themeFillTint="33"/>
            <w:vAlign w:val="center"/>
          </w:tcPr>
          <w:p w14:paraId="569AAB74" w14:textId="69589D8E" w:rsidR="001A175E" w:rsidRPr="00901046" w:rsidRDefault="00901046" w:rsidP="00A065A3">
            <w:pPr>
              <w:pStyle w:val="naislab"/>
              <w:spacing w:before="0" w:after="0"/>
              <w:jc w:val="center"/>
              <w:rPr>
                <w:sz w:val="24"/>
              </w:rPr>
            </w:pPr>
            <w:r>
              <w:rPr>
                <w:sz w:val="24"/>
              </w:rPr>
              <w:t>-3,5</w:t>
            </w:r>
          </w:p>
        </w:tc>
        <w:tc>
          <w:tcPr>
            <w:tcW w:w="491" w:type="pct"/>
            <w:shd w:val="clear" w:color="auto" w:fill="FFFFFF"/>
            <w:vAlign w:val="center"/>
          </w:tcPr>
          <w:p w14:paraId="15C84D4B" w14:textId="0EF2C4C8" w:rsidR="001A175E" w:rsidRPr="00901046" w:rsidRDefault="001A175E" w:rsidP="00A065A3">
            <w:pPr>
              <w:pStyle w:val="naislab"/>
              <w:spacing w:before="0" w:after="0"/>
              <w:jc w:val="center"/>
              <w:rPr>
                <w:sz w:val="24"/>
              </w:rPr>
            </w:pPr>
          </w:p>
        </w:tc>
        <w:tc>
          <w:tcPr>
            <w:tcW w:w="489" w:type="pct"/>
            <w:shd w:val="clear" w:color="auto" w:fill="auto"/>
            <w:vAlign w:val="center"/>
          </w:tcPr>
          <w:p w14:paraId="4049EEBE" w14:textId="1273E17C" w:rsidR="001A175E" w:rsidRPr="00901046" w:rsidRDefault="001A175E" w:rsidP="00A065A3">
            <w:pPr>
              <w:pStyle w:val="naislab"/>
              <w:spacing w:before="0" w:after="0"/>
              <w:jc w:val="center"/>
              <w:rPr>
                <w:sz w:val="24"/>
              </w:rPr>
            </w:pPr>
          </w:p>
        </w:tc>
      </w:tr>
      <w:tr w:rsidR="000137EB" w:rsidRPr="00F5511B" w14:paraId="7C133940" w14:textId="77777777" w:rsidTr="000137EB">
        <w:trPr>
          <w:trHeight w:val="20"/>
        </w:trPr>
        <w:tc>
          <w:tcPr>
            <w:tcW w:w="1175" w:type="pct"/>
            <w:vMerge/>
            <w:shd w:val="clear" w:color="auto" w:fill="FFFFFF"/>
          </w:tcPr>
          <w:p w14:paraId="3BDF5ACE" w14:textId="77777777" w:rsidR="001A175E" w:rsidRPr="00F5511B" w:rsidRDefault="001A175E" w:rsidP="00A065A3">
            <w:pPr>
              <w:pStyle w:val="naislab"/>
              <w:spacing w:before="0" w:after="0"/>
              <w:jc w:val="left"/>
              <w:rPr>
                <w:sz w:val="24"/>
                <w:highlight w:val="yellow"/>
              </w:rPr>
            </w:pPr>
          </w:p>
        </w:tc>
        <w:tc>
          <w:tcPr>
            <w:tcW w:w="1371" w:type="pct"/>
            <w:shd w:val="clear" w:color="auto" w:fill="FFFFFF"/>
          </w:tcPr>
          <w:p w14:paraId="02AB51CE" w14:textId="18544002" w:rsidR="001A175E" w:rsidRPr="001423FA" w:rsidRDefault="001A175E" w:rsidP="00A065A3">
            <w:pPr>
              <w:pStyle w:val="naislab"/>
              <w:spacing w:before="0" w:after="0"/>
              <w:jc w:val="left"/>
              <w:rPr>
                <w:sz w:val="24"/>
              </w:rPr>
            </w:pPr>
            <w:r w:rsidRPr="001423FA">
              <w:rPr>
                <w:sz w:val="24"/>
              </w:rPr>
              <w:t>2.1.3. Eksporta vērtība (SITC</w:t>
            </w:r>
            <w:r w:rsidR="00770F21">
              <w:rPr>
                <w:sz w:val="24"/>
              </w:rPr>
              <w:t> </w:t>
            </w:r>
            <w:r w:rsidRPr="001423FA">
              <w:rPr>
                <w:sz w:val="24"/>
              </w:rPr>
              <w:t>5-8), 5</w:t>
            </w:r>
            <w:r w:rsidR="00B67AD6">
              <w:rPr>
                <w:sz w:val="24"/>
              </w:rPr>
              <w:t> </w:t>
            </w:r>
            <w:r w:rsidRPr="001423FA">
              <w:rPr>
                <w:sz w:val="24"/>
              </w:rPr>
              <w:t>gadu slīdošais vidējais pieauguma temps (%)</w:t>
            </w:r>
          </w:p>
        </w:tc>
        <w:tc>
          <w:tcPr>
            <w:tcW w:w="491" w:type="pct"/>
            <w:shd w:val="clear" w:color="auto" w:fill="DAEEF3" w:themeFill="accent5" w:themeFillTint="33"/>
            <w:vAlign w:val="center"/>
          </w:tcPr>
          <w:p w14:paraId="107C8CA9" w14:textId="106B0D7A" w:rsidR="00770F21" w:rsidRPr="00770F21" w:rsidRDefault="002A5BDA" w:rsidP="00A065A3">
            <w:pPr>
              <w:pStyle w:val="naislab"/>
              <w:spacing w:before="0" w:after="0"/>
              <w:jc w:val="center"/>
              <w:rPr>
                <w:sz w:val="24"/>
              </w:rPr>
            </w:pPr>
            <w:r>
              <w:rPr>
                <w:sz w:val="24"/>
              </w:rPr>
              <w:t>5,5</w:t>
            </w:r>
          </w:p>
        </w:tc>
        <w:tc>
          <w:tcPr>
            <w:tcW w:w="491" w:type="pct"/>
            <w:shd w:val="clear" w:color="auto" w:fill="FFFFFF"/>
            <w:vAlign w:val="center"/>
          </w:tcPr>
          <w:p w14:paraId="152CF142" w14:textId="0674640F" w:rsidR="001A175E" w:rsidRPr="00770F21" w:rsidRDefault="00770F21" w:rsidP="00A065A3">
            <w:pPr>
              <w:pStyle w:val="naislab"/>
              <w:spacing w:before="0" w:after="0"/>
              <w:jc w:val="center"/>
              <w:rPr>
                <w:sz w:val="24"/>
              </w:rPr>
            </w:pPr>
            <w:r>
              <w:rPr>
                <w:sz w:val="24"/>
              </w:rPr>
              <w:t>-</w:t>
            </w:r>
          </w:p>
        </w:tc>
        <w:tc>
          <w:tcPr>
            <w:tcW w:w="491" w:type="pct"/>
            <w:shd w:val="clear" w:color="auto" w:fill="DAEEF3" w:themeFill="accent5" w:themeFillTint="33"/>
            <w:vAlign w:val="center"/>
          </w:tcPr>
          <w:p w14:paraId="78303DDA" w14:textId="601D6BA7" w:rsidR="001A175E" w:rsidRPr="00770F21" w:rsidRDefault="002A5BDA" w:rsidP="00A065A3">
            <w:pPr>
              <w:pStyle w:val="naislab"/>
              <w:spacing w:before="0" w:after="0"/>
              <w:jc w:val="center"/>
              <w:rPr>
                <w:sz w:val="24"/>
              </w:rPr>
            </w:pPr>
            <w:r>
              <w:rPr>
                <w:sz w:val="24"/>
              </w:rPr>
              <w:t>5,3</w:t>
            </w:r>
          </w:p>
        </w:tc>
        <w:tc>
          <w:tcPr>
            <w:tcW w:w="491" w:type="pct"/>
            <w:shd w:val="clear" w:color="auto" w:fill="FFFFFF"/>
            <w:vAlign w:val="center"/>
          </w:tcPr>
          <w:p w14:paraId="3C5508F6" w14:textId="6A9237D2" w:rsidR="001A175E" w:rsidRPr="00770F21" w:rsidRDefault="00770F21" w:rsidP="00A065A3">
            <w:pPr>
              <w:pStyle w:val="naislab"/>
              <w:spacing w:before="0" w:after="0"/>
              <w:jc w:val="center"/>
              <w:rPr>
                <w:sz w:val="24"/>
              </w:rPr>
            </w:pPr>
            <w:r>
              <w:rPr>
                <w:sz w:val="24"/>
              </w:rPr>
              <w:t>-</w:t>
            </w:r>
          </w:p>
        </w:tc>
        <w:tc>
          <w:tcPr>
            <w:tcW w:w="489" w:type="pct"/>
            <w:shd w:val="clear" w:color="auto" w:fill="auto"/>
            <w:vAlign w:val="center"/>
          </w:tcPr>
          <w:p w14:paraId="2545A68D" w14:textId="75F0AD4D" w:rsidR="001A175E" w:rsidRPr="00770F21" w:rsidRDefault="002A5BDA" w:rsidP="00A065A3">
            <w:pPr>
              <w:pStyle w:val="naislab"/>
              <w:spacing w:before="0" w:after="0"/>
              <w:jc w:val="center"/>
              <w:rPr>
                <w:sz w:val="24"/>
              </w:rPr>
            </w:pPr>
            <w:r>
              <w:rPr>
                <w:sz w:val="24"/>
              </w:rPr>
              <w:t>6,5</w:t>
            </w:r>
          </w:p>
        </w:tc>
      </w:tr>
      <w:tr w:rsidR="000137EB" w:rsidRPr="00F5511B" w14:paraId="35E45808" w14:textId="77777777" w:rsidTr="000137EB">
        <w:trPr>
          <w:trHeight w:val="850"/>
        </w:trPr>
        <w:tc>
          <w:tcPr>
            <w:tcW w:w="1175" w:type="pct"/>
            <w:vMerge w:val="restart"/>
            <w:shd w:val="clear" w:color="auto" w:fill="FFFFFF"/>
          </w:tcPr>
          <w:p w14:paraId="088837C7" w14:textId="77777777" w:rsidR="001A175E" w:rsidRPr="00F5511B" w:rsidRDefault="001A175E" w:rsidP="00A065A3">
            <w:pPr>
              <w:pStyle w:val="naislab"/>
              <w:spacing w:before="0" w:after="0"/>
              <w:jc w:val="left"/>
              <w:rPr>
                <w:sz w:val="24"/>
                <w:highlight w:val="yellow"/>
              </w:rPr>
            </w:pPr>
            <w:r w:rsidRPr="001423FA">
              <w:rPr>
                <w:sz w:val="24"/>
              </w:rPr>
              <w:t>2.2. Palielinās apstrādes rūpniecības un augsto tehnoloģiju produktu eksporta īpatsvars</w:t>
            </w:r>
          </w:p>
        </w:tc>
        <w:tc>
          <w:tcPr>
            <w:tcW w:w="1371" w:type="pct"/>
            <w:shd w:val="clear" w:color="auto" w:fill="FFFFFF"/>
          </w:tcPr>
          <w:p w14:paraId="6CD07394" w14:textId="77777777" w:rsidR="001A175E" w:rsidRPr="001423FA" w:rsidRDefault="001A175E" w:rsidP="00A065A3">
            <w:pPr>
              <w:pStyle w:val="naislab"/>
              <w:spacing w:before="0" w:after="0"/>
              <w:jc w:val="left"/>
              <w:rPr>
                <w:sz w:val="24"/>
                <w:highlight w:val="yellow"/>
              </w:rPr>
            </w:pPr>
            <w:r w:rsidRPr="001423FA">
              <w:rPr>
                <w:sz w:val="24"/>
              </w:rPr>
              <w:t>2.2.1. Augsto tehnoloģiju produktu eksporta īpatsvars, kopējā eksportā (%)</w:t>
            </w:r>
          </w:p>
        </w:tc>
        <w:tc>
          <w:tcPr>
            <w:tcW w:w="491" w:type="pct"/>
            <w:shd w:val="clear" w:color="auto" w:fill="DAEEF3" w:themeFill="accent5" w:themeFillTint="33"/>
            <w:vAlign w:val="center"/>
          </w:tcPr>
          <w:p w14:paraId="47E0AB0D" w14:textId="77777777" w:rsidR="001A175E" w:rsidRDefault="001A175E" w:rsidP="00A065A3">
            <w:pPr>
              <w:pStyle w:val="naislab"/>
              <w:spacing w:before="0" w:after="0"/>
              <w:jc w:val="center"/>
              <w:rPr>
                <w:sz w:val="24"/>
              </w:rPr>
            </w:pPr>
            <w:r w:rsidRPr="001A175E">
              <w:rPr>
                <w:sz w:val="24"/>
              </w:rPr>
              <w:t>11</w:t>
            </w:r>
            <w:r w:rsidRPr="00901046">
              <w:rPr>
                <w:sz w:val="24"/>
              </w:rPr>
              <w:t>,2</w:t>
            </w:r>
          </w:p>
          <w:p w14:paraId="74C74380" w14:textId="10FBEBF7" w:rsidR="005E79B0" w:rsidRPr="00901046" w:rsidRDefault="005E79B0" w:rsidP="00A065A3">
            <w:pPr>
              <w:pStyle w:val="naislab"/>
              <w:spacing w:before="0" w:after="0"/>
              <w:jc w:val="center"/>
              <w:rPr>
                <w:sz w:val="24"/>
              </w:rPr>
            </w:pPr>
            <w:r>
              <w:rPr>
                <w:sz w:val="24"/>
              </w:rPr>
              <w:t>(2018)</w:t>
            </w:r>
          </w:p>
        </w:tc>
        <w:tc>
          <w:tcPr>
            <w:tcW w:w="491" w:type="pct"/>
            <w:shd w:val="clear" w:color="auto" w:fill="FFFFFF"/>
            <w:vAlign w:val="center"/>
          </w:tcPr>
          <w:p w14:paraId="1B75755F" w14:textId="19803876" w:rsidR="001A175E" w:rsidRPr="005E79B0" w:rsidRDefault="005E79B0" w:rsidP="001423FA">
            <w:pPr>
              <w:pStyle w:val="naislab"/>
              <w:spacing w:before="0" w:after="0"/>
              <w:jc w:val="center"/>
              <w:rPr>
                <w:sz w:val="24"/>
              </w:rPr>
            </w:pPr>
            <w:r w:rsidRPr="005E79B0">
              <w:rPr>
                <w:sz w:val="24"/>
              </w:rPr>
              <w:t>1</w:t>
            </w:r>
            <w:r>
              <w:rPr>
                <w:sz w:val="24"/>
              </w:rPr>
              <w:t>2</w:t>
            </w:r>
            <w:r w:rsidR="001A175E" w:rsidRPr="005E79B0">
              <w:rPr>
                <w:sz w:val="24"/>
              </w:rPr>
              <w:t>%</w:t>
            </w:r>
          </w:p>
          <w:p w14:paraId="06291EE9" w14:textId="233620E8" w:rsidR="001A175E" w:rsidRPr="005E79B0" w:rsidRDefault="001A175E" w:rsidP="005E79B0">
            <w:pPr>
              <w:pStyle w:val="naislab"/>
              <w:spacing w:before="0" w:after="0"/>
              <w:jc w:val="center"/>
              <w:rPr>
                <w:sz w:val="24"/>
              </w:rPr>
            </w:pPr>
            <w:r w:rsidRPr="005E79B0">
              <w:rPr>
                <w:sz w:val="20"/>
                <w:szCs w:val="20"/>
              </w:rPr>
              <w:t>(</w:t>
            </w:r>
            <w:r w:rsidR="005E79B0" w:rsidRPr="005E79B0">
              <w:rPr>
                <w:sz w:val="20"/>
                <w:szCs w:val="20"/>
              </w:rPr>
              <w:t>20</w:t>
            </w:r>
            <w:r w:rsidR="005E79B0">
              <w:rPr>
                <w:sz w:val="20"/>
                <w:szCs w:val="20"/>
              </w:rPr>
              <w:t>20</w:t>
            </w:r>
            <w:r w:rsidRPr="005E79B0">
              <w:rPr>
                <w:sz w:val="20"/>
                <w:szCs w:val="20"/>
              </w:rPr>
              <w:t>.-</w:t>
            </w:r>
            <w:r w:rsidR="005E79B0" w:rsidRPr="005E79B0">
              <w:rPr>
                <w:sz w:val="20"/>
                <w:szCs w:val="20"/>
              </w:rPr>
              <w:t>202</w:t>
            </w:r>
            <w:r w:rsidR="005E79B0">
              <w:rPr>
                <w:sz w:val="20"/>
                <w:szCs w:val="20"/>
              </w:rPr>
              <w:t>2</w:t>
            </w:r>
            <w:r w:rsidRPr="005E79B0">
              <w:rPr>
                <w:sz w:val="20"/>
                <w:szCs w:val="20"/>
              </w:rPr>
              <w:t>.g.,</w:t>
            </w:r>
            <w:r w:rsidR="005E79B0">
              <w:rPr>
                <w:sz w:val="20"/>
                <w:szCs w:val="20"/>
              </w:rPr>
              <w:t xml:space="preserve"> </w:t>
            </w:r>
            <w:r w:rsidRPr="005E79B0">
              <w:rPr>
                <w:sz w:val="20"/>
                <w:szCs w:val="20"/>
              </w:rPr>
              <w:t>vidēji gadā)</w:t>
            </w:r>
          </w:p>
        </w:tc>
        <w:tc>
          <w:tcPr>
            <w:tcW w:w="491" w:type="pct"/>
            <w:shd w:val="clear" w:color="auto" w:fill="DAEEF3" w:themeFill="accent5" w:themeFillTint="33"/>
            <w:vAlign w:val="center"/>
          </w:tcPr>
          <w:p w14:paraId="63D3B4E7" w14:textId="77777777" w:rsidR="001A175E" w:rsidRDefault="001A175E" w:rsidP="00A065A3">
            <w:pPr>
              <w:pStyle w:val="naislab"/>
              <w:spacing w:before="0" w:after="0"/>
              <w:jc w:val="center"/>
              <w:rPr>
                <w:sz w:val="24"/>
              </w:rPr>
            </w:pPr>
            <w:r w:rsidRPr="005E79B0">
              <w:rPr>
                <w:sz w:val="24"/>
              </w:rPr>
              <w:t>11,2</w:t>
            </w:r>
            <w:r w:rsidR="005E79B0">
              <w:rPr>
                <w:sz w:val="24"/>
              </w:rPr>
              <w:t>*</w:t>
            </w:r>
          </w:p>
          <w:p w14:paraId="729395CD" w14:textId="442BE423" w:rsidR="005E79B0" w:rsidRPr="005E79B0" w:rsidRDefault="005E79B0" w:rsidP="00A065A3">
            <w:pPr>
              <w:pStyle w:val="naislab"/>
              <w:spacing w:before="0" w:after="0"/>
              <w:jc w:val="center"/>
              <w:rPr>
                <w:sz w:val="24"/>
              </w:rPr>
            </w:pPr>
            <w:r>
              <w:rPr>
                <w:sz w:val="24"/>
              </w:rPr>
              <w:t>(2018)</w:t>
            </w:r>
          </w:p>
        </w:tc>
        <w:tc>
          <w:tcPr>
            <w:tcW w:w="491" w:type="pct"/>
            <w:shd w:val="clear" w:color="auto" w:fill="FFFFFF"/>
            <w:vAlign w:val="center"/>
          </w:tcPr>
          <w:p w14:paraId="3633B7CD" w14:textId="0628DCDC" w:rsidR="001A175E" w:rsidRPr="005E79B0" w:rsidRDefault="001A175E" w:rsidP="00A065A3">
            <w:pPr>
              <w:pStyle w:val="naislab"/>
              <w:spacing w:before="0" w:after="0"/>
              <w:jc w:val="center"/>
              <w:rPr>
                <w:sz w:val="24"/>
              </w:rPr>
            </w:pPr>
          </w:p>
        </w:tc>
        <w:tc>
          <w:tcPr>
            <w:tcW w:w="489" w:type="pct"/>
            <w:shd w:val="clear" w:color="auto" w:fill="auto"/>
            <w:vAlign w:val="center"/>
          </w:tcPr>
          <w:p w14:paraId="791F03DE" w14:textId="68ADAABA" w:rsidR="001A175E" w:rsidRPr="005E79B0" w:rsidRDefault="001A175E" w:rsidP="00A065A3">
            <w:pPr>
              <w:pStyle w:val="naislab"/>
              <w:spacing w:before="0" w:after="0"/>
              <w:jc w:val="center"/>
              <w:rPr>
                <w:sz w:val="24"/>
              </w:rPr>
            </w:pPr>
          </w:p>
        </w:tc>
      </w:tr>
      <w:tr w:rsidR="000137EB" w:rsidRPr="00F5511B" w14:paraId="4AB22A03" w14:textId="77777777" w:rsidTr="000137EB">
        <w:trPr>
          <w:trHeight w:val="850"/>
        </w:trPr>
        <w:tc>
          <w:tcPr>
            <w:tcW w:w="1175" w:type="pct"/>
            <w:vMerge/>
            <w:shd w:val="clear" w:color="auto" w:fill="FFFFFF"/>
          </w:tcPr>
          <w:p w14:paraId="1411F277" w14:textId="77777777" w:rsidR="001A175E" w:rsidRPr="00F5511B" w:rsidRDefault="001A175E" w:rsidP="00A065A3">
            <w:pPr>
              <w:pStyle w:val="naislab"/>
              <w:spacing w:before="0" w:after="0"/>
              <w:jc w:val="left"/>
              <w:rPr>
                <w:sz w:val="24"/>
                <w:highlight w:val="yellow"/>
              </w:rPr>
            </w:pPr>
          </w:p>
        </w:tc>
        <w:tc>
          <w:tcPr>
            <w:tcW w:w="1371" w:type="pct"/>
            <w:shd w:val="clear" w:color="auto" w:fill="FFFFFF"/>
          </w:tcPr>
          <w:p w14:paraId="0F8F849E" w14:textId="77777777" w:rsidR="001A175E" w:rsidRPr="00F5511B" w:rsidRDefault="001A175E" w:rsidP="00A065A3">
            <w:pPr>
              <w:pStyle w:val="naislab"/>
              <w:spacing w:before="0" w:after="0"/>
              <w:jc w:val="left"/>
              <w:rPr>
                <w:sz w:val="24"/>
                <w:highlight w:val="yellow"/>
              </w:rPr>
            </w:pPr>
            <w:r w:rsidRPr="00721693">
              <w:rPr>
                <w:sz w:val="24"/>
              </w:rPr>
              <w:t xml:space="preserve">2.2.2. Apstrādes rūpniecības īpatsvars kopējā preču un pakalpojumu eksportā, % </w:t>
            </w:r>
          </w:p>
        </w:tc>
        <w:tc>
          <w:tcPr>
            <w:tcW w:w="491" w:type="pct"/>
            <w:shd w:val="clear" w:color="auto" w:fill="DAEEF3" w:themeFill="accent5" w:themeFillTint="33"/>
            <w:vAlign w:val="center"/>
          </w:tcPr>
          <w:p w14:paraId="0F392BF5" w14:textId="77777777" w:rsidR="001A175E" w:rsidRDefault="001A175E" w:rsidP="00A065A3">
            <w:pPr>
              <w:pStyle w:val="naislab"/>
              <w:spacing w:before="0" w:after="0"/>
              <w:jc w:val="center"/>
              <w:rPr>
                <w:sz w:val="24"/>
              </w:rPr>
            </w:pPr>
            <w:r w:rsidRPr="001A175E">
              <w:rPr>
                <w:sz w:val="24"/>
              </w:rPr>
              <w:t>40</w:t>
            </w:r>
          </w:p>
          <w:p w14:paraId="5105C199" w14:textId="3F19849A" w:rsidR="005E79B0" w:rsidRPr="001A175E" w:rsidRDefault="005E79B0" w:rsidP="00A065A3">
            <w:pPr>
              <w:pStyle w:val="naislab"/>
              <w:spacing w:before="0" w:after="0"/>
              <w:jc w:val="center"/>
              <w:rPr>
                <w:sz w:val="24"/>
              </w:rPr>
            </w:pPr>
            <w:r>
              <w:rPr>
                <w:sz w:val="24"/>
              </w:rPr>
              <w:t>(2018)</w:t>
            </w:r>
          </w:p>
        </w:tc>
        <w:tc>
          <w:tcPr>
            <w:tcW w:w="491" w:type="pct"/>
            <w:shd w:val="clear" w:color="auto" w:fill="FFFFFF"/>
            <w:vAlign w:val="center"/>
          </w:tcPr>
          <w:p w14:paraId="64E0D8A8" w14:textId="66A1203A" w:rsidR="001A175E" w:rsidRPr="00901046" w:rsidRDefault="005E79B0" w:rsidP="00A065A3">
            <w:pPr>
              <w:pStyle w:val="naislab"/>
              <w:spacing w:before="0" w:after="0"/>
              <w:jc w:val="center"/>
              <w:rPr>
                <w:sz w:val="24"/>
              </w:rPr>
            </w:pPr>
            <w:r w:rsidRPr="00901046">
              <w:rPr>
                <w:sz w:val="24"/>
              </w:rPr>
              <w:t>4</w:t>
            </w:r>
            <w:r>
              <w:rPr>
                <w:sz w:val="24"/>
              </w:rPr>
              <w:t>1</w:t>
            </w:r>
          </w:p>
        </w:tc>
        <w:tc>
          <w:tcPr>
            <w:tcW w:w="491" w:type="pct"/>
            <w:shd w:val="clear" w:color="auto" w:fill="DAEEF3" w:themeFill="accent5" w:themeFillTint="33"/>
            <w:vAlign w:val="center"/>
          </w:tcPr>
          <w:p w14:paraId="20E48936" w14:textId="77777777" w:rsidR="001A175E" w:rsidRPr="00901046" w:rsidRDefault="001A175E" w:rsidP="00A065A3">
            <w:pPr>
              <w:pStyle w:val="naislab"/>
              <w:spacing w:before="0" w:after="0"/>
              <w:jc w:val="center"/>
              <w:rPr>
                <w:sz w:val="24"/>
              </w:rPr>
            </w:pPr>
            <w:r w:rsidRPr="00901046">
              <w:rPr>
                <w:sz w:val="24"/>
              </w:rPr>
              <w:t>40</w:t>
            </w:r>
          </w:p>
        </w:tc>
        <w:tc>
          <w:tcPr>
            <w:tcW w:w="491" w:type="pct"/>
            <w:shd w:val="clear" w:color="auto" w:fill="FFFFFF"/>
            <w:vAlign w:val="center"/>
          </w:tcPr>
          <w:p w14:paraId="7A70B0D5" w14:textId="61869344" w:rsidR="001A175E" w:rsidRPr="005E79B0" w:rsidRDefault="005E79B0" w:rsidP="00A065A3">
            <w:pPr>
              <w:pStyle w:val="naislab"/>
              <w:spacing w:before="0" w:after="0"/>
              <w:jc w:val="center"/>
              <w:rPr>
                <w:sz w:val="24"/>
              </w:rPr>
            </w:pPr>
            <w:r>
              <w:rPr>
                <w:sz w:val="24"/>
              </w:rPr>
              <w:t>-</w:t>
            </w:r>
          </w:p>
        </w:tc>
        <w:tc>
          <w:tcPr>
            <w:tcW w:w="489" w:type="pct"/>
            <w:shd w:val="clear" w:color="auto" w:fill="auto"/>
            <w:vAlign w:val="center"/>
          </w:tcPr>
          <w:p w14:paraId="503CE1E0" w14:textId="46160493" w:rsidR="001A175E" w:rsidRPr="005E79B0" w:rsidRDefault="005E79B0" w:rsidP="00A065A3">
            <w:pPr>
              <w:pStyle w:val="naislab"/>
              <w:spacing w:before="0" w:after="0"/>
              <w:jc w:val="center"/>
              <w:rPr>
                <w:sz w:val="24"/>
              </w:rPr>
            </w:pPr>
            <w:r w:rsidRPr="005E79B0">
              <w:rPr>
                <w:sz w:val="24"/>
              </w:rPr>
              <w:t>4</w:t>
            </w:r>
            <w:r>
              <w:rPr>
                <w:sz w:val="24"/>
              </w:rPr>
              <w:t>3</w:t>
            </w:r>
          </w:p>
        </w:tc>
      </w:tr>
    </w:tbl>
    <w:p w14:paraId="3002948D" w14:textId="0734EDA6" w:rsidR="00C85E1B" w:rsidRPr="008B0C3D" w:rsidRDefault="00C85E1B" w:rsidP="006937F0">
      <w:pPr>
        <w:pStyle w:val="ListParagraph"/>
        <w:spacing w:before="60"/>
        <w:ind w:left="0" w:right="108"/>
        <w:rPr>
          <w:i/>
          <w:sz w:val="18"/>
          <w:szCs w:val="18"/>
        </w:rPr>
      </w:pPr>
      <w:r w:rsidRPr="008B0C3D">
        <w:rPr>
          <w:i/>
          <w:sz w:val="18"/>
          <w:szCs w:val="18"/>
        </w:rPr>
        <w:t>Avots: EM darbības stratēģija 20</w:t>
      </w:r>
      <w:r w:rsidR="008B0C3D" w:rsidRPr="008B0C3D">
        <w:rPr>
          <w:i/>
          <w:sz w:val="18"/>
          <w:szCs w:val="18"/>
        </w:rPr>
        <w:t>20</w:t>
      </w:r>
      <w:r w:rsidRPr="008B0C3D">
        <w:rPr>
          <w:i/>
          <w:sz w:val="18"/>
          <w:szCs w:val="18"/>
        </w:rPr>
        <w:t>.-20</w:t>
      </w:r>
      <w:r w:rsidR="008B0C3D" w:rsidRPr="008B0C3D">
        <w:rPr>
          <w:i/>
          <w:sz w:val="18"/>
          <w:szCs w:val="18"/>
        </w:rPr>
        <w:t>22</w:t>
      </w:r>
      <w:r w:rsidRPr="008B0C3D">
        <w:rPr>
          <w:i/>
          <w:sz w:val="18"/>
          <w:szCs w:val="18"/>
        </w:rPr>
        <w:t>.gadam, CSP datubāze, Eurostat datubāze</w:t>
      </w:r>
      <w:r w:rsidR="001A175E">
        <w:rPr>
          <w:i/>
          <w:sz w:val="18"/>
          <w:szCs w:val="18"/>
        </w:rPr>
        <w:t>, d</w:t>
      </w:r>
      <w:r w:rsidR="001A175E" w:rsidRPr="00D03C31">
        <w:rPr>
          <w:i/>
          <w:sz w:val="18"/>
          <w:szCs w:val="18"/>
        </w:rPr>
        <w:t>ati par 2020.gadu izgūti 2021.gada jūlija mēnesī (2</w:t>
      </w:r>
      <w:r w:rsidR="001A175E">
        <w:rPr>
          <w:i/>
          <w:sz w:val="18"/>
          <w:szCs w:val="18"/>
        </w:rPr>
        <w:t>7</w:t>
      </w:r>
      <w:r w:rsidR="001A175E" w:rsidRPr="00D03C31">
        <w:rPr>
          <w:i/>
          <w:sz w:val="18"/>
          <w:szCs w:val="18"/>
        </w:rPr>
        <w:t>.0</w:t>
      </w:r>
      <w:r w:rsidR="001A175E">
        <w:rPr>
          <w:i/>
          <w:sz w:val="18"/>
          <w:szCs w:val="18"/>
        </w:rPr>
        <w:t>7</w:t>
      </w:r>
      <w:r w:rsidR="001A175E" w:rsidRPr="00D03C31">
        <w:rPr>
          <w:i/>
          <w:sz w:val="18"/>
          <w:szCs w:val="18"/>
        </w:rPr>
        <w:t>.202</w:t>
      </w:r>
      <w:r w:rsidR="001A175E">
        <w:rPr>
          <w:i/>
          <w:sz w:val="18"/>
          <w:szCs w:val="18"/>
        </w:rPr>
        <w:t>1</w:t>
      </w:r>
      <w:r w:rsidR="001A175E" w:rsidRPr="00D03C31">
        <w:rPr>
          <w:i/>
          <w:sz w:val="18"/>
          <w:szCs w:val="18"/>
        </w:rPr>
        <w:t>.)</w:t>
      </w:r>
    </w:p>
    <w:p w14:paraId="038F818B" w14:textId="73453A5A" w:rsidR="00C85E1B" w:rsidRPr="00770F21" w:rsidRDefault="00C85E1B" w:rsidP="00C85E1B">
      <w:pPr>
        <w:pStyle w:val="ListParagraph"/>
        <w:ind w:left="0" w:right="108"/>
        <w:rPr>
          <w:i/>
          <w:sz w:val="18"/>
          <w:szCs w:val="18"/>
        </w:rPr>
      </w:pPr>
      <w:r w:rsidRPr="00770F21">
        <w:rPr>
          <w:i/>
          <w:sz w:val="18"/>
          <w:szCs w:val="18"/>
        </w:rPr>
        <w:t xml:space="preserve">* </w:t>
      </w:r>
      <w:r w:rsidR="00770F21" w:rsidRPr="00770F21">
        <w:rPr>
          <w:i/>
          <w:iCs/>
          <w:sz w:val="18"/>
          <w:szCs w:val="18"/>
        </w:rPr>
        <w:t xml:space="preserve">Eurostat dati joprojām ir pieejami par 2018.gadu (datu izgūšanas datums 26.07.2021.): </w:t>
      </w:r>
      <w:hyperlink r:id="rId156" w:history="1">
        <w:r w:rsidR="00770F21" w:rsidRPr="00770F21">
          <w:rPr>
            <w:rStyle w:val="Hyperlink"/>
            <w:i/>
            <w:iCs/>
            <w:color w:val="00859B"/>
            <w:sz w:val="18"/>
            <w:szCs w:val="18"/>
          </w:rPr>
          <w:t>https://appsso.eurostat.ec.europa.eu/nui/show.do?dataset=htec_si_exp4&amp;lang=en</w:t>
        </w:r>
      </w:hyperlink>
      <w:r w:rsidR="00770F21" w:rsidRPr="00770F21">
        <w:rPr>
          <w:i/>
          <w:iCs/>
          <w:sz w:val="18"/>
          <w:szCs w:val="18"/>
        </w:rPr>
        <w:t xml:space="preserve"> </w:t>
      </w:r>
    </w:p>
    <w:p w14:paraId="723B247F" w14:textId="77777777" w:rsidR="00B67AD6" w:rsidRPr="00F5511B" w:rsidRDefault="00B67AD6" w:rsidP="00CB5405">
      <w:pPr>
        <w:pStyle w:val="ListParagraph"/>
        <w:ind w:left="0" w:right="108"/>
        <w:rPr>
          <w:i/>
          <w:sz w:val="18"/>
          <w:szCs w:val="18"/>
          <w:highlight w:val="yellow"/>
        </w:rPr>
      </w:pPr>
    </w:p>
    <w:p w14:paraId="7A6AA952" w14:textId="77777777" w:rsidR="00B91024" w:rsidRPr="00F5511B" w:rsidRDefault="00B91024">
      <w:pPr>
        <w:spacing w:after="0" w:line="240" w:lineRule="auto"/>
        <w:rPr>
          <w:i/>
          <w:sz w:val="18"/>
          <w:szCs w:val="18"/>
          <w:highlight w:val="yellow"/>
        </w:rPr>
      </w:pPr>
      <w:r w:rsidRPr="00F5511B">
        <w:rPr>
          <w:i/>
          <w:sz w:val="18"/>
          <w:szCs w:val="18"/>
          <w:highlight w:val="yellow"/>
        </w:rPr>
        <w:br w:type="page"/>
      </w:r>
    </w:p>
    <w:p w14:paraId="68EEA925" w14:textId="77777777" w:rsidR="00F4297F" w:rsidRPr="00F5511B" w:rsidRDefault="00F4297F">
      <w:pPr>
        <w:spacing w:after="0" w:line="240" w:lineRule="auto"/>
        <w:rPr>
          <w:rFonts w:eastAsia="Times New Roman" w:cs="Times New Roman"/>
          <w:i/>
          <w:sz w:val="18"/>
          <w:szCs w:val="18"/>
          <w:highlight w:val="yellow"/>
          <w:lang w:eastAsia="lv-LV"/>
        </w:rPr>
      </w:pPr>
    </w:p>
    <w:p w14:paraId="26DBE21C" w14:textId="6CF2A487" w:rsidR="00CB5405" w:rsidRPr="00721693" w:rsidRDefault="008E0258" w:rsidP="00BE6C4B">
      <w:pPr>
        <w:pStyle w:val="Heading1"/>
        <w:numPr>
          <w:ilvl w:val="0"/>
          <w:numId w:val="9"/>
        </w:numPr>
        <w:spacing w:after="60"/>
        <w:ind w:left="714" w:hanging="357"/>
      </w:pPr>
      <w:bookmarkStart w:id="106" w:name="_Pielikums._EM_darbības_1"/>
      <w:bookmarkStart w:id="107" w:name="_Toc520374384"/>
      <w:bookmarkStart w:id="108" w:name="_Toc78874621"/>
      <w:bookmarkEnd w:id="106"/>
      <w:r w:rsidRPr="00721693">
        <w:rPr>
          <w:b w:val="0"/>
        </w:rPr>
        <w:t>P</w:t>
      </w:r>
      <w:r w:rsidR="00CB5405" w:rsidRPr="00721693">
        <w:rPr>
          <w:b w:val="0"/>
        </w:rPr>
        <w:t>ielikums</w:t>
      </w:r>
      <w:r w:rsidR="00CB5405" w:rsidRPr="00721693">
        <w:t>. EM darbības virziena “</w:t>
      </w:r>
      <w:r w:rsidR="002E28A3" w:rsidRPr="00721693">
        <w:t>Investīciju veicināšana un piesaiste</w:t>
      </w:r>
      <w:r w:rsidR="00CB5405" w:rsidRPr="00721693">
        <w:t>” rezultatīvo rādītāju dinamika</w:t>
      </w:r>
      <w:bookmarkEnd w:id="107"/>
      <w:bookmarkEnd w:id="108"/>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061"/>
        <w:gridCol w:w="4651"/>
        <w:gridCol w:w="1418"/>
        <w:gridCol w:w="1403"/>
        <w:gridCol w:w="1474"/>
        <w:gridCol w:w="1412"/>
        <w:gridCol w:w="1412"/>
      </w:tblGrid>
      <w:tr w:rsidR="006237FB" w:rsidRPr="00F5511B" w14:paraId="30F2F2F9" w14:textId="77777777" w:rsidTr="006237FB">
        <w:trPr>
          <w:trHeight w:val="397"/>
          <w:jc w:val="center"/>
        </w:trPr>
        <w:tc>
          <w:tcPr>
            <w:tcW w:w="1032" w:type="pct"/>
            <w:vMerge w:val="restart"/>
            <w:shd w:val="clear" w:color="auto" w:fill="FFFFFF" w:themeFill="background1"/>
            <w:vAlign w:val="center"/>
          </w:tcPr>
          <w:p w14:paraId="5C7E14B3" w14:textId="77777777" w:rsidR="00E20E51" w:rsidRPr="00721693" w:rsidRDefault="00E20E51" w:rsidP="006158BA">
            <w:pPr>
              <w:pStyle w:val="naislab"/>
              <w:spacing w:before="0" w:after="0"/>
              <w:jc w:val="center"/>
              <w:rPr>
                <w:sz w:val="24"/>
              </w:rPr>
            </w:pPr>
            <w:r w:rsidRPr="00721693">
              <w:rPr>
                <w:b/>
                <w:sz w:val="24"/>
              </w:rPr>
              <w:t>Rezultāts</w:t>
            </w:r>
          </w:p>
        </w:tc>
        <w:tc>
          <w:tcPr>
            <w:tcW w:w="1568" w:type="pct"/>
            <w:vMerge w:val="restart"/>
            <w:shd w:val="clear" w:color="auto" w:fill="FFFFFF" w:themeFill="background1"/>
            <w:vAlign w:val="center"/>
          </w:tcPr>
          <w:p w14:paraId="6BED10A2" w14:textId="77777777" w:rsidR="00E20E51" w:rsidRPr="00721693" w:rsidRDefault="00E20E51" w:rsidP="006158BA">
            <w:pPr>
              <w:pStyle w:val="naislab"/>
              <w:spacing w:before="0" w:after="0"/>
              <w:jc w:val="center"/>
              <w:rPr>
                <w:sz w:val="24"/>
              </w:rPr>
            </w:pPr>
            <w:r w:rsidRPr="00721693">
              <w:rPr>
                <w:b/>
                <w:sz w:val="24"/>
              </w:rPr>
              <w:t>Rezultatīvais rādītājs</w:t>
            </w:r>
          </w:p>
        </w:tc>
        <w:tc>
          <w:tcPr>
            <w:tcW w:w="2400" w:type="pct"/>
            <w:gridSpan w:val="5"/>
            <w:shd w:val="clear" w:color="auto" w:fill="FFFFFF" w:themeFill="background1"/>
            <w:vAlign w:val="center"/>
          </w:tcPr>
          <w:p w14:paraId="00A40F7E" w14:textId="528E4515" w:rsidR="00E20E51" w:rsidRPr="00F5511B" w:rsidRDefault="00E20E51" w:rsidP="00044E18">
            <w:pPr>
              <w:pStyle w:val="naislab"/>
              <w:spacing w:before="0" w:after="0"/>
              <w:jc w:val="center"/>
              <w:rPr>
                <w:sz w:val="24"/>
                <w:highlight w:val="yellow"/>
              </w:rPr>
            </w:pPr>
            <w:r w:rsidRPr="00721693">
              <w:rPr>
                <w:b/>
                <w:sz w:val="24"/>
              </w:rPr>
              <w:t>Rezultatīvā rādītāja skaitliskās vērtības</w:t>
            </w:r>
          </w:p>
        </w:tc>
      </w:tr>
      <w:tr w:rsidR="006237FB" w:rsidRPr="00F5511B" w14:paraId="192C052D" w14:textId="77777777" w:rsidTr="006237FB">
        <w:trPr>
          <w:trHeight w:val="20"/>
          <w:jc w:val="center"/>
        </w:trPr>
        <w:tc>
          <w:tcPr>
            <w:tcW w:w="1032" w:type="pct"/>
            <w:vMerge/>
            <w:shd w:val="clear" w:color="auto" w:fill="00859B"/>
          </w:tcPr>
          <w:p w14:paraId="735FF5A6" w14:textId="77777777" w:rsidR="00E20E51" w:rsidRPr="00F5511B" w:rsidRDefault="00E20E51" w:rsidP="00A065A3">
            <w:pPr>
              <w:pStyle w:val="naislab"/>
              <w:spacing w:before="0" w:after="0"/>
              <w:jc w:val="left"/>
              <w:rPr>
                <w:sz w:val="24"/>
                <w:highlight w:val="yellow"/>
              </w:rPr>
            </w:pPr>
          </w:p>
        </w:tc>
        <w:tc>
          <w:tcPr>
            <w:tcW w:w="1568" w:type="pct"/>
            <w:vMerge/>
            <w:shd w:val="clear" w:color="auto" w:fill="00859B"/>
          </w:tcPr>
          <w:p w14:paraId="435FD9AD" w14:textId="77777777" w:rsidR="00E20E51" w:rsidRPr="00F5511B" w:rsidRDefault="00E20E51" w:rsidP="00A065A3">
            <w:pPr>
              <w:pStyle w:val="naislab"/>
              <w:spacing w:before="0" w:after="0"/>
              <w:jc w:val="left"/>
              <w:rPr>
                <w:sz w:val="24"/>
                <w:highlight w:val="yellow"/>
              </w:rPr>
            </w:pPr>
          </w:p>
        </w:tc>
        <w:tc>
          <w:tcPr>
            <w:tcW w:w="478" w:type="pct"/>
            <w:shd w:val="clear" w:color="auto" w:fill="DAEEF3" w:themeFill="accent5" w:themeFillTint="33"/>
            <w:vAlign w:val="center"/>
          </w:tcPr>
          <w:p w14:paraId="6B4A25AF" w14:textId="5437E08D" w:rsidR="00E20E51" w:rsidRPr="00721693" w:rsidRDefault="00E20E51" w:rsidP="00044E18">
            <w:pPr>
              <w:pStyle w:val="naislab"/>
              <w:spacing w:before="0" w:after="0"/>
              <w:jc w:val="center"/>
              <w:rPr>
                <w:b/>
                <w:sz w:val="24"/>
              </w:rPr>
            </w:pPr>
            <w:r w:rsidRPr="00721693">
              <w:rPr>
                <w:b/>
                <w:sz w:val="24"/>
              </w:rPr>
              <w:t>201</w:t>
            </w:r>
            <w:r>
              <w:rPr>
                <w:b/>
                <w:sz w:val="24"/>
              </w:rPr>
              <w:t>9</w:t>
            </w:r>
            <w:r w:rsidRPr="00721693">
              <w:rPr>
                <w:b/>
                <w:sz w:val="24"/>
              </w:rPr>
              <w:t>.</w:t>
            </w:r>
          </w:p>
          <w:p w14:paraId="1694A22A" w14:textId="77777777" w:rsidR="00E20E51" w:rsidRPr="00721693" w:rsidRDefault="00E20E51" w:rsidP="00044E18">
            <w:pPr>
              <w:pStyle w:val="naislab"/>
              <w:spacing w:before="0" w:after="0"/>
              <w:jc w:val="center"/>
              <w:rPr>
                <w:sz w:val="24"/>
              </w:rPr>
            </w:pPr>
            <w:r w:rsidRPr="00721693">
              <w:rPr>
                <w:b/>
                <w:sz w:val="24"/>
              </w:rPr>
              <w:t>(fakts)</w:t>
            </w:r>
          </w:p>
        </w:tc>
        <w:tc>
          <w:tcPr>
            <w:tcW w:w="473" w:type="pct"/>
            <w:shd w:val="clear" w:color="auto" w:fill="FFFFFF"/>
            <w:vAlign w:val="center"/>
          </w:tcPr>
          <w:p w14:paraId="5F1DD4D6" w14:textId="284CE8BB" w:rsidR="00E20E51" w:rsidRPr="00721693" w:rsidRDefault="004E2E46" w:rsidP="00044E18">
            <w:pPr>
              <w:pStyle w:val="naislab"/>
              <w:spacing w:before="0" w:after="0"/>
              <w:jc w:val="center"/>
              <w:rPr>
                <w:b/>
                <w:sz w:val="24"/>
              </w:rPr>
            </w:pPr>
            <w:r w:rsidRPr="00721693">
              <w:rPr>
                <w:b/>
                <w:sz w:val="24"/>
              </w:rPr>
              <w:t>20</w:t>
            </w:r>
            <w:r>
              <w:rPr>
                <w:b/>
                <w:sz w:val="24"/>
              </w:rPr>
              <w:t>20</w:t>
            </w:r>
            <w:r w:rsidR="00E20E51" w:rsidRPr="00721693">
              <w:rPr>
                <w:b/>
                <w:sz w:val="24"/>
              </w:rPr>
              <w:t>.</w:t>
            </w:r>
          </w:p>
          <w:p w14:paraId="167AFCB2" w14:textId="77777777" w:rsidR="00E20E51" w:rsidRPr="00721693" w:rsidRDefault="00E20E51" w:rsidP="00044E18">
            <w:pPr>
              <w:pStyle w:val="naislab"/>
              <w:spacing w:before="0" w:after="0"/>
              <w:jc w:val="center"/>
              <w:rPr>
                <w:b/>
                <w:sz w:val="24"/>
              </w:rPr>
            </w:pPr>
            <w:r w:rsidRPr="00721693">
              <w:rPr>
                <w:b/>
                <w:sz w:val="24"/>
              </w:rPr>
              <w:t>(plāns)</w:t>
            </w:r>
          </w:p>
        </w:tc>
        <w:tc>
          <w:tcPr>
            <w:tcW w:w="497" w:type="pct"/>
            <w:shd w:val="clear" w:color="auto" w:fill="DAEEF3" w:themeFill="accent5" w:themeFillTint="33"/>
            <w:vAlign w:val="center"/>
          </w:tcPr>
          <w:p w14:paraId="073D022C" w14:textId="08866521" w:rsidR="00E20E51" w:rsidRPr="00721693" w:rsidRDefault="004E2E46" w:rsidP="00044E18">
            <w:pPr>
              <w:pStyle w:val="naislab"/>
              <w:spacing w:before="0" w:after="0"/>
              <w:jc w:val="center"/>
              <w:rPr>
                <w:b/>
                <w:sz w:val="24"/>
              </w:rPr>
            </w:pPr>
            <w:r w:rsidRPr="00721693">
              <w:rPr>
                <w:b/>
                <w:sz w:val="24"/>
              </w:rPr>
              <w:t>20</w:t>
            </w:r>
            <w:r>
              <w:rPr>
                <w:b/>
                <w:sz w:val="24"/>
              </w:rPr>
              <w:t>20</w:t>
            </w:r>
            <w:r w:rsidR="00E20E51" w:rsidRPr="00721693">
              <w:rPr>
                <w:b/>
                <w:sz w:val="24"/>
              </w:rPr>
              <w:t>.</w:t>
            </w:r>
          </w:p>
          <w:p w14:paraId="4A890CBA" w14:textId="77777777" w:rsidR="00E20E51" w:rsidRPr="00721693" w:rsidRDefault="00E20E51" w:rsidP="00044E18">
            <w:pPr>
              <w:pStyle w:val="naislab"/>
              <w:spacing w:before="0" w:after="0"/>
              <w:jc w:val="center"/>
              <w:rPr>
                <w:sz w:val="24"/>
              </w:rPr>
            </w:pPr>
            <w:r w:rsidRPr="00721693">
              <w:rPr>
                <w:b/>
                <w:sz w:val="24"/>
              </w:rPr>
              <w:t>(fakts)</w:t>
            </w:r>
          </w:p>
        </w:tc>
        <w:tc>
          <w:tcPr>
            <w:tcW w:w="476" w:type="pct"/>
            <w:shd w:val="clear" w:color="auto" w:fill="FFFFFF"/>
            <w:vAlign w:val="center"/>
          </w:tcPr>
          <w:p w14:paraId="2E2A13EB" w14:textId="4DFCC75F" w:rsidR="00E20E51" w:rsidRPr="006937F0" w:rsidRDefault="00D675EC" w:rsidP="00D675EC">
            <w:pPr>
              <w:pStyle w:val="naislab"/>
              <w:spacing w:before="0" w:after="0"/>
              <w:jc w:val="center"/>
              <w:rPr>
                <w:sz w:val="24"/>
              </w:rPr>
            </w:pPr>
            <w:r w:rsidRPr="006937F0">
              <w:rPr>
                <w:b/>
                <w:sz w:val="24"/>
              </w:rPr>
              <w:t>202</w:t>
            </w:r>
            <w:r>
              <w:rPr>
                <w:b/>
                <w:sz w:val="24"/>
              </w:rPr>
              <w:t>1</w:t>
            </w:r>
            <w:r w:rsidR="00E20E51" w:rsidRPr="006937F0">
              <w:rPr>
                <w:b/>
                <w:sz w:val="24"/>
              </w:rPr>
              <w:t>.</w:t>
            </w:r>
          </w:p>
        </w:tc>
        <w:tc>
          <w:tcPr>
            <w:tcW w:w="476" w:type="pct"/>
            <w:shd w:val="clear" w:color="auto" w:fill="auto"/>
            <w:vAlign w:val="center"/>
          </w:tcPr>
          <w:p w14:paraId="1815D8D4" w14:textId="54B218FD" w:rsidR="00E20E51" w:rsidRPr="006937F0" w:rsidRDefault="00D675EC" w:rsidP="00D675EC">
            <w:pPr>
              <w:pStyle w:val="naislab"/>
              <w:spacing w:before="0" w:after="0"/>
              <w:jc w:val="center"/>
              <w:rPr>
                <w:sz w:val="24"/>
              </w:rPr>
            </w:pPr>
            <w:r w:rsidRPr="006937F0">
              <w:rPr>
                <w:b/>
                <w:sz w:val="24"/>
              </w:rPr>
              <w:t>202</w:t>
            </w:r>
            <w:r>
              <w:rPr>
                <w:b/>
                <w:sz w:val="24"/>
              </w:rPr>
              <w:t>2</w:t>
            </w:r>
            <w:r w:rsidR="00E20E51" w:rsidRPr="006937F0">
              <w:rPr>
                <w:b/>
                <w:sz w:val="24"/>
              </w:rPr>
              <w:t>.</w:t>
            </w:r>
          </w:p>
        </w:tc>
      </w:tr>
      <w:tr w:rsidR="006237FB" w:rsidRPr="00F5511B" w14:paraId="0868CE7E" w14:textId="77777777" w:rsidTr="006237FB">
        <w:trPr>
          <w:trHeight w:val="850"/>
          <w:jc w:val="center"/>
        </w:trPr>
        <w:tc>
          <w:tcPr>
            <w:tcW w:w="1032" w:type="pct"/>
            <w:vMerge w:val="restart"/>
            <w:shd w:val="clear" w:color="auto" w:fill="FFFFFF"/>
          </w:tcPr>
          <w:p w14:paraId="48CF3FC0" w14:textId="77777777" w:rsidR="00E20E51" w:rsidRPr="00F5511B" w:rsidRDefault="00E20E51" w:rsidP="00A065A3">
            <w:pPr>
              <w:pStyle w:val="naislab"/>
              <w:spacing w:before="0" w:after="0"/>
              <w:jc w:val="left"/>
              <w:rPr>
                <w:sz w:val="24"/>
                <w:highlight w:val="yellow"/>
              </w:rPr>
            </w:pPr>
            <w:r w:rsidRPr="00721693">
              <w:rPr>
                <w:sz w:val="24"/>
              </w:rPr>
              <w:t>3.1. Palielinās piesaistīto investīciju apjoms un investīciju portfeļu skaits</w:t>
            </w:r>
          </w:p>
        </w:tc>
        <w:tc>
          <w:tcPr>
            <w:tcW w:w="1568" w:type="pct"/>
            <w:shd w:val="clear" w:color="auto" w:fill="FFFFFF"/>
          </w:tcPr>
          <w:p w14:paraId="51CD8FA0" w14:textId="77777777" w:rsidR="00E20E51" w:rsidRPr="006937F0" w:rsidRDefault="00E20E51" w:rsidP="006937F0">
            <w:pPr>
              <w:pStyle w:val="naislab"/>
              <w:spacing w:before="0" w:after="0"/>
              <w:jc w:val="left"/>
              <w:rPr>
                <w:sz w:val="24"/>
                <w:highlight w:val="yellow"/>
              </w:rPr>
            </w:pPr>
            <w:r w:rsidRPr="006937F0">
              <w:rPr>
                <w:sz w:val="24"/>
              </w:rPr>
              <w:t>3.1.1. Ikgadēji izstrādāti investīciju piedāvājumi ārvalstu investoriem investēšanai stratēģiski nozīmīgās ekosistēmās (skaits)</w:t>
            </w:r>
          </w:p>
        </w:tc>
        <w:tc>
          <w:tcPr>
            <w:tcW w:w="478" w:type="pct"/>
            <w:shd w:val="clear" w:color="auto" w:fill="DAEEF3" w:themeFill="accent5" w:themeFillTint="33"/>
            <w:vAlign w:val="center"/>
          </w:tcPr>
          <w:p w14:paraId="718A43D4" w14:textId="77777777" w:rsidR="00E20E51" w:rsidRPr="00E20E51" w:rsidRDefault="00E20E51" w:rsidP="00A065A3">
            <w:pPr>
              <w:pStyle w:val="naislab"/>
              <w:spacing w:before="0" w:after="0"/>
              <w:jc w:val="center"/>
              <w:rPr>
                <w:sz w:val="24"/>
              </w:rPr>
            </w:pPr>
            <w:r w:rsidRPr="00E20E51">
              <w:rPr>
                <w:sz w:val="24"/>
              </w:rPr>
              <w:t>-</w:t>
            </w:r>
          </w:p>
        </w:tc>
        <w:tc>
          <w:tcPr>
            <w:tcW w:w="473" w:type="pct"/>
            <w:shd w:val="clear" w:color="auto" w:fill="FFFFFF"/>
            <w:vAlign w:val="center"/>
          </w:tcPr>
          <w:p w14:paraId="60590F2E" w14:textId="2118A5D2" w:rsidR="00E20E51" w:rsidRPr="00E20E51" w:rsidRDefault="00E20E51" w:rsidP="00A065A3">
            <w:pPr>
              <w:pStyle w:val="naislab"/>
              <w:spacing w:before="0" w:after="0"/>
              <w:jc w:val="center"/>
              <w:rPr>
                <w:sz w:val="24"/>
              </w:rPr>
            </w:pPr>
            <w:r>
              <w:rPr>
                <w:sz w:val="24"/>
              </w:rPr>
              <w:t>2</w:t>
            </w:r>
          </w:p>
        </w:tc>
        <w:tc>
          <w:tcPr>
            <w:tcW w:w="497" w:type="pct"/>
            <w:shd w:val="clear" w:color="auto" w:fill="DAEEF3" w:themeFill="accent5" w:themeFillTint="33"/>
            <w:vAlign w:val="center"/>
          </w:tcPr>
          <w:p w14:paraId="53A83898" w14:textId="6A5D996F" w:rsidR="00E20E51" w:rsidRPr="00E20E51" w:rsidRDefault="00D675EC" w:rsidP="00A065A3">
            <w:pPr>
              <w:pStyle w:val="naislab"/>
              <w:spacing w:before="0" w:after="0"/>
              <w:jc w:val="center"/>
              <w:rPr>
                <w:sz w:val="24"/>
              </w:rPr>
            </w:pPr>
            <w:r>
              <w:rPr>
                <w:sz w:val="24"/>
              </w:rPr>
              <w:t>4*</w:t>
            </w:r>
          </w:p>
        </w:tc>
        <w:tc>
          <w:tcPr>
            <w:tcW w:w="476" w:type="pct"/>
            <w:shd w:val="clear" w:color="auto" w:fill="FFFFFF"/>
            <w:vAlign w:val="center"/>
          </w:tcPr>
          <w:p w14:paraId="778FF3BC" w14:textId="77777777" w:rsidR="00E20E51" w:rsidRPr="00E20E51" w:rsidRDefault="00E20E51" w:rsidP="00A065A3">
            <w:pPr>
              <w:pStyle w:val="naislab"/>
              <w:spacing w:before="0" w:after="0"/>
              <w:jc w:val="center"/>
              <w:rPr>
                <w:sz w:val="24"/>
              </w:rPr>
            </w:pPr>
            <w:r w:rsidRPr="00E20E51">
              <w:rPr>
                <w:sz w:val="24"/>
              </w:rPr>
              <w:t>2</w:t>
            </w:r>
          </w:p>
        </w:tc>
        <w:tc>
          <w:tcPr>
            <w:tcW w:w="476" w:type="pct"/>
            <w:shd w:val="clear" w:color="auto" w:fill="auto"/>
            <w:vAlign w:val="center"/>
          </w:tcPr>
          <w:p w14:paraId="68866F4D" w14:textId="4B4327E0" w:rsidR="00E20E51" w:rsidRPr="00E20E51" w:rsidRDefault="00E20E51" w:rsidP="00A065A3">
            <w:pPr>
              <w:pStyle w:val="naislab"/>
              <w:spacing w:before="0" w:after="0"/>
              <w:jc w:val="center"/>
              <w:rPr>
                <w:sz w:val="20"/>
                <w:szCs w:val="20"/>
              </w:rPr>
            </w:pPr>
            <w:r w:rsidRPr="00E20E51">
              <w:rPr>
                <w:sz w:val="24"/>
              </w:rPr>
              <w:t>2</w:t>
            </w:r>
          </w:p>
        </w:tc>
      </w:tr>
      <w:tr w:rsidR="006237FB" w:rsidRPr="00F5511B" w14:paraId="574BE44B" w14:textId="77777777" w:rsidTr="00B67AD6">
        <w:trPr>
          <w:trHeight w:val="510"/>
          <w:jc w:val="center"/>
        </w:trPr>
        <w:tc>
          <w:tcPr>
            <w:tcW w:w="1032" w:type="pct"/>
            <w:vMerge/>
            <w:shd w:val="clear" w:color="auto" w:fill="FFFFFF"/>
          </w:tcPr>
          <w:p w14:paraId="37C6725E" w14:textId="77777777" w:rsidR="00E20E51" w:rsidRPr="00F5511B" w:rsidRDefault="00E20E51" w:rsidP="00A065A3">
            <w:pPr>
              <w:pStyle w:val="naislab"/>
              <w:spacing w:before="0" w:after="0"/>
              <w:jc w:val="left"/>
              <w:rPr>
                <w:sz w:val="24"/>
                <w:highlight w:val="yellow"/>
              </w:rPr>
            </w:pPr>
          </w:p>
        </w:tc>
        <w:tc>
          <w:tcPr>
            <w:tcW w:w="1568" w:type="pct"/>
            <w:shd w:val="clear" w:color="auto" w:fill="FFFFFF"/>
          </w:tcPr>
          <w:p w14:paraId="531E5BA3" w14:textId="54A8F545" w:rsidR="00E20E51" w:rsidRPr="00F5511B" w:rsidRDefault="00E20E51" w:rsidP="00A065A3">
            <w:pPr>
              <w:pStyle w:val="naislab"/>
              <w:spacing w:before="0" w:after="0"/>
              <w:jc w:val="left"/>
              <w:rPr>
                <w:sz w:val="24"/>
                <w:highlight w:val="yellow"/>
              </w:rPr>
            </w:pPr>
            <w:r w:rsidRPr="00721693">
              <w:rPr>
                <w:sz w:val="24"/>
              </w:rPr>
              <w:t>3.1.2.</w:t>
            </w:r>
            <w:r w:rsidR="00D675EC">
              <w:rPr>
                <w:sz w:val="24"/>
              </w:rPr>
              <w:t xml:space="preserve"> </w:t>
            </w:r>
            <w:r w:rsidRPr="00721693">
              <w:rPr>
                <w:sz w:val="24"/>
              </w:rPr>
              <w:t>Bruto pamatkapitāla veidošana (% no IKP)</w:t>
            </w:r>
          </w:p>
        </w:tc>
        <w:tc>
          <w:tcPr>
            <w:tcW w:w="478" w:type="pct"/>
            <w:shd w:val="clear" w:color="auto" w:fill="DAEEF3" w:themeFill="accent5" w:themeFillTint="33"/>
            <w:vAlign w:val="center"/>
          </w:tcPr>
          <w:p w14:paraId="7C288A00" w14:textId="46D0CACA" w:rsidR="00E20E51" w:rsidRPr="00D675EC" w:rsidRDefault="00E20E51" w:rsidP="00A065A3">
            <w:pPr>
              <w:pStyle w:val="naislab"/>
              <w:spacing w:before="0" w:after="0"/>
              <w:jc w:val="center"/>
              <w:rPr>
                <w:sz w:val="24"/>
              </w:rPr>
            </w:pPr>
            <w:r w:rsidRPr="00E20E51">
              <w:rPr>
                <w:sz w:val="24"/>
              </w:rPr>
              <w:t>22,</w:t>
            </w:r>
            <w:r w:rsidR="00D675EC">
              <w:rPr>
                <w:sz w:val="24"/>
              </w:rPr>
              <w:t>9</w:t>
            </w:r>
          </w:p>
        </w:tc>
        <w:tc>
          <w:tcPr>
            <w:tcW w:w="473" w:type="pct"/>
            <w:shd w:val="clear" w:color="auto" w:fill="FFFFFF"/>
            <w:vAlign w:val="center"/>
          </w:tcPr>
          <w:p w14:paraId="3A43135E" w14:textId="77777777" w:rsidR="00E20E51" w:rsidRPr="00E20E51" w:rsidRDefault="00E20E51" w:rsidP="00A065A3">
            <w:pPr>
              <w:pStyle w:val="naislab"/>
              <w:spacing w:before="0" w:after="0"/>
              <w:jc w:val="center"/>
              <w:rPr>
                <w:sz w:val="24"/>
              </w:rPr>
            </w:pPr>
            <w:r w:rsidRPr="00E20E51">
              <w:rPr>
                <w:sz w:val="24"/>
              </w:rPr>
              <w:t>-</w:t>
            </w:r>
          </w:p>
        </w:tc>
        <w:tc>
          <w:tcPr>
            <w:tcW w:w="497" w:type="pct"/>
            <w:shd w:val="clear" w:color="auto" w:fill="DAEEF3" w:themeFill="accent5" w:themeFillTint="33"/>
            <w:vAlign w:val="center"/>
          </w:tcPr>
          <w:p w14:paraId="3A4AD03F" w14:textId="5744840A" w:rsidR="00E20E51" w:rsidRPr="00E20E51" w:rsidRDefault="00D675EC" w:rsidP="00A065A3">
            <w:pPr>
              <w:pStyle w:val="naislab"/>
              <w:spacing w:before="0" w:after="0"/>
              <w:jc w:val="center"/>
              <w:rPr>
                <w:sz w:val="24"/>
              </w:rPr>
            </w:pPr>
            <w:r w:rsidRPr="00E20E51">
              <w:rPr>
                <w:sz w:val="24"/>
              </w:rPr>
              <w:t>2</w:t>
            </w:r>
            <w:r>
              <w:rPr>
                <w:sz w:val="24"/>
              </w:rPr>
              <w:t>3</w:t>
            </w:r>
            <w:r w:rsidR="00E20E51" w:rsidRPr="00E20E51">
              <w:rPr>
                <w:sz w:val="24"/>
              </w:rPr>
              <w:t>,</w:t>
            </w:r>
            <w:r>
              <w:rPr>
                <w:sz w:val="24"/>
              </w:rPr>
              <w:t>4</w:t>
            </w:r>
          </w:p>
        </w:tc>
        <w:tc>
          <w:tcPr>
            <w:tcW w:w="476" w:type="pct"/>
            <w:shd w:val="clear" w:color="auto" w:fill="FFFFFF"/>
            <w:vAlign w:val="center"/>
          </w:tcPr>
          <w:p w14:paraId="6323C538" w14:textId="7A8A5795" w:rsidR="00E20E51" w:rsidRPr="00E20E51" w:rsidRDefault="00D675EC" w:rsidP="00721693">
            <w:pPr>
              <w:pStyle w:val="naislab"/>
              <w:spacing w:before="0" w:after="0"/>
              <w:jc w:val="center"/>
              <w:rPr>
                <w:sz w:val="24"/>
              </w:rPr>
            </w:pPr>
            <w:r>
              <w:rPr>
                <w:sz w:val="24"/>
              </w:rPr>
              <w:t>-</w:t>
            </w:r>
          </w:p>
        </w:tc>
        <w:tc>
          <w:tcPr>
            <w:tcW w:w="476" w:type="pct"/>
            <w:shd w:val="clear" w:color="auto" w:fill="auto"/>
            <w:vAlign w:val="center"/>
          </w:tcPr>
          <w:p w14:paraId="6E51E85B" w14:textId="79068D30" w:rsidR="00E20E51" w:rsidRPr="00E20E51" w:rsidRDefault="00D675EC" w:rsidP="00A065A3">
            <w:pPr>
              <w:pStyle w:val="naislab"/>
              <w:spacing w:before="0" w:after="0"/>
              <w:jc w:val="center"/>
              <w:rPr>
                <w:sz w:val="24"/>
              </w:rPr>
            </w:pPr>
            <w:r>
              <w:rPr>
                <w:sz w:val="24"/>
              </w:rPr>
              <w:t>23</w:t>
            </w:r>
          </w:p>
        </w:tc>
      </w:tr>
      <w:tr w:rsidR="006237FB" w:rsidRPr="00F5511B" w14:paraId="59B4848A" w14:textId="77777777" w:rsidTr="00B67AD6">
        <w:trPr>
          <w:trHeight w:val="567"/>
          <w:jc w:val="center"/>
        </w:trPr>
        <w:tc>
          <w:tcPr>
            <w:tcW w:w="1032" w:type="pct"/>
            <w:vMerge/>
            <w:shd w:val="clear" w:color="auto" w:fill="FFFFFF"/>
          </w:tcPr>
          <w:p w14:paraId="1581E731" w14:textId="77777777" w:rsidR="00E20E51" w:rsidRPr="00F5511B" w:rsidRDefault="00E20E51" w:rsidP="00A065A3">
            <w:pPr>
              <w:pStyle w:val="naislab"/>
              <w:spacing w:before="0" w:after="0"/>
              <w:jc w:val="left"/>
              <w:rPr>
                <w:sz w:val="24"/>
                <w:highlight w:val="yellow"/>
              </w:rPr>
            </w:pPr>
          </w:p>
        </w:tc>
        <w:tc>
          <w:tcPr>
            <w:tcW w:w="1568" w:type="pct"/>
            <w:shd w:val="clear" w:color="auto" w:fill="FFFFFF"/>
          </w:tcPr>
          <w:p w14:paraId="338F0364" w14:textId="77777777" w:rsidR="00E20E51" w:rsidRPr="00721693" w:rsidRDefault="00E20E51" w:rsidP="00A065A3">
            <w:pPr>
              <w:pStyle w:val="naislab"/>
              <w:spacing w:before="0" w:after="0"/>
              <w:jc w:val="left"/>
              <w:rPr>
                <w:sz w:val="24"/>
              </w:rPr>
            </w:pPr>
            <w:r w:rsidRPr="00721693">
              <w:rPr>
                <w:sz w:val="24"/>
              </w:rPr>
              <w:t>3.1.3. Akciju tirgus kapitalizācija, % no IKP</w:t>
            </w:r>
          </w:p>
        </w:tc>
        <w:tc>
          <w:tcPr>
            <w:tcW w:w="478" w:type="pct"/>
            <w:shd w:val="clear" w:color="auto" w:fill="DAEEF3" w:themeFill="accent5" w:themeFillTint="33"/>
            <w:vAlign w:val="center"/>
          </w:tcPr>
          <w:p w14:paraId="6309312D" w14:textId="77777777" w:rsidR="00E20E51" w:rsidRDefault="00E20E51" w:rsidP="00A065A3">
            <w:pPr>
              <w:pStyle w:val="naislab"/>
              <w:spacing w:before="0" w:after="0"/>
              <w:jc w:val="center"/>
              <w:rPr>
                <w:sz w:val="24"/>
              </w:rPr>
            </w:pPr>
            <w:r w:rsidRPr="00E20E51">
              <w:rPr>
                <w:sz w:val="24"/>
              </w:rPr>
              <w:t>2,5</w:t>
            </w:r>
          </w:p>
          <w:p w14:paraId="1A0F5679" w14:textId="050B9A32" w:rsidR="00D675EC" w:rsidRPr="00E20E51" w:rsidRDefault="00D675EC" w:rsidP="00A065A3">
            <w:pPr>
              <w:pStyle w:val="naislab"/>
              <w:spacing w:before="0" w:after="0"/>
              <w:jc w:val="center"/>
              <w:rPr>
                <w:sz w:val="24"/>
              </w:rPr>
            </w:pPr>
            <w:r>
              <w:rPr>
                <w:sz w:val="24"/>
              </w:rPr>
              <w:t>(2018)</w:t>
            </w:r>
          </w:p>
        </w:tc>
        <w:tc>
          <w:tcPr>
            <w:tcW w:w="473" w:type="pct"/>
            <w:shd w:val="clear" w:color="auto" w:fill="FFFFFF"/>
            <w:vAlign w:val="center"/>
          </w:tcPr>
          <w:p w14:paraId="5975293C" w14:textId="77777777" w:rsidR="00E20E51" w:rsidRPr="00D675EC" w:rsidRDefault="00E20E51" w:rsidP="00A065A3">
            <w:pPr>
              <w:pStyle w:val="naislab"/>
              <w:spacing w:before="0" w:after="0"/>
              <w:jc w:val="center"/>
              <w:rPr>
                <w:sz w:val="24"/>
              </w:rPr>
            </w:pPr>
            <w:r w:rsidRPr="00D675EC">
              <w:rPr>
                <w:sz w:val="24"/>
              </w:rPr>
              <w:t>-</w:t>
            </w:r>
          </w:p>
        </w:tc>
        <w:tc>
          <w:tcPr>
            <w:tcW w:w="497" w:type="pct"/>
            <w:shd w:val="clear" w:color="auto" w:fill="DAEEF3" w:themeFill="accent5" w:themeFillTint="33"/>
            <w:vAlign w:val="center"/>
          </w:tcPr>
          <w:p w14:paraId="7EBBD55C" w14:textId="36A8F892" w:rsidR="00E20E51" w:rsidRPr="00D675EC" w:rsidRDefault="00D675EC" w:rsidP="00A065A3">
            <w:pPr>
              <w:pStyle w:val="naislab"/>
              <w:spacing w:before="0" w:after="0"/>
              <w:jc w:val="center"/>
              <w:rPr>
                <w:sz w:val="24"/>
              </w:rPr>
            </w:pPr>
            <w:r>
              <w:rPr>
                <w:sz w:val="24"/>
              </w:rPr>
              <w:t>3</w:t>
            </w:r>
          </w:p>
        </w:tc>
        <w:tc>
          <w:tcPr>
            <w:tcW w:w="476" w:type="pct"/>
            <w:shd w:val="clear" w:color="auto" w:fill="FFFFFF"/>
            <w:vAlign w:val="center"/>
          </w:tcPr>
          <w:p w14:paraId="04E17FC7" w14:textId="3D2E4F65" w:rsidR="00E20E51" w:rsidRPr="00D675EC" w:rsidRDefault="006237FB" w:rsidP="00721693">
            <w:pPr>
              <w:pStyle w:val="naislab"/>
              <w:spacing w:before="0" w:after="0"/>
              <w:jc w:val="center"/>
              <w:rPr>
                <w:sz w:val="24"/>
              </w:rPr>
            </w:pPr>
            <w:r>
              <w:rPr>
                <w:sz w:val="24"/>
              </w:rPr>
              <w:t>-</w:t>
            </w:r>
          </w:p>
        </w:tc>
        <w:tc>
          <w:tcPr>
            <w:tcW w:w="476" w:type="pct"/>
            <w:shd w:val="clear" w:color="auto" w:fill="auto"/>
            <w:vAlign w:val="center"/>
          </w:tcPr>
          <w:p w14:paraId="59EFA5B2" w14:textId="08984558" w:rsidR="00E20E51" w:rsidRPr="00D675EC" w:rsidRDefault="00D675EC" w:rsidP="00A065A3">
            <w:pPr>
              <w:pStyle w:val="naislab"/>
              <w:spacing w:before="0" w:after="0"/>
              <w:jc w:val="center"/>
              <w:rPr>
                <w:sz w:val="24"/>
              </w:rPr>
            </w:pPr>
            <w:r>
              <w:rPr>
                <w:sz w:val="24"/>
              </w:rPr>
              <w:t>4</w:t>
            </w:r>
          </w:p>
        </w:tc>
      </w:tr>
      <w:tr w:rsidR="006237FB" w:rsidRPr="00F5511B" w14:paraId="489E46FF" w14:textId="77777777" w:rsidTr="00B67AD6">
        <w:trPr>
          <w:trHeight w:val="737"/>
          <w:jc w:val="center"/>
        </w:trPr>
        <w:tc>
          <w:tcPr>
            <w:tcW w:w="1032" w:type="pct"/>
            <w:shd w:val="clear" w:color="auto" w:fill="FFFFFF"/>
          </w:tcPr>
          <w:p w14:paraId="7D4D8B07" w14:textId="77777777" w:rsidR="006237FB" w:rsidRPr="006937F0" w:rsidRDefault="006237FB" w:rsidP="00A065A3">
            <w:pPr>
              <w:pStyle w:val="naislab"/>
              <w:spacing w:before="0" w:after="0"/>
              <w:jc w:val="left"/>
              <w:rPr>
                <w:sz w:val="24"/>
                <w:highlight w:val="yellow"/>
              </w:rPr>
            </w:pPr>
            <w:r w:rsidRPr="006937F0">
              <w:rPr>
                <w:sz w:val="24"/>
              </w:rPr>
              <w:t>3.2. Palielinās Latvijas loma Baltijā ĀTI piesaistē</w:t>
            </w:r>
          </w:p>
        </w:tc>
        <w:tc>
          <w:tcPr>
            <w:tcW w:w="1568" w:type="pct"/>
            <w:shd w:val="clear" w:color="auto" w:fill="FFFFFF"/>
          </w:tcPr>
          <w:p w14:paraId="22DB9723" w14:textId="77777777" w:rsidR="006237FB" w:rsidRPr="00F5511B" w:rsidRDefault="006237FB" w:rsidP="00A065A3">
            <w:pPr>
              <w:pStyle w:val="naislab"/>
              <w:spacing w:before="0" w:after="0"/>
              <w:jc w:val="left"/>
              <w:rPr>
                <w:rFonts w:ascii="Cambria" w:hAnsi="Cambria" w:cs="Cambria"/>
                <w:sz w:val="24"/>
                <w:highlight w:val="yellow"/>
              </w:rPr>
            </w:pPr>
            <w:r w:rsidRPr="006937F0">
              <w:rPr>
                <w:sz w:val="24"/>
              </w:rPr>
              <w:t>3.2.1. ĀTI snieguma indekss, 3-gadu vidējais rādītājs</w:t>
            </w:r>
          </w:p>
        </w:tc>
        <w:tc>
          <w:tcPr>
            <w:tcW w:w="478" w:type="pct"/>
            <w:shd w:val="clear" w:color="auto" w:fill="DAEEF3" w:themeFill="accent5" w:themeFillTint="33"/>
            <w:vAlign w:val="center"/>
          </w:tcPr>
          <w:p w14:paraId="232C9744" w14:textId="21DCE5C4" w:rsidR="006237FB" w:rsidRDefault="006237FB" w:rsidP="00A065A3">
            <w:pPr>
              <w:pStyle w:val="naislab"/>
              <w:spacing w:before="0" w:after="0"/>
              <w:jc w:val="center"/>
              <w:rPr>
                <w:sz w:val="24"/>
              </w:rPr>
            </w:pPr>
            <w:r w:rsidRPr="00D675EC">
              <w:rPr>
                <w:sz w:val="24"/>
              </w:rPr>
              <w:t>0,8</w:t>
            </w:r>
          </w:p>
          <w:p w14:paraId="1CF76EED" w14:textId="30D9ED13" w:rsidR="006237FB" w:rsidRPr="00E20E51" w:rsidRDefault="006237FB" w:rsidP="00A065A3">
            <w:pPr>
              <w:pStyle w:val="naislab"/>
              <w:spacing w:before="0" w:after="0"/>
              <w:jc w:val="center"/>
              <w:rPr>
                <w:sz w:val="24"/>
              </w:rPr>
            </w:pPr>
            <w:r>
              <w:rPr>
                <w:sz w:val="24"/>
              </w:rPr>
              <w:t>(2018)</w:t>
            </w:r>
          </w:p>
        </w:tc>
        <w:tc>
          <w:tcPr>
            <w:tcW w:w="473" w:type="pct"/>
            <w:shd w:val="clear" w:color="auto" w:fill="FFFFFF"/>
            <w:vAlign w:val="center"/>
          </w:tcPr>
          <w:p w14:paraId="5B6729FA" w14:textId="3267670C" w:rsidR="006237FB" w:rsidRPr="00D675EC" w:rsidRDefault="006237FB" w:rsidP="00A065A3">
            <w:pPr>
              <w:pStyle w:val="naislab"/>
              <w:spacing w:before="0" w:after="0"/>
              <w:jc w:val="center"/>
              <w:rPr>
                <w:sz w:val="24"/>
              </w:rPr>
            </w:pPr>
            <w:r>
              <w:rPr>
                <w:sz w:val="24"/>
              </w:rPr>
              <w:t>0,9</w:t>
            </w:r>
          </w:p>
        </w:tc>
        <w:tc>
          <w:tcPr>
            <w:tcW w:w="497" w:type="pct"/>
            <w:shd w:val="clear" w:color="auto" w:fill="DAEEF3" w:themeFill="accent5" w:themeFillTint="33"/>
            <w:vAlign w:val="center"/>
          </w:tcPr>
          <w:p w14:paraId="1FC23849" w14:textId="34486E85" w:rsidR="006237FB" w:rsidRPr="00D675EC" w:rsidRDefault="006237FB" w:rsidP="00A065A3">
            <w:pPr>
              <w:pStyle w:val="naislab"/>
              <w:spacing w:before="0" w:after="0"/>
              <w:jc w:val="center"/>
              <w:rPr>
                <w:sz w:val="24"/>
              </w:rPr>
            </w:pPr>
            <w:r w:rsidRPr="00D675EC">
              <w:rPr>
                <w:sz w:val="24"/>
              </w:rPr>
              <w:t>0,7</w:t>
            </w:r>
            <w:r>
              <w:rPr>
                <w:sz w:val="24"/>
              </w:rPr>
              <w:t>**</w:t>
            </w:r>
          </w:p>
        </w:tc>
        <w:tc>
          <w:tcPr>
            <w:tcW w:w="952" w:type="pct"/>
            <w:gridSpan w:val="2"/>
            <w:shd w:val="clear" w:color="auto" w:fill="FFFFFF"/>
            <w:vAlign w:val="center"/>
          </w:tcPr>
          <w:p w14:paraId="10A5EDBE" w14:textId="07F8FD25" w:rsidR="006237FB" w:rsidRPr="00D675EC" w:rsidRDefault="006237FB" w:rsidP="00A065A3">
            <w:pPr>
              <w:pStyle w:val="naislab"/>
              <w:spacing w:before="0" w:after="0"/>
              <w:jc w:val="center"/>
              <w:rPr>
                <w:sz w:val="20"/>
                <w:szCs w:val="20"/>
              </w:rPr>
            </w:pPr>
            <w:r w:rsidRPr="00D675EC">
              <w:rPr>
                <w:sz w:val="24"/>
              </w:rPr>
              <w:t>Ikgadēji ne mazāk kā 1,0</w:t>
            </w:r>
          </w:p>
        </w:tc>
      </w:tr>
    </w:tbl>
    <w:p w14:paraId="7B168E95" w14:textId="23E154EE" w:rsidR="00F4297F" w:rsidRPr="006937F0" w:rsidRDefault="00F4297F" w:rsidP="006937F0">
      <w:pPr>
        <w:pStyle w:val="ListParagraph"/>
        <w:spacing w:before="60"/>
        <w:ind w:left="0" w:right="108"/>
        <w:rPr>
          <w:i/>
          <w:sz w:val="18"/>
          <w:szCs w:val="18"/>
        </w:rPr>
      </w:pPr>
      <w:r w:rsidRPr="006937F0">
        <w:rPr>
          <w:i/>
          <w:sz w:val="18"/>
          <w:szCs w:val="18"/>
        </w:rPr>
        <w:t>Avots: EM darbības stratēģija 20</w:t>
      </w:r>
      <w:r w:rsidR="006937F0" w:rsidRPr="006937F0">
        <w:rPr>
          <w:i/>
          <w:sz w:val="18"/>
          <w:szCs w:val="18"/>
        </w:rPr>
        <w:t>20</w:t>
      </w:r>
      <w:r w:rsidRPr="006937F0">
        <w:rPr>
          <w:i/>
          <w:sz w:val="18"/>
          <w:szCs w:val="18"/>
        </w:rPr>
        <w:t>.-20</w:t>
      </w:r>
      <w:r w:rsidR="006937F0" w:rsidRPr="006937F0">
        <w:rPr>
          <w:i/>
          <w:sz w:val="18"/>
          <w:szCs w:val="18"/>
        </w:rPr>
        <w:t>22</w:t>
      </w:r>
      <w:r w:rsidRPr="006937F0">
        <w:rPr>
          <w:i/>
          <w:sz w:val="18"/>
          <w:szCs w:val="18"/>
        </w:rPr>
        <w:t xml:space="preserve">.gadam, CSP datubāze, </w:t>
      </w:r>
      <w:r w:rsidR="00D675EC">
        <w:rPr>
          <w:i/>
          <w:sz w:val="18"/>
          <w:szCs w:val="18"/>
        </w:rPr>
        <w:t>d</w:t>
      </w:r>
      <w:r w:rsidR="00D675EC" w:rsidRPr="00D03C31">
        <w:rPr>
          <w:i/>
          <w:sz w:val="18"/>
          <w:szCs w:val="18"/>
        </w:rPr>
        <w:t>ati par 2020.gadu izgūti 2021.gada jūlija mēnesī (2</w:t>
      </w:r>
      <w:r w:rsidR="00D675EC">
        <w:rPr>
          <w:i/>
          <w:sz w:val="18"/>
          <w:szCs w:val="18"/>
        </w:rPr>
        <w:t>7</w:t>
      </w:r>
      <w:r w:rsidR="00D675EC" w:rsidRPr="00D03C31">
        <w:rPr>
          <w:i/>
          <w:sz w:val="18"/>
          <w:szCs w:val="18"/>
        </w:rPr>
        <w:t>.0</w:t>
      </w:r>
      <w:r w:rsidR="00D675EC">
        <w:rPr>
          <w:i/>
          <w:sz w:val="18"/>
          <w:szCs w:val="18"/>
        </w:rPr>
        <w:t>7</w:t>
      </w:r>
      <w:r w:rsidR="00D675EC" w:rsidRPr="00D03C31">
        <w:rPr>
          <w:i/>
          <w:sz w:val="18"/>
          <w:szCs w:val="18"/>
        </w:rPr>
        <w:t>.202</w:t>
      </w:r>
      <w:r w:rsidR="00D675EC">
        <w:rPr>
          <w:i/>
          <w:sz w:val="18"/>
          <w:szCs w:val="18"/>
        </w:rPr>
        <w:t>1</w:t>
      </w:r>
      <w:r w:rsidR="00D675EC" w:rsidRPr="00D03C31">
        <w:rPr>
          <w:i/>
          <w:sz w:val="18"/>
          <w:szCs w:val="18"/>
        </w:rPr>
        <w:t>.)</w:t>
      </w:r>
    </w:p>
    <w:p w14:paraId="2B68E430" w14:textId="7C096DE2" w:rsidR="00F4297F" w:rsidRDefault="00F4297F" w:rsidP="00F4297F">
      <w:pPr>
        <w:pStyle w:val="ListParagraph"/>
        <w:ind w:left="0" w:right="108"/>
        <w:rPr>
          <w:i/>
          <w:sz w:val="18"/>
          <w:szCs w:val="18"/>
        </w:rPr>
      </w:pPr>
      <w:r w:rsidRPr="006237FB">
        <w:rPr>
          <w:i/>
          <w:sz w:val="18"/>
          <w:szCs w:val="18"/>
        </w:rPr>
        <w:t xml:space="preserve">* </w:t>
      </w:r>
      <w:r w:rsidR="006237FB" w:rsidRPr="006237FB">
        <w:rPr>
          <w:i/>
          <w:sz w:val="18"/>
          <w:szCs w:val="18"/>
        </w:rPr>
        <w:t>LIAA</w:t>
      </w:r>
      <w:r w:rsidRPr="006237FB">
        <w:rPr>
          <w:i/>
          <w:sz w:val="18"/>
          <w:szCs w:val="18"/>
        </w:rPr>
        <w:t xml:space="preserve"> dati par </w:t>
      </w:r>
      <w:r w:rsidR="006237FB" w:rsidRPr="006237FB">
        <w:rPr>
          <w:i/>
          <w:sz w:val="18"/>
          <w:szCs w:val="18"/>
        </w:rPr>
        <w:t>20</w:t>
      </w:r>
      <w:r w:rsidR="006237FB">
        <w:rPr>
          <w:i/>
          <w:sz w:val="18"/>
          <w:szCs w:val="18"/>
        </w:rPr>
        <w:t>20</w:t>
      </w:r>
      <w:r w:rsidRPr="006237FB">
        <w:rPr>
          <w:i/>
          <w:sz w:val="18"/>
          <w:szCs w:val="18"/>
        </w:rPr>
        <w:t xml:space="preserve">.gadu </w:t>
      </w:r>
    </w:p>
    <w:p w14:paraId="4E699DAF" w14:textId="1A331402" w:rsidR="006237FB" w:rsidRPr="006237FB" w:rsidRDefault="006237FB" w:rsidP="00F4297F">
      <w:pPr>
        <w:pStyle w:val="ListParagraph"/>
        <w:ind w:left="0" w:right="108"/>
        <w:rPr>
          <w:i/>
          <w:sz w:val="18"/>
          <w:szCs w:val="18"/>
        </w:rPr>
      </w:pPr>
      <w:r>
        <w:rPr>
          <w:i/>
          <w:sz w:val="18"/>
          <w:szCs w:val="18"/>
        </w:rPr>
        <w:t xml:space="preserve">** </w:t>
      </w:r>
      <w:r w:rsidRPr="006937F0">
        <w:rPr>
          <w:i/>
          <w:sz w:val="18"/>
          <w:szCs w:val="18"/>
        </w:rPr>
        <w:t>EM aprēķini</w:t>
      </w:r>
      <w:r>
        <w:rPr>
          <w:i/>
          <w:sz w:val="18"/>
          <w:szCs w:val="18"/>
        </w:rPr>
        <w:t>,</w:t>
      </w:r>
    </w:p>
    <w:p w14:paraId="1D61F01E" w14:textId="77777777" w:rsidR="00E20E51" w:rsidRPr="00F5511B" w:rsidRDefault="00E20E51" w:rsidP="0007454F">
      <w:pPr>
        <w:pStyle w:val="ListParagraph"/>
        <w:ind w:left="0" w:right="108"/>
        <w:rPr>
          <w:i/>
          <w:sz w:val="18"/>
          <w:szCs w:val="18"/>
          <w:highlight w:val="yellow"/>
        </w:rPr>
      </w:pPr>
    </w:p>
    <w:p w14:paraId="262FF087" w14:textId="77777777" w:rsidR="00FD3CA4" w:rsidRPr="00F5511B" w:rsidRDefault="00FD3CA4" w:rsidP="0007454F">
      <w:pPr>
        <w:pStyle w:val="ListParagraph"/>
        <w:ind w:left="0" w:right="108"/>
        <w:rPr>
          <w:i/>
          <w:sz w:val="18"/>
          <w:szCs w:val="18"/>
          <w:highlight w:val="yellow"/>
        </w:rPr>
      </w:pPr>
    </w:p>
    <w:p w14:paraId="182B250A" w14:textId="77777777" w:rsidR="00B91024" w:rsidRPr="00F5511B" w:rsidRDefault="00B91024">
      <w:pPr>
        <w:spacing w:after="0" w:line="240" w:lineRule="auto"/>
        <w:rPr>
          <w:i/>
          <w:sz w:val="18"/>
          <w:szCs w:val="18"/>
          <w:highlight w:val="yellow"/>
        </w:rPr>
      </w:pPr>
      <w:r w:rsidRPr="00F5511B">
        <w:rPr>
          <w:i/>
          <w:sz w:val="18"/>
          <w:szCs w:val="18"/>
          <w:highlight w:val="yellow"/>
        </w:rPr>
        <w:br w:type="page"/>
      </w:r>
    </w:p>
    <w:p w14:paraId="4A38BABD" w14:textId="77777777" w:rsidR="004E08D7" w:rsidRPr="00F5511B" w:rsidRDefault="004E08D7">
      <w:pPr>
        <w:spacing w:after="0" w:line="240" w:lineRule="auto"/>
        <w:rPr>
          <w:rFonts w:eastAsia="Times New Roman" w:cs="Times New Roman"/>
          <w:i/>
          <w:sz w:val="18"/>
          <w:szCs w:val="18"/>
          <w:highlight w:val="yellow"/>
          <w:lang w:eastAsia="lv-LV"/>
        </w:rPr>
      </w:pPr>
    </w:p>
    <w:p w14:paraId="7D60B0C9" w14:textId="630FD272" w:rsidR="002E28A3" w:rsidRPr="00A177E7" w:rsidRDefault="00810CC0" w:rsidP="00BE6C4B">
      <w:pPr>
        <w:pStyle w:val="Heading1"/>
        <w:numPr>
          <w:ilvl w:val="0"/>
          <w:numId w:val="9"/>
        </w:numPr>
        <w:spacing w:after="60"/>
        <w:ind w:left="714" w:hanging="357"/>
      </w:pPr>
      <w:bookmarkStart w:id="109" w:name="_Pielikums._EM_darbības_2"/>
      <w:bookmarkStart w:id="110" w:name="_Toc520374385"/>
      <w:bookmarkStart w:id="111" w:name="_Toc78874622"/>
      <w:bookmarkEnd w:id="109"/>
      <w:r w:rsidRPr="007B2825">
        <w:rPr>
          <w:b w:val="0"/>
        </w:rPr>
        <w:t>P</w:t>
      </w:r>
      <w:r w:rsidR="002E28A3" w:rsidRPr="007B2825">
        <w:rPr>
          <w:b w:val="0"/>
        </w:rPr>
        <w:t>ielikums</w:t>
      </w:r>
      <w:r w:rsidR="002E28A3" w:rsidRPr="007B2825">
        <w:t>. EM darbības virziena “</w:t>
      </w:r>
      <w:r w:rsidR="00B91024" w:rsidRPr="007B2825">
        <w:rPr>
          <w:rFonts w:eastAsia="Franklin Gothic Book"/>
        </w:rPr>
        <w:t>Cilvēkkapitāla attīstība</w:t>
      </w:r>
      <w:r w:rsidR="002E28A3" w:rsidRPr="007B2825">
        <w:t>” rezultatīvo rādītāju dinamika</w:t>
      </w:r>
      <w:bookmarkEnd w:id="110"/>
      <w:bookmarkEnd w:id="111"/>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01"/>
        <w:gridCol w:w="4137"/>
        <w:gridCol w:w="1423"/>
        <w:gridCol w:w="1357"/>
        <w:gridCol w:w="1360"/>
        <w:gridCol w:w="1360"/>
        <w:gridCol w:w="1365"/>
      </w:tblGrid>
      <w:tr w:rsidR="0072740C" w:rsidRPr="00F5511B" w14:paraId="2A41D610" w14:textId="77777777" w:rsidTr="004E2E46">
        <w:trPr>
          <w:trHeight w:val="397"/>
          <w:jc w:val="center"/>
        </w:trPr>
        <w:tc>
          <w:tcPr>
            <w:tcW w:w="1181" w:type="pct"/>
            <w:vMerge w:val="restart"/>
            <w:shd w:val="clear" w:color="auto" w:fill="FFFFFF" w:themeFill="background1"/>
            <w:vAlign w:val="center"/>
          </w:tcPr>
          <w:p w14:paraId="016AFDD8" w14:textId="77777777" w:rsidR="00562BBE" w:rsidRPr="007B2825" w:rsidRDefault="00562BBE" w:rsidP="006158BA">
            <w:pPr>
              <w:pStyle w:val="naislab"/>
              <w:spacing w:before="0" w:after="0"/>
              <w:jc w:val="center"/>
              <w:rPr>
                <w:sz w:val="24"/>
              </w:rPr>
            </w:pPr>
            <w:r w:rsidRPr="007B2825">
              <w:rPr>
                <w:b/>
                <w:sz w:val="24"/>
              </w:rPr>
              <w:t>Rezultāts</w:t>
            </w:r>
          </w:p>
        </w:tc>
        <w:tc>
          <w:tcPr>
            <w:tcW w:w="1436" w:type="pct"/>
            <w:vMerge w:val="restart"/>
            <w:shd w:val="clear" w:color="auto" w:fill="FFFFFF" w:themeFill="background1"/>
            <w:vAlign w:val="center"/>
          </w:tcPr>
          <w:p w14:paraId="0098ED76" w14:textId="77777777" w:rsidR="00562BBE" w:rsidRPr="007B2825" w:rsidRDefault="00562BBE" w:rsidP="006158BA">
            <w:pPr>
              <w:pStyle w:val="naislab"/>
              <w:spacing w:before="0"/>
              <w:jc w:val="center"/>
              <w:rPr>
                <w:sz w:val="24"/>
              </w:rPr>
            </w:pPr>
            <w:r w:rsidRPr="007B2825">
              <w:rPr>
                <w:b/>
                <w:sz w:val="24"/>
              </w:rPr>
              <w:t>Rezultatīvais rādītājs</w:t>
            </w:r>
          </w:p>
        </w:tc>
        <w:tc>
          <w:tcPr>
            <w:tcW w:w="2383" w:type="pct"/>
            <w:gridSpan w:val="5"/>
            <w:shd w:val="clear" w:color="auto" w:fill="FFFFFF" w:themeFill="background1"/>
            <w:vAlign w:val="center"/>
          </w:tcPr>
          <w:p w14:paraId="05DA7EDF" w14:textId="1892FC9A" w:rsidR="00562BBE" w:rsidRPr="00F5511B" w:rsidRDefault="00562BBE" w:rsidP="00044E18">
            <w:pPr>
              <w:pStyle w:val="naislab"/>
              <w:spacing w:before="0" w:after="0"/>
              <w:jc w:val="center"/>
              <w:rPr>
                <w:sz w:val="24"/>
                <w:highlight w:val="yellow"/>
              </w:rPr>
            </w:pPr>
            <w:r w:rsidRPr="007B2825">
              <w:rPr>
                <w:b/>
                <w:sz w:val="24"/>
              </w:rPr>
              <w:t>Rezultatīvā rādītāja skaitliskās vērtības</w:t>
            </w:r>
          </w:p>
        </w:tc>
      </w:tr>
      <w:tr w:rsidR="004E2E46" w:rsidRPr="00F5511B" w14:paraId="4994BBA7" w14:textId="77777777" w:rsidTr="004E2E46">
        <w:trPr>
          <w:trHeight w:val="20"/>
          <w:jc w:val="center"/>
        </w:trPr>
        <w:tc>
          <w:tcPr>
            <w:tcW w:w="1181" w:type="pct"/>
            <w:vMerge/>
            <w:shd w:val="clear" w:color="auto" w:fill="00859B"/>
          </w:tcPr>
          <w:p w14:paraId="3ABDF2FC" w14:textId="77777777" w:rsidR="00562BBE" w:rsidRPr="00F5511B" w:rsidRDefault="00562BBE" w:rsidP="00A065A3">
            <w:pPr>
              <w:pStyle w:val="naislab"/>
              <w:spacing w:before="0" w:after="0"/>
              <w:jc w:val="left"/>
              <w:rPr>
                <w:sz w:val="24"/>
                <w:highlight w:val="yellow"/>
              </w:rPr>
            </w:pPr>
          </w:p>
        </w:tc>
        <w:tc>
          <w:tcPr>
            <w:tcW w:w="1436" w:type="pct"/>
            <w:vMerge/>
            <w:shd w:val="clear" w:color="auto" w:fill="00859B"/>
          </w:tcPr>
          <w:p w14:paraId="241F7FBF" w14:textId="77777777" w:rsidR="00562BBE" w:rsidRPr="00F5511B" w:rsidRDefault="00562BBE" w:rsidP="00A065A3">
            <w:pPr>
              <w:pStyle w:val="naislab"/>
              <w:spacing w:before="0"/>
              <w:jc w:val="left"/>
              <w:rPr>
                <w:sz w:val="24"/>
                <w:highlight w:val="yellow"/>
              </w:rPr>
            </w:pPr>
          </w:p>
        </w:tc>
        <w:tc>
          <w:tcPr>
            <w:tcW w:w="494" w:type="pct"/>
            <w:shd w:val="clear" w:color="auto" w:fill="DAEEF3" w:themeFill="accent5" w:themeFillTint="33"/>
            <w:vAlign w:val="center"/>
          </w:tcPr>
          <w:p w14:paraId="458A16F1" w14:textId="1D8E50AC" w:rsidR="00562BBE" w:rsidRPr="007B2825" w:rsidRDefault="00893E72" w:rsidP="00044E18">
            <w:pPr>
              <w:pStyle w:val="naislab"/>
              <w:spacing w:before="0" w:after="0"/>
              <w:jc w:val="center"/>
              <w:rPr>
                <w:b/>
                <w:sz w:val="24"/>
              </w:rPr>
            </w:pPr>
            <w:r w:rsidRPr="007B2825">
              <w:rPr>
                <w:b/>
                <w:sz w:val="24"/>
              </w:rPr>
              <w:t>201</w:t>
            </w:r>
            <w:r>
              <w:rPr>
                <w:b/>
                <w:sz w:val="24"/>
              </w:rPr>
              <w:t>9</w:t>
            </w:r>
            <w:r w:rsidR="00562BBE" w:rsidRPr="007B2825">
              <w:rPr>
                <w:b/>
                <w:sz w:val="24"/>
              </w:rPr>
              <w:t>.</w:t>
            </w:r>
          </w:p>
          <w:p w14:paraId="5D9EF4F0" w14:textId="77777777" w:rsidR="00562BBE" w:rsidRPr="007B2825" w:rsidRDefault="00562BBE" w:rsidP="00044E18">
            <w:pPr>
              <w:pStyle w:val="naislab"/>
              <w:spacing w:before="0" w:after="0"/>
              <w:jc w:val="center"/>
              <w:rPr>
                <w:sz w:val="24"/>
              </w:rPr>
            </w:pPr>
            <w:r w:rsidRPr="007B2825">
              <w:rPr>
                <w:b/>
                <w:sz w:val="24"/>
              </w:rPr>
              <w:t>(fakts)</w:t>
            </w:r>
          </w:p>
        </w:tc>
        <w:tc>
          <w:tcPr>
            <w:tcW w:w="471" w:type="pct"/>
            <w:shd w:val="clear" w:color="auto" w:fill="FFFFFF"/>
            <w:vAlign w:val="center"/>
          </w:tcPr>
          <w:p w14:paraId="36278FC7" w14:textId="279A69C0" w:rsidR="00562BBE" w:rsidRPr="007B2825" w:rsidRDefault="00893E72" w:rsidP="00044E18">
            <w:pPr>
              <w:pStyle w:val="naislab"/>
              <w:spacing w:before="0" w:after="0"/>
              <w:jc w:val="center"/>
              <w:rPr>
                <w:b/>
                <w:sz w:val="24"/>
              </w:rPr>
            </w:pPr>
            <w:r w:rsidRPr="007B2825">
              <w:rPr>
                <w:b/>
                <w:sz w:val="24"/>
              </w:rPr>
              <w:t>20</w:t>
            </w:r>
            <w:r>
              <w:rPr>
                <w:b/>
                <w:sz w:val="24"/>
              </w:rPr>
              <w:t>20</w:t>
            </w:r>
            <w:r w:rsidR="00562BBE" w:rsidRPr="007B2825">
              <w:rPr>
                <w:b/>
                <w:sz w:val="24"/>
              </w:rPr>
              <w:t>.</w:t>
            </w:r>
          </w:p>
          <w:p w14:paraId="26C3910C" w14:textId="77777777" w:rsidR="00562BBE" w:rsidRPr="007B2825" w:rsidRDefault="00562BBE" w:rsidP="00044E18">
            <w:pPr>
              <w:pStyle w:val="naislab"/>
              <w:spacing w:before="0" w:after="0"/>
              <w:jc w:val="center"/>
              <w:rPr>
                <w:b/>
                <w:sz w:val="24"/>
              </w:rPr>
            </w:pPr>
            <w:r w:rsidRPr="007B2825">
              <w:rPr>
                <w:b/>
                <w:sz w:val="24"/>
              </w:rPr>
              <w:t>(plāns)</w:t>
            </w:r>
          </w:p>
        </w:tc>
        <w:tc>
          <w:tcPr>
            <w:tcW w:w="472" w:type="pct"/>
            <w:shd w:val="clear" w:color="auto" w:fill="DAEEF3" w:themeFill="accent5" w:themeFillTint="33"/>
            <w:vAlign w:val="center"/>
          </w:tcPr>
          <w:p w14:paraId="37A04556" w14:textId="14D46F95" w:rsidR="00562BBE" w:rsidRPr="007B2825" w:rsidRDefault="00893E72" w:rsidP="00044E18">
            <w:pPr>
              <w:pStyle w:val="naislab"/>
              <w:spacing w:before="0" w:after="0"/>
              <w:jc w:val="center"/>
              <w:rPr>
                <w:b/>
                <w:sz w:val="24"/>
              </w:rPr>
            </w:pPr>
            <w:r w:rsidRPr="007B2825">
              <w:rPr>
                <w:b/>
                <w:sz w:val="24"/>
              </w:rPr>
              <w:t>20</w:t>
            </w:r>
            <w:r>
              <w:rPr>
                <w:b/>
                <w:sz w:val="24"/>
              </w:rPr>
              <w:t>20</w:t>
            </w:r>
            <w:r w:rsidR="00562BBE" w:rsidRPr="007B2825">
              <w:rPr>
                <w:b/>
                <w:sz w:val="24"/>
              </w:rPr>
              <w:t>.</w:t>
            </w:r>
          </w:p>
          <w:p w14:paraId="1A90D521" w14:textId="77777777" w:rsidR="00562BBE" w:rsidRPr="007B2825" w:rsidRDefault="00562BBE" w:rsidP="00044E18">
            <w:pPr>
              <w:pStyle w:val="naislab"/>
              <w:spacing w:before="0" w:after="0"/>
              <w:jc w:val="center"/>
              <w:rPr>
                <w:sz w:val="24"/>
              </w:rPr>
            </w:pPr>
            <w:r w:rsidRPr="007B2825">
              <w:rPr>
                <w:b/>
                <w:sz w:val="24"/>
              </w:rPr>
              <w:t>(fakts)</w:t>
            </w:r>
          </w:p>
        </w:tc>
        <w:tc>
          <w:tcPr>
            <w:tcW w:w="472" w:type="pct"/>
            <w:shd w:val="clear" w:color="auto" w:fill="FFFFFF"/>
            <w:vAlign w:val="center"/>
          </w:tcPr>
          <w:p w14:paraId="4231BE16" w14:textId="2D6D5653" w:rsidR="00562BBE" w:rsidRPr="007B2825" w:rsidRDefault="00562BBE" w:rsidP="00562BBE">
            <w:pPr>
              <w:pStyle w:val="naislab"/>
              <w:spacing w:before="0" w:after="0"/>
              <w:jc w:val="center"/>
              <w:rPr>
                <w:sz w:val="24"/>
              </w:rPr>
            </w:pPr>
            <w:r w:rsidRPr="007B2825">
              <w:rPr>
                <w:b/>
                <w:sz w:val="24"/>
              </w:rPr>
              <w:t>202</w:t>
            </w:r>
            <w:r>
              <w:rPr>
                <w:b/>
                <w:sz w:val="24"/>
              </w:rPr>
              <w:t>1</w:t>
            </w:r>
            <w:r w:rsidRPr="007B2825">
              <w:rPr>
                <w:b/>
                <w:sz w:val="24"/>
              </w:rPr>
              <w:t>.</w:t>
            </w:r>
          </w:p>
        </w:tc>
        <w:tc>
          <w:tcPr>
            <w:tcW w:w="473" w:type="pct"/>
            <w:shd w:val="clear" w:color="auto" w:fill="auto"/>
            <w:vAlign w:val="center"/>
          </w:tcPr>
          <w:p w14:paraId="47A61587" w14:textId="3DD78341" w:rsidR="00562BBE" w:rsidRPr="007B2825" w:rsidRDefault="00562BBE" w:rsidP="00562BBE">
            <w:pPr>
              <w:pStyle w:val="naislab"/>
              <w:spacing w:before="0" w:after="0"/>
              <w:jc w:val="center"/>
              <w:rPr>
                <w:sz w:val="24"/>
              </w:rPr>
            </w:pPr>
            <w:r w:rsidRPr="007B2825">
              <w:rPr>
                <w:b/>
                <w:sz w:val="24"/>
              </w:rPr>
              <w:t>202</w:t>
            </w:r>
            <w:r>
              <w:rPr>
                <w:b/>
                <w:sz w:val="24"/>
              </w:rPr>
              <w:t>2</w:t>
            </w:r>
            <w:r w:rsidRPr="007B2825">
              <w:rPr>
                <w:b/>
                <w:sz w:val="24"/>
              </w:rPr>
              <w:t>.</w:t>
            </w:r>
          </w:p>
        </w:tc>
      </w:tr>
      <w:tr w:rsidR="004E2E46" w:rsidRPr="00F5511B" w14:paraId="3BB1FAF7" w14:textId="77777777" w:rsidTr="004E2E46">
        <w:trPr>
          <w:trHeight w:val="20"/>
          <w:jc w:val="center"/>
        </w:trPr>
        <w:tc>
          <w:tcPr>
            <w:tcW w:w="1181" w:type="pct"/>
            <w:shd w:val="clear" w:color="auto" w:fill="FFFFFF"/>
          </w:tcPr>
          <w:p w14:paraId="69EFC6D0" w14:textId="77777777" w:rsidR="00562BBE" w:rsidRPr="006937F0" w:rsidRDefault="00562BBE" w:rsidP="00A065A3">
            <w:pPr>
              <w:pStyle w:val="naislab"/>
              <w:spacing w:before="0" w:after="0"/>
              <w:jc w:val="left"/>
              <w:rPr>
                <w:sz w:val="24"/>
              </w:rPr>
            </w:pPr>
            <w:r w:rsidRPr="006937F0">
              <w:rPr>
                <w:sz w:val="24"/>
              </w:rPr>
              <w:t>4.1. Tiks veicināta iekļaujoša izaugsme, palielinot iedzīvotāju iesaisti darba tirgū</w:t>
            </w:r>
          </w:p>
        </w:tc>
        <w:tc>
          <w:tcPr>
            <w:tcW w:w="1436" w:type="pct"/>
            <w:shd w:val="clear" w:color="auto" w:fill="FFFFFF"/>
          </w:tcPr>
          <w:p w14:paraId="2EAB0EE7" w14:textId="77777777" w:rsidR="00562BBE" w:rsidRPr="007B2825" w:rsidRDefault="00562BBE" w:rsidP="00A065A3">
            <w:pPr>
              <w:pStyle w:val="naislab"/>
              <w:spacing w:before="0"/>
              <w:jc w:val="left"/>
              <w:rPr>
                <w:sz w:val="24"/>
                <w:highlight w:val="yellow"/>
              </w:rPr>
            </w:pPr>
            <w:r w:rsidRPr="007B2825">
              <w:rPr>
                <w:sz w:val="24"/>
              </w:rPr>
              <w:t>4.1.1.Nodarbinātības līmenis (15-74) (%)</w:t>
            </w:r>
          </w:p>
        </w:tc>
        <w:tc>
          <w:tcPr>
            <w:tcW w:w="494" w:type="pct"/>
            <w:shd w:val="clear" w:color="auto" w:fill="DAEEF3" w:themeFill="accent5" w:themeFillTint="33"/>
            <w:vAlign w:val="center"/>
          </w:tcPr>
          <w:p w14:paraId="49A07EDD" w14:textId="77777777" w:rsidR="00562BBE" w:rsidRDefault="00562BBE" w:rsidP="00A065A3">
            <w:pPr>
              <w:pStyle w:val="naislab"/>
              <w:spacing w:before="0" w:after="0"/>
              <w:jc w:val="center"/>
              <w:rPr>
                <w:sz w:val="24"/>
              </w:rPr>
            </w:pPr>
            <w:r w:rsidRPr="00562BBE">
              <w:rPr>
                <w:sz w:val="24"/>
              </w:rPr>
              <w:t>64,5</w:t>
            </w:r>
          </w:p>
          <w:p w14:paraId="79F86F06" w14:textId="7F157865" w:rsidR="00562BBE" w:rsidRPr="00562BBE" w:rsidRDefault="00562BBE" w:rsidP="00A065A3">
            <w:pPr>
              <w:pStyle w:val="naislab"/>
              <w:spacing w:before="0" w:after="0"/>
              <w:jc w:val="center"/>
              <w:rPr>
                <w:sz w:val="24"/>
              </w:rPr>
            </w:pPr>
            <w:r>
              <w:rPr>
                <w:sz w:val="24"/>
              </w:rPr>
              <w:t>(2018)</w:t>
            </w:r>
          </w:p>
        </w:tc>
        <w:tc>
          <w:tcPr>
            <w:tcW w:w="471" w:type="pct"/>
            <w:shd w:val="clear" w:color="auto" w:fill="FFFFFF"/>
            <w:vAlign w:val="center"/>
          </w:tcPr>
          <w:p w14:paraId="4AC83735" w14:textId="77777777" w:rsidR="00562BBE" w:rsidRPr="00562BBE" w:rsidRDefault="00562BBE" w:rsidP="00A065A3">
            <w:pPr>
              <w:pStyle w:val="naislab"/>
              <w:spacing w:before="0" w:after="0"/>
              <w:jc w:val="center"/>
              <w:rPr>
                <w:sz w:val="24"/>
              </w:rPr>
            </w:pPr>
            <w:r w:rsidRPr="00562BBE">
              <w:rPr>
                <w:sz w:val="24"/>
              </w:rPr>
              <w:t>-</w:t>
            </w:r>
          </w:p>
        </w:tc>
        <w:tc>
          <w:tcPr>
            <w:tcW w:w="472" w:type="pct"/>
            <w:shd w:val="clear" w:color="auto" w:fill="DAEEF3" w:themeFill="accent5" w:themeFillTint="33"/>
            <w:vAlign w:val="center"/>
          </w:tcPr>
          <w:p w14:paraId="7DFADA2C" w14:textId="0739070A" w:rsidR="00562BBE" w:rsidRPr="00562BBE" w:rsidRDefault="00562BBE" w:rsidP="00A065A3">
            <w:pPr>
              <w:pStyle w:val="naislab"/>
              <w:spacing w:before="0" w:after="0"/>
              <w:jc w:val="center"/>
              <w:rPr>
                <w:sz w:val="24"/>
              </w:rPr>
            </w:pPr>
            <w:r w:rsidRPr="00562BBE">
              <w:rPr>
                <w:sz w:val="24"/>
              </w:rPr>
              <w:t>6</w:t>
            </w:r>
            <w:r>
              <w:rPr>
                <w:sz w:val="24"/>
              </w:rPr>
              <w:t>4</w:t>
            </w:r>
            <w:r w:rsidRPr="00562BBE">
              <w:rPr>
                <w:sz w:val="24"/>
              </w:rPr>
              <w:t>,</w:t>
            </w:r>
            <w:r>
              <w:rPr>
                <w:sz w:val="24"/>
              </w:rPr>
              <w:t>2</w:t>
            </w:r>
          </w:p>
        </w:tc>
        <w:tc>
          <w:tcPr>
            <w:tcW w:w="472" w:type="pct"/>
            <w:shd w:val="clear" w:color="auto" w:fill="FFFFFF"/>
            <w:vAlign w:val="center"/>
          </w:tcPr>
          <w:p w14:paraId="1998A891" w14:textId="23942849" w:rsidR="00562BBE" w:rsidRPr="00562BBE" w:rsidRDefault="00562BBE" w:rsidP="007B2825">
            <w:pPr>
              <w:pStyle w:val="naislab"/>
              <w:spacing w:before="0" w:after="0"/>
              <w:jc w:val="center"/>
              <w:rPr>
                <w:sz w:val="24"/>
              </w:rPr>
            </w:pPr>
            <w:r w:rsidRPr="00562BBE">
              <w:rPr>
                <w:sz w:val="24"/>
              </w:rPr>
              <w:t>-</w:t>
            </w:r>
          </w:p>
        </w:tc>
        <w:tc>
          <w:tcPr>
            <w:tcW w:w="473" w:type="pct"/>
            <w:shd w:val="clear" w:color="auto" w:fill="auto"/>
            <w:vAlign w:val="center"/>
          </w:tcPr>
          <w:p w14:paraId="10879028" w14:textId="0B48565B" w:rsidR="00562BBE" w:rsidRPr="00562BBE" w:rsidRDefault="00562BBE" w:rsidP="00A065A3">
            <w:pPr>
              <w:pStyle w:val="naislab"/>
              <w:spacing w:before="0" w:after="0"/>
              <w:jc w:val="center"/>
              <w:rPr>
                <w:sz w:val="24"/>
              </w:rPr>
            </w:pPr>
            <w:r w:rsidRPr="00562BBE">
              <w:rPr>
                <w:sz w:val="24"/>
              </w:rPr>
              <w:t>65,9</w:t>
            </w:r>
          </w:p>
        </w:tc>
      </w:tr>
      <w:tr w:rsidR="004E2E46" w:rsidRPr="00F5511B" w14:paraId="3C8A31B5" w14:textId="77777777" w:rsidTr="004E2E46">
        <w:trPr>
          <w:trHeight w:val="20"/>
          <w:jc w:val="center"/>
        </w:trPr>
        <w:tc>
          <w:tcPr>
            <w:tcW w:w="1181" w:type="pct"/>
            <w:vMerge w:val="restart"/>
            <w:shd w:val="clear" w:color="auto" w:fill="FFFFFF"/>
          </w:tcPr>
          <w:p w14:paraId="35F5A48E" w14:textId="77777777" w:rsidR="00562BBE" w:rsidRPr="00F5511B" w:rsidRDefault="00562BBE" w:rsidP="00A065A3">
            <w:pPr>
              <w:pStyle w:val="naislab"/>
              <w:spacing w:before="0" w:after="0"/>
              <w:jc w:val="left"/>
              <w:rPr>
                <w:sz w:val="24"/>
                <w:highlight w:val="yellow"/>
              </w:rPr>
            </w:pPr>
            <w:r w:rsidRPr="007B2825">
              <w:rPr>
                <w:sz w:val="24"/>
              </w:rPr>
              <w:t>4.2. Palielināts nodarbināto skaits ar profesionālo un augstāko izglītību</w:t>
            </w:r>
          </w:p>
        </w:tc>
        <w:tc>
          <w:tcPr>
            <w:tcW w:w="1436" w:type="pct"/>
            <w:shd w:val="clear" w:color="auto" w:fill="FFFFFF"/>
          </w:tcPr>
          <w:p w14:paraId="2BB6B8B9" w14:textId="77777777" w:rsidR="00562BBE" w:rsidRPr="007B2825" w:rsidRDefault="00562BBE" w:rsidP="00A065A3">
            <w:pPr>
              <w:pStyle w:val="naislab"/>
              <w:spacing w:before="0"/>
              <w:jc w:val="left"/>
              <w:rPr>
                <w:sz w:val="24"/>
              </w:rPr>
            </w:pPr>
            <w:r w:rsidRPr="007B2825">
              <w:rPr>
                <w:sz w:val="24"/>
              </w:rPr>
              <w:t>4.2.1. Nodarbināto skaita īpatsvars ar profesionālo izglītību (%)</w:t>
            </w:r>
          </w:p>
        </w:tc>
        <w:tc>
          <w:tcPr>
            <w:tcW w:w="494" w:type="pct"/>
            <w:shd w:val="clear" w:color="auto" w:fill="DAEEF3" w:themeFill="accent5" w:themeFillTint="33"/>
            <w:vAlign w:val="center"/>
          </w:tcPr>
          <w:p w14:paraId="5974A10F" w14:textId="4AE98B88" w:rsidR="00562BBE" w:rsidRDefault="00893E72" w:rsidP="00A065A3">
            <w:pPr>
              <w:pStyle w:val="naislab"/>
              <w:spacing w:before="0" w:after="0"/>
              <w:jc w:val="center"/>
              <w:rPr>
                <w:sz w:val="24"/>
              </w:rPr>
            </w:pPr>
            <w:r w:rsidRPr="007B2825">
              <w:rPr>
                <w:sz w:val="24"/>
              </w:rPr>
              <w:t>3</w:t>
            </w:r>
            <w:r>
              <w:rPr>
                <w:sz w:val="24"/>
              </w:rPr>
              <w:t>0,7</w:t>
            </w:r>
          </w:p>
          <w:p w14:paraId="2470B7A7" w14:textId="1B37E8C5" w:rsidR="00893E72" w:rsidRPr="007B2825" w:rsidRDefault="00893E72" w:rsidP="00A065A3">
            <w:pPr>
              <w:pStyle w:val="naislab"/>
              <w:spacing w:before="0" w:after="0"/>
              <w:jc w:val="center"/>
              <w:rPr>
                <w:sz w:val="24"/>
              </w:rPr>
            </w:pPr>
            <w:r>
              <w:rPr>
                <w:sz w:val="24"/>
              </w:rPr>
              <w:t>(2018)</w:t>
            </w:r>
          </w:p>
        </w:tc>
        <w:tc>
          <w:tcPr>
            <w:tcW w:w="471" w:type="pct"/>
            <w:shd w:val="clear" w:color="auto" w:fill="FFFFFF"/>
            <w:vAlign w:val="center"/>
          </w:tcPr>
          <w:p w14:paraId="13424BED" w14:textId="2E2559B7" w:rsidR="00562BBE" w:rsidRPr="004E2E46" w:rsidRDefault="004E2E46" w:rsidP="00A065A3">
            <w:pPr>
              <w:pStyle w:val="naislab"/>
              <w:spacing w:before="0" w:after="0"/>
              <w:jc w:val="center"/>
              <w:rPr>
                <w:sz w:val="24"/>
              </w:rPr>
            </w:pPr>
            <w:r w:rsidRPr="004E2E46">
              <w:rPr>
                <w:sz w:val="24"/>
              </w:rPr>
              <w:t>-</w:t>
            </w:r>
          </w:p>
        </w:tc>
        <w:tc>
          <w:tcPr>
            <w:tcW w:w="472" w:type="pct"/>
            <w:shd w:val="clear" w:color="auto" w:fill="DAEEF3" w:themeFill="accent5" w:themeFillTint="33"/>
            <w:vAlign w:val="center"/>
          </w:tcPr>
          <w:p w14:paraId="716776CC" w14:textId="2C909663" w:rsidR="00562BBE" w:rsidRPr="007B2825" w:rsidRDefault="00562BBE" w:rsidP="00A065A3">
            <w:pPr>
              <w:pStyle w:val="naislab"/>
              <w:spacing w:before="0" w:after="0"/>
              <w:jc w:val="center"/>
              <w:rPr>
                <w:sz w:val="24"/>
              </w:rPr>
            </w:pPr>
            <w:r w:rsidRPr="007B2825">
              <w:rPr>
                <w:sz w:val="24"/>
              </w:rPr>
              <w:t>29,</w:t>
            </w:r>
            <w:r>
              <w:rPr>
                <w:sz w:val="24"/>
              </w:rPr>
              <w:t>6</w:t>
            </w:r>
          </w:p>
        </w:tc>
        <w:tc>
          <w:tcPr>
            <w:tcW w:w="472" w:type="pct"/>
            <w:shd w:val="clear" w:color="auto" w:fill="FFFFFF"/>
            <w:vAlign w:val="center"/>
          </w:tcPr>
          <w:p w14:paraId="641B6B09" w14:textId="08BEA1C3" w:rsidR="00562BBE" w:rsidRPr="00F5511B" w:rsidRDefault="00562BBE" w:rsidP="00A065A3">
            <w:pPr>
              <w:pStyle w:val="naislab"/>
              <w:spacing w:before="0" w:after="0"/>
              <w:jc w:val="center"/>
              <w:rPr>
                <w:sz w:val="24"/>
                <w:highlight w:val="yellow"/>
              </w:rPr>
            </w:pPr>
            <w:r w:rsidRPr="00562BBE">
              <w:rPr>
                <w:sz w:val="24"/>
              </w:rPr>
              <w:t>-</w:t>
            </w:r>
          </w:p>
        </w:tc>
        <w:tc>
          <w:tcPr>
            <w:tcW w:w="473" w:type="pct"/>
            <w:shd w:val="clear" w:color="auto" w:fill="auto"/>
            <w:vAlign w:val="center"/>
          </w:tcPr>
          <w:p w14:paraId="0AE634F4" w14:textId="6688E39B" w:rsidR="00562BBE" w:rsidRPr="00F5511B" w:rsidRDefault="00893E72" w:rsidP="00A065A3">
            <w:pPr>
              <w:pStyle w:val="naislab"/>
              <w:spacing w:before="0" w:after="0"/>
              <w:jc w:val="center"/>
              <w:rPr>
                <w:sz w:val="24"/>
                <w:highlight w:val="yellow"/>
              </w:rPr>
            </w:pPr>
            <w:r>
              <w:rPr>
                <w:sz w:val="24"/>
              </w:rPr>
              <w:t>32</w:t>
            </w:r>
          </w:p>
        </w:tc>
      </w:tr>
      <w:tr w:rsidR="004E2E46" w:rsidRPr="00F5511B" w14:paraId="2C3079AB" w14:textId="77777777" w:rsidTr="004E2E46">
        <w:trPr>
          <w:trHeight w:val="20"/>
          <w:jc w:val="center"/>
        </w:trPr>
        <w:tc>
          <w:tcPr>
            <w:tcW w:w="1181" w:type="pct"/>
            <w:vMerge/>
            <w:shd w:val="clear" w:color="auto" w:fill="FFFFFF"/>
          </w:tcPr>
          <w:p w14:paraId="1CA1C805" w14:textId="77777777" w:rsidR="00562BBE" w:rsidRPr="00F5511B" w:rsidRDefault="00562BBE" w:rsidP="00A065A3">
            <w:pPr>
              <w:pStyle w:val="naislab"/>
              <w:spacing w:before="0" w:after="0"/>
              <w:jc w:val="left"/>
              <w:rPr>
                <w:sz w:val="24"/>
                <w:highlight w:val="yellow"/>
              </w:rPr>
            </w:pPr>
          </w:p>
        </w:tc>
        <w:tc>
          <w:tcPr>
            <w:tcW w:w="1436" w:type="pct"/>
            <w:shd w:val="clear" w:color="auto" w:fill="FFFFFF"/>
          </w:tcPr>
          <w:p w14:paraId="05832470" w14:textId="77777777" w:rsidR="00562BBE" w:rsidRPr="001552CD" w:rsidRDefault="00562BBE" w:rsidP="00A065A3">
            <w:pPr>
              <w:pStyle w:val="naislab"/>
              <w:spacing w:before="0"/>
              <w:jc w:val="left"/>
              <w:rPr>
                <w:sz w:val="24"/>
              </w:rPr>
            </w:pPr>
            <w:r w:rsidRPr="001552CD">
              <w:rPr>
                <w:sz w:val="24"/>
              </w:rPr>
              <w:t>4.2.2. Nodarbināto skaita īpatsvars ar augstāko izglītību (%)</w:t>
            </w:r>
          </w:p>
        </w:tc>
        <w:tc>
          <w:tcPr>
            <w:tcW w:w="494" w:type="pct"/>
            <w:shd w:val="clear" w:color="auto" w:fill="DAEEF3" w:themeFill="accent5" w:themeFillTint="33"/>
            <w:vAlign w:val="center"/>
          </w:tcPr>
          <w:p w14:paraId="2E911C5B" w14:textId="77777777" w:rsidR="00562BBE" w:rsidRDefault="00562BBE" w:rsidP="00A065A3">
            <w:pPr>
              <w:pStyle w:val="naislab"/>
              <w:spacing w:before="0" w:after="0"/>
              <w:jc w:val="center"/>
              <w:rPr>
                <w:sz w:val="24"/>
              </w:rPr>
            </w:pPr>
            <w:r w:rsidRPr="001552CD">
              <w:rPr>
                <w:sz w:val="24"/>
              </w:rPr>
              <w:t>37,3</w:t>
            </w:r>
          </w:p>
          <w:p w14:paraId="743E94CD" w14:textId="1C1C7B05" w:rsidR="00893E72" w:rsidRPr="001552CD" w:rsidRDefault="00893E72" w:rsidP="00A065A3">
            <w:pPr>
              <w:pStyle w:val="naislab"/>
              <w:spacing w:before="0" w:after="0"/>
              <w:jc w:val="center"/>
              <w:rPr>
                <w:sz w:val="24"/>
              </w:rPr>
            </w:pPr>
            <w:r>
              <w:rPr>
                <w:sz w:val="24"/>
              </w:rPr>
              <w:t>(2018)</w:t>
            </w:r>
          </w:p>
        </w:tc>
        <w:tc>
          <w:tcPr>
            <w:tcW w:w="471" w:type="pct"/>
            <w:shd w:val="clear" w:color="auto" w:fill="FFFFFF"/>
            <w:vAlign w:val="center"/>
          </w:tcPr>
          <w:p w14:paraId="1FDF66F3" w14:textId="69EF89DC" w:rsidR="00562BBE" w:rsidRPr="004E2E46" w:rsidRDefault="004E2E46" w:rsidP="00A065A3">
            <w:pPr>
              <w:pStyle w:val="naislab"/>
              <w:spacing w:before="0" w:after="0"/>
              <w:jc w:val="center"/>
              <w:rPr>
                <w:sz w:val="24"/>
              </w:rPr>
            </w:pPr>
            <w:r w:rsidRPr="004E2E46">
              <w:rPr>
                <w:sz w:val="24"/>
              </w:rPr>
              <w:t>-</w:t>
            </w:r>
          </w:p>
        </w:tc>
        <w:tc>
          <w:tcPr>
            <w:tcW w:w="472" w:type="pct"/>
            <w:shd w:val="clear" w:color="auto" w:fill="DAEEF3" w:themeFill="accent5" w:themeFillTint="33"/>
            <w:vAlign w:val="center"/>
          </w:tcPr>
          <w:p w14:paraId="587D3019" w14:textId="460C1A0E" w:rsidR="00562BBE" w:rsidRPr="007B2825" w:rsidRDefault="00893E72" w:rsidP="00A065A3">
            <w:pPr>
              <w:pStyle w:val="naislab"/>
              <w:spacing w:before="0" w:after="0"/>
              <w:jc w:val="center"/>
              <w:rPr>
                <w:sz w:val="24"/>
              </w:rPr>
            </w:pPr>
            <w:r>
              <w:rPr>
                <w:sz w:val="24"/>
              </w:rPr>
              <w:t>40,2</w:t>
            </w:r>
          </w:p>
        </w:tc>
        <w:tc>
          <w:tcPr>
            <w:tcW w:w="472" w:type="pct"/>
            <w:shd w:val="clear" w:color="auto" w:fill="auto"/>
            <w:vAlign w:val="center"/>
          </w:tcPr>
          <w:p w14:paraId="1F5C6212" w14:textId="6F705102" w:rsidR="00562BBE" w:rsidRPr="00F5511B" w:rsidRDefault="00893E72" w:rsidP="00A065A3">
            <w:pPr>
              <w:pStyle w:val="naislab"/>
              <w:spacing w:before="0" w:after="0"/>
              <w:jc w:val="center"/>
              <w:rPr>
                <w:sz w:val="24"/>
                <w:highlight w:val="yellow"/>
              </w:rPr>
            </w:pPr>
            <w:r w:rsidRPr="00893E72">
              <w:rPr>
                <w:sz w:val="24"/>
              </w:rPr>
              <w:t>-</w:t>
            </w:r>
          </w:p>
        </w:tc>
        <w:tc>
          <w:tcPr>
            <w:tcW w:w="473" w:type="pct"/>
            <w:shd w:val="clear" w:color="auto" w:fill="auto"/>
            <w:vAlign w:val="center"/>
          </w:tcPr>
          <w:p w14:paraId="362B0A22" w14:textId="0A871367" w:rsidR="00562BBE" w:rsidRPr="00F5511B" w:rsidRDefault="00893E72" w:rsidP="00A065A3">
            <w:pPr>
              <w:pStyle w:val="naislab"/>
              <w:spacing w:before="0" w:after="0"/>
              <w:jc w:val="center"/>
              <w:rPr>
                <w:sz w:val="24"/>
                <w:highlight w:val="yellow"/>
              </w:rPr>
            </w:pPr>
            <w:r>
              <w:rPr>
                <w:sz w:val="24"/>
              </w:rPr>
              <w:t>38</w:t>
            </w:r>
          </w:p>
        </w:tc>
      </w:tr>
      <w:tr w:rsidR="004E2E46" w:rsidRPr="00F5511B" w14:paraId="6FEE7438" w14:textId="77777777" w:rsidTr="004E2E46">
        <w:trPr>
          <w:trHeight w:val="20"/>
          <w:jc w:val="center"/>
        </w:trPr>
        <w:tc>
          <w:tcPr>
            <w:tcW w:w="1181" w:type="pct"/>
            <w:vMerge w:val="restart"/>
            <w:shd w:val="clear" w:color="auto" w:fill="FFFFFF"/>
          </w:tcPr>
          <w:p w14:paraId="5AB85B41" w14:textId="77777777" w:rsidR="00562BBE" w:rsidRPr="00CF08C6" w:rsidRDefault="00562BBE" w:rsidP="00A065A3">
            <w:pPr>
              <w:pStyle w:val="naislab"/>
              <w:spacing w:before="0" w:after="0"/>
              <w:jc w:val="left"/>
              <w:rPr>
                <w:sz w:val="24"/>
                <w:highlight w:val="yellow"/>
              </w:rPr>
            </w:pPr>
            <w:r w:rsidRPr="00CF08C6">
              <w:rPr>
                <w:sz w:val="24"/>
              </w:rPr>
              <w:t>4.3. Paaugstinās iedzīvotāju digitālās prasmes un pieaudzis STEM nozarēs studējošo skaits</w:t>
            </w:r>
          </w:p>
        </w:tc>
        <w:tc>
          <w:tcPr>
            <w:tcW w:w="1436" w:type="pct"/>
            <w:shd w:val="clear" w:color="auto" w:fill="FFFFFF"/>
          </w:tcPr>
          <w:p w14:paraId="6D91A70D" w14:textId="490B6D5C" w:rsidR="00562BBE" w:rsidRPr="00CF08C6" w:rsidRDefault="00562BBE" w:rsidP="00A065A3">
            <w:pPr>
              <w:pStyle w:val="naislab"/>
              <w:spacing w:before="0" w:after="0"/>
              <w:jc w:val="left"/>
              <w:rPr>
                <w:sz w:val="24"/>
              </w:rPr>
            </w:pPr>
            <w:r w:rsidRPr="00CF08C6">
              <w:rPr>
                <w:sz w:val="24"/>
              </w:rPr>
              <w:t>4.3.1. Augstskolās un koledžās studentu skaita īpatsvars izglītības tematiskajās grupās kopējā augstskolu un koledžu studentu skaitā (%, mācību gada sākumā)</w:t>
            </w:r>
          </w:p>
        </w:tc>
        <w:tc>
          <w:tcPr>
            <w:tcW w:w="494" w:type="pct"/>
            <w:shd w:val="clear" w:color="auto" w:fill="DAEEF3" w:themeFill="accent5" w:themeFillTint="33"/>
            <w:vAlign w:val="center"/>
          </w:tcPr>
          <w:p w14:paraId="7B09C52E" w14:textId="087E5F57" w:rsidR="00562BBE" w:rsidRDefault="00562BBE" w:rsidP="00A065A3">
            <w:pPr>
              <w:pStyle w:val="naislab"/>
              <w:spacing w:before="0" w:after="0"/>
              <w:jc w:val="center"/>
              <w:rPr>
                <w:sz w:val="24"/>
              </w:rPr>
            </w:pPr>
            <w:r w:rsidRPr="00E311FA">
              <w:rPr>
                <w:sz w:val="24"/>
              </w:rPr>
              <w:t>24,6</w:t>
            </w:r>
          </w:p>
          <w:p w14:paraId="28496E23" w14:textId="47729F94" w:rsidR="00E311FA" w:rsidRPr="00E311FA" w:rsidRDefault="00E311FA" w:rsidP="00A065A3">
            <w:pPr>
              <w:pStyle w:val="naislab"/>
              <w:spacing w:before="0" w:after="0"/>
              <w:jc w:val="center"/>
              <w:rPr>
                <w:sz w:val="24"/>
              </w:rPr>
            </w:pPr>
            <w:r>
              <w:rPr>
                <w:sz w:val="24"/>
              </w:rPr>
              <w:t>(2018)</w:t>
            </w:r>
          </w:p>
        </w:tc>
        <w:tc>
          <w:tcPr>
            <w:tcW w:w="471" w:type="pct"/>
            <w:shd w:val="clear" w:color="auto" w:fill="FFFFFF"/>
            <w:vAlign w:val="center"/>
          </w:tcPr>
          <w:p w14:paraId="2412F60E" w14:textId="2588A899" w:rsidR="00562BBE" w:rsidRPr="004E2E46" w:rsidRDefault="004E2E46" w:rsidP="00A065A3">
            <w:pPr>
              <w:pStyle w:val="naislab"/>
              <w:spacing w:before="0" w:after="0"/>
              <w:jc w:val="center"/>
              <w:rPr>
                <w:sz w:val="24"/>
              </w:rPr>
            </w:pPr>
            <w:r w:rsidRPr="004E2E46">
              <w:rPr>
                <w:sz w:val="24"/>
              </w:rPr>
              <w:t>-</w:t>
            </w:r>
          </w:p>
        </w:tc>
        <w:tc>
          <w:tcPr>
            <w:tcW w:w="472" w:type="pct"/>
            <w:shd w:val="clear" w:color="auto" w:fill="DAEEF3" w:themeFill="accent5" w:themeFillTint="33"/>
            <w:vAlign w:val="center"/>
          </w:tcPr>
          <w:p w14:paraId="06764730" w14:textId="307971AA" w:rsidR="00562BBE" w:rsidRPr="00E311FA" w:rsidRDefault="00562BBE" w:rsidP="00A065A3">
            <w:pPr>
              <w:pStyle w:val="naislab"/>
              <w:spacing w:before="0" w:after="0"/>
              <w:jc w:val="center"/>
              <w:rPr>
                <w:sz w:val="24"/>
              </w:rPr>
            </w:pPr>
            <w:r w:rsidRPr="00E311FA">
              <w:rPr>
                <w:sz w:val="24"/>
              </w:rPr>
              <w:t>24,</w:t>
            </w:r>
            <w:r w:rsidR="00E311FA" w:rsidRPr="00E311FA">
              <w:rPr>
                <w:sz w:val="24"/>
              </w:rPr>
              <w:t>8</w:t>
            </w:r>
          </w:p>
        </w:tc>
        <w:tc>
          <w:tcPr>
            <w:tcW w:w="472" w:type="pct"/>
            <w:shd w:val="clear" w:color="auto" w:fill="FFFFFF"/>
            <w:vAlign w:val="center"/>
          </w:tcPr>
          <w:p w14:paraId="448A4A2B" w14:textId="62F04859" w:rsidR="00562BBE" w:rsidRPr="00E311FA" w:rsidRDefault="00E311FA" w:rsidP="00A065A3">
            <w:pPr>
              <w:pStyle w:val="naislab"/>
              <w:spacing w:before="0" w:after="0"/>
              <w:jc w:val="center"/>
              <w:rPr>
                <w:sz w:val="24"/>
              </w:rPr>
            </w:pPr>
            <w:r w:rsidRPr="00E311FA">
              <w:rPr>
                <w:sz w:val="24"/>
              </w:rPr>
              <w:t>-</w:t>
            </w:r>
          </w:p>
        </w:tc>
        <w:tc>
          <w:tcPr>
            <w:tcW w:w="473" w:type="pct"/>
            <w:shd w:val="clear" w:color="auto" w:fill="auto"/>
            <w:vAlign w:val="center"/>
          </w:tcPr>
          <w:p w14:paraId="084C3DE0" w14:textId="37146C41" w:rsidR="00562BBE" w:rsidRPr="00F5511B" w:rsidRDefault="00E311FA" w:rsidP="00A065A3">
            <w:pPr>
              <w:pStyle w:val="naislab"/>
              <w:spacing w:before="0" w:after="0"/>
              <w:jc w:val="center"/>
              <w:rPr>
                <w:sz w:val="24"/>
                <w:highlight w:val="yellow"/>
              </w:rPr>
            </w:pPr>
            <w:r>
              <w:rPr>
                <w:sz w:val="24"/>
              </w:rPr>
              <w:t>26</w:t>
            </w:r>
          </w:p>
        </w:tc>
      </w:tr>
      <w:tr w:rsidR="004E2E46" w:rsidRPr="00F5511B" w14:paraId="6DAC4ABC" w14:textId="77777777" w:rsidTr="004E2E46">
        <w:trPr>
          <w:trHeight w:val="20"/>
          <w:jc w:val="center"/>
        </w:trPr>
        <w:tc>
          <w:tcPr>
            <w:tcW w:w="1181" w:type="pct"/>
            <w:vMerge/>
            <w:shd w:val="clear" w:color="auto" w:fill="FFFFFF"/>
          </w:tcPr>
          <w:p w14:paraId="29ED6AE0" w14:textId="77777777" w:rsidR="00562BBE" w:rsidRPr="00F5511B" w:rsidRDefault="00562BBE" w:rsidP="00A065A3">
            <w:pPr>
              <w:pStyle w:val="naislab"/>
              <w:spacing w:before="0" w:after="0"/>
              <w:jc w:val="left"/>
              <w:rPr>
                <w:sz w:val="24"/>
                <w:highlight w:val="yellow"/>
              </w:rPr>
            </w:pPr>
          </w:p>
        </w:tc>
        <w:tc>
          <w:tcPr>
            <w:tcW w:w="1436" w:type="pct"/>
            <w:shd w:val="clear" w:color="auto" w:fill="FFFFFF"/>
          </w:tcPr>
          <w:p w14:paraId="1429E7D2" w14:textId="77777777" w:rsidR="00562BBE" w:rsidRPr="00464A6E" w:rsidRDefault="00562BBE" w:rsidP="00A065A3">
            <w:pPr>
              <w:pStyle w:val="naislab"/>
              <w:spacing w:before="0" w:after="0"/>
              <w:jc w:val="left"/>
              <w:rPr>
                <w:sz w:val="24"/>
                <w:highlight w:val="yellow"/>
              </w:rPr>
            </w:pPr>
            <w:r w:rsidRPr="00464A6E">
              <w:rPr>
                <w:sz w:val="24"/>
              </w:rPr>
              <w:t>4.3.2. 25–64 gadus vecu personu īpatsvars, kurām ir pamata un augstākas digitālās prasmes, (%)</w:t>
            </w:r>
          </w:p>
        </w:tc>
        <w:tc>
          <w:tcPr>
            <w:tcW w:w="494" w:type="pct"/>
            <w:shd w:val="clear" w:color="auto" w:fill="DAEEF3" w:themeFill="accent5" w:themeFillTint="33"/>
            <w:vAlign w:val="center"/>
          </w:tcPr>
          <w:p w14:paraId="27304714" w14:textId="6D6733C8" w:rsidR="00562BBE" w:rsidRPr="00464A6E" w:rsidRDefault="00E311FA" w:rsidP="00A065A3">
            <w:pPr>
              <w:pStyle w:val="naislab"/>
              <w:spacing w:before="0" w:after="0"/>
              <w:jc w:val="center"/>
              <w:rPr>
                <w:sz w:val="24"/>
              </w:rPr>
            </w:pPr>
            <w:r>
              <w:rPr>
                <w:sz w:val="24"/>
              </w:rPr>
              <w:t>45</w:t>
            </w:r>
          </w:p>
        </w:tc>
        <w:tc>
          <w:tcPr>
            <w:tcW w:w="471" w:type="pct"/>
            <w:shd w:val="clear" w:color="auto" w:fill="FFFFFF"/>
            <w:vAlign w:val="center"/>
          </w:tcPr>
          <w:p w14:paraId="02238709" w14:textId="77777777" w:rsidR="00562BBE" w:rsidRPr="004E2E46" w:rsidRDefault="00562BBE" w:rsidP="00A065A3">
            <w:pPr>
              <w:pStyle w:val="naislab"/>
              <w:spacing w:before="0" w:after="0"/>
              <w:jc w:val="center"/>
              <w:rPr>
                <w:sz w:val="24"/>
              </w:rPr>
            </w:pPr>
            <w:r w:rsidRPr="004E2E46">
              <w:rPr>
                <w:sz w:val="24"/>
              </w:rPr>
              <w:t>-</w:t>
            </w:r>
          </w:p>
        </w:tc>
        <w:tc>
          <w:tcPr>
            <w:tcW w:w="472" w:type="pct"/>
            <w:shd w:val="clear" w:color="auto" w:fill="DAEEF3" w:themeFill="accent5" w:themeFillTint="33"/>
            <w:vAlign w:val="center"/>
          </w:tcPr>
          <w:p w14:paraId="280023A9" w14:textId="2B3A8016" w:rsidR="00562BBE" w:rsidRPr="00F5511B" w:rsidRDefault="00562BBE" w:rsidP="00A065A3">
            <w:pPr>
              <w:pStyle w:val="naislab"/>
              <w:spacing w:before="0" w:after="0"/>
              <w:jc w:val="center"/>
              <w:rPr>
                <w:sz w:val="24"/>
                <w:highlight w:val="yellow"/>
              </w:rPr>
            </w:pPr>
            <w:r w:rsidRPr="00464A6E">
              <w:rPr>
                <w:sz w:val="24"/>
              </w:rPr>
              <w:t>45</w:t>
            </w:r>
            <w:r w:rsidR="00E311FA">
              <w:rPr>
                <w:sz w:val="24"/>
              </w:rPr>
              <w:t>*</w:t>
            </w:r>
          </w:p>
        </w:tc>
        <w:tc>
          <w:tcPr>
            <w:tcW w:w="472" w:type="pct"/>
            <w:shd w:val="clear" w:color="auto" w:fill="FFFFFF"/>
            <w:vAlign w:val="center"/>
          </w:tcPr>
          <w:p w14:paraId="3FAC1075" w14:textId="669C7ECD" w:rsidR="00562BBE" w:rsidRPr="00E311FA" w:rsidRDefault="00E311FA" w:rsidP="00A065A3">
            <w:pPr>
              <w:pStyle w:val="naislab"/>
              <w:spacing w:before="0" w:after="0"/>
              <w:jc w:val="center"/>
              <w:rPr>
                <w:sz w:val="24"/>
              </w:rPr>
            </w:pPr>
            <w:r w:rsidRPr="00E311FA">
              <w:rPr>
                <w:sz w:val="24"/>
              </w:rPr>
              <w:t>-</w:t>
            </w:r>
          </w:p>
        </w:tc>
        <w:tc>
          <w:tcPr>
            <w:tcW w:w="473" w:type="pct"/>
            <w:shd w:val="clear" w:color="auto" w:fill="auto"/>
            <w:vAlign w:val="center"/>
          </w:tcPr>
          <w:p w14:paraId="470032DE" w14:textId="1CB97563" w:rsidR="00562BBE" w:rsidRPr="00E311FA" w:rsidRDefault="00E311FA" w:rsidP="00A065A3">
            <w:pPr>
              <w:pStyle w:val="naislab"/>
              <w:spacing w:before="0" w:after="0"/>
              <w:jc w:val="center"/>
              <w:rPr>
                <w:sz w:val="24"/>
              </w:rPr>
            </w:pPr>
            <w:r w:rsidRPr="00E311FA">
              <w:rPr>
                <w:sz w:val="24"/>
              </w:rPr>
              <w:t>49</w:t>
            </w:r>
          </w:p>
        </w:tc>
      </w:tr>
      <w:tr w:rsidR="004E2E46" w:rsidRPr="00F5511B" w14:paraId="751BCBEF" w14:textId="77777777" w:rsidTr="004E2E46">
        <w:trPr>
          <w:trHeight w:val="897"/>
          <w:jc w:val="center"/>
        </w:trPr>
        <w:tc>
          <w:tcPr>
            <w:tcW w:w="1181" w:type="pct"/>
            <w:shd w:val="clear" w:color="auto" w:fill="FFFFFF"/>
          </w:tcPr>
          <w:p w14:paraId="05BBF135" w14:textId="77777777" w:rsidR="00562BBE" w:rsidRPr="00464A6E" w:rsidRDefault="00562BBE" w:rsidP="00A065A3">
            <w:pPr>
              <w:pStyle w:val="naislab"/>
              <w:spacing w:before="0" w:after="0"/>
              <w:jc w:val="left"/>
              <w:rPr>
                <w:sz w:val="24"/>
              </w:rPr>
            </w:pPr>
            <w:r w:rsidRPr="00464A6E">
              <w:rPr>
                <w:sz w:val="24"/>
              </w:rPr>
              <w:t xml:space="preserve">4.4. Mazināts jauniešu skaits, kas nemācās </w:t>
            </w:r>
          </w:p>
        </w:tc>
        <w:tc>
          <w:tcPr>
            <w:tcW w:w="1436" w:type="pct"/>
            <w:shd w:val="clear" w:color="auto" w:fill="FFFFFF"/>
          </w:tcPr>
          <w:p w14:paraId="162128BE" w14:textId="77777777" w:rsidR="00562BBE" w:rsidRPr="00464A6E" w:rsidRDefault="00562BBE" w:rsidP="00A065A3">
            <w:pPr>
              <w:pStyle w:val="naislab"/>
              <w:spacing w:before="0" w:after="0"/>
              <w:jc w:val="left"/>
              <w:rPr>
                <w:sz w:val="24"/>
              </w:rPr>
            </w:pPr>
            <w:r w:rsidRPr="00464A6E">
              <w:rPr>
                <w:sz w:val="24"/>
              </w:rPr>
              <w:t>4.4.1. Vidusskolu beigušo, kas neturpina mācīties, īpatsvars kopējā vidusskolu beigušo skaitā (%)</w:t>
            </w:r>
          </w:p>
        </w:tc>
        <w:tc>
          <w:tcPr>
            <w:tcW w:w="494" w:type="pct"/>
            <w:shd w:val="clear" w:color="auto" w:fill="DAEEF3" w:themeFill="accent5" w:themeFillTint="33"/>
            <w:vAlign w:val="center"/>
          </w:tcPr>
          <w:p w14:paraId="6908B3EB" w14:textId="161EE6D2" w:rsidR="00562BBE" w:rsidRPr="00F5511B" w:rsidRDefault="00E311FA" w:rsidP="00A065A3">
            <w:pPr>
              <w:pStyle w:val="naislab"/>
              <w:spacing w:before="0" w:after="0"/>
              <w:jc w:val="center"/>
              <w:rPr>
                <w:sz w:val="24"/>
                <w:highlight w:val="yellow"/>
              </w:rPr>
            </w:pPr>
            <w:r w:rsidRPr="00E311FA">
              <w:rPr>
                <w:color w:val="000000" w:themeColor="text1"/>
                <w:sz w:val="24"/>
              </w:rPr>
              <w:t>31,7</w:t>
            </w:r>
          </w:p>
        </w:tc>
        <w:tc>
          <w:tcPr>
            <w:tcW w:w="471" w:type="pct"/>
            <w:shd w:val="clear" w:color="auto" w:fill="FFFFFF"/>
            <w:vAlign w:val="center"/>
          </w:tcPr>
          <w:p w14:paraId="0DEB3117" w14:textId="06B8A9BC" w:rsidR="00562BBE" w:rsidRPr="004E2E46" w:rsidRDefault="004E2E46" w:rsidP="00A065A3">
            <w:pPr>
              <w:pStyle w:val="naislab"/>
              <w:spacing w:before="0" w:after="0"/>
              <w:jc w:val="center"/>
              <w:rPr>
                <w:sz w:val="24"/>
              </w:rPr>
            </w:pPr>
            <w:r w:rsidRPr="004E2E46">
              <w:rPr>
                <w:sz w:val="24"/>
              </w:rPr>
              <w:t>-</w:t>
            </w:r>
          </w:p>
        </w:tc>
        <w:tc>
          <w:tcPr>
            <w:tcW w:w="472" w:type="pct"/>
            <w:shd w:val="clear" w:color="auto" w:fill="DAEEF3" w:themeFill="accent5" w:themeFillTint="33"/>
            <w:vAlign w:val="center"/>
          </w:tcPr>
          <w:p w14:paraId="12C6F65B" w14:textId="7C64405A" w:rsidR="00562BBE" w:rsidRPr="00464A6E" w:rsidRDefault="00562BBE" w:rsidP="00464A6E">
            <w:pPr>
              <w:pStyle w:val="naislab"/>
              <w:spacing w:before="0" w:after="0"/>
              <w:jc w:val="center"/>
              <w:rPr>
                <w:color w:val="000000" w:themeColor="text1"/>
                <w:sz w:val="24"/>
              </w:rPr>
            </w:pPr>
            <w:r w:rsidRPr="00464A6E">
              <w:rPr>
                <w:color w:val="000000" w:themeColor="text1"/>
                <w:sz w:val="24"/>
              </w:rPr>
              <w:t>31,</w:t>
            </w:r>
            <w:r w:rsidR="00E311FA">
              <w:rPr>
                <w:color w:val="000000" w:themeColor="text1"/>
                <w:sz w:val="24"/>
              </w:rPr>
              <w:t>3</w:t>
            </w:r>
          </w:p>
        </w:tc>
        <w:tc>
          <w:tcPr>
            <w:tcW w:w="472" w:type="pct"/>
            <w:shd w:val="clear" w:color="auto" w:fill="FFFFFF"/>
            <w:vAlign w:val="center"/>
          </w:tcPr>
          <w:p w14:paraId="0A28E7FA" w14:textId="48520544" w:rsidR="00562BBE" w:rsidRPr="00464A6E" w:rsidRDefault="00E311FA" w:rsidP="00044E18">
            <w:pPr>
              <w:pStyle w:val="naislab"/>
              <w:spacing w:before="0" w:after="0"/>
              <w:jc w:val="center"/>
              <w:rPr>
                <w:sz w:val="24"/>
              </w:rPr>
            </w:pPr>
            <w:r>
              <w:rPr>
                <w:sz w:val="24"/>
              </w:rPr>
              <w:t>-</w:t>
            </w:r>
          </w:p>
        </w:tc>
        <w:tc>
          <w:tcPr>
            <w:tcW w:w="473" w:type="pct"/>
            <w:shd w:val="clear" w:color="auto" w:fill="auto"/>
            <w:vAlign w:val="center"/>
          </w:tcPr>
          <w:p w14:paraId="5E581B4A" w14:textId="7B4D56C7" w:rsidR="00562BBE" w:rsidRPr="00464A6E" w:rsidRDefault="00E311FA" w:rsidP="00464A6E">
            <w:pPr>
              <w:pStyle w:val="naislab"/>
              <w:spacing w:before="0" w:after="0"/>
              <w:jc w:val="center"/>
              <w:rPr>
                <w:sz w:val="24"/>
              </w:rPr>
            </w:pPr>
            <w:r w:rsidRPr="00464A6E">
              <w:rPr>
                <w:sz w:val="24"/>
              </w:rPr>
              <w:t>3</w:t>
            </w:r>
            <w:r>
              <w:rPr>
                <w:sz w:val="24"/>
              </w:rPr>
              <w:t>0</w:t>
            </w:r>
          </w:p>
        </w:tc>
      </w:tr>
      <w:tr w:rsidR="004E2E46" w:rsidRPr="00F5511B" w14:paraId="117A1A05" w14:textId="77777777" w:rsidTr="004E2E46">
        <w:trPr>
          <w:trHeight w:val="642"/>
          <w:jc w:val="center"/>
        </w:trPr>
        <w:tc>
          <w:tcPr>
            <w:tcW w:w="1181" w:type="pct"/>
            <w:shd w:val="clear" w:color="auto" w:fill="FFFFFF"/>
          </w:tcPr>
          <w:p w14:paraId="466B78CC" w14:textId="77777777" w:rsidR="00562BBE" w:rsidRPr="00464A6E" w:rsidRDefault="00562BBE" w:rsidP="00A065A3">
            <w:pPr>
              <w:pStyle w:val="naislab"/>
              <w:spacing w:before="0" w:after="0"/>
              <w:jc w:val="left"/>
              <w:rPr>
                <w:sz w:val="24"/>
              </w:rPr>
            </w:pPr>
            <w:r w:rsidRPr="00464A6E">
              <w:rPr>
                <w:sz w:val="24"/>
              </w:rPr>
              <w:t>4.5. Nodrošināts atbalsts norēķiniem par elekroenerģiju maksimāli lielai aizsargātā lietotāja statusa atbilstīgai lietotāju daļai</w:t>
            </w:r>
          </w:p>
        </w:tc>
        <w:tc>
          <w:tcPr>
            <w:tcW w:w="1436" w:type="pct"/>
            <w:shd w:val="clear" w:color="auto" w:fill="FFFFFF"/>
          </w:tcPr>
          <w:p w14:paraId="24061662" w14:textId="77777777" w:rsidR="00562BBE" w:rsidRPr="00464A6E" w:rsidRDefault="00562BBE" w:rsidP="00A065A3">
            <w:pPr>
              <w:pStyle w:val="naislab"/>
              <w:spacing w:before="0" w:after="0"/>
              <w:jc w:val="left"/>
              <w:rPr>
                <w:sz w:val="24"/>
              </w:rPr>
            </w:pPr>
            <w:r w:rsidRPr="00464A6E">
              <w:rPr>
                <w:sz w:val="24"/>
              </w:rPr>
              <w:t>4.5.1. Elektroenerģijas aizsargāta lietotāja pakalpojuma saņēmēju skaits (%)</w:t>
            </w:r>
          </w:p>
        </w:tc>
        <w:tc>
          <w:tcPr>
            <w:tcW w:w="494" w:type="pct"/>
            <w:shd w:val="clear" w:color="auto" w:fill="DAEEF3" w:themeFill="accent5" w:themeFillTint="33"/>
            <w:vAlign w:val="center"/>
          </w:tcPr>
          <w:p w14:paraId="0DFF393B" w14:textId="07EBE068" w:rsidR="00562BBE" w:rsidRPr="0017491E" w:rsidRDefault="00893E72" w:rsidP="00A065A3">
            <w:pPr>
              <w:pStyle w:val="naislab"/>
              <w:spacing w:before="0" w:after="0"/>
              <w:jc w:val="center"/>
              <w:rPr>
                <w:sz w:val="24"/>
              </w:rPr>
            </w:pPr>
            <w:r w:rsidRPr="00162F66">
              <w:t>≥50</w:t>
            </w:r>
          </w:p>
        </w:tc>
        <w:tc>
          <w:tcPr>
            <w:tcW w:w="471" w:type="pct"/>
            <w:shd w:val="clear" w:color="auto" w:fill="FFFFFF"/>
            <w:vAlign w:val="center"/>
          </w:tcPr>
          <w:p w14:paraId="134341DC" w14:textId="7F0CB22C" w:rsidR="00562BBE" w:rsidRPr="0017491E" w:rsidRDefault="00893E72" w:rsidP="00A065A3">
            <w:pPr>
              <w:pStyle w:val="naislab"/>
              <w:spacing w:before="0" w:after="0"/>
              <w:jc w:val="center"/>
              <w:rPr>
                <w:sz w:val="24"/>
              </w:rPr>
            </w:pPr>
            <w:r w:rsidRPr="00162F66">
              <w:t>≥50</w:t>
            </w:r>
          </w:p>
        </w:tc>
        <w:tc>
          <w:tcPr>
            <w:tcW w:w="472" w:type="pct"/>
            <w:shd w:val="clear" w:color="auto" w:fill="DAEEF3" w:themeFill="accent5" w:themeFillTint="33"/>
            <w:vAlign w:val="center"/>
          </w:tcPr>
          <w:p w14:paraId="16425BF5" w14:textId="77777777" w:rsidR="00562BBE" w:rsidRPr="00464A6E" w:rsidRDefault="00562BBE" w:rsidP="00464A6E">
            <w:pPr>
              <w:pStyle w:val="naislab"/>
              <w:spacing w:before="0" w:after="0"/>
              <w:jc w:val="center"/>
              <w:rPr>
                <w:color w:val="000000" w:themeColor="text1"/>
                <w:sz w:val="24"/>
              </w:rPr>
            </w:pPr>
            <w:r w:rsidRPr="00162F66">
              <w:t>≥50</w:t>
            </w:r>
          </w:p>
        </w:tc>
        <w:tc>
          <w:tcPr>
            <w:tcW w:w="472" w:type="pct"/>
            <w:shd w:val="clear" w:color="auto" w:fill="FFFFFF"/>
            <w:vAlign w:val="center"/>
          </w:tcPr>
          <w:p w14:paraId="5EE81A83" w14:textId="543EE461" w:rsidR="00562BBE" w:rsidRPr="00464A6E" w:rsidRDefault="00562BBE" w:rsidP="00044E18">
            <w:pPr>
              <w:pStyle w:val="naislab"/>
              <w:spacing w:before="0" w:after="0"/>
              <w:jc w:val="center"/>
              <w:rPr>
                <w:sz w:val="24"/>
              </w:rPr>
            </w:pPr>
            <w:r w:rsidRPr="00893E72">
              <w:t>≥95</w:t>
            </w:r>
          </w:p>
        </w:tc>
        <w:tc>
          <w:tcPr>
            <w:tcW w:w="473" w:type="pct"/>
            <w:shd w:val="clear" w:color="auto" w:fill="auto"/>
            <w:vAlign w:val="center"/>
          </w:tcPr>
          <w:p w14:paraId="094E0748" w14:textId="39D77AC1" w:rsidR="00562BBE" w:rsidRPr="00464A6E" w:rsidRDefault="00562BBE" w:rsidP="00464A6E">
            <w:pPr>
              <w:pStyle w:val="naislab"/>
              <w:spacing w:before="0" w:after="0"/>
              <w:jc w:val="center"/>
              <w:rPr>
                <w:sz w:val="24"/>
              </w:rPr>
            </w:pPr>
            <w:r w:rsidRPr="00162F66">
              <w:t>≥</w:t>
            </w:r>
            <w:r w:rsidR="00893E72">
              <w:t>9</w:t>
            </w:r>
            <w:r w:rsidRPr="00162F66">
              <w:t>5</w:t>
            </w:r>
          </w:p>
        </w:tc>
      </w:tr>
    </w:tbl>
    <w:p w14:paraId="1444E286" w14:textId="3C5495A0" w:rsidR="00DB3C71" w:rsidRPr="001552CD" w:rsidRDefault="00DB3C71" w:rsidP="001552CD">
      <w:pPr>
        <w:pStyle w:val="ListParagraph"/>
        <w:spacing w:before="60"/>
        <w:ind w:left="0" w:right="108"/>
        <w:rPr>
          <w:i/>
          <w:sz w:val="18"/>
          <w:szCs w:val="18"/>
        </w:rPr>
      </w:pPr>
      <w:r w:rsidRPr="001552CD">
        <w:rPr>
          <w:i/>
          <w:sz w:val="18"/>
          <w:szCs w:val="18"/>
        </w:rPr>
        <w:t>Avots: EM darbības stratēģija 20</w:t>
      </w:r>
      <w:r w:rsidR="001552CD" w:rsidRPr="001552CD">
        <w:rPr>
          <w:i/>
          <w:sz w:val="18"/>
          <w:szCs w:val="18"/>
        </w:rPr>
        <w:t>20</w:t>
      </w:r>
      <w:r w:rsidRPr="001552CD">
        <w:rPr>
          <w:i/>
          <w:sz w:val="18"/>
          <w:szCs w:val="18"/>
        </w:rPr>
        <w:t>.-20</w:t>
      </w:r>
      <w:r w:rsidR="001552CD" w:rsidRPr="001552CD">
        <w:rPr>
          <w:i/>
          <w:sz w:val="18"/>
          <w:szCs w:val="18"/>
        </w:rPr>
        <w:t>22</w:t>
      </w:r>
      <w:r w:rsidRPr="001552CD">
        <w:rPr>
          <w:i/>
          <w:sz w:val="18"/>
          <w:szCs w:val="18"/>
        </w:rPr>
        <w:t>.gadam, CSP</w:t>
      </w:r>
      <w:r w:rsidR="00893E72">
        <w:rPr>
          <w:i/>
          <w:sz w:val="18"/>
          <w:szCs w:val="18"/>
        </w:rPr>
        <w:t xml:space="preserve"> d</w:t>
      </w:r>
      <w:r w:rsidR="00893E72" w:rsidRPr="00D03C31">
        <w:rPr>
          <w:i/>
          <w:sz w:val="18"/>
          <w:szCs w:val="18"/>
        </w:rPr>
        <w:t>ati par 2020.gadu izgūti 2021.gada jūlija mēnesī (2</w:t>
      </w:r>
      <w:r w:rsidR="00893E72">
        <w:rPr>
          <w:i/>
          <w:sz w:val="18"/>
          <w:szCs w:val="18"/>
        </w:rPr>
        <w:t>7</w:t>
      </w:r>
      <w:r w:rsidR="00893E72" w:rsidRPr="00D03C31">
        <w:rPr>
          <w:i/>
          <w:sz w:val="18"/>
          <w:szCs w:val="18"/>
        </w:rPr>
        <w:t>.0</w:t>
      </w:r>
      <w:r w:rsidR="00893E72">
        <w:rPr>
          <w:i/>
          <w:sz w:val="18"/>
          <w:szCs w:val="18"/>
        </w:rPr>
        <w:t>7</w:t>
      </w:r>
      <w:r w:rsidR="00893E72" w:rsidRPr="00D03C31">
        <w:rPr>
          <w:i/>
          <w:sz w:val="18"/>
          <w:szCs w:val="18"/>
        </w:rPr>
        <w:t>.202</w:t>
      </w:r>
      <w:r w:rsidR="00893E72">
        <w:rPr>
          <w:i/>
          <w:sz w:val="18"/>
          <w:szCs w:val="18"/>
        </w:rPr>
        <w:t>1</w:t>
      </w:r>
      <w:r w:rsidR="00893E72" w:rsidRPr="00D03C31">
        <w:rPr>
          <w:i/>
          <w:sz w:val="18"/>
          <w:szCs w:val="18"/>
        </w:rPr>
        <w:t>.)</w:t>
      </w:r>
    </w:p>
    <w:p w14:paraId="46758D46" w14:textId="7000BB83" w:rsidR="00B91024" w:rsidRPr="0072740C" w:rsidRDefault="00DB3C71" w:rsidP="0072740C">
      <w:pPr>
        <w:pStyle w:val="ListParagraph"/>
        <w:ind w:left="0" w:right="108"/>
        <w:rPr>
          <w:sz w:val="16"/>
          <w:szCs w:val="16"/>
          <w:highlight w:val="yellow"/>
        </w:rPr>
      </w:pPr>
      <w:r w:rsidRPr="0072740C">
        <w:rPr>
          <w:i/>
          <w:sz w:val="18"/>
          <w:szCs w:val="18"/>
        </w:rPr>
        <w:t>*</w:t>
      </w:r>
      <w:r w:rsidR="0072740C" w:rsidRPr="0072740C">
        <w:rPr>
          <w:i/>
          <w:sz w:val="18"/>
          <w:szCs w:val="18"/>
        </w:rPr>
        <w:t xml:space="preserve"> </w:t>
      </w:r>
      <w:r w:rsidR="0072740C" w:rsidRPr="0072740C">
        <w:rPr>
          <w:i/>
          <w:iCs/>
          <w:sz w:val="18"/>
          <w:szCs w:val="18"/>
        </w:rPr>
        <w:t>Eurostat</w:t>
      </w:r>
      <w:r w:rsidR="0072740C" w:rsidRPr="00D564C7">
        <w:rPr>
          <w:i/>
          <w:iCs/>
          <w:sz w:val="18"/>
          <w:szCs w:val="18"/>
        </w:rPr>
        <w:t xml:space="preserve"> dati joprojām ir pieejami par 201</w:t>
      </w:r>
      <w:r w:rsidR="0072740C">
        <w:rPr>
          <w:i/>
          <w:iCs/>
          <w:sz w:val="18"/>
          <w:szCs w:val="18"/>
        </w:rPr>
        <w:t>9</w:t>
      </w:r>
      <w:r w:rsidR="0072740C" w:rsidRPr="00D564C7">
        <w:rPr>
          <w:i/>
          <w:iCs/>
          <w:sz w:val="18"/>
          <w:szCs w:val="18"/>
        </w:rPr>
        <w:t>.g</w:t>
      </w:r>
      <w:r w:rsidR="00D675EC">
        <w:rPr>
          <w:i/>
          <w:iCs/>
          <w:sz w:val="18"/>
          <w:szCs w:val="18"/>
        </w:rPr>
        <w:t>adu</w:t>
      </w:r>
      <w:r w:rsidR="0072740C" w:rsidRPr="00D564C7">
        <w:rPr>
          <w:i/>
          <w:iCs/>
          <w:sz w:val="18"/>
          <w:szCs w:val="18"/>
        </w:rPr>
        <w:t xml:space="preserve"> (datu izgūšanas datums 2</w:t>
      </w:r>
      <w:r w:rsidR="0072740C">
        <w:rPr>
          <w:i/>
          <w:iCs/>
          <w:sz w:val="18"/>
          <w:szCs w:val="18"/>
        </w:rPr>
        <w:t>7</w:t>
      </w:r>
      <w:r w:rsidR="0072740C" w:rsidRPr="00D564C7">
        <w:rPr>
          <w:i/>
          <w:iCs/>
          <w:sz w:val="18"/>
          <w:szCs w:val="18"/>
        </w:rPr>
        <w:t xml:space="preserve">.07.2021.): </w:t>
      </w:r>
      <w:hyperlink r:id="rId157" w:history="1">
        <w:r w:rsidR="0072740C" w:rsidRPr="0072740C">
          <w:rPr>
            <w:rStyle w:val="Hyperlink"/>
            <w:i/>
            <w:iCs/>
            <w:color w:val="00859B"/>
            <w:sz w:val="18"/>
            <w:szCs w:val="18"/>
          </w:rPr>
          <w:t>https://appsso.eurostat.ec.europa.eu/nui/submitViewTableAction.do</w:t>
        </w:r>
      </w:hyperlink>
      <w:r w:rsidR="0072740C">
        <w:rPr>
          <w:i/>
          <w:iCs/>
          <w:sz w:val="18"/>
          <w:szCs w:val="18"/>
        </w:rPr>
        <w:t xml:space="preserve"> </w:t>
      </w:r>
      <w:r w:rsidR="00B91024" w:rsidRPr="00F5511B">
        <w:rPr>
          <w:highlight w:val="yellow"/>
        </w:rPr>
        <w:br w:type="page"/>
      </w:r>
    </w:p>
    <w:p w14:paraId="26B9A3E7" w14:textId="77777777" w:rsidR="00822D23" w:rsidRPr="00F5511B" w:rsidRDefault="00822D23">
      <w:pPr>
        <w:spacing w:after="0" w:line="240" w:lineRule="auto"/>
        <w:rPr>
          <w:rFonts w:eastAsia="Times New Roman" w:cs="Times New Roman"/>
          <w:i/>
          <w:sz w:val="18"/>
          <w:szCs w:val="18"/>
          <w:highlight w:val="yellow"/>
          <w:lang w:eastAsia="lv-LV"/>
        </w:rPr>
      </w:pPr>
    </w:p>
    <w:p w14:paraId="3AD196DB" w14:textId="5DCE31EA" w:rsidR="002E28A3" w:rsidRPr="00A177E7" w:rsidRDefault="00810CC0" w:rsidP="00BE6C4B">
      <w:pPr>
        <w:pStyle w:val="Heading1"/>
        <w:numPr>
          <w:ilvl w:val="0"/>
          <w:numId w:val="9"/>
        </w:numPr>
        <w:spacing w:after="60"/>
        <w:ind w:right="-31"/>
      </w:pPr>
      <w:bookmarkStart w:id="112" w:name="_Pielikums._EM_darbības_3"/>
      <w:bookmarkStart w:id="113" w:name="_Toc520374386"/>
      <w:bookmarkStart w:id="114" w:name="_Toc78874623"/>
      <w:bookmarkEnd w:id="112"/>
      <w:r w:rsidRPr="00A177E7">
        <w:rPr>
          <w:b w:val="0"/>
        </w:rPr>
        <w:t>P</w:t>
      </w:r>
      <w:r w:rsidR="00B91024" w:rsidRPr="00A177E7">
        <w:rPr>
          <w:b w:val="0"/>
        </w:rPr>
        <w:t>ielikums</w:t>
      </w:r>
      <w:r w:rsidR="00B91024" w:rsidRPr="00A177E7">
        <w:t xml:space="preserve">. EM darbības virziena “Inovācijas </w:t>
      </w:r>
      <w:r w:rsidR="00A177E7">
        <w:t xml:space="preserve">un </w:t>
      </w:r>
      <w:r w:rsidR="00A177E7">
        <w:rPr>
          <w:rFonts w:eastAsia="Calibri"/>
          <w:lang w:eastAsia="en-US"/>
        </w:rPr>
        <w:t>digitalizācijas</w:t>
      </w:r>
      <w:r w:rsidR="00B91024" w:rsidRPr="00A177E7">
        <w:t>veicināšana” rezultatīvo rādītāju dinamika</w:t>
      </w:r>
      <w:bookmarkEnd w:id="113"/>
      <w:bookmarkEnd w:id="114"/>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762"/>
        <w:gridCol w:w="3550"/>
        <w:gridCol w:w="1535"/>
        <w:gridCol w:w="1535"/>
        <w:gridCol w:w="1535"/>
        <w:gridCol w:w="1535"/>
        <w:gridCol w:w="1473"/>
      </w:tblGrid>
      <w:tr w:rsidR="001A13F9" w:rsidRPr="00F5511B" w14:paraId="29A7AA5F" w14:textId="77777777" w:rsidTr="001A13F9">
        <w:trPr>
          <w:trHeight w:val="397"/>
          <w:jc w:val="center"/>
        </w:trPr>
        <w:tc>
          <w:tcPr>
            <w:tcW w:w="992" w:type="pct"/>
            <w:vMerge w:val="restart"/>
            <w:shd w:val="clear" w:color="auto" w:fill="FFFFFF" w:themeFill="background1"/>
            <w:vAlign w:val="center"/>
          </w:tcPr>
          <w:p w14:paraId="15952368" w14:textId="77777777" w:rsidR="001A13F9" w:rsidRPr="00A177E7" w:rsidRDefault="001A13F9" w:rsidP="006158BA">
            <w:pPr>
              <w:pStyle w:val="naislab"/>
              <w:spacing w:before="0" w:after="0"/>
              <w:jc w:val="center"/>
              <w:rPr>
                <w:sz w:val="24"/>
              </w:rPr>
            </w:pPr>
            <w:r w:rsidRPr="00A177E7">
              <w:rPr>
                <w:b/>
                <w:sz w:val="24"/>
              </w:rPr>
              <w:t>Rezultāts</w:t>
            </w:r>
          </w:p>
        </w:tc>
        <w:tc>
          <w:tcPr>
            <w:tcW w:w="1275" w:type="pct"/>
            <w:vMerge w:val="restart"/>
            <w:shd w:val="clear" w:color="auto" w:fill="FFFFFF" w:themeFill="background1"/>
            <w:vAlign w:val="center"/>
          </w:tcPr>
          <w:p w14:paraId="157C0A13" w14:textId="77777777" w:rsidR="001A13F9" w:rsidRPr="00A177E7" w:rsidRDefault="001A13F9" w:rsidP="006158BA">
            <w:pPr>
              <w:autoSpaceDE w:val="0"/>
              <w:autoSpaceDN w:val="0"/>
              <w:adjustRightInd w:val="0"/>
              <w:spacing w:after="0" w:line="240" w:lineRule="auto"/>
              <w:jc w:val="center"/>
              <w:rPr>
                <w:szCs w:val="24"/>
              </w:rPr>
            </w:pPr>
            <w:r w:rsidRPr="00A177E7">
              <w:rPr>
                <w:b/>
              </w:rPr>
              <w:t>Rezultatīvais rādītājs</w:t>
            </w:r>
          </w:p>
        </w:tc>
        <w:tc>
          <w:tcPr>
            <w:tcW w:w="2734" w:type="pct"/>
            <w:gridSpan w:val="5"/>
            <w:shd w:val="clear" w:color="auto" w:fill="FFFFFF" w:themeFill="background1"/>
            <w:vAlign w:val="center"/>
          </w:tcPr>
          <w:p w14:paraId="529B44B5" w14:textId="4047A7A7" w:rsidR="001A13F9" w:rsidRPr="00F5511B" w:rsidRDefault="001A13F9" w:rsidP="00305C2F">
            <w:pPr>
              <w:pStyle w:val="naislab"/>
              <w:spacing w:before="0" w:after="0"/>
              <w:jc w:val="center"/>
              <w:rPr>
                <w:sz w:val="24"/>
                <w:highlight w:val="yellow"/>
              </w:rPr>
            </w:pPr>
            <w:r w:rsidRPr="00A177E7">
              <w:rPr>
                <w:b/>
                <w:sz w:val="24"/>
              </w:rPr>
              <w:t>Rezultatīvā rādītāja skaitliskās vērtības</w:t>
            </w:r>
          </w:p>
        </w:tc>
      </w:tr>
      <w:tr w:rsidR="001A13F9" w:rsidRPr="00F5511B" w14:paraId="69ECDE63" w14:textId="77777777" w:rsidTr="00666B07">
        <w:trPr>
          <w:trHeight w:val="20"/>
          <w:jc w:val="center"/>
        </w:trPr>
        <w:tc>
          <w:tcPr>
            <w:tcW w:w="992" w:type="pct"/>
            <w:vMerge/>
            <w:shd w:val="clear" w:color="auto" w:fill="00859B"/>
          </w:tcPr>
          <w:p w14:paraId="203FD774" w14:textId="77777777" w:rsidR="001A13F9" w:rsidRPr="00F5511B" w:rsidRDefault="001A13F9" w:rsidP="009C58E6">
            <w:pPr>
              <w:pStyle w:val="naislab"/>
              <w:spacing w:before="0" w:after="0"/>
              <w:jc w:val="left"/>
              <w:rPr>
                <w:sz w:val="24"/>
                <w:highlight w:val="yellow"/>
              </w:rPr>
            </w:pPr>
          </w:p>
        </w:tc>
        <w:tc>
          <w:tcPr>
            <w:tcW w:w="1275" w:type="pct"/>
            <w:vMerge/>
            <w:shd w:val="clear" w:color="auto" w:fill="00859B"/>
          </w:tcPr>
          <w:p w14:paraId="4C3947EB" w14:textId="77777777" w:rsidR="001A13F9" w:rsidRPr="00F5511B" w:rsidRDefault="001A13F9" w:rsidP="009C58E6">
            <w:pPr>
              <w:autoSpaceDE w:val="0"/>
              <w:autoSpaceDN w:val="0"/>
              <w:adjustRightInd w:val="0"/>
              <w:spacing w:after="0" w:line="240" w:lineRule="auto"/>
              <w:rPr>
                <w:szCs w:val="24"/>
                <w:highlight w:val="yellow"/>
              </w:rPr>
            </w:pPr>
          </w:p>
        </w:tc>
        <w:tc>
          <w:tcPr>
            <w:tcW w:w="551" w:type="pct"/>
            <w:shd w:val="clear" w:color="auto" w:fill="DAEEF3" w:themeFill="accent5" w:themeFillTint="33"/>
            <w:vAlign w:val="center"/>
          </w:tcPr>
          <w:p w14:paraId="0BA14756" w14:textId="5A64BF4F" w:rsidR="001A13F9" w:rsidRPr="00A177E7" w:rsidRDefault="00562BBE" w:rsidP="00044E18">
            <w:pPr>
              <w:pStyle w:val="naislab"/>
              <w:spacing w:before="0" w:after="0"/>
              <w:jc w:val="center"/>
              <w:rPr>
                <w:b/>
                <w:sz w:val="24"/>
              </w:rPr>
            </w:pPr>
            <w:r w:rsidRPr="00A177E7">
              <w:rPr>
                <w:b/>
                <w:sz w:val="24"/>
              </w:rPr>
              <w:t>201</w:t>
            </w:r>
            <w:r>
              <w:rPr>
                <w:b/>
                <w:sz w:val="24"/>
              </w:rPr>
              <w:t>9</w:t>
            </w:r>
            <w:r w:rsidR="001A13F9" w:rsidRPr="00A177E7">
              <w:rPr>
                <w:b/>
                <w:sz w:val="24"/>
              </w:rPr>
              <w:t>.</w:t>
            </w:r>
          </w:p>
          <w:p w14:paraId="453A5774" w14:textId="77777777" w:rsidR="001A13F9" w:rsidRPr="00A177E7" w:rsidRDefault="001A13F9" w:rsidP="00044E18">
            <w:pPr>
              <w:pStyle w:val="naislab"/>
              <w:spacing w:before="0" w:after="0"/>
              <w:jc w:val="center"/>
              <w:rPr>
                <w:b/>
                <w:sz w:val="24"/>
              </w:rPr>
            </w:pPr>
            <w:r w:rsidRPr="00A177E7">
              <w:rPr>
                <w:b/>
                <w:sz w:val="24"/>
              </w:rPr>
              <w:t>(fakts)</w:t>
            </w:r>
          </w:p>
        </w:tc>
        <w:tc>
          <w:tcPr>
            <w:tcW w:w="551" w:type="pct"/>
            <w:shd w:val="clear" w:color="auto" w:fill="auto"/>
          </w:tcPr>
          <w:p w14:paraId="6A39D33B" w14:textId="781169E8" w:rsidR="001A13F9" w:rsidRPr="00A177E7" w:rsidRDefault="00562BBE" w:rsidP="00B01D27">
            <w:pPr>
              <w:pStyle w:val="naislab"/>
              <w:spacing w:before="0" w:after="0"/>
              <w:jc w:val="center"/>
              <w:rPr>
                <w:b/>
                <w:sz w:val="24"/>
              </w:rPr>
            </w:pPr>
            <w:r w:rsidRPr="00A177E7">
              <w:rPr>
                <w:b/>
                <w:sz w:val="24"/>
              </w:rPr>
              <w:t>20</w:t>
            </w:r>
            <w:r>
              <w:rPr>
                <w:b/>
                <w:sz w:val="24"/>
              </w:rPr>
              <w:t>20</w:t>
            </w:r>
            <w:r w:rsidR="001A13F9" w:rsidRPr="00A177E7">
              <w:rPr>
                <w:b/>
                <w:sz w:val="24"/>
              </w:rPr>
              <w:t>.</w:t>
            </w:r>
          </w:p>
          <w:p w14:paraId="47697352" w14:textId="77777777" w:rsidR="001A13F9" w:rsidRPr="00F5511B" w:rsidRDefault="001A13F9" w:rsidP="00B01D27">
            <w:pPr>
              <w:pStyle w:val="naislab"/>
              <w:spacing w:before="0" w:after="0"/>
              <w:jc w:val="center"/>
              <w:rPr>
                <w:b/>
                <w:sz w:val="24"/>
                <w:highlight w:val="yellow"/>
              </w:rPr>
            </w:pPr>
            <w:r w:rsidRPr="00A177E7">
              <w:rPr>
                <w:b/>
                <w:sz w:val="24"/>
              </w:rPr>
              <w:t>(plāns)</w:t>
            </w:r>
          </w:p>
        </w:tc>
        <w:tc>
          <w:tcPr>
            <w:tcW w:w="551" w:type="pct"/>
            <w:shd w:val="clear" w:color="auto" w:fill="DAEEF3" w:themeFill="accent5" w:themeFillTint="33"/>
            <w:vAlign w:val="center"/>
          </w:tcPr>
          <w:p w14:paraId="3379F86A" w14:textId="0743E882" w:rsidR="001A13F9" w:rsidRPr="00B01D27" w:rsidRDefault="00562BBE" w:rsidP="00044E18">
            <w:pPr>
              <w:pStyle w:val="naislab"/>
              <w:spacing w:before="0" w:after="0"/>
              <w:jc w:val="center"/>
              <w:rPr>
                <w:b/>
                <w:sz w:val="24"/>
              </w:rPr>
            </w:pPr>
            <w:r w:rsidRPr="00B01D27">
              <w:rPr>
                <w:b/>
                <w:sz w:val="24"/>
              </w:rPr>
              <w:t>20</w:t>
            </w:r>
            <w:r>
              <w:rPr>
                <w:b/>
                <w:sz w:val="24"/>
              </w:rPr>
              <w:t>20</w:t>
            </w:r>
            <w:r w:rsidR="001A13F9" w:rsidRPr="00B01D27">
              <w:rPr>
                <w:b/>
                <w:sz w:val="24"/>
              </w:rPr>
              <w:t>.</w:t>
            </w:r>
          </w:p>
          <w:p w14:paraId="693BDC5D" w14:textId="77777777" w:rsidR="001A13F9" w:rsidRPr="00F5511B" w:rsidRDefault="001A13F9" w:rsidP="00044E18">
            <w:pPr>
              <w:pStyle w:val="naislab"/>
              <w:spacing w:before="0" w:after="0"/>
              <w:jc w:val="center"/>
              <w:rPr>
                <w:sz w:val="24"/>
                <w:highlight w:val="yellow"/>
              </w:rPr>
            </w:pPr>
            <w:r w:rsidRPr="00B01D27">
              <w:rPr>
                <w:b/>
                <w:sz w:val="24"/>
              </w:rPr>
              <w:t>(fakts)</w:t>
            </w:r>
          </w:p>
        </w:tc>
        <w:tc>
          <w:tcPr>
            <w:tcW w:w="551" w:type="pct"/>
            <w:shd w:val="clear" w:color="auto" w:fill="FFFFFF"/>
            <w:vAlign w:val="center"/>
          </w:tcPr>
          <w:p w14:paraId="64693E0D" w14:textId="1283765E" w:rsidR="001A13F9" w:rsidRPr="00B01D27" w:rsidRDefault="001A13F9" w:rsidP="001A13F9">
            <w:pPr>
              <w:pStyle w:val="naislab"/>
              <w:spacing w:before="0" w:after="0"/>
              <w:jc w:val="center"/>
              <w:rPr>
                <w:sz w:val="24"/>
              </w:rPr>
            </w:pPr>
            <w:r w:rsidRPr="00B01D27">
              <w:rPr>
                <w:b/>
                <w:sz w:val="24"/>
              </w:rPr>
              <w:t>202</w:t>
            </w:r>
            <w:r>
              <w:rPr>
                <w:b/>
                <w:sz w:val="24"/>
              </w:rPr>
              <w:t>1</w:t>
            </w:r>
            <w:r w:rsidRPr="00B01D27">
              <w:rPr>
                <w:b/>
                <w:sz w:val="24"/>
              </w:rPr>
              <w:t>.</w:t>
            </w:r>
          </w:p>
        </w:tc>
        <w:tc>
          <w:tcPr>
            <w:tcW w:w="529" w:type="pct"/>
            <w:shd w:val="clear" w:color="auto" w:fill="auto"/>
            <w:vAlign w:val="center"/>
          </w:tcPr>
          <w:p w14:paraId="71767ED6" w14:textId="5F5CD598" w:rsidR="001A13F9" w:rsidRPr="00B01D27" w:rsidRDefault="001A13F9" w:rsidP="001A13F9">
            <w:pPr>
              <w:pStyle w:val="naislab"/>
              <w:spacing w:before="0" w:after="0"/>
              <w:jc w:val="center"/>
              <w:rPr>
                <w:sz w:val="24"/>
              </w:rPr>
            </w:pPr>
            <w:r w:rsidRPr="00B01D27">
              <w:rPr>
                <w:b/>
                <w:sz w:val="24"/>
              </w:rPr>
              <w:t>202</w:t>
            </w:r>
            <w:r>
              <w:rPr>
                <w:b/>
                <w:sz w:val="24"/>
              </w:rPr>
              <w:t>1</w:t>
            </w:r>
            <w:r w:rsidRPr="00B01D27">
              <w:rPr>
                <w:b/>
                <w:sz w:val="24"/>
              </w:rPr>
              <w:t>.</w:t>
            </w:r>
          </w:p>
        </w:tc>
      </w:tr>
      <w:tr w:rsidR="001A13F9" w:rsidRPr="00F5511B" w14:paraId="0124099F" w14:textId="77777777" w:rsidTr="00666B07">
        <w:trPr>
          <w:trHeight w:val="20"/>
          <w:jc w:val="center"/>
        </w:trPr>
        <w:tc>
          <w:tcPr>
            <w:tcW w:w="992" w:type="pct"/>
            <w:shd w:val="clear" w:color="auto" w:fill="FFFFFF"/>
          </w:tcPr>
          <w:p w14:paraId="3F1C658A" w14:textId="77777777" w:rsidR="001A13F9" w:rsidRPr="00A177E7" w:rsidRDefault="001A13F9" w:rsidP="00A177E7">
            <w:pPr>
              <w:pStyle w:val="naislab"/>
              <w:spacing w:before="0" w:after="0"/>
              <w:jc w:val="left"/>
              <w:rPr>
                <w:sz w:val="24"/>
                <w:highlight w:val="yellow"/>
              </w:rPr>
            </w:pPr>
            <w:r w:rsidRPr="00A177E7">
              <w:rPr>
                <w:sz w:val="24"/>
              </w:rPr>
              <w:t>5.1. Paaugstinās inovatīvu un starptautiski konkurētspējīgu produktu izlaide</w:t>
            </w:r>
          </w:p>
        </w:tc>
        <w:tc>
          <w:tcPr>
            <w:tcW w:w="1275" w:type="pct"/>
            <w:shd w:val="clear" w:color="auto" w:fill="FFFFFF"/>
          </w:tcPr>
          <w:p w14:paraId="3F70365A" w14:textId="216821BE" w:rsidR="001A13F9" w:rsidRPr="00F5511B" w:rsidRDefault="001A13F9" w:rsidP="009C58E6">
            <w:pPr>
              <w:autoSpaceDE w:val="0"/>
              <w:autoSpaceDN w:val="0"/>
              <w:adjustRightInd w:val="0"/>
              <w:spacing w:after="0" w:line="240" w:lineRule="auto"/>
              <w:rPr>
                <w:i/>
                <w:iCs/>
                <w:szCs w:val="24"/>
                <w:highlight w:val="yellow"/>
                <w:lang w:eastAsia="lv-LV"/>
              </w:rPr>
            </w:pPr>
            <w:r w:rsidRPr="00384381">
              <w:t xml:space="preserve">5.1.1. </w:t>
            </w:r>
            <w:r w:rsidRPr="00384381">
              <w:rPr>
                <w:szCs w:val="24"/>
              </w:rPr>
              <w:t xml:space="preserve">Latvijas novērtējums Globālās inovācijas indeksa </w:t>
            </w:r>
            <w:r w:rsidRPr="00AA6A9B">
              <w:rPr>
                <w:szCs w:val="24"/>
              </w:rPr>
              <w:t xml:space="preserve">apakškategorijā: </w:t>
            </w:r>
            <w:r>
              <w:rPr>
                <w:szCs w:val="24"/>
              </w:rPr>
              <w:t>z</w:t>
            </w:r>
            <w:r w:rsidRPr="00AA6A9B">
              <w:rPr>
                <w:szCs w:val="24"/>
              </w:rPr>
              <w:t>ināšanu un tehnoloģiju izlaide</w:t>
            </w:r>
            <w:r w:rsidRPr="00384381">
              <w:rPr>
                <w:szCs w:val="24"/>
              </w:rPr>
              <w:t xml:space="preserve"> (vieta/</w:t>
            </w:r>
            <w:r>
              <w:rPr>
                <w:szCs w:val="24"/>
              </w:rPr>
              <w:t xml:space="preserve"> </w:t>
            </w:r>
            <w:r w:rsidRPr="00384381">
              <w:rPr>
                <w:szCs w:val="24"/>
              </w:rPr>
              <w:t>kopējais valstu skaits)</w:t>
            </w:r>
          </w:p>
        </w:tc>
        <w:tc>
          <w:tcPr>
            <w:tcW w:w="551" w:type="pct"/>
            <w:shd w:val="clear" w:color="auto" w:fill="DAEEF3" w:themeFill="accent5" w:themeFillTint="33"/>
            <w:vAlign w:val="center"/>
          </w:tcPr>
          <w:p w14:paraId="6DACE95D" w14:textId="1AFD156D" w:rsidR="001A13F9" w:rsidRPr="00A177E7" w:rsidRDefault="00666B07" w:rsidP="009C58E6">
            <w:pPr>
              <w:pStyle w:val="naislab"/>
              <w:spacing w:before="0" w:after="0"/>
              <w:jc w:val="center"/>
              <w:rPr>
                <w:sz w:val="24"/>
              </w:rPr>
            </w:pPr>
            <w:r w:rsidRPr="00B01D27">
              <w:rPr>
                <w:sz w:val="24"/>
              </w:rPr>
              <w:t>45/129</w:t>
            </w:r>
          </w:p>
        </w:tc>
        <w:tc>
          <w:tcPr>
            <w:tcW w:w="551" w:type="pct"/>
            <w:shd w:val="clear" w:color="auto" w:fill="auto"/>
            <w:vAlign w:val="center"/>
          </w:tcPr>
          <w:p w14:paraId="1D818F12" w14:textId="345C6C1C" w:rsidR="001A13F9" w:rsidRPr="00666B07" w:rsidRDefault="00666B07" w:rsidP="00B01D27">
            <w:pPr>
              <w:pStyle w:val="naislab"/>
              <w:spacing w:before="0" w:after="0"/>
              <w:jc w:val="center"/>
              <w:rPr>
                <w:sz w:val="24"/>
              </w:rPr>
            </w:pPr>
            <w:r w:rsidRPr="00666B07">
              <w:rPr>
                <w:sz w:val="24"/>
              </w:rPr>
              <w:t>-</w:t>
            </w:r>
          </w:p>
        </w:tc>
        <w:tc>
          <w:tcPr>
            <w:tcW w:w="551" w:type="pct"/>
            <w:shd w:val="clear" w:color="auto" w:fill="DAEEF3" w:themeFill="accent5" w:themeFillTint="33"/>
            <w:vAlign w:val="center"/>
          </w:tcPr>
          <w:p w14:paraId="3D99A328" w14:textId="59753E2B" w:rsidR="001A13F9" w:rsidRPr="00666B07" w:rsidRDefault="00666B07" w:rsidP="009C58E6">
            <w:pPr>
              <w:pStyle w:val="naislab"/>
              <w:spacing w:before="0" w:after="0"/>
              <w:jc w:val="center"/>
              <w:rPr>
                <w:sz w:val="24"/>
              </w:rPr>
            </w:pPr>
            <w:r>
              <w:rPr>
                <w:sz w:val="24"/>
              </w:rPr>
              <w:t>42/131</w:t>
            </w:r>
          </w:p>
        </w:tc>
        <w:tc>
          <w:tcPr>
            <w:tcW w:w="551" w:type="pct"/>
            <w:shd w:val="clear" w:color="auto" w:fill="FFFFFF"/>
            <w:vAlign w:val="center"/>
          </w:tcPr>
          <w:p w14:paraId="4A150C86" w14:textId="3D222A33" w:rsidR="001A13F9" w:rsidRPr="00F5511B" w:rsidRDefault="00666B07" w:rsidP="009C58E6">
            <w:pPr>
              <w:pStyle w:val="naislab"/>
              <w:spacing w:before="0" w:after="0"/>
              <w:jc w:val="center"/>
              <w:rPr>
                <w:sz w:val="24"/>
                <w:highlight w:val="yellow"/>
              </w:rPr>
            </w:pPr>
            <w:r>
              <w:rPr>
                <w:sz w:val="24"/>
              </w:rPr>
              <w:t>-</w:t>
            </w:r>
          </w:p>
        </w:tc>
        <w:tc>
          <w:tcPr>
            <w:tcW w:w="529" w:type="pct"/>
            <w:shd w:val="clear" w:color="auto" w:fill="auto"/>
            <w:vAlign w:val="center"/>
          </w:tcPr>
          <w:p w14:paraId="248E461A" w14:textId="1F71717F" w:rsidR="001A13F9" w:rsidRPr="00F5511B" w:rsidRDefault="00666B07" w:rsidP="009C58E6">
            <w:pPr>
              <w:pStyle w:val="naislab"/>
              <w:spacing w:before="0" w:after="0"/>
              <w:jc w:val="center"/>
              <w:rPr>
                <w:sz w:val="24"/>
                <w:highlight w:val="yellow"/>
              </w:rPr>
            </w:pPr>
            <w:r w:rsidRPr="00B01D27">
              <w:rPr>
                <w:sz w:val="24"/>
              </w:rPr>
              <w:t>43/n.a.</w:t>
            </w:r>
          </w:p>
        </w:tc>
      </w:tr>
      <w:tr w:rsidR="001A13F9" w:rsidRPr="00F5511B" w14:paraId="5B894143" w14:textId="77777777" w:rsidTr="00666B07">
        <w:trPr>
          <w:trHeight w:val="784"/>
          <w:jc w:val="center"/>
        </w:trPr>
        <w:tc>
          <w:tcPr>
            <w:tcW w:w="992" w:type="pct"/>
            <w:shd w:val="clear" w:color="auto" w:fill="FFFFFF"/>
          </w:tcPr>
          <w:p w14:paraId="5E91D8C0" w14:textId="77777777" w:rsidR="001A13F9" w:rsidRPr="00B01D27" w:rsidRDefault="001A13F9" w:rsidP="009C58E6">
            <w:pPr>
              <w:pStyle w:val="naislab"/>
              <w:spacing w:before="0" w:after="0"/>
              <w:jc w:val="left"/>
              <w:rPr>
                <w:sz w:val="24"/>
                <w:highlight w:val="yellow"/>
              </w:rPr>
            </w:pPr>
            <w:r w:rsidRPr="00B01D27">
              <w:rPr>
                <w:sz w:val="24"/>
              </w:rPr>
              <w:t>5.2. Paaugstinās inovāciju attīstības kapaci</w:t>
            </w:r>
            <w:r>
              <w:rPr>
                <w:sz w:val="24"/>
              </w:rPr>
              <w:t>t</w:t>
            </w:r>
            <w:r w:rsidRPr="00B01D27">
              <w:rPr>
                <w:sz w:val="24"/>
              </w:rPr>
              <w:t>āte</w:t>
            </w:r>
          </w:p>
        </w:tc>
        <w:tc>
          <w:tcPr>
            <w:tcW w:w="1275" w:type="pct"/>
            <w:shd w:val="clear" w:color="auto" w:fill="FFFFFF"/>
          </w:tcPr>
          <w:p w14:paraId="1C351C3D" w14:textId="1D4FAECA" w:rsidR="001A13F9" w:rsidRPr="002A5BDA" w:rsidRDefault="001A13F9" w:rsidP="009C58E6">
            <w:pPr>
              <w:pStyle w:val="naislab"/>
              <w:spacing w:before="0"/>
              <w:jc w:val="left"/>
              <w:rPr>
                <w:sz w:val="24"/>
                <w:highlight w:val="yellow"/>
              </w:rPr>
            </w:pPr>
            <w:r w:rsidRPr="002A5BDA">
              <w:rPr>
                <w:sz w:val="24"/>
              </w:rPr>
              <w:t xml:space="preserve">5.2.1. </w:t>
            </w:r>
            <w:bookmarkStart w:id="115" w:name="_Hlk35421135"/>
            <w:r w:rsidR="002A5BDA" w:rsidRPr="002A5BDA">
              <w:rPr>
                <w:color w:val="000000"/>
                <w:sz w:val="24"/>
                <w:lang w:eastAsia="en-US"/>
              </w:rPr>
              <w:t>Latvijas uzņēmumu piesaistītais P&amp;A&amp;I finansējums programmas “Apvārsnis Eiropa”, Eiropas Inovācijas padome</w:t>
            </w:r>
            <w:r w:rsidRPr="002A5BDA">
              <w:rPr>
                <w:sz w:val="24"/>
              </w:rPr>
              <w:t xml:space="preserve"> (milj. </w:t>
            </w:r>
            <w:r w:rsidRPr="002A5BDA">
              <w:rPr>
                <w:i/>
                <w:iCs/>
                <w:sz w:val="24"/>
              </w:rPr>
              <w:t>euro</w:t>
            </w:r>
            <w:r w:rsidRPr="002A5BDA">
              <w:rPr>
                <w:sz w:val="24"/>
              </w:rPr>
              <w:t>)</w:t>
            </w:r>
            <w:bookmarkEnd w:id="115"/>
          </w:p>
        </w:tc>
        <w:tc>
          <w:tcPr>
            <w:tcW w:w="551" w:type="pct"/>
            <w:shd w:val="clear" w:color="auto" w:fill="DAEEF3" w:themeFill="accent5" w:themeFillTint="33"/>
            <w:vAlign w:val="center"/>
          </w:tcPr>
          <w:p w14:paraId="17AA5F65" w14:textId="4B2F7B00" w:rsidR="001A13F9" w:rsidRPr="00305C2F" w:rsidRDefault="002A5BDA" w:rsidP="009C58E6">
            <w:pPr>
              <w:pStyle w:val="naislab"/>
              <w:spacing w:before="0" w:after="0"/>
              <w:jc w:val="center"/>
              <w:rPr>
                <w:sz w:val="24"/>
              </w:rPr>
            </w:pPr>
            <w:r>
              <w:rPr>
                <w:sz w:val="24"/>
              </w:rPr>
              <w:t>-</w:t>
            </w:r>
          </w:p>
        </w:tc>
        <w:tc>
          <w:tcPr>
            <w:tcW w:w="551" w:type="pct"/>
            <w:shd w:val="clear" w:color="auto" w:fill="auto"/>
            <w:vAlign w:val="center"/>
          </w:tcPr>
          <w:p w14:paraId="7E1A69F3" w14:textId="77777777" w:rsidR="001A13F9" w:rsidRPr="00305C2F" w:rsidRDefault="001A13F9" w:rsidP="00305C2F">
            <w:pPr>
              <w:pStyle w:val="naislab"/>
              <w:spacing w:before="0" w:after="0"/>
              <w:jc w:val="center"/>
              <w:rPr>
                <w:sz w:val="24"/>
              </w:rPr>
            </w:pPr>
            <w:r w:rsidRPr="00305C2F">
              <w:rPr>
                <w:sz w:val="24"/>
              </w:rPr>
              <w:t>-</w:t>
            </w:r>
          </w:p>
        </w:tc>
        <w:tc>
          <w:tcPr>
            <w:tcW w:w="551" w:type="pct"/>
            <w:shd w:val="clear" w:color="auto" w:fill="DAEEF3" w:themeFill="accent5" w:themeFillTint="33"/>
            <w:vAlign w:val="center"/>
          </w:tcPr>
          <w:p w14:paraId="565F7B53" w14:textId="3ADFE364" w:rsidR="001A13F9" w:rsidRPr="00305C2F" w:rsidRDefault="002A5BDA" w:rsidP="009C58E6">
            <w:pPr>
              <w:pStyle w:val="naislab"/>
              <w:spacing w:before="0" w:after="0"/>
              <w:jc w:val="center"/>
              <w:rPr>
                <w:sz w:val="24"/>
              </w:rPr>
            </w:pPr>
            <w:r>
              <w:rPr>
                <w:sz w:val="24"/>
              </w:rPr>
              <w:t>2,25</w:t>
            </w:r>
          </w:p>
        </w:tc>
        <w:tc>
          <w:tcPr>
            <w:tcW w:w="551" w:type="pct"/>
            <w:shd w:val="clear" w:color="auto" w:fill="FFFFFF"/>
            <w:vAlign w:val="center"/>
          </w:tcPr>
          <w:p w14:paraId="47977E9A" w14:textId="3A233903" w:rsidR="001A13F9" w:rsidRPr="00305C2F" w:rsidRDefault="002A5BDA" w:rsidP="0076615B">
            <w:pPr>
              <w:pStyle w:val="naislab"/>
              <w:spacing w:before="0" w:after="0"/>
              <w:jc w:val="center"/>
              <w:rPr>
                <w:sz w:val="24"/>
              </w:rPr>
            </w:pPr>
            <w:r>
              <w:rPr>
                <w:sz w:val="24"/>
              </w:rPr>
              <w:t>2,5</w:t>
            </w:r>
          </w:p>
        </w:tc>
        <w:tc>
          <w:tcPr>
            <w:tcW w:w="529" w:type="pct"/>
            <w:shd w:val="clear" w:color="auto" w:fill="auto"/>
            <w:vAlign w:val="center"/>
          </w:tcPr>
          <w:p w14:paraId="19E0AE3E" w14:textId="744EFF14" w:rsidR="001A13F9" w:rsidRPr="00F5511B" w:rsidRDefault="002A5BDA" w:rsidP="009C58E6">
            <w:pPr>
              <w:pStyle w:val="naislab"/>
              <w:spacing w:before="0" w:after="0"/>
              <w:jc w:val="center"/>
              <w:rPr>
                <w:sz w:val="24"/>
                <w:highlight w:val="yellow"/>
              </w:rPr>
            </w:pPr>
            <w:r>
              <w:rPr>
                <w:sz w:val="24"/>
              </w:rPr>
              <w:t>3,0</w:t>
            </w:r>
          </w:p>
        </w:tc>
      </w:tr>
      <w:tr w:rsidR="001A13F9" w:rsidRPr="00F5511B" w14:paraId="331CD082" w14:textId="77777777" w:rsidTr="00666B07">
        <w:trPr>
          <w:trHeight w:val="784"/>
          <w:jc w:val="center"/>
        </w:trPr>
        <w:tc>
          <w:tcPr>
            <w:tcW w:w="992" w:type="pct"/>
            <w:shd w:val="clear" w:color="auto" w:fill="FFFFFF"/>
          </w:tcPr>
          <w:p w14:paraId="3B997EC8" w14:textId="77777777" w:rsidR="001A13F9" w:rsidRPr="00305C2F" w:rsidRDefault="001A13F9" w:rsidP="00305C2F">
            <w:pPr>
              <w:pStyle w:val="naislab"/>
              <w:spacing w:before="0" w:after="0"/>
              <w:jc w:val="left"/>
              <w:rPr>
                <w:sz w:val="24"/>
                <w:highlight w:val="yellow"/>
              </w:rPr>
            </w:pPr>
            <w:r w:rsidRPr="00305C2F">
              <w:rPr>
                <w:sz w:val="24"/>
              </w:rPr>
              <w:t>5.3.Paaugstinās Latvijas digitāla konkurētspēja</w:t>
            </w:r>
          </w:p>
        </w:tc>
        <w:tc>
          <w:tcPr>
            <w:tcW w:w="1275" w:type="pct"/>
            <w:shd w:val="clear" w:color="auto" w:fill="FFFFFF"/>
          </w:tcPr>
          <w:p w14:paraId="0AA19786" w14:textId="32E333D7" w:rsidR="001A13F9" w:rsidRPr="00305C2F" w:rsidRDefault="001A13F9" w:rsidP="00305C2F">
            <w:pPr>
              <w:pStyle w:val="naislab"/>
              <w:spacing w:before="0"/>
              <w:jc w:val="left"/>
              <w:rPr>
                <w:sz w:val="24"/>
                <w:highlight w:val="yellow"/>
              </w:rPr>
            </w:pPr>
            <w:r w:rsidRPr="00305C2F">
              <w:rPr>
                <w:sz w:val="24"/>
              </w:rPr>
              <w:t>5.3.1. Latvijas novērtējums/ pozīcija Digitālās ekonomikas un sabiedrības indeksa apakš</w:t>
            </w:r>
            <w:r>
              <w:rPr>
                <w:sz w:val="24"/>
              </w:rPr>
              <w:t>-</w:t>
            </w:r>
            <w:r w:rsidRPr="00305C2F">
              <w:rPr>
                <w:sz w:val="24"/>
              </w:rPr>
              <w:t>kategorijā: Digitālo tehnoloģiju integrēšana (vieta)</w:t>
            </w:r>
          </w:p>
        </w:tc>
        <w:tc>
          <w:tcPr>
            <w:tcW w:w="551" w:type="pct"/>
            <w:shd w:val="clear" w:color="auto" w:fill="DAEEF3" w:themeFill="accent5" w:themeFillTint="33"/>
            <w:vAlign w:val="center"/>
          </w:tcPr>
          <w:p w14:paraId="08772263" w14:textId="5D6EF56C" w:rsidR="001A13F9" w:rsidRDefault="001A13F9" w:rsidP="00305C2F">
            <w:pPr>
              <w:pStyle w:val="naislab"/>
              <w:spacing w:before="0" w:after="0"/>
              <w:jc w:val="center"/>
              <w:rPr>
                <w:sz w:val="24"/>
              </w:rPr>
            </w:pPr>
            <w:r>
              <w:rPr>
                <w:sz w:val="24"/>
              </w:rPr>
              <w:t xml:space="preserve">23 </w:t>
            </w:r>
          </w:p>
          <w:p w14:paraId="44455B72" w14:textId="3AAFE1D3" w:rsidR="001A13F9" w:rsidRPr="00F5511B" w:rsidRDefault="001A13F9" w:rsidP="00305C2F">
            <w:pPr>
              <w:pStyle w:val="naislab"/>
              <w:spacing w:before="0" w:after="0"/>
              <w:jc w:val="center"/>
              <w:rPr>
                <w:sz w:val="24"/>
                <w:highlight w:val="yellow"/>
              </w:rPr>
            </w:pPr>
            <w:r>
              <w:rPr>
                <w:sz w:val="24"/>
              </w:rPr>
              <w:t>(2018)</w:t>
            </w:r>
          </w:p>
        </w:tc>
        <w:tc>
          <w:tcPr>
            <w:tcW w:w="551" w:type="pct"/>
            <w:shd w:val="clear" w:color="auto" w:fill="auto"/>
            <w:vAlign w:val="center"/>
          </w:tcPr>
          <w:p w14:paraId="33D1F796" w14:textId="77777777" w:rsidR="001A13F9" w:rsidRPr="00A177E7" w:rsidRDefault="001A13F9" w:rsidP="00305C2F">
            <w:pPr>
              <w:pStyle w:val="naislab"/>
              <w:spacing w:before="0" w:after="0"/>
              <w:jc w:val="center"/>
              <w:rPr>
                <w:sz w:val="24"/>
              </w:rPr>
            </w:pPr>
            <w:r w:rsidRPr="00305C2F">
              <w:rPr>
                <w:sz w:val="24"/>
              </w:rPr>
              <w:t>-</w:t>
            </w:r>
          </w:p>
        </w:tc>
        <w:tc>
          <w:tcPr>
            <w:tcW w:w="551" w:type="pct"/>
            <w:shd w:val="clear" w:color="auto" w:fill="DAEEF3" w:themeFill="accent5" w:themeFillTint="33"/>
            <w:vAlign w:val="center"/>
          </w:tcPr>
          <w:p w14:paraId="191400CC" w14:textId="074B1FBD" w:rsidR="001A13F9" w:rsidRPr="00F5511B" w:rsidRDefault="001A13F9" w:rsidP="00305C2F">
            <w:pPr>
              <w:pStyle w:val="naislab"/>
              <w:spacing w:before="0" w:after="0"/>
              <w:jc w:val="center"/>
              <w:rPr>
                <w:sz w:val="24"/>
                <w:highlight w:val="yellow"/>
              </w:rPr>
            </w:pPr>
            <w:r w:rsidRPr="00305C2F">
              <w:rPr>
                <w:sz w:val="24"/>
              </w:rPr>
              <w:t>2</w:t>
            </w:r>
            <w:r>
              <w:rPr>
                <w:sz w:val="24"/>
              </w:rPr>
              <w:t>3</w:t>
            </w:r>
          </w:p>
        </w:tc>
        <w:tc>
          <w:tcPr>
            <w:tcW w:w="551" w:type="pct"/>
            <w:shd w:val="clear" w:color="auto" w:fill="FFFFFF"/>
            <w:vAlign w:val="center"/>
          </w:tcPr>
          <w:p w14:paraId="5DF518D2" w14:textId="1074498A" w:rsidR="001A13F9" w:rsidRPr="00F5511B" w:rsidRDefault="001A13F9" w:rsidP="00305C2F">
            <w:pPr>
              <w:pStyle w:val="naislab"/>
              <w:spacing w:before="0" w:after="0"/>
              <w:jc w:val="center"/>
              <w:rPr>
                <w:sz w:val="24"/>
                <w:highlight w:val="yellow"/>
              </w:rPr>
            </w:pPr>
            <w:r>
              <w:rPr>
                <w:sz w:val="24"/>
              </w:rPr>
              <w:t>-</w:t>
            </w:r>
          </w:p>
        </w:tc>
        <w:tc>
          <w:tcPr>
            <w:tcW w:w="529" w:type="pct"/>
            <w:shd w:val="clear" w:color="auto" w:fill="auto"/>
            <w:vAlign w:val="center"/>
          </w:tcPr>
          <w:p w14:paraId="1EC628ED" w14:textId="6E3CA8A2" w:rsidR="001A13F9" w:rsidRPr="00F5511B" w:rsidRDefault="001A13F9" w:rsidP="00305C2F">
            <w:pPr>
              <w:pStyle w:val="naislab"/>
              <w:spacing w:before="0" w:after="0"/>
              <w:jc w:val="center"/>
              <w:rPr>
                <w:sz w:val="24"/>
                <w:highlight w:val="yellow"/>
              </w:rPr>
            </w:pPr>
            <w:r w:rsidRPr="001A13F9">
              <w:rPr>
                <w:sz w:val="24"/>
              </w:rPr>
              <w:t>22</w:t>
            </w:r>
          </w:p>
        </w:tc>
      </w:tr>
    </w:tbl>
    <w:p w14:paraId="2F8AB6A6" w14:textId="34D08743" w:rsidR="00B01D27" w:rsidRPr="00B01D27" w:rsidRDefault="004E08D7" w:rsidP="00666B07">
      <w:pPr>
        <w:autoSpaceDE w:val="0"/>
        <w:autoSpaceDN w:val="0"/>
        <w:adjustRightInd w:val="0"/>
        <w:spacing w:before="60" w:after="0" w:line="240" w:lineRule="auto"/>
        <w:ind w:left="142" w:firstLine="142"/>
        <w:rPr>
          <w:i/>
          <w:sz w:val="18"/>
          <w:szCs w:val="18"/>
        </w:rPr>
      </w:pPr>
      <w:r w:rsidRPr="00B01D27">
        <w:rPr>
          <w:i/>
          <w:sz w:val="18"/>
          <w:szCs w:val="18"/>
        </w:rPr>
        <w:t>Avots: EM darbības stratēģija 20</w:t>
      </w:r>
      <w:r w:rsidR="00B01D27">
        <w:rPr>
          <w:i/>
          <w:sz w:val="18"/>
          <w:szCs w:val="18"/>
        </w:rPr>
        <w:t>20</w:t>
      </w:r>
      <w:r w:rsidRPr="00B01D27">
        <w:rPr>
          <w:i/>
          <w:sz w:val="18"/>
          <w:szCs w:val="18"/>
        </w:rPr>
        <w:t>.-20</w:t>
      </w:r>
      <w:r w:rsidR="00B01D27">
        <w:rPr>
          <w:i/>
          <w:sz w:val="18"/>
          <w:szCs w:val="18"/>
        </w:rPr>
        <w:t>22</w:t>
      </w:r>
      <w:r w:rsidRPr="00B01D27">
        <w:rPr>
          <w:i/>
          <w:sz w:val="18"/>
          <w:szCs w:val="18"/>
        </w:rPr>
        <w:t xml:space="preserve">.gadam, CSP datubāze, Eurostat datubāze, </w:t>
      </w:r>
      <w:r w:rsidR="00C54DD4">
        <w:rPr>
          <w:i/>
          <w:sz w:val="18"/>
          <w:szCs w:val="18"/>
        </w:rPr>
        <w:t>d</w:t>
      </w:r>
      <w:r w:rsidR="00C54DD4" w:rsidRPr="00D03C31">
        <w:rPr>
          <w:i/>
          <w:sz w:val="18"/>
          <w:szCs w:val="18"/>
        </w:rPr>
        <w:t>ati par 2020.gadu izgūti 2021.gada jūlija mēnesī (2</w:t>
      </w:r>
      <w:r w:rsidR="00C54DD4">
        <w:rPr>
          <w:i/>
          <w:sz w:val="18"/>
          <w:szCs w:val="18"/>
        </w:rPr>
        <w:t>7</w:t>
      </w:r>
      <w:r w:rsidR="00C54DD4" w:rsidRPr="00D03C31">
        <w:rPr>
          <w:i/>
          <w:sz w:val="18"/>
          <w:szCs w:val="18"/>
        </w:rPr>
        <w:t>.0</w:t>
      </w:r>
      <w:r w:rsidR="00C54DD4">
        <w:rPr>
          <w:i/>
          <w:sz w:val="18"/>
          <w:szCs w:val="18"/>
        </w:rPr>
        <w:t>7</w:t>
      </w:r>
      <w:r w:rsidR="00C54DD4" w:rsidRPr="00D03C31">
        <w:rPr>
          <w:i/>
          <w:sz w:val="18"/>
          <w:szCs w:val="18"/>
        </w:rPr>
        <w:t>.202</w:t>
      </w:r>
      <w:r w:rsidR="00C54DD4">
        <w:rPr>
          <w:i/>
          <w:sz w:val="18"/>
          <w:szCs w:val="18"/>
        </w:rPr>
        <w:t>1</w:t>
      </w:r>
      <w:r w:rsidR="00C54DD4" w:rsidRPr="00D03C31">
        <w:rPr>
          <w:i/>
          <w:sz w:val="18"/>
          <w:szCs w:val="18"/>
        </w:rPr>
        <w:t>.)</w:t>
      </w:r>
    </w:p>
    <w:p w14:paraId="44525430" w14:textId="77777777" w:rsidR="002A5BDA" w:rsidRPr="00F5511B" w:rsidRDefault="002A5BDA" w:rsidP="003428BE">
      <w:pPr>
        <w:pStyle w:val="ListParagraph"/>
        <w:ind w:left="0" w:right="108"/>
        <w:rPr>
          <w:i/>
          <w:sz w:val="18"/>
          <w:szCs w:val="18"/>
          <w:highlight w:val="yellow"/>
        </w:rPr>
      </w:pPr>
    </w:p>
    <w:p w14:paraId="1ADCF861" w14:textId="77777777" w:rsidR="00F608F7" w:rsidRPr="00F5511B" w:rsidRDefault="00F608F7">
      <w:pPr>
        <w:spacing w:after="0" w:line="240" w:lineRule="auto"/>
        <w:rPr>
          <w:rFonts w:eastAsia="Times New Roman" w:cs="Times New Roman"/>
          <w:i/>
          <w:sz w:val="18"/>
          <w:szCs w:val="18"/>
          <w:highlight w:val="yellow"/>
          <w:lang w:eastAsia="lv-LV"/>
        </w:rPr>
      </w:pPr>
      <w:r w:rsidRPr="00F5511B">
        <w:rPr>
          <w:i/>
          <w:sz w:val="18"/>
          <w:szCs w:val="18"/>
          <w:highlight w:val="yellow"/>
        </w:rPr>
        <w:br w:type="page"/>
      </w:r>
    </w:p>
    <w:p w14:paraId="2A316ABF" w14:textId="77777777" w:rsidR="00F608F7" w:rsidRPr="00F5511B" w:rsidRDefault="00F608F7" w:rsidP="00F608F7">
      <w:pPr>
        <w:pStyle w:val="ListParagraph"/>
        <w:ind w:left="0" w:right="108"/>
        <w:rPr>
          <w:i/>
          <w:sz w:val="18"/>
          <w:szCs w:val="18"/>
          <w:highlight w:val="yellow"/>
        </w:rPr>
      </w:pPr>
    </w:p>
    <w:p w14:paraId="44D8DC21" w14:textId="7A48E9DC" w:rsidR="00B91024" w:rsidRPr="00305C2F" w:rsidRDefault="00810CC0" w:rsidP="00BE6C4B">
      <w:pPr>
        <w:pStyle w:val="Heading1"/>
        <w:numPr>
          <w:ilvl w:val="0"/>
          <w:numId w:val="9"/>
        </w:numPr>
        <w:spacing w:after="60"/>
      </w:pPr>
      <w:bookmarkStart w:id="116" w:name="_Pielikums._EM_darbības_4"/>
      <w:bookmarkStart w:id="117" w:name="_Toc520374387"/>
      <w:bookmarkStart w:id="118" w:name="_Toc78874624"/>
      <w:bookmarkEnd w:id="116"/>
      <w:r w:rsidRPr="00305C2F">
        <w:rPr>
          <w:b w:val="0"/>
        </w:rPr>
        <w:t>P</w:t>
      </w:r>
      <w:r w:rsidR="00B91024" w:rsidRPr="00305C2F">
        <w:rPr>
          <w:b w:val="0"/>
        </w:rPr>
        <w:t>ielikums</w:t>
      </w:r>
      <w:r w:rsidR="00B91024" w:rsidRPr="00305C2F">
        <w:t>. EM darbības virziena “</w:t>
      </w:r>
      <w:r w:rsidR="00B91024" w:rsidRPr="00305C2F">
        <w:rPr>
          <w:rFonts w:eastAsia="Franklin Gothic Book"/>
        </w:rPr>
        <w:t>Uzņēmējdarbības veicināšana</w:t>
      </w:r>
      <w:r w:rsidR="00305C2F" w:rsidRPr="00305C2F">
        <w:rPr>
          <w:rFonts w:eastAsia="Franklin Gothic Book"/>
        </w:rPr>
        <w:t xml:space="preserve"> (t.sk. uzņēmējdarbības vides uzlabošana) un infrastruktūras attīstība</w:t>
      </w:r>
      <w:r w:rsidR="00B91024" w:rsidRPr="00305C2F">
        <w:t>” rezultatīvo rādītāju dinamika</w:t>
      </w:r>
      <w:bookmarkEnd w:id="117"/>
      <w:bookmarkEnd w:id="118"/>
    </w:p>
    <w:tbl>
      <w:tblPr>
        <w:tblStyle w:val="TableGrid"/>
        <w:tblW w:w="5084" w:type="pct"/>
        <w:tblLayout w:type="fixed"/>
        <w:tblCellMar>
          <w:left w:w="115" w:type="dxa"/>
          <w:right w:w="115" w:type="dxa"/>
        </w:tblCellMar>
        <w:tblLook w:val="01E0" w:firstRow="1" w:lastRow="1" w:firstColumn="1" w:lastColumn="1" w:noHBand="0" w:noVBand="0"/>
      </w:tblPr>
      <w:tblGrid>
        <w:gridCol w:w="3741"/>
        <w:gridCol w:w="3403"/>
        <w:gridCol w:w="1534"/>
        <w:gridCol w:w="1531"/>
        <w:gridCol w:w="1531"/>
        <w:gridCol w:w="1531"/>
        <w:gridCol w:w="1534"/>
      </w:tblGrid>
      <w:tr w:rsidR="00A34562" w:rsidRPr="00F5511B" w14:paraId="58109CEA" w14:textId="77777777" w:rsidTr="00A34562">
        <w:trPr>
          <w:trHeight w:val="454"/>
        </w:trPr>
        <w:tc>
          <w:tcPr>
            <w:tcW w:w="1263" w:type="pct"/>
            <w:vMerge w:val="restart"/>
            <w:shd w:val="clear" w:color="auto" w:fill="FFFFFF" w:themeFill="background1"/>
            <w:vAlign w:val="center"/>
          </w:tcPr>
          <w:p w14:paraId="4E81C769" w14:textId="77777777" w:rsidR="00A34562" w:rsidRPr="00305C2F" w:rsidRDefault="00A34562" w:rsidP="006158BA">
            <w:pPr>
              <w:pStyle w:val="naislab"/>
              <w:spacing w:before="0" w:after="0"/>
              <w:jc w:val="center"/>
              <w:rPr>
                <w:sz w:val="24"/>
              </w:rPr>
            </w:pPr>
            <w:r w:rsidRPr="00305C2F">
              <w:rPr>
                <w:b/>
                <w:sz w:val="24"/>
              </w:rPr>
              <w:t>Rezultāts</w:t>
            </w:r>
          </w:p>
        </w:tc>
        <w:tc>
          <w:tcPr>
            <w:tcW w:w="1149" w:type="pct"/>
            <w:vMerge w:val="restart"/>
            <w:shd w:val="clear" w:color="auto" w:fill="FFFFFF" w:themeFill="background1"/>
            <w:vAlign w:val="center"/>
          </w:tcPr>
          <w:p w14:paraId="63CBF6C9" w14:textId="77777777" w:rsidR="00A34562" w:rsidRPr="00305C2F" w:rsidRDefault="00A34562" w:rsidP="006158BA">
            <w:pPr>
              <w:pStyle w:val="naislab"/>
              <w:spacing w:before="0" w:after="0"/>
              <w:jc w:val="center"/>
              <w:rPr>
                <w:sz w:val="24"/>
              </w:rPr>
            </w:pPr>
            <w:r w:rsidRPr="00305C2F">
              <w:rPr>
                <w:b/>
                <w:sz w:val="24"/>
              </w:rPr>
              <w:t>Rezultatīvais rādītājs</w:t>
            </w:r>
          </w:p>
        </w:tc>
        <w:tc>
          <w:tcPr>
            <w:tcW w:w="2587" w:type="pct"/>
            <w:gridSpan w:val="5"/>
            <w:shd w:val="clear" w:color="auto" w:fill="FFFFFF" w:themeFill="background1"/>
            <w:vAlign w:val="center"/>
          </w:tcPr>
          <w:p w14:paraId="22C76F96" w14:textId="6F370FEE" w:rsidR="00A34562" w:rsidRPr="00F5511B" w:rsidRDefault="00A34562" w:rsidP="00305C2F">
            <w:pPr>
              <w:pStyle w:val="naislab"/>
              <w:spacing w:before="0" w:after="0"/>
              <w:jc w:val="center"/>
              <w:rPr>
                <w:sz w:val="24"/>
                <w:highlight w:val="yellow"/>
              </w:rPr>
            </w:pPr>
            <w:r w:rsidRPr="00305C2F">
              <w:rPr>
                <w:b/>
                <w:sz w:val="24"/>
              </w:rPr>
              <w:t>Rezultatīvā rādītāja skaitliskās vērtības</w:t>
            </w:r>
          </w:p>
        </w:tc>
      </w:tr>
      <w:tr w:rsidR="00A34562" w:rsidRPr="00F5511B" w14:paraId="4F188B0B" w14:textId="77777777" w:rsidTr="00B67AD6">
        <w:trPr>
          <w:trHeight w:val="624"/>
        </w:trPr>
        <w:tc>
          <w:tcPr>
            <w:tcW w:w="1263" w:type="pct"/>
            <w:vMerge/>
            <w:shd w:val="clear" w:color="auto" w:fill="00859B"/>
          </w:tcPr>
          <w:p w14:paraId="1060AB88" w14:textId="77777777" w:rsidR="00A34562" w:rsidRPr="00F5511B" w:rsidRDefault="00A34562" w:rsidP="00E91758">
            <w:pPr>
              <w:pStyle w:val="naislab"/>
              <w:spacing w:before="0" w:after="0"/>
              <w:jc w:val="left"/>
              <w:rPr>
                <w:sz w:val="24"/>
                <w:highlight w:val="yellow"/>
              </w:rPr>
            </w:pPr>
          </w:p>
        </w:tc>
        <w:tc>
          <w:tcPr>
            <w:tcW w:w="1149" w:type="pct"/>
            <w:vMerge/>
            <w:shd w:val="clear" w:color="auto" w:fill="00859B"/>
          </w:tcPr>
          <w:p w14:paraId="67A130CF" w14:textId="77777777" w:rsidR="00A34562" w:rsidRPr="00F5511B" w:rsidRDefault="00A34562" w:rsidP="00E91758">
            <w:pPr>
              <w:pStyle w:val="naislab"/>
              <w:spacing w:before="0" w:after="0"/>
              <w:jc w:val="left"/>
              <w:rPr>
                <w:sz w:val="24"/>
                <w:highlight w:val="yellow"/>
              </w:rPr>
            </w:pPr>
          </w:p>
        </w:tc>
        <w:tc>
          <w:tcPr>
            <w:tcW w:w="518" w:type="pct"/>
            <w:shd w:val="clear" w:color="auto" w:fill="DAEEF3" w:themeFill="accent5" w:themeFillTint="33"/>
            <w:vAlign w:val="center"/>
          </w:tcPr>
          <w:p w14:paraId="25A46892" w14:textId="77777777" w:rsidR="00A34562" w:rsidRPr="00305C2F" w:rsidRDefault="00A34562" w:rsidP="00E91758">
            <w:pPr>
              <w:pStyle w:val="naislab"/>
              <w:spacing w:before="0" w:after="0"/>
              <w:jc w:val="center"/>
              <w:rPr>
                <w:b/>
                <w:sz w:val="24"/>
              </w:rPr>
            </w:pPr>
            <w:r w:rsidRPr="00305C2F">
              <w:rPr>
                <w:b/>
                <w:sz w:val="24"/>
              </w:rPr>
              <w:t>2019.</w:t>
            </w:r>
          </w:p>
          <w:p w14:paraId="1ACFF2FC" w14:textId="4468F6B1" w:rsidR="00A34562" w:rsidRPr="00305C2F" w:rsidRDefault="00A34562" w:rsidP="00E91758">
            <w:pPr>
              <w:pStyle w:val="naislab"/>
              <w:spacing w:before="0" w:after="0"/>
              <w:jc w:val="center"/>
              <w:rPr>
                <w:b/>
                <w:sz w:val="24"/>
              </w:rPr>
            </w:pPr>
            <w:r w:rsidRPr="00305C2F">
              <w:rPr>
                <w:b/>
                <w:sz w:val="24"/>
              </w:rPr>
              <w:t>(fakts)</w:t>
            </w:r>
          </w:p>
        </w:tc>
        <w:tc>
          <w:tcPr>
            <w:tcW w:w="517" w:type="pct"/>
            <w:shd w:val="clear" w:color="auto" w:fill="auto"/>
            <w:vAlign w:val="center"/>
          </w:tcPr>
          <w:p w14:paraId="476EAB27" w14:textId="77777777" w:rsidR="00A34562" w:rsidRPr="00305C2F" w:rsidRDefault="00A34562" w:rsidP="00E91758">
            <w:pPr>
              <w:pStyle w:val="naislab"/>
              <w:spacing w:before="0" w:after="0"/>
              <w:jc w:val="center"/>
              <w:rPr>
                <w:b/>
                <w:sz w:val="24"/>
              </w:rPr>
            </w:pPr>
            <w:r w:rsidRPr="00305C2F">
              <w:rPr>
                <w:b/>
                <w:sz w:val="24"/>
              </w:rPr>
              <w:t>2020.</w:t>
            </w:r>
          </w:p>
          <w:p w14:paraId="1EE447D9" w14:textId="7A0B2FCE" w:rsidR="00A34562" w:rsidRPr="00305C2F" w:rsidRDefault="00A34562" w:rsidP="00E91758">
            <w:pPr>
              <w:pStyle w:val="naislab"/>
              <w:spacing w:before="0" w:after="0"/>
              <w:jc w:val="center"/>
              <w:rPr>
                <w:b/>
                <w:sz w:val="24"/>
              </w:rPr>
            </w:pPr>
            <w:r w:rsidRPr="00305C2F">
              <w:rPr>
                <w:b/>
                <w:sz w:val="24"/>
              </w:rPr>
              <w:t>(plāns)</w:t>
            </w:r>
          </w:p>
        </w:tc>
        <w:tc>
          <w:tcPr>
            <w:tcW w:w="517" w:type="pct"/>
            <w:shd w:val="clear" w:color="auto" w:fill="DAEEF3" w:themeFill="accent5" w:themeFillTint="33"/>
            <w:vAlign w:val="center"/>
          </w:tcPr>
          <w:p w14:paraId="3651900E" w14:textId="163FE8BC" w:rsidR="00A34562" w:rsidRPr="00305C2F" w:rsidRDefault="00A34562" w:rsidP="00E91758">
            <w:pPr>
              <w:pStyle w:val="naislab"/>
              <w:spacing w:before="0" w:after="0"/>
              <w:jc w:val="center"/>
              <w:rPr>
                <w:b/>
                <w:sz w:val="24"/>
              </w:rPr>
            </w:pPr>
            <w:r w:rsidRPr="00305C2F">
              <w:rPr>
                <w:b/>
                <w:sz w:val="24"/>
              </w:rPr>
              <w:t>2020.</w:t>
            </w:r>
          </w:p>
          <w:p w14:paraId="76F7D747" w14:textId="0E577A3C" w:rsidR="00A34562" w:rsidRPr="00305C2F" w:rsidRDefault="00A34562" w:rsidP="00E91758">
            <w:pPr>
              <w:pStyle w:val="naislab"/>
              <w:spacing w:before="0" w:after="0"/>
              <w:jc w:val="center"/>
              <w:rPr>
                <w:sz w:val="24"/>
              </w:rPr>
            </w:pPr>
            <w:r w:rsidRPr="00305C2F">
              <w:rPr>
                <w:b/>
                <w:sz w:val="24"/>
              </w:rPr>
              <w:t>(fakts)</w:t>
            </w:r>
          </w:p>
        </w:tc>
        <w:tc>
          <w:tcPr>
            <w:tcW w:w="517" w:type="pct"/>
            <w:vAlign w:val="center"/>
          </w:tcPr>
          <w:p w14:paraId="3E822313" w14:textId="4AFFEB7A" w:rsidR="00A34562" w:rsidRPr="00305C2F" w:rsidRDefault="00A34562" w:rsidP="00C54DD4">
            <w:pPr>
              <w:pStyle w:val="naislab"/>
              <w:spacing w:before="0" w:after="0"/>
              <w:jc w:val="center"/>
              <w:rPr>
                <w:sz w:val="24"/>
              </w:rPr>
            </w:pPr>
            <w:r w:rsidRPr="00305C2F">
              <w:rPr>
                <w:b/>
                <w:sz w:val="24"/>
              </w:rPr>
              <w:t>202</w:t>
            </w:r>
            <w:r>
              <w:rPr>
                <w:b/>
                <w:sz w:val="24"/>
              </w:rPr>
              <w:t>1</w:t>
            </w:r>
            <w:r w:rsidRPr="00305C2F">
              <w:rPr>
                <w:b/>
                <w:sz w:val="24"/>
              </w:rPr>
              <w:t>.</w:t>
            </w:r>
          </w:p>
        </w:tc>
        <w:tc>
          <w:tcPr>
            <w:tcW w:w="517" w:type="pct"/>
            <w:shd w:val="clear" w:color="auto" w:fill="auto"/>
            <w:vAlign w:val="center"/>
          </w:tcPr>
          <w:p w14:paraId="0B5B7808" w14:textId="56F99610" w:rsidR="00A34562" w:rsidRPr="00305C2F" w:rsidRDefault="00A34562" w:rsidP="00C54DD4">
            <w:pPr>
              <w:pStyle w:val="naislab"/>
              <w:spacing w:before="0" w:after="0"/>
              <w:jc w:val="center"/>
              <w:rPr>
                <w:sz w:val="24"/>
              </w:rPr>
            </w:pPr>
            <w:r w:rsidRPr="00305C2F">
              <w:rPr>
                <w:b/>
                <w:sz w:val="24"/>
              </w:rPr>
              <w:t>202</w:t>
            </w:r>
            <w:r>
              <w:rPr>
                <w:b/>
                <w:sz w:val="24"/>
              </w:rPr>
              <w:t>2</w:t>
            </w:r>
            <w:r w:rsidRPr="00305C2F">
              <w:rPr>
                <w:b/>
                <w:sz w:val="24"/>
              </w:rPr>
              <w:t>.</w:t>
            </w:r>
          </w:p>
        </w:tc>
      </w:tr>
      <w:tr w:rsidR="00A34562" w:rsidRPr="00F5511B" w14:paraId="2DA7C8BB" w14:textId="77777777" w:rsidTr="00B67AD6">
        <w:trPr>
          <w:trHeight w:val="1000"/>
        </w:trPr>
        <w:tc>
          <w:tcPr>
            <w:tcW w:w="1263" w:type="pct"/>
            <w:vMerge w:val="restart"/>
          </w:tcPr>
          <w:p w14:paraId="7B9B116A" w14:textId="77777777" w:rsidR="00A34562" w:rsidRPr="006A4E5D" w:rsidRDefault="00A34562" w:rsidP="00E91758">
            <w:pPr>
              <w:pStyle w:val="naislab"/>
              <w:spacing w:before="0" w:after="0"/>
              <w:jc w:val="left"/>
              <w:rPr>
                <w:sz w:val="24"/>
                <w:highlight w:val="yellow"/>
              </w:rPr>
            </w:pPr>
            <w:r w:rsidRPr="006A4E5D">
              <w:rPr>
                <w:sz w:val="24"/>
              </w:rPr>
              <w:t>6.1. Atbilstoši starptautiskai labai praksei Latvija tiecās uz izcilo uzņēmējdarbības vidi un procesu digitalizāciju</w:t>
            </w:r>
          </w:p>
        </w:tc>
        <w:tc>
          <w:tcPr>
            <w:tcW w:w="1149" w:type="pct"/>
          </w:tcPr>
          <w:p w14:paraId="06F80958" w14:textId="77777777" w:rsidR="00A34562" w:rsidRPr="006A4E5D" w:rsidRDefault="00A34562" w:rsidP="00E91758">
            <w:pPr>
              <w:pStyle w:val="naislab"/>
              <w:spacing w:before="0" w:after="0"/>
              <w:jc w:val="left"/>
              <w:rPr>
                <w:sz w:val="24"/>
                <w:highlight w:val="yellow"/>
              </w:rPr>
            </w:pPr>
            <w:r w:rsidRPr="006A4E5D">
              <w:rPr>
                <w:sz w:val="24"/>
              </w:rPr>
              <w:t>6.1.1. Latvijas novērtējums Digitālās ekonomikas un sabiedrības (DESI) indeksā (vieta valstu kopējā reitingā)</w:t>
            </w:r>
          </w:p>
        </w:tc>
        <w:tc>
          <w:tcPr>
            <w:tcW w:w="518" w:type="pct"/>
            <w:shd w:val="clear" w:color="auto" w:fill="DAEEF3" w:themeFill="accent5" w:themeFillTint="33"/>
            <w:vAlign w:val="center"/>
          </w:tcPr>
          <w:p w14:paraId="77D5D792" w14:textId="77777777" w:rsidR="00C54DD4" w:rsidRDefault="00C54DD4" w:rsidP="00E91758">
            <w:pPr>
              <w:pStyle w:val="naislab"/>
              <w:spacing w:before="0" w:after="0"/>
              <w:jc w:val="center"/>
              <w:rPr>
                <w:sz w:val="24"/>
              </w:rPr>
            </w:pPr>
            <w:r>
              <w:rPr>
                <w:sz w:val="24"/>
              </w:rPr>
              <w:t>19</w:t>
            </w:r>
          </w:p>
          <w:p w14:paraId="0483ECDB" w14:textId="2027C011" w:rsidR="00A34562" w:rsidRPr="006A4E5D" w:rsidRDefault="00C54DD4" w:rsidP="00E91758">
            <w:pPr>
              <w:pStyle w:val="naislab"/>
              <w:spacing w:before="0" w:after="0"/>
              <w:jc w:val="center"/>
              <w:rPr>
                <w:sz w:val="24"/>
              </w:rPr>
            </w:pPr>
            <w:r>
              <w:rPr>
                <w:sz w:val="24"/>
              </w:rPr>
              <w:t>(2018)</w:t>
            </w:r>
          </w:p>
        </w:tc>
        <w:tc>
          <w:tcPr>
            <w:tcW w:w="517" w:type="pct"/>
            <w:shd w:val="clear" w:color="auto" w:fill="auto"/>
            <w:vAlign w:val="center"/>
          </w:tcPr>
          <w:p w14:paraId="54223A11" w14:textId="0A15A29C" w:rsidR="00A34562" w:rsidRPr="006A4E5D" w:rsidRDefault="00D03C31" w:rsidP="00E91758">
            <w:pPr>
              <w:pStyle w:val="naislab"/>
              <w:spacing w:before="0" w:after="0"/>
              <w:jc w:val="center"/>
              <w:rPr>
                <w:sz w:val="24"/>
              </w:rPr>
            </w:pPr>
            <w:r>
              <w:rPr>
                <w:sz w:val="24"/>
              </w:rPr>
              <w:t>-</w:t>
            </w:r>
          </w:p>
        </w:tc>
        <w:tc>
          <w:tcPr>
            <w:tcW w:w="517" w:type="pct"/>
            <w:shd w:val="clear" w:color="auto" w:fill="DAEEF3" w:themeFill="accent5" w:themeFillTint="33"/>
            <w:vAlign w:val="center"/>
          </w:tcPr>
          <w:p w14:paraId="401A73F8" w14:textId="4BE4B88B" w:rsidR="00A34562" w:rsidRPr="00F5511B" w:rsidRDefault="00A34562" w:rsidP="00E91758">
            <w:pPr>
              <w:pStyle w:val="naislab"/>
              <w:spacing w:before="0" w:after="0"/>
              <w:jc w:val="center"/>
              <w:rPr>
                <w:sz w:val="24"/>
                <w:highlight w:val="yellow"/>
              </w:rPr>
            </w:pPr>
            <w:r w:rsidRPr="00A34562">
              <w:rPr>
                <w:sz w:val="24"/>
              </w:rPr>
              <w:t>18</w:t>
            </w:r>
          </w:p>
        </w:tc>
        <w:tc>
          <w:tcPr>
            <w:tcW w:w="517" w:type="pct"/>
            <w:vAlign w:val="center"/>
          </w:tcPr>
          <w:p w14:paraId="51DFCA1C" w14:textId="78A11816" w:rsidR="00A34562" w:rsidRPr="006A4E5D" w:rsidRDefault="00A34562" w:rsidP="00E91758">
            <w:pPr>
              <w:pStyle w:val="naislab"/>
              <w:spacing w:before="0" w:after="0"/>
              <w:jc w:val="center"/>
              <w:rPr>
                <w:sz w:val="24"/>
              </w:rPr>
            </w:pPr>
            <w:r>
              <w:rPr>
                <w:sz w:val="24"/>
              </w:rPr>
              <w:t>-</w:t>
            </w:r>
          </w:p>
        </w:tc>
        <w:tc>
          <w:tcPr>
            <w:tcW w:w="517" w:type="pct"/>
            <w:shd w:val="clear" w:color="auto" w:fill="auto"/>
            <w:vAlign w:val="center"/>
          </w:tcPr>
          <w:p w14:paraId="115965EC" w14:textId="0CD1DEBD" w:rsidR="00A34562" w:rsidRPr="00F5511B" w:rsidRDefault="00A34562" w:rsidP="00E91758">
            <w:pPr>
              <w:pStyle w:val="naislab"/>
              <w:spacing w:before="0" w:after="0"/>
              <w:jc w:val="center"/>
              <w:rPr>
                <w:sz w:val="24"/>
                <w:highlight w:val="yellow"/>
              </w:rPr>
            </w:pPr>
            <w:r w:rsidRPr="00A34562">
              <w:rPr>
                <w:sz w:val="24"/>
              </w:rPr>
              <w:t>13</w:t>
            </w:r>
          </w:p>
        </w:tc>
      </w:tr>
      <w:tr w:rsidR="00A34562" w:rsidRPr="00F5511B" w14:paraId="77E896AE" w14:textId="77777777" w:rsidTr="00B67AD6">
        <w:trPr>
          <w:trHeight w:val="987"/>
        </w:trPr>
        <w:tc>
          <w:tcPr>
            <w:tcW w:w="1263" w:type="pct"/>
            <w:vMerge/>
          </w:tcPr>
          <w:p w14:paraId="18CC780A" w14:textId="77777777" w:rsidR="00A34562" w:rsidRPr="00F5511B" w:rsidRDefault="00A34562" w:rsidP="00E91758">
            <w:pPr>
              <w:pStyle w:val="naislab"/>
              <w:spacing w:before="0" w:after="0"/>
              <w:jc w:val="left"/>
              <w:rPr>
                <w:sz w:val="24"/>
                <w:highlight w:val="yellow"/>
              </w:rPr>
            </w:pPr>
          </w:p>
        </w:tc>
        <w:tc>
          <w:tcPr>
            <w:tcW w:w="1149" w:type="pct"/>
          </w:tcPr>
          <w:p w14:paraId="7725E3C2" w14:textId="77777777" w:rsidR="00A34562" w:rsidRPr="00F5511B" w:rsidRDefault="00A34562" w:rsidP="00E91758">
            <w:pPr>
              <w:pStyle w:val="naislab"/>
              <w:spacing w:before="0" w:after="0"/>
              <w:jc w:val="left"/>
              <w:rPr>
                <w:sz w:val="24"/>
                <w:highlight w:val="yellow"/>
              </w:rPr>
            </w:pPr>
            <w:r w:rsidRPr="006A4E5D">
              <w:rPr>
                <w:sz w:val="24"/>
              </w:rPr>
              <w:t>6.1.2. Latvijas novērtējums Globālās konkurētspējas indeksā (vieta/kopējais valstu skaits reitingā)</w:t>
            </w:r>
          </w:p>
        </w:tc>
        <w:tc>
          <w:tcPr>
            <w:tcW w:w="518" w:type="pct"/>
            <w:shd w:val="clear" w:color="auto" w:fill="DAEEF3" w:themeFill="accent5" w:themeFillTint="33"/>
            <w:vAlign w:val="center"/>
          </w:tcPr>
          <w:p w14:paraId="1F6296DA" w14:textId="416C36B7" w:rsidR="00A34562" w:rsidRPr="00F5511B" w:rsidRDefault="00A34562" w:rsidP="00E91758">
            <w:pPr>
              <w:pStyle w:val="naislab"/>
              <w:spacing w:before="0" w:after="0"/>
              <w:jc w:val="center"/>
              <w:rPr>
                <w:sz w:val="24"/>
                <w:highlight w:val="yellow"/>
              </w:rPr>
            </w:pPr>
            <w:r w:rsidRPr="006A4E5D">
              <w:rPr>
                <w:sz w:val="24"/>
              </w:rPr>
              <w:t>41/141</w:t>
            </w:r>
          </w:p>
        </w:tc>
        <w:tc>
          <w:tcPr>
            <w:tcW w:w="517" w:type="pct"/>
            <w:shd w:val="clear" w:color="auto" w:fill="auto"/>
            <w:vAlign w:val="center"/>
          </w:tcPr>
          <w:p w14:paraId="2441DA5A" w14:textId="2F4ECCF3" w:rsidR="00A34562" w:rsidRPr="006A4E5D" w:rsidRDefault="00666B07" w:rsidP="00E91758">
            <w:pPr>
              <w:pStyle w:val="naislab"/>
              <w:spacing w:before="0" w:after="0"/>
              <w:jc w:val="center"/>
              <w:rPr>
                <w:sz w:val="24"/>
              </w:rPr>
            </w:pPr>
            <w:r>
              <w:rPr>
                <w:sz w:val="24"/>
              </w:rPr>
              <w:t>-</w:t>
            </w:r>
          </w:p>
        </w:tc>
        <w:tc>
          <w:tcPr>
            <w:tcW w:w="517" w:type="pct"/>
            <w:shd w:val="clear" w:color="auto" w:fill="DAEEF3" w:themeFill="accent5" w:themeFillTint="33"/>
            <w:vAlign w:val="center"/>
          </w:tcPr>
          <w:p w14:paraId="0D62682B" w14:textId="073B1C88" w:rsidR="00A34562" w:rsidRPr="006A4E5D" w:rsidRDefault="00D03C31" w:rsidP="00E91758">
            <w:pPr>
              <w:pStyle w:val="naislab"/>
              <w:spacing w:before="0" w:after="0"/>
              <w:jc w:val="center"/>
              <w:rPr>
                <w:sz w:val="24"/>
              </w:rPr>
            </w:pPr>
            <w:r>
              <w:rPr>
                <w:sz w:val="24"/>
              </w:rPr>
              <w:t>n.a.*</w:t>
            </w:r>
          </w:p>
        </w:tc>
        <w:tc>
          <w:tcPr>
            <w:tcW w:w="517" w:type="pct"/>
            <w:vAlign w:val="center"/>
          </w:tcPr>
          <w:p w14:paraId="1342F950" w14:textId="2D5B8C1F" w:rsidR="00A34562" w:rsidRPr="006A4E5D" w:rsidRDefault="00D03C31" w:rsidP="00E91758">
            <w:pPr>
              <w:pStyle w:val="naislab"/>
              <w:spacing w:before="0" w:after="0"/>
              <w:jc w:val="center"/>
              <w:rPr>
                <w:sz w:val="24"/>
              </w:rPr>
            </w:pPr>
            <w:r>
              <w:rPr>
                <w:sz w:val="24"/>
              </w:rPr>
              <w:t>-</w:t>
            </w:r>
          </w:p>
        </w:tc>
        <w:tc>
          <w:tcPr>
            <w:tcW w:w="517" w:type="pct"/>
            <w:shd w:val="clear" w:color="auto" w:fill="auto"/>
            <w:vAlign w:val="center"/>
          </w:tcPr>
          <w:p w14:paraId="0B6334AD" w14:textId="3091AB75" w:rsidR="00A34562" w:rsidRPr="00F5511B" w:rsidRDefault="00D03C31" w:rsidP="00E91758">
            <w:pPr>
              <w:pStyle w:val="naislab"/>
              <w:spacing w:before="0" w:after="0"/>
              <w:jc w:val="center"/>
              <w:rPr>
                <w:sz w:val="24"/>
                <w:highlight w:val="yellow"/>
              </w:rPr>
            </w:pPr>
            <w:r w:rsidRPr="006A4E5D">
              <w:rPr>
                <w:sz w:val="24"/>
              </w:rPr>
              <w:t>39/n.a.</w:t>
            </w:r>
          </w:p>
        </w:tc>
      </w:tr>
      <w:tr w:rsidR="00A34562" w:rsidRPr="00F5511B" w14:paraId="0D865D2D" w14:textId="77777777" w:rsidTr="00B67AD6">
        <w:trPr>
          <w:trHeight w:val="20"/>
        </w:trPr>
        <w:tc>
          <w:tcPr>
            <w:tcW w:w="1263" w:type="pct"/>
          </w:tcPr>
          <w:p w14:paraId="30E97624" w14:textId="77777777" w:rsidR="00A34562" w:rsidRPr="006A4E5D" w:rsidRDefault="00A34562" w:rsidP="00E91758">
            <w:pPr>
              <w:pStyle w:val="naislab"/>
              <w:spacing w:before="0" w:after="0"/>
              <w:jc w:val="left"/>
              <w:rPr>
                <w:sz w:val="24"/>
                <w:highlight w:val="yellow"/>
              </w:rPr>
            </w:pPr>
            <w:r w:rsidRPr="006A4E5D">
              <w:rPr>
                <w:sz w:val="24"/>
              </w:rPr>
              <w:t>6.2. Uzlabota ES un Baltijas valstu strapsavienojamība dabasgāzes tirgū, lai veicinātu iespējas pirkt dabasgāzi no dažādiem avotiem un pa dažādiem piegādes ceļiem visās trīs Baltijas valstīs</w:t>
            </w:r>
          </w:p>
        </w:tc>
        <w:tc>
          <w:tcPr>
            <w:tcW w:w="1149" w:type="pct"/>
          </w:tcPr>
          <w:p w14:paraId="07661055" w14:textId="77777777" w:rsidR="00A34562" w:rsidRPr="00F5511B" w:rsidRDefault="00A34562" w:rsidP="00E91758">
            <w:pPr>
              <w:pStyle w:val="ListParagraph"/>
              <w:spacing w:before="60" w:after="60"/>
              <w:ind w:left="0"/>
              <w:rPr>
                <w:highlight w:val="yellow"/>
              </w:rPr>
            </w:pPr>
            <w:r>
              <w:t xml:space="preserve">6.2.1. </w:t>
            </w:r>
            <w:r w:rsidRPr="007F1CCA">
              <w:t>Baltijas valstu dabasgāzes pārvades savienojumi ar citām ES valstīm (skaits)</w:t>
            </w:r>
          </w:p>
        </w:tc>
        <w:tc>
          <w:tcPr>
            <w:tcW w:w="518" w:type="pct"/>
            <w:shd w:val="clear" w:color="auto" w:fill="DAEEF3" w:themeFill="accent5" w:themeFillTint="33"/>
            <w:vAlign w:val="center"/>
          </w:tcPr>
          <w:p w14:paraId="715FC233" w14:textId="122DC384" w:rsidR="00A34562" w:rsidRPr="006C1EC5" w:rsidRDefault="00C54DD4" w:rsidP="00E91758">
            <w:pPr>
              <w:pStyle w:val="naislab"/>
              <w:spacing w:before="0" w:after="0"/>
              <w:jc w:val="center"/>
              <w:rPr>
                <w:sz w:val="24"/>
              </w:rPr>
            </w:pPr>
            <w:r>
              <w:rPr>
                <w:sz w:val="24"/>
              </w:rPr>
              <w:t>-</w:t>
            </w:r>
          </w:p>
        </w:tc>
        <w:tc>
          <w:tcPr>
            <w:tcW w:w="517" w:type="pct"/>
            <w:shd w:val="clear" w:color="auto" w:fill="auto"/>
            <w:vAlign w:val="center"/>
          </w:tcPr>
          <w:p w14:paraId="01AA0170" w14:textId="00B25248" w:rsidR="00A34562" w:rsidRPr="006C1EC5" w:rsidRDefault="00A34562" w:rsidP="00E91758">
            <w:pPr>
              <w:pStyle w:val="naislab"/>
              <w:spacing w:before="0" w:after="0"/>
              <w:jc w:val="center"/>
              <w:rPr>
                <w:sz w:val="24"/>
              </w:rPr>
            </w:pPr>
            <w:r w:rsidRPr="006C1EC5">
              <w:rPr>
                <w:sz w:val="24"/>
              </w:rPr>
              <w:t>1</w:t>
            </w:r>
          </w:p>
        </w:tc>
        <w:tc>
          <w:tcPr>
            <w:tcW w:w="517" w:type="pct"/>
            <w:shd w:val="clear" w:color="auto" w:fill="DAEEF3" w:themeFill="accent5" w:themeFillTint="33"/>
            <w:vAlign w:val="center"/>
          </w:tcPr>
          <w:p w14:paraId="7205D02B" w14:textId="540B57E4" w:rsidR="00A34562" w:rsidRPr="00F5511B" w:rsidRDefault="00C54DD4" w:rsidP="00E91758">
            <w:pPr>
              <w:pStyle w:val="naislab"/>
              <w:spacing w:before="0" w:after="0"/>
              <w:jc w:val="center"/>
              <w:rPr>
                <w:sz w:val="24"/>
                <w:highlight w:val="yellow"/>
              </w:rPr>
            </w:pPr>
            <w:r>
              <w:rPr>
                <w:sz w:val="24"/>
              </w:rPr>
              <w:t>2</w:t>
            </w:r>
          </w:p>
        </w:tc>
        <w:tc>
          <w:tcPr>
            <w:tcW w:w="517" w:type="pct"/>
            <w:vAlign w:val="center"/>
          </w:tcPr>
          <w:p w14:paraId="64100173" w14:textId="5237A776" w:rsidR="00A34562" w:rsidRPr="006C1EC5" w:rsidRDefault="00C54DD4" w:rsidP="00E91758">
            <w:pPr>
              <w:pStyle w:val="naislab"/>
              <w:spacing w:before="0" w:after="0"/>
              <w:jc w:val="center"/>
              <w:rPr>
                <w:sz w:val="24"/>
              </w:rPr>
            </w:pPr>
            <w:r>
              <w:rPr>
                <w:sz w:val="24"/>
              </w:rPr>
              <w:t>2</w:t>
            </w:r>
          </w:p>
        </w:tc>
        <w:tc>
          <w:tcPr>
            <w:tcW w:w="517" w:type="pct"/>
            <w:shd w:val="clear" w:color="auto" w:fill="auto"/>
            <w:vAlign w:val="center"/>
          </w:tcPr>
          <w:p w14:paraId="55147982" w14:textId="3C2032CF" w:rsidR="00A34562" w:rsidRPr="006C1EC5" w:rsidRDefault="00C54DD4" w:rsidP="00E91758">
            <w:pPr>
              <w:pStyle w:val="naislab"/>
              <w:spacing w:before="0" w:after="0"/>
              <w:jc w:val="center"/>
              <w:rPr>
                <w:sz w:val="24"/>
              </w:rPr>
            </w:pPr>
            <w:r>
              <w:rPr>
                <w:sz w:val="24"/>
              </w:rPr>
              <w:t>2</w:t>
            </w:r>
          </w:p>
        </w:tc>
      </w:tr>
      <w:tr w:rsidR="00A34562" w:rsidRPr="00F5511B" w14:paraId="0E49371F" w14:textId="77777777" w:rsidTr="00B67AD6">
        <w:trPr>
          <w:trHeight w:val="20"/>
        </w:trPr>
        <w:tc>
          <w:tcPr>
            <w:tcW w:w="1263" w:type="pct"/>
          </w:tcPr>
          <w:p w14:paraId="76B13EDE" w14:textId="77777777" w:rsidR="00A34562" w:rsidRPr="006C1EC5" w:rsidRDefault="00A34562" w:rsidP="00E91758">
            <w:pPr>
              <w:pStyle w:val="naislab"/>
              <w:spacing w:before="0" w:after="0"/>
              <w:jc w:val="left"/>
              <w:rPr>
                <w:sz w:val="24"/>
                <w:highlight w:val="yellow"/>
              </w:rPr>
            </w:pPr>
            <w:r w:rsidRPr="006C1EC5">
              <w:rPr>
                <w:sz w:val="24"/>
              </w:rPr>
              <w:t>6.3. Optimizēts elektroenerģijas piesl</w:t>
            </w:r>
            <w:r>
              <w:rPr>
                <w:sz w:val="24"/>
              </w:rPr>
              <w:t>ē</w:t>
            </w:r>
            <w:r w:rsidRPr="006C1EC5">
              <w:rPr>
                <w:sz w:val="24"/>
              </w:rPr>
              <w:t>guma izveidei nepieciešamais laiks</w:t>
            </w:r>
          </w:p>
        </w:tc>
        <w:tc>
          <w:tcPr>
            <w:tcW w:w="1149" w:type="pct"/>
          </w:tcPr>
          <w:p w14:paraId="08C5BB58" w14:textId="77777777" w:rsidR="00A34562" w:rsidRPr="00F5511B" w:rsidRDefault="00A34562" w:rsidP="00E91758">
            <w:pPr>
              <w:pStyle w:val="ListParagraph"/>
              <w:spacing w:before="60" w:after="60"/>
              <w:ind w:left="0"/>
              <w:rPr>
                <w:highlight w:val="yellow"/>
              </w:rPr>
            </w:pPr>
            <w:r w:rsidRPr="00512D65">
              <w:rPr>
                <w:bCs/>
              </w:rPr>
              <w:t xml:space="preserve">6.3.1. </w:t>
            </w:r>
            <w:r w:rsidRPr="00F06E20">
              <w:t>Cik dienas iepriekš pirms darbu uzsākšanas energoapgādes komersants par jauna objekta ierīkošanu vai esošā objekta paplašināšanu brīdina nekustamā īpašuma īpašnieku (skaits)</w:t>
            </w:r>
          </w:p>
        </w:tc>
        <w:tc>
          <w:tcPr>
            <w:tcW w:w="518" w:type="pct"/>
            <w:shd w:val="clear" w:color="auto" w:fill="DAEEF3" w:themeFill="accent5" w:themeFillTint="33"/>
            <w:vAlign w:val="center"/>
          </w:tcPr>
          <w:p w14:paraId="477DA7E3" w14:textId="3334252C" w:rsidR="00A34562" w:rsidRPr="00D03C31" w:rsidRDefault="00A34562" w:rsidP="00E91758">
            <w:pPr>
              <w:pStyle w:val="naislab"/>
              <w:spacing w:before="0" w:after="0"/>
              <w:jc w:val="center"/>
              <w:rPr>
                <w:sz w:val="24"/>
              </w:rPr>
            </w:pPr>
            <w:r w:rsidRPr="00D03C31">
              <w:rPr>
                <w:sz w:val="24"/>
              </w:rPr>
              <w:t>30</w:t>
            </w:r>
          </w:p>
        </w:tc>
        <w:tc>
          <w:tcPr>
            <w:tcW w:w="517" w:type="pct"/>
            <w:shd w:val="clear" w:color="auto" w:fill="auto"/>
            <w:vAlign w:val="center"/>
          </w:tcPr>
          <w:p w14:paraId="3A9E7B4B" w14:textId="7282DC87" w:rsidR="00A34562" w:rsidRPr="00D03C31" w:rsidRDefault="00A34562" w:rsidP="00E91758">
            <w:pPr>
              <w:pStyle w:val="naislab"/>
              <w:spacing w:before="0" w:after="0"/>
              <w:jc w:val="center"/>
              <w:rPr>
                <w:sz w:val="24"/>
              </w:rPr>
            </w:pPr>
            <w:r w:rsidRPr="00D03C31">
              <w:rPr>
                <w:sz w:val="24"/>
              </w:rPr>
              <w:t>15</w:t>
            </w:r>
          </w:p>
        </w:tc>
        <w:tc>
          <w:tcPr>
            <w:tcW w:w="517" w:type="pct"/>
            <w:shd w:val="clear" w:color="auto" w:fill="DAEEF3" w:themeFill="accent5" w:themeFillTint="33"/>
            <w:vAlign w:val="center"/>
          </w:tcPr>
          <w:p w14:paraId="6CECBF30" w14:textId="21531531" w:rsidR="00A34562" w:rsidRPr="00D03C31" w:rsidRDefault="00D03C31" w:rsidP="00E91758">
            <w:pPr>
              <w:pStyle w:val="naislab"/>
              <w:spacing w:before="0" w:after="0"/>
              <w:jc w:val="center"/>
              <w:rPr>
                <w:sz w:val="24"/>
              </w:rPr>
            </w:pPr>
            <w:r w:rsidRPr="00D03C31">
              <w:rPr>
                <w:sz w:val="24"/>
              </w:rPr>
              <w:t>15</w:t>
            </w:r>
          </w:p>
        </w:tc>
        <w:tc>
          <w:tcPr>
            <w:tcW w:w="517" w:type="pct"/>
            <w:vAlign w:val="center"/>
          </w:tcPr>
          <w:p w14:paraId="516F9790" w14:textId="77777777" w:rsidR="00A34562" w:rsidRPr="00D03C31" w:rsidRDefault="00A34562" w:rsidP="00E91758">
            <w:pPr>
              <w:pStyle w:val="naislab"/>
              <w:spacing w:before="0" w:after="0"/>
              <w:jc w:val="center"/>
              <w:rPr>
                <w:sz w:val="24"/>
              </w:rPr>
            </w:pPr>
            <w:r w:rsidRPr="00D03C31">
              <w:rPr>
                <w:sz w:val="24"/>
              </w:rPr>
              <w:t>15</w:t>
            </w:r>
          </w:p>
        </w:tc>
        <w:tc>
          <w:tcPr>
            <w:tcW w:w="517" w:type="pct"/>
            <w:shd w:val="clear" w:color="auto" w:fill="auto"/>
            <w:vAlign w:val="center"/>
          </w:tcPr>
          <w:p w14:paraId="4116445B" w14:textId="0B60ACE1" w:rsidR="00A34562" w:rsidRPr="00D03C31" w:rsidRDefault="00D03C31" w:rsidP="00E91758">
            <w:pPr>
              <w:pStyle w:val="naislab"/>
              <w:spacing w:before="0" w:after="0"/>
              <w:jc w:val="center"/>
              <w:rPr>
                <w:sz w:val="24"/>
              </w:rPr>
            </w:pPr>
            <w:r w:rsidRPr="00D03C31">
              <w:rPr>
                <w:sz w:val="24"/>
              </w:rPr>
              <w:t>15</w:t>
            </w:r>
          </w:p>
        </w:tc>
      </w:tr>
    </w:tbl>
    <w:p w14:paraId="29D44E7F" w14:textId="41309A8A" w:rsidR="00305C2F" w:rsidRPr="00305C2F" w:rsidRDefault="006158BA" w:rsidP="00305C2F">
      <w:pPr>
        <w:pStyle w:val="ListParagraph"/>
        <w:spacing w:before="60"/>
        <w:ind w:left="0" w:right="108"/>
        <w:rPr>
          <w:i/>
          <w:sz w:val="18"/>
          <w:szCs w:val="18"/>
        </w:rPr>
      </w:pPr>
      <w:r w:rsidRPr="00305C2F">
        <w:rPr>
          <w:i/>
          <w:sz w:val="18"/>
          <w:szCs w:val="18"/>
        </w:rPr>
        <w:t>Avots: EM darbības stratēģija 20</w:t>
      </w:r>
      <w:r w:rsidR="00305C2F">
        <w:rPr>
          <w:i/>
          <w:sz w:val="18"/>
          <w:szCs w:val="18"/>
        </w:rPr>
        <w:t>20</w:t>
      </w:r>
      <w:r w:rsidRPr="00305C2F">
        <w:rPr>
          <w:i/>
          <w:sz w:val="18"/>
          <w:szCs w:val="18"/>
        </w:rPr>
        <w:t>.-20</w:t>
      </w:r>
      <w:r w:rsidR="00305C2F">
        <w:rPr>
          <w:i/>
          <w:sz w:val="18"/>
          <w:szCs w:val="18"/>
        </w:rPr>
        <w:t>22</w:t>
      </w:r>
      <w:r w:rsidRPr="00305C2F">
        <w:rPr>
          <w:i/>
          <w:sz w:val="18"/>
          <w:szCs w:val="18"/>
        </w:rPr>
        <w:t xml:space="preserve">.gadam, EM aprēķini, </w:t>
      </w:r>
      <w:r w:rsidR="00C54DD4">
        <w:rPr>
          <w:i/>
          <w:sz w:val="18"/>
          <w:szCs w:val="18"/>
        </w:rPr>
        <w:t>d</w:t>
      </w:r>
      <w:r w:rsidR="00C54DD4" w:rsidRPr="00D03C31">
        <w:rPr>
          <w:i/>
          <w:sz w:val="18"/>
          <w:szCs w:val="18"/>
        </w:rPr>
        <w:t>ati par 2020.gadu izgūti 2021.gada jūlija mēnesī (2</w:t>
      </w:r>
      <w:r w:rsidR="00C54DD4">
        <w:rPr>
          <w:i/>
          <w:sz w:val="18"/>
          <w:szCs w:val="18"/>
        </w:rPr>
        <w:t>7</w:t>
      </w:r>
      <w:r w:rsidR="00C54DD4" w:rsidRPr="00D03C31">
        <w:rPr>
          <w:i/>
          <w:sz w:val="18"/>
          <w:szCs w:val="18"/>
        </w:rPr>
        <w:t>.0</w:t>
      </w:r>
      <w:r w:rsidR="00C54DD4">
        <w:rPr>
          <w:i/>
          <w:sz w:val="18"/>
          <w:szCs w:val="18"/>
        </w:rPr>
        <w:t>7</w:t>
      </w:r>
      <w:r w:rsidR="00C54DD4" w:rsidRPr="00D03C31">
        <w:rPr>
          <w:i/>
          <w:sz w:val="18"/>
          <w:szCs w:val="18"/>
        </w:rPr>
        <w:t>.202</w:t>
      </w:r>
      <w:r w:rsidR="00C54DD4">
        <w:rPr>
          <w:i/>
          <w:sz w:val="18"/>
          <w:szCs w:val="18"/>
        </w:rPr>
        <w:t>1</w:t>
      </w:r>
      <w:r w:rsidR="00C54DD4" w:rsidRPr="00D03C31">
        <w:rPr>
          <w:i/>
          <w:sz w:val="18"/>
          <w:szCs w:val="18"/>
        </w:rPr>
        <w:t>.)</w:t>
      </w:r>
    </w:p>
    <w:p w14:paraId="6A1DA9C9" w14:textId="6A95A37C" w:rsidR="00D03C31" w:rsidRDefault="006158BA" w:rsidP="00D03C31">
      <w:pPr>
        <w:spacing w:after="0" w:line="240" w:lineRule="auto"/>
      </w:pPr>
      <w:r w:rsidRPr="00D03C31">
        <w:rPr>
          <w:i/>
          <w:sz w:val="18"/>
          <w:szCs w:val="18"/>
        </w:rPr>
        <w:t xml:space="preserve">* </w:t>
      </w:r>
      <w:r w:rsidR="00D03C31" w:rsidRPr="00D03C31">
        <w:rPr>
          <w:i/>
          <w:iCs/>
          <w:color w:val="000000" w:themeColor="text1"/>
          <w:sz w:val="18"/>
          <w:szCs w:val="18"/>
        </w:rPr>
        <w:t>G</w:t>
      </w:r>
      <w:r w:rsidR="00D03C31" w:rsidRPr="007B44D4">
        <w:rPr>
          <w:i/>
          <w:iCs/>
          <w:color w:val="000000" w:themeColor="text1"/>
          <w:sz w:val="18"/>
          <w:szCs w:val="18"/>
        </w:rPr>
        <w:t>lobālās konkurētspējas indeksa novērtēšanas vietā 2020.gadā tika sagatavots speciālizdevums</w:t>
      </w:r>
      <w:r w:rsidR="00D03C31">
        <w:rPr>
          <w:i/>
          <w:iCs/>
          <w:color w:val="000000" w:themeColor="text1"/>
          <w:sz w:val="18"/>
          <w:szCs w:val="18"/>
        </w:rPr>
        <w:t xml:space="preserve"> (</w:t>
      </w:r>
      <w:hyperlink r:id="rId158" w:history="1">
        <w:r w:rsidR="00D03C31" w:rsidRPr="00D03C31">
          <w:rPr>
            <w:rStyle w:val="Hyperlink"/>
            <w:i/>
            <w:iCs/>
            <w:color w:val="00859B"/>
            <w:sz w:val="18"/>
            <w:szCs w:val="18"/>
          </w:rPr>
          <w:t>http://www3.weforum.org/docs/WEF_TheGlobalCompetitivenessReport2020.pdf</w:t>
        </w:r>
      </w:hyperlink>
      <w:r w:rsidR="00D03C31" w:rsidRPr="00D03C31">
        <w:rPr>
          <w:i/>
          <w:iCs/>
          <w:color w:val="00859B"/>
          <w:sz w:val="18"/>
          <w:szCs w:val="18"/>
        </w:rPr>
        <w:t xml:space="preserve"> </w:t>
      </w:r>
      <w:r w:rsidR="00D03C31">
        <w:rPr>
          <w:i/>
          <w:iCs/>
          <w:color w:val="000000" w:themeColor="text1"/>
          <w:sz w:val="18"/>
          <w:szCs w:val="18"/>
        </w:rPr>
        <w:t>)</w:t>
      </w:r>
    </w:p>
    <w:p w14:paraId="731EE0EB" w14:textId="65DCC754" w:rsidR="006158BA" w:rsidRPr="00D03C31" w:rsidRDefault="006158BA" w:rsidP="006158BA">
      <w:pPr>
        <w:autoSpaceDE w:val="0"/>
        <w:autoSpaceDN w:val="0"/>
        <w:adjustRightInd w:val="0"/>
        <w:spacing w:after="0" w:line="240" w:lineRule="auto"/>
        <w:rPr>
          <w:i/>
          <w:sz w:val="18"/>
          <w:szCs w:val="18"/>
        </w:rPr>
      </w:pPr>
    </w:p>
    <w:p w14:paraId="36679DB7" w14:textId="77777777" w:rsidR="00E91758" w:rsidRPr="00F5511B" w:rsidRDefault="00E91758" w:rsidP="00840134">
      <w:pPr>
        <w:autoSpaceDE w:val="0"/>
        <w:autoSpaceDN w:val="0"/>
        <w:adjustRightInd w:val="0"/>
        <w:spacing w:after="0" w:line="240" w:lineRule="auto"/>
        <w:rPr>
          <w:i/>
          <w:sz w:val="18"/>
          <w:szCs w:val="18"/>
          <w:highlight w:val="yellow"/>
        </w:rPr>
      </w:pPr>
    </w:p>
    <w:p w14:paraId="7282D351" w14:textId="77777777" w:rsidR="00B91024" w:rsidRPr="00F5511B" w:rsidRDefault="00B91024">
      <w:pPr>
        <w:spacing w:after="0" w:line="240" w:lineRule="auto"/>
        <w:rPr>
          <w:rFonts w:eastAsia="Times New Roman" w:cs="Times New Roman"/>
          <w:i/>
          <w:sz w:val="18"/>
          <w:szCs w:val="18"/>
          <w:highlight w:val="yellow"/>
          <w:lang w:eastAsia="lv-LV"/>
        </w:rPr>
      </w:pPr>
      <w:r w:rsidRPr="00F5511B">
        <w:rPr>
          <w:i/>
          <w:sz w:val="18"/>
          <w:szCs w:val="18"/>
          <w:highlight w:val="yellow"/>
        </w:rPr>
        <w:br w:type="page"/>
      </w:r>
    </w:p>
    <w:p w14:paraId="1FF1BB46" w14:textId="6C724E5A" w:rsidR="003539DA" w:rsidRPr="00BE01F2" w:rsidRDefault="00036FF4" w:rsidP="00BE6C4B">
      <w:pPr>
        <w:pStyle w:val="Heading1"/>
        <w:numPr>
          <w:ilvl w:val="0"/>
          <w:numId w:val="9"/>
        </w:numPr>
        <w:spacing w:after="60"/>
        <w:ind w:right="-172"/>
      </w:pPr>
      <w:bookmarkStart w:id="119" w:name="_Pielikums._EM_īstenojamo"/>
      <w:bookmarkStart w:id="120" w:name="_Toc78874625"/>
      <w:bookmarkStart w:id="121" w:name="_Toc520374389"/>
      <w:bookmarkEnd w:id="119"/>
      <w:r w:rsidRPr="00BE01F2">
        <w:rPr>
          <w:b w:val="0"/>
        </w:rPr>
        <w:lastRenderedPageBreak/>
        <w:t>Pielikums</w:t>
      </w:r>
      <w:r w:rsidRPr="00BE01F2">
        <w:t>.</w:t>
      </w:r>
      <w:bookmarkStart w:id="122" w:name="_Toc520210594"/>
      <w:r w:rsidR="003A504F">
        <w:t xml:space="preserve"> </w:t>
      </w:r>
      <w:r w:rsidR="003539DA" w:rsidRPr="00BE01F2">
        <w:t>EM īstenojamo ES fondu pasākumu saraksts plānošanas periodā no 2014. līdz 2020.gadam</w:t>
      </w:r>
      <w:bookmarkEnd w:id="120"/>
      <w:bookmarkEnd w:id="122"/>
    </w:p>
    <w:tbl>
      <w:tblPr>
        <w:tblW w:w="15224" w:type="dxa"/>
        <w:tblInd w:w="-10" w:type="dxa"/>
        <w:tblLook w:val="04A0" w:firstRow="1" w:lastRow="0" w:firstColumn="1" w:lastColumn="0" w:noHBand="0" w:noVBand="1"/>
      </w:tblPr>
      <w:tblGrid>
        <w:gridCol w:w="1560"/>
        <w:gridCol w:w="1106"/>
        <w:gridCol w:w="5844"/>
        <w:gridCol w:w="1979"/>
        <w:gridCol w:w="1701"/>
        <w:gridCol w:w="1559"/>
        <w:gridCol w:w="1475"/>
      </w:tblGrid>
      <w:tr w:rsidR="00E604B5" w:rsidRPr="003E5BB8" w14:paraId="4F713B03" w14:textId="77777777" w:rsidTr="00E91758">
        <w:trPr>
          <w:trHeight w:val="102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A25C1"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EM prioritārie virzieni</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70EDD"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Pasākuma Nr.</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2580"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Pasākuma nosaukums</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58B05"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 xml:space="preserve">ES fondu finansējuma daļa 2014.- 2020.g., </w:t>
            </w:r>
            <w:r w:rsidRPr="00E604B5">
              <w:rPr>
                <w:rFonts w:eastAsia="Times New Roman"/>
                <w:b/>
                <w:bCs/>
                <w:i/>
                <w:iCs/>
                <w:color w:val="000000"/>
                <w:sz w:val="20"/>
                <w:szCs w:val="20"/>
                <w:lang w:eastAsia="lv-LV"/>
              </w:rPr>
              <w:t>euro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331D5"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 xml:space="preserve">Izmaksāts līdz 31.12.2020., </w:t>
            </w:r>
            <w:r w:rsidRPr="00E604B5">
              <w:rPr>
                <w:rFonts w:eastAsia="Times New Roman"/>
                <w:b/>
                <w:bCs/>
                <w:i/>
                <w:iCs/>
                <w:color w:val="000000"/>
                <w:sz w:val="20"/>
                <w:szCs w:val="20"/>
                <w:lang w:eastAsia="lv-LV"/>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B8B40"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Izmaksāts līdz 31.12.2020., % no piešķīruma</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9EC0C" w14:textId="77777777" w:rsidR="00E604B5" w:rsidRPr="00E604B5" w:rsidRDefault="00E604B5" w:rsidP="00945712">
            <w:pPr>
              <w:spacing w:after="0" w:line="240" w:lineRule="auto"/>
              <w:jc w:val="center"/>
              <w:rPr>
                <w:rFonts w:eastAsia="Times New Roman"/>
                <w:b/>
                <w:bCs/>
                <w:color w:val="000000"/>
                <w:sz w:val="20"/>
                <w:szCs w:val="20"/>
                <w:lang w:eastAsia="lv-LV"/>
              </w:rPr>
            </w:pPr>
            <w:r w:rsidRPr="00E604B5">
              <w:rPr>
                <w:rFonts w:eastAsia="Times New Roman"/>
                <w:b/>
                <w:bCs/>
                <w:color w:val="000000"/>
                <w:sz w:val="20"/>
                <w:szCs w:val="20"/>
                <w:lang w:eastAsia="lv-LV"/>
              </w:rPr>
              <w:t xml:space="preserve">Veiktie maksājumi 2020.g. jan.-dec., </w:t>
            </w:r>
            <w:r w:rsidRPr="00E604B5">
              <w:rPr>
                <w:rFonts w:eastAsia="Times New Roman"/>
                <w:b/>
                <w:bCs/>
                <w:i/>
                <w:iCs/>
                <w:color w:val="000000"/>
                <w:sz w:val="20"/>
                <w:szCs w:val="20"/>
                <w:lang w:eastAsia="lv-LV"/>
              </w:rPr>
              <w:t>euro</w:t>
            </w:r>
          </w:p>
        </w:tc>
      </w:tr>
      <w:tr w:rsidR="00E604B5" w:rsidRPr="003E5BB8" w14:paraId="1A2BD5FA" w14:textId="77777777" w:rsidTr="00E91758">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F1B3D6"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Pētniecība, tehnoloģiju attīstība un inovācijas</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CF919"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1.2.1.1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D248D"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jaunu produktu un tehnoloģiju izstrādei kompetences centru ietvaros</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37B0015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63 150 605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0A22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40 657 487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97E7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64.40%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4B1F5" w14:textId="77777777" w:rsidR="00BE01F2" w:rsidRPr="00C669FC" w:rsidRDefault="00BE01F2"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11 938 868</w:t>
            </w:r>
          </w:p>
        </w:tc>
      </w:tr>
      <w:tr w:rsidR="00E604B5" w:rsidRPr="003E5BB8" w14:paraId="30CD487F"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BCA6B9"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4C4F3"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1.2.1.2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46B87"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tehnoloģiju pārneses sistēmas pilnveidošanai</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536DFE4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30 011 000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184C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7 012 470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0621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23.40%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11B33" w14:textId="77777777" w:rsidR="00E604B5" w:rsidRPr="00C669FC" w:rsidRDefault="00E604B5"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3 292 023</w:t>
            </w:r>
          </w:p>
        </w:tc>
      </w:tr>
      <w:tr w:rsidR="00E604B5" w:rsidRPr="003E5BB8" w14:paraId="708763AE"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63093A"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5CEC9"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1.2.1.4</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AD143"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jaunu produktu ieviešanai ražošanā</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DFA9B75"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52 640 939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AA01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20 597 296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D2C6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39.10%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CA01D" w14:textId="77777777" w:rsidR="00E604B5" w:rsidRPr="00C669FC" w:rsidRDefault="00E604B5"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8 662 559</w:t>
            </w:r>
          </w:p>
        </w:tc>
      </w:tr>
      <w:tr w:rsidR="00E604B5" w:rsidRPr="003E5BB8" w14:paraId="1AEEAE41"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0800AD"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EA710"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1.2.2.1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C1630"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nodarbināto apmācībām</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565BEF3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14 735 844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46779"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7 030 959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24EA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47.70%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0DB6C" w14:textId="77777777" w:rsidR="00BE01F2" w:rsidRPr="00C669FC" w:rsidRDefault="00BE01F2"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1 134 749</w:t>
            </w:r>
          </w:p>
        </w:tc>
      </w:tr>
      <w:tr w:rsidR="00E604B5" w:rsidRPr="003E5BB8" w14:paraId="572088B1"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9FBC5E"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A4A4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1.2.2.2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131E2"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Inovāciju motivācijas programma</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1D7370B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4 801 192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7C62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2 814 905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2C9E"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58.60%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185A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880 815</w:t>
            </w:r>
          </w:p>
        </w:tc>
      </w:tr>
      <w:tr w:rsidR="00E604B5" w:rsidRPr="003E5BB8" w14:paraId="465030AD" w14:textId="77777777" w:rsidTr="00E91758">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28DD46"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D7A48"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1.2.2.3</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8EA4E"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IKT un netehnoloģiskām apmācībām, kā arī apmācībā, lai sekmētu investoru piesaisti</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69119D7B"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6 908 242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36E25"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1 923 842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561F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27.80%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B7F5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571 368</w:t>
            </w:r>
          </w:p>
        </w:tc>
      </w:tr>
      <w:tr w:rsidR="00E604B5" w:rsidRPr="003E5BB8" w14:paraId="6FF58FEF" w14:textId="77777777" w:rsidTr="00E91758">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8260E"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Mazo un vidējo komersantu konkurētspēja</w:t>
            </w: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8AC51"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3.1.1.1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79955"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Aizdevumu garantijas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7AD24018"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43 800 000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1E05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36 322 170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3AC1"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82.90%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2CD2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17 183 597</w:t>
            </w:r>
          </w:p>
        </w:tc>
      </w:tr>
      <w:tr w:rsidR="00E604B5" w:rsidRPr="003E5BB8" w14:paraId="1464B2B8"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9FAF32"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0F63F"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3.1.1.2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383A2"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Mezanīna aizdevumi</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B9DD94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7 000 000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4991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4 114 162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2A2B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58.80%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9DEC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1 215 149</w:t>
            </w:r>
          </w:p>
        </w:tc>
      </w:tr>
      <w:tr w:rsidR="001E1F41" w:rsidRPr="003E5BB8" w14:paraId="42D26722"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tcPr>
          <w:p w14:paraId="16F33763" w14:textId="77777777" w:rsidR="001E1F41" w:rsidRPr="003E5BB8" w:rsidRDefault="001E1F41"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tcPr>
          <w:p w14:paraId="0BA07F93" w14:textId="78E92769" w:rsidR="001E1F41" w:rsidRPr="003E5BB8" w:rsidRDefault="001E1F41" w:rsidP="00945712">
            <w:pPr>
              <w:spacing w:after="0" w:line="240" w:lineRule="auto"/>
              <w:rPr>
                <w:rFonts w:eastAsia="Times New Roman"/>
                <w:color w:val="000000"/>
                <w:sz w:val="18"/>
                <w:szCs w:val="18"/>
                <w:lang w:eastAsia="lv-LV"/>
              </w:rPr>
            </w:pPr>
            <w:r>
              <w:rPr>
                <w:rFonts w:eastAsia="Times New Roman"/>
                <w:color w:val="000000"/>
                <w:sz w:val="18"/>
                <w:szCs w:val="18"/>
                <w:lang w:eastAsia="lv-LV"/>
              </w:rPr>
              <w:t>3.1.1.3</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tcPr>
          <w:p w14:paraId="274ADD21" w14:textId="51B5E2B1" w:rsidR="001E1F41" w:rsidRPr="003E5BB8" w:rsidRDefault="001E1F41" w:rsidP="00945712">
            <w:pPr>
              <w:spacing w:after="0" w:line="240" w:lineRule="auto"/>
              <w:rPr>
                <w:rFonts w:eastAsia="Times New Roman"/>
                <w:color w:val="000000"/>
                <w:sz w:val="18"/>
                <w:szCs w:val="18"/>
                <w:lang w:eastAsia="lv-LV"/>
              </w:rPr>
            </w:pPr>
            <w:r w:rsidRPr="00E52899">
              <w:rPr>
                <w:rFonts w:eastAsia="Times New Roman" w:cs="Times New Roman"/>
                <w:color w:val="000000"/>
                <w:sz w:val="18"/>
                <w:szCs w:val="18"/>
                <w:lang w:eastAsia="lv-LV"/>
              </w:rPr>
              <w:t>Atbalsts mazo, vidējo komersantu finansējuma piesaistei kapitāla tirgos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tcPr>
          <w:p w14:paraId="7E1213B3" w14:textId="70B088FB" w:rsidR="001E1F41" w:rsidRPr="003E5BB8" w:rsidRDefault="001E1F41" w:rsidP="00945712">
            <w:pPr>
              <w:spacing w:after="0" w:line="240" w:lineRule="auto"/>
              <w:jc w:val="center"/>
              <w:rPr>
                <w:rFonts w:eastAsia="Times New Roman"/>
                <w:color w:val="000000"/>
                <w:sz w:val="18"/>
                <w:szCs w:val="18"/>
                <w:lang w:eastAsia="lv-LV"/>
              </w:rPr>
            </w:pPr>
            <w:r>
              <w:rPr>
                <w:rFonts w:eastAsia="Times New Roman"/>
                <w:color w:val="000000"/>
                <w:sz w:val="18"/>
                <w:szCs w:val="18"/>
                <w:lang w:eastAsia="lv-LV"/>
              </w:rPr>
              <w:t>1 000 000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8ABCA1" w14:textId="3F83F6C6" w:rsidR="001E1F41" w:rsidRPr="003E5BB8" w:rsidRDefault="001E1F41" w:rsidP="00945712">
            <w:pPr>
              <w:spacing w:after="0" w:line="240" w:lineRule="auto"/>
              <w:jc w:val="center"/>
              <w:rPr>
                <w:rFonts w:eastAsia="Times New Roman"/>
                <w:color w:val="000000"/>
                <w:sz w:val="18"/>
                <w:szCs w:val="18"/>
                <w:lang w:eastAsia="lv-LV"/>
              </w:rPr>
            </w:pPr>
            <w:r>
              <w:rPr>
                <w:rFonts w:eastAsia="Times New Roman"/>
                <w:color w:val="000000"/>
                <w:sz w:val="18"/>
                <w:szCs w:val="18"/>
                <w:lang w:eastAsia="lv-LV"/>
              </w:rPr>
              <w:t>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373370A" w14:textId="449EF1DB" w:rsidR="001E1F41" w:rsidRPr="003E5BB8" w:rsidRDefault="001E1F41" w:rsidP="00945712">
            <w:pPr>
              <w:spacing w:after="0" w:line="240" w:lineRule="auto"/>
              <w:jc w:val="center"/>
              <w:rPr>
                <w:rFonts w:eastAsia="Times New Roman"/>
                <w:color w:val="000000"/>
                <w:sz w:val="18"/>
                <w:szCs w:val="18"/>
                <w:lang w:eastAsia="lv-LV"/>
              </w:rPr>
            </w:pPr>
            <w:r>
              <w:rPr>
                <w:rFonts w:eastAsia="Times New Roman"/>
                <w:color w:val="000000"/>
                <w:sz w:val="18"/>
                <w:szCs w:val="18"/>
                <w:lang w:eastAsia="lv-LV"/>
              </w:rPr>
              <w:t>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tcPr>
          <w:p w14:paraId="56137092" w14:textId="5691AD3E" w:rsidR="001E1F41" w:rsidRPr="003E5BB8" w:rsidRDefault="001E1F41" w:rsidP="00945712">
            <w:pPr>
              <w:spacing w:after="0" w:line="240" w:lineRule="auto"/>
              <w:jc w:val="center"/>
              <w:rPr>
                <w:rFonts w:eastAsia="Times New Roman"/>
                <w:color w:val="000000"/>
                <w:sz w:val="18"/>
                <w:szCs w:val="18"/>
                <w:lang w:eastAsia="lv-LV"/>
              </w:rPr>
            </w:pPr>
            <w:r>
              <w:rPr>
                <w:rFonts w:eastAsia="Times New Roman"/>
                <w:color w:val="000000"/>
                <w:sz w:val="18"/>
                <w:szCs w:val="18"/>
                <w:lang w:eastAsia="lv-LV"/>
              </w:rPr>
              <w:t>0</w:t>
            </w:r>
          </w:p>
        </w:tc>
      </w:tr>
      <w:tr w:rsidR="00E604B5" w:rsidRPr="003E5BB8" w14:paraId="6E05C14D"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628ED52"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550A3"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3.1.1.4</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33BC9"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Mikrokreditēšana un aizdevumi biznesa uzsācējiem</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86934D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5 000 000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CACA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2 938 687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8E09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58.80%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C04E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939 323</w:t>
            </w:r>
          </w:p>
        </w:tc>
      </w:tr>
      <w:tr w:rsidR="00E604B5" w:rsidRPr="003E5BB8" w14:paraId="0341B53B" w14:textId="77777777" w:rsidTr="00E91758">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D592A4"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79E88"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3.1.1.5</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9921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Atbalsts ieguldījumiem ražošanas telpu un infrastruktūras izveidei vai rekonstrukcijai</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32A719A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49 014 350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11C6D"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14 472 557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C50E0"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29.50%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75B98"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2 495 989</w:t>
            </w:r>
          </w:p>
        </w:tc>
      </w:tr>
      <w:tr w:rsidR="00E604B5" w:rsidRPr="003E5BB8" w14:paraId="76D3F34D"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AD25833"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E661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3.1.1.6</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018E0"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Reģionālie biznesa inkubatori un radošo industriju inkubators</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74F73CB0"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23 900 000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01AC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10 389 906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F50D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43.50%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CB261"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4 137 741</w:t>
            </w:r>
          </w:p>
        </w:tc>
      </w:tr>
      <w:tr w:rsidR="00E604B5" w:rsidRPr="003E5BB8" w14:paraId="45B89402"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C29B66D"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84B57"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3.1.2.1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F16F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Riska kapitāls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75A174D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30 580 000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D791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17 973 009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C08CD"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58.80%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A944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1 878 129</w:t>
            </w:r>
          </w:p>
        </w:tc>
      </w:tr>
      <w:tr w:rsidR="00E604B5" w:rsidRPr="003E5BB8" w14:paraId="551C78FC"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12ED90"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0892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3.1.2.2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B515A"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Tehnoloģiju akselerators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6C3CA08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14 620 000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7CCD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8 592 721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A0D94"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58.80%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7A687" w14:textId="77777777" w:rsidR="00E604B5" w:rsidRPr="00C669FC" w:rsidRDefault="00E604B5"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2 094 788</w:t>
            </w:r>
          </w:p>
        </w:tc>
      </w:tr>
      <w:tr w:rsidR="00E604B5" w:rsidRPr="003E5BB8" w14:paraId="5011CCC3"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5A43C6"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6CFCE"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3.2.1.1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EF99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Klasteru programma</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2F7AC577"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6 732 853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6405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4 802 630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043B1"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71.30%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1CC92" w14:textId="77777777" w:rsidR="00BE01F2" w:rsidRPr="00C669FC" w:rsidRDefault="00BE01F2" w:rsidP="00945712">
            <w:pPr>
              <w:spacing w:after="0" w:line="240" w:lineRule="auto"/>
              <w:jc w:val="center"/>
              <w:rPr>
                <w:rFonts w:eastAsia="Times New Roman"/>
                <w:color w:val="000000"/>
                <w:sz w:val="18"/>
                <w:szCs w:val="18"/>
                <w:lang w:eastAsia="lv-LV"/>
              </w:rPr>
            </w:pPr>
            <w:r w:rsidRPr="00C669FC">
              <w:rPr>
                <w:rFonts w:eastAsia="Times New Roman"/>
                <w:color w:val="000000"/>
                <w:sz w:val="18"/>
                <w:szCs w:val="18"/>
                <w:lang w:eastAsia="lv-LV"/>
              </w:rPr>
              <w:t>1 143 547</w:t>
            </w:r>
          </w:p>
        </w:tc>
      </w:tr>
      <w:tr w:rsidR="00E604B5" w:rsidRPr="003E5BB8" w14:paraId="776D68BD"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E938DE"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7894B"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3.2.1.2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AEA9F"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Starptautiskās konkurētspējas veicināšana</w:t>
            </w:r>
          </w:p>
        </w:tc>
        <w:tc>
          <w:tcPr>
            <w:tcW w:w="1979"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1227B0A7"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69 330 288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0B6C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37 346 914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1E941"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53.90%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E5C7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5 359 897</w:t>
            </w:r>
          </w:p>
        </w:tc>
      </w:tr>
      <w:tr w:rsidR="00E604B5" w:rsidRPr="003E5BB8" w14:paraId="7EE4145E" w14:textId="77777777" w:rsidTr="00E91758">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580702"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Pāreja uz ekonomiku ar zemu oglekļa emisijas līmeni visās nozarēs</w:t>
            </w: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1A461"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4.1.1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BF01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Apstrādes rūpniecības uzņēmumu energoefektivitāte</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469737F7"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23 733 826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AD7B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10 663 863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8C21"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44.90%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3D4B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1 137 403</w:t>
            </w:r>
          </w:p>
        </w:tc>
      </w:tr>
      <w:tr w:rsidR="00E604B5" w:rsidRPr="003E5BB8" w14:paraId="014A9DF7"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EEE5A94"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5A020"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4.2.1.1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CECF3"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Veicināt energoefektivitātes paaugstināšanu dzīvojamās ēkās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6E0B13BF"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141 493 317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16EC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72 003 289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309BA"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50.90%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90B1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16 428 297</w:t>
            </w:r>
          </w:p>
        </w:tc>
      </w:tr>
      <w:tr w:rsidR="00E604B5" w:rsidRPr="003E5BB8" w14:paraId="1C380867"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9AB9D7"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82DEC"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4.2.1.2</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67A48"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Veicināt energoefektivitātes paaugstināšanu valsts ēkās</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4E6DFF8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93 357 972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188DB"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43 633 029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2216"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46.70%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46875"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22 866 873</w:t>
            </w:r>
          </w:p>
        </w:tc>
      </w:tr>
      <w:tr w:rsidR="00E604B5" w:rsidRPr="003E5BB8" w14:paraId="5BE5A3C1" w14:textId="77777777" w:rsidTr="00E91758">
        <w:trPr>
          <w:trHeight w:val="3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CA71E3A" w14:textId="77777777" w:rsidR="00E604B5" w:rsidRPr="003E5BB8" w:rsidRDefault="00E604B5" w:rsidP="00945712">
            <w:pPr>
              <w:spacing w:after="0" w:line="240" w:lineRule="auto"/>
              <w:rPr>
                <w:rFonts w:eastAsia="Times New Roman"/>
                <w:color w:val="000000"/>
                <w:sz w:val="18"/>
                <w:szCs w:val="18"/>
                <w:lang w:eastAsia="lv-LV"/>
              </w:rPr>
            </w:pPr>
          </w:p>
        </w:tc>
        <w:tc>
          <w:tcPr>
            <w:tcW w:w="11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F6380"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4.3.1</w:t>
            </w:r>
          </w:p>
        </w:tc>
        <w:tc>
          <w:tcPr>
            <w:tcW w:w="5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8E376" w14:textId="77777777" w:rsidR="00E604B5" w:rsidRPr="003E5BB8" w:rsidRDefault="00E604B5" w:rsidP="00945712">
            <w:pPr>
              <w:spacing w:after="0" w:line="240" w:lineRule="auto"/>
              <w:rPr>
                <w:rFonts w:eastAsia="Times New Roman"/>
                <w:color w:val="000000"/>
                <w:sz w:val="18"/>
                <w:szCs w:val="18"/>
                <w:lang w:eastAsia="lv-LV"/>
              </w:rPr>
            </w:pPr>
            <w:r w:rsidRPr="003E5BB8">
              <w:rPr>
                <w:rFonts w:eastAsia="Times New Roman"/>
                <w:color w:val="000000"/>
                <w:sz w:val="18"/>
                <w:szCs w:val="18"/>
                <w:lang w:eastAsia="lv-LV"/>
              </w:rPr>
              <w:t>Centralizētās siltumapgādes energoefektivitāte</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3F9B2E63"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49 582 655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F6402"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37 380 975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C649C"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75.40%</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CA43D" w14:textId="77777777" w:rsidR="00E604B5" w:rsidRPr="003E5BB8" w:rsidRDefault="00E604B5" w:rsidP="00945712">
            <w:pPr>
              <w:spacing w:after="0" w:line="240" w:lineRule="auto"/>
              <w:jc w:val="center"/>
              <w:rPr>
                <w:rFonts w:eastAsia="Times New Roman"/>
                <w:color w:val="000000"/>
                <w:sz w:val="18"/>
                <w:szCs w:val="18"/>
                <w:lang w:eastAsia="lv-LV"/>
              </w:rPr>
            </w:pPr>
            <w:r w:rsidRPr="003E5BB8">
              <w:rPr>
                <w:rFonts w:eastAsia="Times New Roman"/>
                <w:color w:val="000000"/>
                <w:sz w:val="18"/>
                <w:szCs w:val="18"/>
                <w:lang w:eastAsia="lv-LV"/>
              </w:rPr>
              <w:t>11 095 252</w:t>
            </w:r>
          </w:p>
        </w:tc>
      </w:tr>
      <w:tr w:rsidR="00E604B5" w:rsidRPr="003E5BB8" w14:paraId="665A98BE" w14:textId="77777777" w:rsidTr="00E91758">
        <w:trPr>
          <w:trHeight w:val="300"/>
        </w:trPr>
        <w:tc>
          <w:tcPr>
            <w:tcW w:w="851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81D06" w14:textId="77777777" w:rsidR="00E604B5" w:rsidRPr="003E5BB8" w:rsidRDefault="00E604B5" w:rsidP="00945712">
            <w:pPr>
              <w:spacing w:after="0" w:line="240" w:lineRule="auto"/>
              <w:jc w:val="right"/>
              <w:rPr>
                <w:rFonts w:eastAsia="Times New Roman"/>
                <w:b/>
                <w:bCs/>
                <w:color w:val="000000"/>
                <w:sz w:val="18"/>
                <w:szCs w:val="18"/>
                <w:lang w:eastAsia="lv-LV"/>
              </w:rPr>
            </w:pPr>
            <w:r w:rsidRPr="003E5BB8">
              <w:rPr>
                <w:rFonts w:eastAsia="Times New Roman"/>
                <w:b/>
                <w:bCs/>
                <w:color w:val="000000"/>
                <w:sz w:val="18"/>
                <w:szCs w:val="18"/>
                <w:lang w:eastAsia="lv-LV"/>
              </w:rPr>
              <w:t>Kopā:</w:t>
            </w:r>
          </w:p>
        </w:tc>
        <w:tc>
          <w:tcPr>
            <w:tcW w:w="197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7F0E36F5" w14:textId="77777777" w:rsidR="00E604B5" w:rsidRPr="003E5BB8" w:rsidRDefault="00E604B5" w:rsidP="00945712">
            <w:pPr>
              <w:spacing w:after="0" w:line="240" w:lineRule="auto"/>
              <w:jc w:val="center"/>
              <w:rPr>
                <w:rFonts w:eastAsia="Times New Roman"/>
                <w:b/>
                <w:bCs/>
                <w:color w:val="000000"/>
                <w:sz w:val="18"/>
                <w:szCs w:val="18"/>
                <w:lang w:eastAsia="lv-LV"/>
              </w:rPr>
            </w:pPr>
            <w:r w:rsidRPr="003E5BB8">
              <w:rPr>
                <w:rFonts w:eastAsia="Times New Roman"/>
                <w:b/>
                <w:bCs/>
                <w:color w:val="000000"/>
                <w:sz w:val="18"/>
                <w:szCs w:val="18"/>
                <w:lang w:eastAsia="lv-LV"/>
              </w:rPr>
              <w:t>731 557 370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F55A7" w14:textId="77777777" w:rsidR="00E604B5" w:rsidRPr="003E5BB8" w:rsidRDefault="00E604B5" w:rsidP="00945712">
            <w:pPr>
              <w:spacing w:after="0" w:line="240" w:lineRule="auto"/>
              <w:jc w:val="center"/>
              <w:rPr>
                <w:rFonts w:eastAsia="Times New Roman"/>
                <w:b/>
                <w:bCs/>
                <w:color w:val="000000"/>
                <w:sz w:val="18"/>
                <w:szCs w:val="18"/>
                <w:lang w:eastAsia="lv-LV"/>
              </w:rPr>
            </w:pPr>
            <w:r w:rsidRPr="003E5BB8">
              <w:rPr>
                <w:rFonts w:eastAsia="Times New Roman"/>
                <w:b/>
                <w:bCs/>
                <w:color w:val="000000"/>
                <w:sz w:val="18"/>
                <w:szCs w:val="18"/>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5E339" w14:textId="77777777" w:rsidR="00E604B5" w:rsidRPr="003E5BB8" w:rsidRDefault="00E604B5" w:rsidP="00945712">
            <w:pPr>
              <w:spacing w:after="0" w:line="240" w:lineRule="auto"/>
              <w:jc w:val="center"/>
              <w:rPr>
                <w:rFonts w:eastAsia="Times New Roman"/>
                <w:b/>
                <w:bCs/>
                <w:color w:val="000000"/>
                <w:sz w:val="18"/>
                <w:szCs w:val="18"/>
                <w:lang w:eastAsia="lv-LV"/>
              </w:rPr>
            </w:pPr>
            <w:r w:rsidRPr="003E5BB8">
              <w:rPr>
                <w:rFonts w:eastAsia="Times New Roman"/>
                <w:b/>
                <w:bCs/>
                <w:color w:val="000000"/>
                <w:sz w:val="18"/>
                <w:szCs w:val="18"/>
                <w:lang w:eastAsia="lv-LV"/>
              </w:rPr>
              <w:t> </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AEFB4" w14:textId="77777777" w:rsidR="00E604B5" w:rsidRPr="003E5BB8" w:rsidRDefault="00E604B5" w:rsidP="00945712">
            <w:pPr>
              <w:spacing w:after="0" w:line="240" w:lineRule="auto"/>
              <w:jc w:val="center"/>
              <w:rPr>
                <w:rFonts w:eastAsia="Times New Roman"/>
                <w:b/>
                <w:bCs/>
                <w:color w:val="000000"/>
                <w:sz w:val="18"/>
                <w:szCs w:val="18"/>
                <w:lang w:eastAsia="lv-LV"/>
              </w:rPr>
            </w:pPr>
            <w:r w:rsidRPr="003E5BB8">
              <w:rPr>
                <w:rFonts w:eastAsia="Times New Roman"/>
                <w:b/>
                <w:bCs/>
                <w:color w:val="000000"/>
                <w:sz w:val="18"/>
                <w:szCs w:val="18"/>
                <w:lang w:eastAsia="lv-LV"/>
              </w:rPr>
              <w:t> </w:t>
            </w:r>
          </w:p>
        </w:tc>
      </w:tr>
    </w:tbl>
    <w:p w14:paraId="3CA28E62" w14:textId="77777777" w:rsidR="00E604B5" w:rsidRPr="00E91758" w:rsidRDefault="00E604B5" w:rsidP="003E64D8">
      <w:pPr>
        <w:pStyle w:val="ListParagraph"/>
        <w:ind w:left="0" w:right="108"/>
        <w:rPr>
          <w:i/>
          <w:sz w:val="16"/>
          <w:szCs w:val="16"/>
          <w:highlight w:val="yellow"/>
        </w:rPr>
      </w:pPr>
    </w:p>
    <w:p w14:paraId="1CC92E42" w14:textId="5A1266C1" w:rsidR="00B50A89" w:rsidRPr="00E91758" w:rsidRDefault="003E64D8">
      <w:pPr>
        <w:spacing w:after="0" w:line="240" w:lineRule="auto"/>
        <w:rPr>
          <w:rFonts w:eastAsia="Times New Roman" w:cs="Times New Roman"/>
          <w:i/>
          <w:sz w:val="16"/>
          <w:szCs w:val="16"/>
          <w:highlight w:val="yellow"/>
          <w:lang w:eastAsia="lv-LV"/>
        </w:rPr>
      </w:pPr>
      <w:r w:rsidRPr="00E604B5">
        <w:rPr>
          <w:i/>
          <w:sz w:val="18"/>
          <w:szCs w:val="18"/>
        </w:rPr>
        <w:t>Avots: EM dati</w:t>
      </w:r>
      <w:r w:rsidR="00BE01F2">
        <w:rPr>
          <w:i/>
          <w:sz w:val="18"/>
          <w:szCs w:val="18"/>
        </w:rPr>
        <w:t xml:space="preserve"> (</w:t>
      </w:r>
      <w:r w:rsidR="00BE01F2" w:rsidRPr="00BE01F2">
        <w:rPr>
          <w:i/>
          <w:iCs/>
          <w:sz w:val="18"/>
          <w:szCs w:val="18"/>
        </w:rPr>
        <w:t>summas precizētas, izejot no pieejamās informācijas Kohēzijas politikas fondu vadības informācijas sistēmā</w:t>
      </w:r>
      <w:r w:rsidR="00BE01F2" w:rsidRPr="00BE01F2">
        <w:rPr>
          <w:i/>
          <w:sz w:val="18"/>
          <w:szCs w:val="18"/>
        </w:rPr>
        <w:t>)</w:t>
      </w:r>
      <w:r w:rsidR="00E604B5" w:rsidRPr="00BE01F2">
        <w:rPr>
          <w:i/>
          <w:sz w:val="18"/>
          <w:szCs w:val="18"/>
        </w:rPr>
        <w:t>,</w:t>
      </w:r>
      <w:r w:rsidR="00381F89">
        <w:rPr>
          <w:i/>
          <w:sz w:val="18"/>
          <w:szCs w:val="18"/>
        </w:rPr>
        <w:t xml:space="preserve"> </w:t>
      </w:r>
      <w:hyperlink r:id="rId159" w:history="1">
        <w:r w:rsidR="00E604B5" w:rsidRPr="00E604B5">
          <w:rPr>
            <w:rStyle w:val="Hyperlink"/>
            <w:i/>
            <w:color w:val="00859B"/>
            <w:sz w:val="18"/>
            <w:szCs w:val="18"/>
          </w:rPr>
          <w:t>https://www.esfondi.lv/finansu-un-raditaju-plani-to-izpilde</w:t>
        </w:r>
      </w:hyperlink>
      <w:r w:rsidR="00B50A89" w:rsidRPr="00F5511B">
        <w:rPr>
          <w:i/>
          <w:sz w:val="18"/>
          <w:szCs w:val="18"/>
          <w:highlight w:val="yellow"/>
        </w:rPr>
        <w:br w:type="page"/>
      </w:r>
    </w:p>
    <w:p w14:paraId="6D005372" w14:textId="77777777" w:rsidR="00364DFC" w:rsidRPr="00F5511B" w:rsidRDefault="00364DFC" w:rsidP="003539DA">
      <w:pPr>
        <w:pStyle w:val="ListParagraph"/>
        <w:ind w:left="0" w:right="108"/>
        <w:rPr>
          <w:i/>
          <w:sz w:val="16"/>
          <w:szCs w:val="16"/>
          <w:highlight w:val="yellow"/>
        </w:rPr>
      </w:pPr>
      <w:bookmarkStart w:id="123" w:name="_Pielikums._Saraksts_ar"/>
      <w:bookmarkEnd w:id="123"/>
    </w:p>
    <w:p w14:paraId="408E2277" w14:textId="082C87FD" w:rsidR="005B079F" w:rsidRPr="00D75DB7" w:rsidRDefault="005B079F" w:rsidP="00BE6C4B">
      <w:pPr>
        <w:pStyle w:val="Heading1"/>
        <w:numPr>
          <w:ilvl w:val="0"/>
          <w:numId w:val="9"/>
        </w:numPr>
        <w:tabs>
          <w:tab w:val="left" w:pos="993"/>
        </w:tabs>
        <w:spacing w:after="60"/>
      </w:pPr>
      <w:bookmarkStart w:id="124" w:name="_Toc78874626"/>
      <w:bookmarkEnd w:id="121"/>
      <w:r w:rsidRPr="00D75DB7">
        <w:rPr>
          <w:b w:val="0"/>
        </w:rPr>
        <w:t>Pielikums</w:t>
      </w:r>
      <w:r w:rsidRPr="00D75DB7">
        <w:t>.</w:t>
      </w:r>
      <w:r w:rsidR="00A05D53">
        <w:t xml:space="preserve"> </w:t>
      </w:r>
      <w:r w:rsidRPr="00D75DB7">
        <w:t xml:space="preserve">EM </w:t>
      </w:r>
      <w:r w:rsidR="003F0AF5">
        <w:t>2020.</w:t>
      </w:r>
      <w:r w:rsidR="003F0AF5">
        <w:rPr>
          <w:rFonts w:hint="eastAsia"/>
        </w:rPr>
        <w:t> </w:t>
      </w:r>
      <w:r w:rsidR="003F0AF5">
        <w:t>gadā īstenotie un 2021.</w:t>
      </w:r>
      <w:r w:rsidR="003F0AF5">
        <w:rPr>
          <w:rFonts w:hint="eastAsia"/>
        </w:rPr>
        <w:t> </w:t>
      </w:r>
      <w:r w:rsidR="003F0AF5">
        <w:t xml:space="preserve">gadā </w:t>
      </w:r>
      <w:r w:rsidRPr="00D75DB7">
        <w:t xml:space="preserve">plānotie </w:t>
      </w:r>
      <w:r w:rsidR="003F0AF5">
        <w:t>svarīgākie</w:t>
      </w:r>
      <w:r w:rsidRPr="00D75DB7">
        <w:t xml:space="preserve"> pētījumi</w:t>
      </w:r>
      <w:bookmarkEnd w:id="124"/>
    </w:p>
    <w:tbl>
      <w:tblPr>
        <w:tblW w:w="5086"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21"/>
        <w:gridCol w:w="1843"/>
        <w:gridCol w:w="3515"/>
        <w:gridCol w:w="1558"/>
        <w:gridCol w:w="3094"/>
        <w:gridCol w:w="1839"/>
        <w:gridCol w:w="2534"/>
      </w:tblGrid>
      <w:tr w:rsidR="001A175E" w:rsidRPr="00F5511B" w14:paraId="16DCC4A6" w14:textId="77777777" w:rsidTr="001A175E">
        <w:trPr>
          <w:tblHeader/>
        </w:trPr>
        <w:tc>
          <w:tcPr>
            <w:tcW w:w="142" w:type="pct"/>
            <w:tcBorders>
              <w:top w:val="outset" w:sz="6" w:space="0" w:color="414142"/>
              <w:left w:val="outset" w:sz="6" w:space="0" w:color="414142"/>
              <w:bottom w:val="outset" w:sz="6" w:space="0" w:color="414142"/>
              <w:right w:val="outset" w:sz="6" w:space="0" w:color="414142"/>
            </w:tcBorders>
            <w:vAlign w:val="center"/>
            <w:hideMark/>
          </w:tcPr>
          <w:p w14:paraId="27CD185B"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Nr.</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022C2ED5"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Pētījuma nosaukums</w:t>
            </w:r>
          </w:p>
        </w:tc>
        <w:tc>
          <w:tcPr>
            <w:tcW w:w="1187" w:type="pct"/>
            <w:tcBorders>
              <w:top w:val="outset" w:sz="6" w:space="0" w:color="414142"/>
              <w:left w:val="outset" w:sz="6" w:space="0" w:color="414142"/>
              <w:bottom w:val="outset" w:sz="6" w:space="0" w:color="414142"/>
              <w:right w:val="outset" w:sz="6" w:space="0" w:color="414142"/>
            </w:tcBorders>
            <w:vAlign w:val="center"/>
            <w:hideMark/>
          </w:tcPr>
          <w:p w14:paraId="740D57B3"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Pētījuma mērķis/ apakšmērķis un uzdevumi</w:t>
            </w:r>
          </w:p>
        </w:tc>
        <w:tc>
          <w:tcPr>
            <w:tcW w:w="526" w:type="pct"/>
            <w:tcBorders>
              <w:top w:val="outset" w:sz="6" w:space="0" w:color="414142"/>
              <w:left w:val="outset" w:sz="6" w:space="0" w:color="414142"/>
              <w:bottom w:val="outset" w:sz="6" w:space="0" w:color="414142"/>
              <w:right w:val="outset" w:sz="6" w:space="0" w:color="414142"/>
            </w:tcBorders>
            <w:vAlign w:val="center"/>
            <w:hideMark/>
          </w:tcPr>
          <w:p w14:paraId="3EEA6252"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Politikas joma, nozare</w:t>
            </w:r>
          </w:p>
        </w:tc>
        <w:tc>
          <w:tcPr>
            <w:tcW w:w="1045" w:type="pct"/>
            <w:tcBorders>
              <w:top w:val="outset" w:sz="6" w:space="0" w:color="414142"/>
              <w:left w:val="outset" w:sz="6" w:space="0" w:color="414142"/>
              <w:bottom w:val="outset" w:sz="6" w:space="0" w:color="414142"/>
              <w:right w:val="outset" w:sz="6" w:space="0" w:color="414142"/>
            </w:tcBorders>
            <w:vAlign w:val="center"/>
            <w:hideMark/>
          </w:tcPr>
          <w:p w14:paraId="40CAAABF"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Plānotie pētījuma galvenie rezultāti un to izmantošana</w:t>
            </w:r>
          </w:p>
        </w:tc>
        <w:tc>
          <w:tcPr>
            <w:tcW w:w="621" w:type="pct"/>
            <w:tcBorders>
              <w:top w:val="outset" w:sz="6" w:space="0" w:color="414142"/>
              <w:left w:val="outset" w:sz="6" w:space="0" w:color="414142"/>
              <w:bottom w:val="outset" w:sz="6" w:space="0" w:color="414142"/>
              <w:right w:val="outset" w:sz="6" w:space="0" w:color="414142"/>
            </w:tcBorders>
            <w:vAlign w:val="center"/>
            <w:hideMark/>
          </w:tcPr>
          <w:p w14:paraId="3A053BC0" w14:textId="77777777"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Pētījuma paredzamā cena (līguma summa) un finansēšanas avots</w:t>
            </w:r>
          </w:p>
        </w:tc>
        <w:tc>
          <w:tcPr>
            <w:tcW w:w="856" w:type="pct"/>
            <w:tcBorders>
              <w:top w:val="outset" w:sz="6" w:space="0" w:color="414142"/>
              <w:left w:val="outset" w:sz="6" w:space="0" w:color="414142"/>
              <w:bottom w:val="outset" w:sz="6" w:space="0" w:color="414142"/>
              <w:right w:val="outset" w:sz="6" w:space="0" w:color="414142"/>
            </w:tcBorders>
            <w:vAlign w:val="center"/>
            <w:hideMark/>
          </w:tcPr>
          <w:p w14:paraId="75D210D5" w14:textId="5C81B003" w:rsidR="00B50A89" w:rsidRPr="00D75DB7" w:rsidRDefault="00B50A89" w:rsidP="002A2242">
            <w:pPr>
              <w:spacing w:after="0" w:line="240" w:lineRule="auto"/>
              <w:jc w:val="center"/>
              <w:rPr>
                <w:rFonts w:eastAsia="Times New Roman" w:cs="Times New Roman"/>
                <w:b/>
                <w:bCs/>
                <w:color w:val="414142"/>
                <w:sz w:val="20"/>
                <w:szCs w:val="20"/>
                <w:lang w:eastAsia="lv-LV"/>
              </w:rPr>
            </w:pPr>
            <w:r w:rsidRPr="00D75DB7">
              <w:rPr>
                <w:rFonts w:eastAsia="Times New Roman" w:cs="Times New Roman"/>
                <w:b/>
                <w:bCs/>
                <w:color w:val="414142"/>
                <w:sz w:val="20"/>
                <w:szCs w:val="20"/>
                <w:lang w:eastAsia="lv-LV"/>
              </w:rPr>
              <w:t>Pētījuma izpildes</w:t>
            </w:r>
            <w:r w:rsidR="00EE48F2">
              <w:rPr>
                <w:rFonts w:eastAsia="Times New Roman" w:cs="Times New Roman"/>
                <w:b/>
                <w:bCs/>
                <w:color w:val="414142"/>
                <w:sz w:val="20"/>
                <w:szCs w:val="20"/>
                <w:lang w:eastAsia="lv-LV"/>
              </w:rPr>
              <w:t xml:space="preserve"> </w:t>
            </w:r>
            <w:r w:rsidRPr="00D75DB7">
              <w:rPr>
                <w:rFonts w:eastAsia="Times New Roman" w:cs="Times New Roman"/>
                <w:b/>
                <w:bCs/>
                <w:color w:val="414142"/>
                <w:sz w:val="20"/>
                <w:szCs w:val="20"/>
                <w:lang w:eastAsia="lv-LV"/>
              </w:rPr>
              <w:t xml:space="preserve">termiņš, izpildes statuss, </w:t>
            </w:r>
            <w:r w:rsidR="003C5F1D" w:rsidRPr="00D75DB7">
              <w:rPr>
                <w:rFonts w:eastAsia="Times New Roman" w:cs="Times New Roman"/>
                <w:b/>
                <w:bCs/>
                <w:color w:val="414142"/>
                <w:sz w:val="20"/>
                <w:szCs w:val="20"/>
                <w:lang w:eastAsia="lv-LV"/>
              </w:rPr>
              <w:t xml:space="preserve">veicējs, </w:t>
            </w:r>
            <w:r w:rsidRPr="00D75DB7">
              <w:rPr>
                <w:rFonts w:eastAsia="Times New Roman" w:cs="Times New Roman"/>
                <w:b/>
                <w:bCs/>
                <w:color w:val="414142"/>
                <w:sz w:val="20"/>
                <w:szCs w:val="20"/>
                <w:lang w:eastAsia="lv-LV"/>
              </w:rPr>
              <w:t>publicētie</w:t>
            </w:r>
            <w:r w:rsidR="00EE48F2">
              <w:rPr>
                <w:rFonts w:eastAsia="Times New Roman" w:cs="Times New Roman"/>
                <w:b/>
                <w:bCs/>
                <w:color w:val="414142"/>
                <w:sz w:val="20"/>
                <w:szCs w:val="20"/>
                <w:lang w:eastAsia="lv-LV"/>
              </w:rPr>
              <w:t xml:space="preserve"> </w:t>
            </w:r>
            <w:r w:rsidRPr="00D75DB7">
              <w:rPr>
                <w:rFonts w:eastAsia="Times New Roman" w:cs="Times New Roman"/>
                <w:b/>
                <w:bCs/>
                <w:color w:val="414142"/>
                <w:sz w:val="20"/>
                <w:szCs w:val="20"/>
                <w:lang w:eastAsia="lv-LV"/>
              </w:rPr>
              <w:t>rezultāti</w:t>
            </w:r>
          </w:p>
        </w:tc>
      </w:tr>
      <w:tr w:rsidR="001A175E" w:rsidRPr="00F5511B" w14:paraId="411E7C8F"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00859B"/>
          </w:tcPr>
          <w:p w14:paraId="2E70E527" w14:textId="77777777" w:rsidR="00D75DB7" w:rsidRPr="00D75DB7" w:rsidRDefault="00D75DB7" w:rsidP="002A2242">
            <w:pPr>
              <w:spacing w:after="0" w:line="240" w:lineRule="auto"/>
              <w:rPr>
                <w:rFonts w:eastAsia="Times New Roman" w:cs="Times New Roman"/>
                <w:b/>
                <w:bCs/>
                <w:sz w:val="20"/>
                <w:szCs w:val="20"/>
                <w:lang w:eastAsia="lv-LV"/>
              </w:rPr>
            </w:pPr>
          </w:p>
        </w:tc>
        <w:tc>
          <w:tcPr>
            <w:tcW w:w="622" w:type="pct"/>
            <w:tcBorders>
              <w:top w:val="outset" w:sz="6" w:space="0" w:color="414142"/>
              <w:left w:val="outset" w:sz="6" w:space="0" w:color="414142"/>
              <w:bottom w:val="outset" w:sz="6" w:space="0" w:color="414142"/>
              <w:right w:val="outset" w:sz="6" w:space="0" w:color="414142"/>
            </w:tcBorders>
            <w:shd w:val="clear" w:color="auto" w:fill="00859B"/>
          </w:tcPr>
          <w:p w14:paraId="3C13E2A2" w14:textId="77777777" w:rsidR="00D75DB7" w:rsidRPr="00D75DB7" w:rsidRDefault="00D75DB7" w:rsidP="002A2242">
            <w:pPr>
              <w:spacing w:after="60" w:line="240" w:lineRule="auto"/>
              <w:rPr>
                <w:rFonts w:eastAsia="Times New Roman" w:cs="Times New Roman"/>
                <w:b/>
                <w:bCs/>
                <w:color w:val="FFFFFF" w:themeColor="background1"/>
                <w:sz w:val="20"/>
                <w:szCs w:val="20"/>
                <w:lang w:eastAsia="lv-LV"/>
              </w:rPr>
            </w:pPr>
            <w:r>
              <w:rPr>
                <w:rFonts w:eastAsia="Times New Roman" w:cs="Times New Roman"/>
                <w:b/>
                <w:bCs/>
                <w:color w:val="FFFFFF" w:themeColor="background1"/>
                <w:sz w:val="20"/>
                <w:szCs w:val="20"/>
                <w:lang w:eastAsia="lv-LV"/>
              </w:rPr>
              <w:t>2021.gads</w:t>
            </w:r>
          </w:p>
        </w:tc>
        <w:tc>
          <w:tcPr>
            <w:tcW w:w="1187" w:type="pct"/>
            <w:tcBorders>
              <w:top w:val="outset" w:sz="6" w:space="0" w:color="414142"/>
              <w:left w:val="outset" w:sz="6" w:space="0" w:color="414142"/>
              <w:bottom w:val="outset" w:sz="6" w:space="0" w:color="414142"/>
              <w:right w:val="outset" w:sz="6" w:space="0" w:color="414142"/>
            </w:tcBorders>
            <w:shd w:val="clear" w:color="auto" w:fill="00859B"/>
          </w:tcPr>
          <w:p w14:paraId="61EA360B" w14:textId="77777777" w:rsidR="00D75DB7" w:rsidRPr="00D75DB7" w:rsidRDefault="00D75DB7" w:rsidP="002A2242">
            <w:pPr>
              <w:spacing w:after="0" w:line="240" w:lineRule="auto"/>
              <w:rPr>
                <w:rFonts w:cs="Times New Roman"/>
                <w:sz w:val="20"/>
                <w:szCs w:val="20"/>
                <w:shd w:val="clear" w:color="auto" w:fill="FFFFFF"/>
              </w:rPr>
            </w:pPr>
          </w:p>
        </w:tc>
        <w:tc>
          <w:tcPr>
            <w:tcW w:w="526" w:type="pct"/>
            <w:tcBorders>
              <w:top w:val="outset" w:sz="6" w:space="0" w:color="414142"/>
              <w:left w:val="outset" w:sz="6" w:space="0" w:color="414142"/>
              <w:bottom w:val="outset" w:sz="6" w:space="0" w:color="414142"/>
              <w:right w:val="outset" w:sz="6" w:space="0" w:color="414142"/>
            </w:tcBorders>
            <w:shd w:val="clear" w:color="auto" w:fill="00859B"/>
          </w:tcPr>
          <w:p w14:paraId="712831FD" w14:textId="77777777" w:rsidR="00D75DB7" w:rsidRPr="00D75DB7" w:rsidRDefault="00D75DB7" w:rsidP="002A2242">
            <w:pPr>
              <w:spacing w:after="0" w:line="240" w:lineRule="auto"/>
              <w:rPr>
                <w:rFonts w:eastAsia="Times New Roman" w:cs="Times New Roman"/>
                <w:sz w:val="20"/>
                <w:szCs w:val="20"/>
                <w:lang w:eastAsia="lv-LV"/>
              </w:rPr>
            </w:pPr>
          </w:p>
        </w:tc>
        <w:tc>
          <w:tcPr>
            <w:tcW w:w="1045" w:type="pct"/>
            <w:tcBorders>
              <w:top w:val="outset" w:sz="6" w:space="0" w:color="414142"/>
              <w:left w:val="outset" w:sz="6" w:space="0" w:color="414142"/>
              <w:bottom w:val="outset" w:sz="6" w:space="0" w:color="414142"/>
              <w:right w:val="outset" w:sz="6" w:space="0" w:color="414142"/>
            </w:tcBorders>
            <w:shd w:val="clear" w:color="auto" w:fill="00859B"/>
          </w:tcPr>
          <w:p w14:paraId="2E12A9A0" w14:textId="77777777" w:rsidR="00D75DB7" w:rsidRPr="00D75DB7" w:rsidRDefault="00D75DB7" w:rsidP="002A2242">
            <w:pPr>
              <w:spacing w:after="0" w:line="240" w:lineRule="auto"/>
              <w:rPr>
                <w:rFonts w:eastAsia="Times New Roman" w:cs="Times New Roman"/>
                <w:sz w:val="20"/>
                <w:szCs w:val="20"/>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00859B"/>
          </w:tcPr>
          <w:p w14:paraId="1D023C90" w14:textId="77777777" w:rsidR="00D75DB7" w:rsidRPr="00D75DB7" w:rsidRDefault="00D75DB7" w:rsidP="002A2242">
            <w:pPr>
              <w:spacing w:after="0" w:line="240" w:lineRule="auto"/>
              <w:rPr>
                <w:rFonts w:eastAsia="Times New Roman" w:cs="Times New Roman"/>
                <w:sz w:val="20"/>
                <w:szCs w:val="20"/>
                <w:lang w:eastAsia="lv-LV"/>
              </w:rPr>
            </w:pPr>
          </w:p>
        </w:tc>
        <w:tc>
          <w:tcPr>
            <w:tcW w:w="856" w:type="pct"/>
            <w:tcBorders>
              <w:top w:val="outset" w:sz="6" w:space="0" w:color="414142"/>
              <w:left w:val="outset" w:sz="6" w:space="0" w:color="414142"/>
              <w:bottom w:val="outset" w:sz="6" w:space="0" w:color="414142"/>
              <w:right w:val="outset" w:sz="6" w:space="0" w:color="414142"/>
            </w:tcBorders>
            <w:shd w:val="clear" w:color="auto" w:fill="00859B"/>
          </w:tcPr>
          <w:p w14:paraId="79DA2731" w14:textId="77777777" w:rsidR="00D75DB7" w:rsidRPr="00D75DB7" w:rsidRDefault="00D75DB7" w:rsidP="002A2242">
            <w:pPr>
              <w:spacing w:after="0" w:line="240" w:lineRule="auto"/>
              <w:rPr>
                <w:rFonts w:eastAsia="Times New Roman" w:cs="Times New Roman"/>
                <w:sz w:val="20"/>
                <w:szCs w:val="20"/>
                <w:lang w:eastAsia="lv-LV"/>
              </w:rPr>
            </w:pPr>
          </w:p>
        </w:tc>
      </w:tr>
      <w:tr w:rsidR="001A175E" w:rsidRPr="00F5511B" w14:paraId="06970AB4"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auto"/>
          </w:tcPr>
          <w:p w14:paraId="499D5A3B" w14:textId="77777777" w:rsidR="00D75DB7" w:rsidRPr="00D75DB7" w:rsidRDefault="00D75DB7" w:rsidP="00D75DB7">
            <w:pPr>
              <w:spacing w:after="0" w:line="240" w:lineRule="auto"/>
              <w:rPr>
                <w:rFonts w:eastAsia="Times New Roman" w:cs="Times New Roman"/>
                <w:b/>
                <w:bCs/>
                <w:sz w:val="20"/>
                <w:szCs w:val="20"/>
                <w:lang w:eastAsia="lv-LV"/>
              </w:rPr>
            </w:pPr>
            <w:r w:rsidRPr="00172F5A">
              <w:rPr>
                <w:rFonts w:eastAsia="Times New Roman" w:cs="Times New Roman"/>
                <w:b/>
                <w:bCs/>
                <w:sz w:val="20"/>
                <w:szCs w:val="20"/>
                <w:lang w:eastAsia="lv-LV"/>
              </w:rPr>
              <w:t>1.</w:t>
            </w:r>
          </w:p>
        </w:tc>
        <w:tc>
          <w:tcPr>
            <w:tcW w:w="622" w:type="pct"/>
            <w:tcBorders>
              <w:top w:val="outset" w:sz="6" w:space="0" w:color="414142"/>
              <w:left w:val="outset" w:sz="6" w:space="0" w:color="414142"/>
              <w:bottom w:val="outset" w:sz="6" w:space="0" w:color="414142"/>
              <w:right w:val="outset" w:sz="6" w:space="0" w:color="414142"/>
            </w:tcBorders>
            <w:shd w:val="clear" w:color="auto" w:fill="auto"/>
          </w:tcPr>
          <w:p w14:paraId="349B72EF" w14:textId="77777777" w:rsidR="00172F5A" w:rsidRPr="00172F5A" w:rsidRDefault="00A548C7" w:rsidP="00D75DB7">
            <w:pPr>
              <w:spacing w:after="60" w:line="240" w:lineRule="auto"/>
              <w:rPr>
                <w:i/>
                <w:iCs/>
                <w:color w:val="00859B"/>
                <w:sz w:val="20"/>
                <w:szCs w:val="20"/>
              </w:rPr>
            </w:pPr>
            <w:hyperlink r:id="rId160" w:tgtFrame="_blank" w:history="1">
              <w:r w:rsidR="00172F5A" w:rsidRPr="00172F5A">
                <w:rPr>
                  <w:rStyle w:val="Hyperlink"/>
                  <w:i/>
                  <w:iCs/>
                  <w:color w:val="00859B"/>
                  <w:sz w:val="20"/>
                  <w:szCs w:val="20"/>
                </w:rPr>
                <w:t>Ikgadējs pētījums par prognozētām darbaspēka un būvmateriālu izmaksām būvniecības nozarē Latvijā</w:t>
              </w:r>
            </w:hyperlink>
          </w:p>
          <w:p w14:paraId="4A950B12" w14:textId="77777777" w:rsidR="00172F5A" w:rsidRPr="00172F5A" w:rsidRDefault="00172F5A" w:rsidP="00D75DB7">
            <w:pPr>
              <w:spacing w:after="60" w:line="240" w:lineRule="auto"/>
              <w:rPr>
                <w:rFonts w:eastAsia="Times New Roman" w:cs="Times New Roman"/>
                <w:b/>
                <w:bCs/>
                <w:i/>
                <w:iCs/>
                <w:sz w:val="20"/>
                <w:szCs w:val="20"/>
                <w:lang w:eastAsia="lv-LV"/>
              </w:rPr>
            </w:pPr>
          </w:p>
        </w:tc>
        <w:tc>
          <w:tcPr>
            <w:tcW w:w="1187" w:type="pct"/>
            <w:tcBorders>
              <w:top w:val="outset" w:sz="6" w:space="0" w:color="414142"/>
              <w:left w:val="outset" w:sz="6" w:space="0" w:color="414142"/>
              <w:bottom w:val="outset" w:sz="6" w:space="0" w:color="414142"/>
              <w:right w:val="outset" w:sz="6" w:space="0" w:color="414142"/>
            </w:tcBorders>
            <w:shd w:val="clear" w:color="auto" w:fill="auto"/>
          </w:tcPr>
          <w:p w14:paraId="52D69FFC" w14:textId="6EDFB304" w:rsidR="00172F5A" w:rsidRPr="00D75DB7" w:rsidRDefault="00172F5A" w:rsidP="00D75DB7">
            <w:pPr>
              <w:spacing w:after="0" w:line="240" w:lineRule="auto"/>
              <w:rPr>
                <w:rFonts w:cs="Times New Roman"/>
                <w:sz w:val="20"/>
                <w:szCs w:val="20"/>
                <w:shd w:val="clear" w:color="auto" w:fill="FFFFFF"/>
              </w:rPr>
            </w:pPr>
            <w:r w:rsidRPr="00200CA9">
              <w:rPr>
                <w:rFonts w:eastAsia="Calibri"/>
                <w:sz w:val="20"/>
                <w:szCs w:val="20"/>
              </w:rPr>
              <w:t xml:space="preserve">Atbilstoši </w:t>
            </w:r>
            <w:r w:rsidRPr="00200CA9">
              <w:rPr>
                <w:sz w:val="20"/>
                <w:szCs w:val="20"/>
                <w:shd w:val="clear" w:color="auto" w:fill="FFFFFF"/>
              </w:rPr>
              <w:t>MK 23.04.2019. sēdē (prot. Nr.21,</w:t>
            </w:r>
            <w:r w:rsidRPr="00200CA9">
              <w:rPr>
                <w:sz w:val="20"/>
                <w:szCs w:val="20"/>
                <w:lang w:eastAsia="lv-LV"/>
              </w:rPr>
              <w:t xml:space="preserve"> 23.§, 3.punkts) dotajam</w:t>
            </w:r>
            <w:r w:rsidR="00EE48F2">
              <w:rPr>
                <w:sz w:val="20"/>
                <w:szCs w:val="20"/>
                <w:lang w:eastAsia="lv-LV"/>
              </w:rPr>
              <w:t xml:space="preserve"> </w:t>
            </w:r>
            <w:r w:rsidRPr="00200CA9">
              <w:rPr>
                <w:sz w:val="20"/>
                <w:szCs w:val="20"/>
                <w:lang w:eastAsia="lv-LV"/>
              </w:rPr>
              <w:t>uzdevumam</w:t>
            </w:r>
            <w:r w:rsidRPr="00200CA9">
              <w:rPr>
                <w:sz w:val="20"/>
                <w:szCs w:val="20"/>
                <w:shd w:val="clear" w:color="auto" w:fill="FFFFFF"/>
              </w:rPr>
              <w:t>,</w:t>
            </w:r>
            <w:r w:rsidR="00EE48F2">
              <w:rPr>
                <w:sz w:val="20"/>
                <w:szCs w:val="20"/>
                <w:shd w:val="clear" w:color="auto" w:fill="FFFFFF"/>
              </w:rPr>
              <w:t xml:space="preserve"> </w:t>
            </w:r>
            <w:r w:rsidRPr="00200CA9">
              <w:rPr>
                <w:sz w:val="20"/>
                <w:szCs w:val="20"/>
                <w:shd w:val="clear" w:color="auto" w:fill="FFFFFF"/>
              </w:rPr>
              <w:t xml:space="preserve">EM jāveic izvērtējums par prognozētām izmaiņām darbaspēka un būvmateriālu izmaksās būvniecības nozarē un to ietekmi uz tautsaimniecību, informējot </w:t>
            </w:r>
            <w:r>
              <w:rPr>
                <w:sz w:val="20"/>
                <w:szCs w:val="20"/>
                <w:shd w:val="clear" w:color="auto" w:fill="FFFFFF"/>
              </w:rPr>
              <w:t>MK</w:t>
            </w:r>
            <w:r w:rsidRPr="00200CA9">
              <w:rPr>
                <w:sz w:val="20"/>
                <w:szCs w:val="20"/>
                <w:shd w:val="clear" w:color="auto" w:fill="FFFFFF"/>
              </w:rPr>
              <w:t xml:space="preserve"> par izvērtējuma rezultātiem un sniedzot priekšlikumus nepieciešamajai turpmākajai rīcībai</w:t>
            </w:r>
            <w:r>
              <w:rPr>
                <w:sz w:val="20"/>
                <w:szCs w:val="20"/>
                <w:shd w:val="clear" w:color="auto" w:fill="FFFFFF"/>
              </w:rPr>
              <w:t>.</w:t>
            </w:r>
          </w:p>
        </w:tc>
        <w:tc>
          <w:tcPr>
            <w:tcW w:w="526" w:type="pct"/>
            <w:tcBorders>
              <w:top w:val="outset" w:sz="6" w:space="0" w:color="414142"/>
              <w:left w:val="outset" w:sz="6" w:space="0" w:color="414142"/>
              <w:bottom w:val="outset" w:sz="6" w:space="0" w:color="414142"/>
              <w:right w:val="outset" w:sz="6" w:space="0" w:color="414142"/>
            </w:tcBorders>
            <w:shd w:val="clear" w:color="auto" w:fill="auto"/>
          </w:tcPr>
          <w:p w14:paraId="0EC45659" w14:textId="77777777" w:rsidR="00D75DB7" w:rsidRPr="00172F5A" w:rsidRDefault="00D75DB7" w:rsidP="00D75DB7">
            <w:pPr>
              <w:spacing w:after="0" w:line="240" w:lineRule="auto"/>
              <w:rPr>
                <w:rFonts w:eastAsia="Times New Roman" w:cs="Times New Roman"/>
                <w:sz w:val="20"/>
                <w:szCs w:val="20"/>
                <w:lang w:eastAsia="lv-LV"/>
              </w:rPr>
            </w:pPr>
            <w:r w:rsidRPr="00172F5A">
              <w:rPr>
                <w:rFonts w:eastAsia="Times New Roman" w:cs="Times New Roman"/>
                <w:sz w:val="20"/>
                <w:szCs w:val="20"/>
                <w:lang w:eastAsia="lv-LV"/>
              </w:rPr>
              <w:t xml:space="preserve">5. Industrijas un pakalpojumu politika, </w:t>
            </w:r>
          </w:p>
          <w:p w14:paraId="1D3158F8" w14:textId="77777777" w:rsidR="00D75DB7" w:rsidRDefault="00D75DB7" w:rsidP="00D75DB7">
            <w:pPr>
              <w:spacing w:after="0" w:line="240" w:lineRule="auto"/>
              <w:rPr>
                <w:rFonts w:eastAsia="Times New Roman" w:cs="Times New Roman"/>
                <w:sz w:val="20"/>
                <w:szCs w:val="20"/>
                <w:lang w:eastAsia="lv-LV"/>
              </w:rPr>
            </w:pPr>
            <w:r w:rsidRPr="00172F5A">
              <w:rPr>
                <w:rFonts w:eastAsia="Times New Roman" w:cs="Times New Roman"/>
                <w:sz w:val="20"/>
                <w:szCs w:val="20"/>
                <w:lang w:eastAsia="lv-LV"/>
              </w:rPr>
              <w:t>5.2. Būvniecības politikas nozare</w:t>
            </w:r>
          </w:p>
          <w:p w14:paraId="092EE442" w14:textId="77777777" w:rsidR="0091097E" w:rsidRPr="00D75DB7" w:rsidRDefault="0091097E" w:rsidP="00D75DB7">
            <w:pPr>
              <w:spacing w:after="0" w:line="240" w:lineRule="auto"/>
              <w:rPr>
                <w:rFonts w:eastAsia="Times New Roman" w:cs="Times New Roman"/>
                <w:sz w:val="20"/>
                <w:szCs w:val="20"/>
                <w:lang w:eastAsia="lv-LV"/>
              </w:rPr>
            </w:pPr>
          </w:p>
        </w:tc>
        <w:tc>
          <w:tcPr>
            <w:tcW w:w="1045" w:type="pct"/>
            <w:tcBorders>
              <w:top w:val="outset" w:sz="6" w:space="0" w:color="414142"/>
              <w:left w:val="outset" w:sz="6" w:space="0" w:color="414142"/>
              <w:bottom w:val="outset" w:sz="6" w:space="0" w:color="414142"/>
              <w:right w:val="outset" w:sz="6" w:space="0" w:color="414142"/>
            </w:tcBorders>
            <w:shd w:val="clear" w:color="auto" w:fill="auto"/>
          </w:tcPr>
          <w:p w14:paraId="66F77A5C" w14:textId="77777777" w:rsidR="00172F5A" w:rsidRPr="0091097E" w:rsidRDefault="00D75DB7" w:rsidP="00D75DB7">
            <w:pPr>
              <w:spacing w:after="0" w:line="240" w:lineRule="auto"/>
              <w:rPr>
                <w:rFonts w:cs="Times New Roman"/>
                <w:sz w:val="20"/>
                <w:szCs w:val="20"/>
                <w:shd w:val="clear" w:color="auto" w:fill="FFFFFF"/>
              </w:rPr>
            </w:pPr>
            <w:r w:rsidRPr="0091097E">
              <w:rPr>
                <w:rFonts w:eastAsia="Times New Roman" w:cs="Times New Roman"/>
                <w:sz w:val="20"/>
                <w:szCs w:val="20"/>
                <w:lang w:eastAsia="lv-LV"/>
              </w:rPr>
              <w:t xml:space="preserve">Pētījums tiks </w:t>
            </w:r>
            <w:r w:rsidR="00172F5A" w:rsidRPr="0091097E">
              <w:rPr>
                <w:rFonts w:eastAsia="Times New Roman" w:cs="Times New Roman"/>
                <w:sz w:val="20"/>
                <w:szCs w:val="20"/>
                <w:lang w:eastAsia="lv-LV"/>
              </w:rPr>
              <w:t>izmantots, l</w:t>
            </w:r>
            <w:r w:rsidR="00172F5A" w:rsidRPr="0091097E">
              <w:rPr>
                <w:rFonts w:eastAsia="Calibri"/>
                <w:sz w:val="20"/>
                <w:szCs w:val="20"/>
              </w:rPr>
              <w:t>ai budžeta ietvaros varētu efektīvāk plānot publisko būvniecības iepirkumu potenciālās izmaksas un novērtētu iespējamās cenu izmaiņas tuvākajos gados</w:t>
            </w:r>
            <w:r w:rsidR="0091097E">
              <w:rPr>
                <w:rFonts w:eastAsia="Calibri"/>
                <w:sz w:val="20"/>
                <w:szCs w:val="20"/>
              </w:rPr>
              <w:t>.</w:t>
            </w:r>
          </w:p>
        </w:tc>
        <w:tc>
          <w:tcPr>
            <w:tcW w:w="621" w:type="pct"/>
            <w:tcBorders>
              <w:top w:val="outset" w:sz="6" w:space="0" w:color="414142"/>
              <w:left w:val="outset" w:sz="6" w:space="0" w:color="414142"/>
              <w:bottom w:val="outset" w:sz="6" w:space="0" w:color="414142"/>
              <w:right w:val="outset" w:sz="6" w:space="0" w:color="414142"/>
            </w:tcBorders>
            <w:shd w:val="clear" w:color="auto" w:fill="auto"/>
          </w:tcPr>
          <w:p w14:paraId="3F1E1914" w14:textId="77777777" w:rsidR="00D75DB7" w:rsidRPr="0091097E" w:rsidRDefault="00172F5A" w:rsidP="00D75DB7">
            <w:pPr>
              <w:spacing w:after="0" w:line="240" w:lineRule="auto"/>
              <w:jc w:val="center"/>
              <w:rPr>
                <w:rFonts w:eastAsia="Times New Roman" w:cs="Times New Roman"/>
                <w:i/>
                <w:sz w:val="20"/>
                <w:szCs w:val="20"/>
                <w:lang w:eastAsia="lv-LV"/>
              </w:rPr>
            </w:pPr>
            <w:r w:rsidRPr="0091097E">
              <w:rPr>
                <w:rFonts w:eastAsia="Times New Roman" w:cs="Times New Roman"/>
                <w:sz w:val="20"/>
                <w:szCs w:val="20"/>
                <w:lang w:eastAsia="lv-LV"/>
              </w:rPr>
              <w:t>30</w:t>
            </w:r>
            <w:r w:rsidR="00D75DB7" w:rsidRPr="0091097E">
              <w:rPr>
                <w:rFonts w:eastAsia="Times New Roman" w:cs="Times New Roman"/>
                <w:sz w:val="20"/>
                <w:szCs w:val="20"/>
                <w:lang w:eastAsia="lv-LV"/>
              </w:rPr>
              <w:t xml:space="preserve"> 000 </w:t>
            </w:r>
            <w:r w:rsidR="00D75DB7" w:rsidRPr="0091097E">
              <w:rPr>
                <w:rFonts w:eastAsia="Times New Roman" w:cs="Times New Roman"/>
                <w:i/>
                <w:sz w:val="20"/>
                <w:szCs w:val="20"/>
                <w:lang w:eastAsia="lv-LV"/>
              </w:rPr>
              <w:t>euro</w:t>
            </w:r>
          </w:p>
          <w:p w14:paraId="00B4DF33" w14:textId="77777777" w:rsidR="00D75DB7" w:rsidRPr="0091097E" w:rsidRDefault="00D75DB7" w:rsidP="00D75DB7">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 xml:space="preserve">bez PVN </w:t>
            </w:r>
          </w:p>
          <w:p w14:paraId="35E34D38" w14:textId="77777777" w:rsidR="00D75DB7" w:rsidRPr="0091097E" w:rsidRDefault="00D75DB7" w:rsidP="00D75DB7">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 xml:space="preserve">EM budžeta programma </w:t>
            </w:r>
          </w:p>
          <w:p w14:paraId="6C161ED4" w14:textId="77777777" w:rsidR="00D75DB7" w:rsidRPr="0091097E" w:rsidRDefault="00D75DB7" w:rsidP="00172F5A">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20.00.00 “Būvniecība”</w:t>
            </w:r>
          </w:p>
        </w:tc>
        <w:tc>
          <w:tcPr>
            <w:tcW w:w="856" w:type="pct"/>
            <w:tcBorders>
              <w:top w:val="outset" w:sz="6" w:space="0" w:color="414142"/>
              <w:left w:val="outset" w:sz="6" w:space="0" w:color="414142"/>
              <w:bottom w:val="outset" w:sz="6" w:space="0" w:color="414142"/>
              <w:right w:val="outset" w:sz="6" w:space="0" w:color="414142"/>
            </w:tcBorders>
            <w:shd w:val="clear" w:color="auto" w:fill="auto"/>
          </w:tcPr>
          <w:p w14:paraId="27A9AD3E" w14:textId="77777777" w:rsidR="00D75DB7" w:rsidRPr="0091097E" w:rsidRDefault="00D75DB7" w:rsidP="00D75DB7">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Plānots līdz 3</w:t>
            </w:r>
            <w:r w:rsidR="0091097E" w:rsidRPr="0091097E">
              <w:rPr>
                <w:rFonts w:eastAsia="Times New Roman" w:cs="Times New Roman"/>
                <w:sz w:val="20"/>
                <w:szCs w:val="20"/>
                <w:lang w:eastAsia="lv-LV"/>
              </w:rPr>
              <w:t>1</w:t>
            </w:r>
            <w:r w:rsidRPr="0091097E">
              <w:rPr>
                <w:rFonts w:eastAsia="Times New Roman" w:cs="Times New Roman"/>
                <w:sz w:val="20"/>
                <w:szCs w:val="20"/>
                <w:lang w:eastAsia="lv-LV"/>
              </w:rPr>
              <w:t>.0</w:t>
            </w:r>
            <w:r w:rsidR="0091097E" w:rsidRPr="0091097E">
              <w:rPr>
                <w:rFonts w:eastAsia="Times New Roman" w:cs="Times New Roman"/>
                <w:sz w:val="20"/>
                <w:szCs w:val="20"/>
                <w:lang w:eastAsia="lv-LV"/>
              </w:rPr>
              <w:t>1</w:t>
            </w:r>
            <w:r w:rsidRPr="0091097E">
              <w:rPr>
                <w:rFonts w:eastAsia="Times New Roman" w:cs="Times New Roman"/>
                <w:sz w:val="20"/>
                <w:szCs w:val="20"/>
                <w:lang w:eastAsia="lv-LV"/>
              </w:rPr>
              <w:t>.202</w:t>
            </w:r>
            <w:r w:rsidR="0091097E" w:rsidRPr="0091097E">
              <w:rPr>
                <w:rFonts w:eastAsia="Times New Roman" w:cs="Times New Roman"/>
                <w:sz w:val="20"/>
                <w:szCs w:val="20"/>
                <w:lang w:eastAsia="lv-LV"/>
              </w:rPr>
              <w:t>2</w:t>
            </w:r>
            <w:r w:rsidRPr="0091097E">
              <w:rPr>
                <w:rFonts w:eastAsia="Times New Roman" w:cs="Times New Roman"/>
                <w:sz w:val="20"/>
                <w:szCs w:val="20"/>
                <w:lang w:eastAsia="lv-LV"/>
              </w:rPr>
              <w:t>.;</w:t>
            </w:r>
          </w:p>
          <w:p w14:paraId="3367F1AD" w14:textId="77777777" w:rsidR="00D75DB7" w:rsidRPr="0091097E" w:rsidRDefault="00D75DB7" w:rsidP="00D75DB7">
            <w:pPr>
              <w:spacing w:after="0" w:line="240" w:lineRule="auto"/>
              <w:rPr>
                <w:rFonts w:eastAsia="Times New Roman" w:cs="Times New Roman"/>
                <w:i/>
                <w:iCs/>
                <w:sz w:val="20"/>
                <w:szCs w:val="20"/>
                <w:lang w:eastAsia="lv-LV"/>
              </w:rPr>
            </w:pPr>
            <w:r w:rsidRPr="0091097E">
              <w:rPr>
                <w:rFonts w:eastAsia="Times New Roman" w:cs="Times New Roman"/>
                <w:i/>
                <w:iCs/>
                <w:sz w:val="20"/>
                <w:szCs w:val="20"/>
                <w:lang w:eastAsia="lv-LV"/>
              </w:rPr>
              <w:t xml:space="preserve">Kontaktpersona – </w:t>
            </w:r>
          </w:p>
          <w:p w14:paraId="35AF3EA2" w14:textId="77777777" w:rsidR="00D75DB7" w:rsidRPr="0091097E" w:rsidRDefault="00D75DB7" w:rsidP="00D75DB7">
            <w:pPr>
              <w:spacing w:after="0" w:line="240" w:lineRule="auto"/>
              <w:rPr>
                <w:rFonts w:eastAsia="Times New Roman" w:cs="Times New Roman"/>
                <w:i/>
                <w:iCs/>
                <w:sz w:val="20"/>
                <w:szCs w:val="20"/>
                <w:lang w:eastAsia="lv-LV"/>
              </w:rPr>
            </w:pPr>
            <w:r w:rsidRPr="0091097E">
              <w:rPr>
                <w:rFonts w:eastAsia="Times New Roman" w:cs="Times New Roman"/>
                <w:i/>
                <w:iCs/>
                <w:sz w:val="20"/>
                <w:szCs w:val="20"/>
                <w:lang w:eastAsia="lv-LV"/>
              </w:rPr>
              <w:t>EM Būvniecības politikas departamenta vecākā eksperte Inese Rostoka,</w:t>
            </w:r>
          </w:p>
          <w:p w14:paraId="1F029CF4" w14:textId="77777777" w:rsidR="00D75DB7" w:rsidRPr="0091097E" w:rsidRDefault="00A548C7" w:rsidP="00D75DB7">
            <w:pPr>
              <w:spacing w:after="0" w:line="240" w:lineRule="auto"/>
              <w:rPr>
                <w:rFonts w:eastAsia="Times New Roman" w:cs="Times New Roman"/>
                <w:i/>
                <w:iCs/>
                <w:color w:val="00859B"/>
                <w:sz w:val="20"/>
                <w:szCs w:val="20"/>
                <w:lang w:eastAsia="lv-LV"/>
              </w:rPr>
            </w:pPr>
            <w:hyperlink r:id="rId161" w:history="1">
              <w:r w:rsidR="00D75DB7" w:rsidRPr="0091097E">
                <w:rPr>
                  <w:rStyle w:val="Hyperlink"/>
                  <w:i/>
                  <w:iCs/>
                  <w:color w:val="00859B"/>
                  <w:sz w:val="20"/>
                  <w:szCs w:val="20"/>
                </w:rPr>
                <w:t>Inese.Rostoka@em.gov.lv</w:t>
              </w:r>
            </w:hyperlink>
          </w:p>
          <w:p w14:paraId="424BF6C9" w14:textId="77777777" w:rsidR="00D75DB7" w:rsidRDefault="00D75DB7" w:rsidP="00D75DB7">
            <w:pPr>
              <w:spacing w:after="0" w:line="240" w:lineRule="auto"/>
              <w:rPr>
                <w:rFonts w:eastAsia="Times New Roman" w:cs="Times New Roman"/>
                <w:i/>
                <w:iCs/>
                <w:sz w:val="20"/>
                <w:szCs w:val="20"/>
                <w:lang w:eastAsia="lv-LV"/>
              </w:rPr>
            </w:pPr>
            <w:r w:rsidRPr="0091097E">
              <w:rPr>
                <w:rFonts w:eastAsia="Times New Roman" w:cs="Times New Roman"/>
                <w:i/>
                <w:iCs/>
                <w:sz w:val="20"/>
                <w:szCs w:val="20"/>
                <w:lang w:eastAsia="lv-LV"/>
              </w:rPr>
              <w:t>tālr. 67013276</w:t>
            </w:r>
          </w:p>
          <w:p w14:paraId="7747550F" w14:textId="77777777" w:rsidR="009B2FBC" w:rsidRPr="0091097E" w:rsidRDefault="009B2FBC" w:rsidP="00D75DB7">
            <w:pPr>
              <w:spacing w:after="0" w:line="240" w:lineRule="auto"/>
              <w:rPr>
                <w:rFonts w:eastAsia="Times New Roman" w:cs="Times New Roman"/>
                <w:sz w:val="20"/>
                <w:szCs w:val="20"/>
                <w:lang w:eastAsia="lv-LV"/>
              </w:rPr>
            </w:pPr>
          </w:p>
        </w:tc>
      </w:tr>
      <w:tr w:rsidR="001A175E" w:rsidRPr="00F5511B" w14:paraId="5119526D"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auto"/>
          </w:tcPr>
          <w:p w14:paraId="6B823E61" w14:textId="77777777" w:rsidR="0091097E" w:rsidRPr="00D75DB7" w:rsidRDefault="0091097E"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2.</w:t>
            </w:r>
          </w:p>
        </w:tc>
        <w:tc>
          <w:tcPr>
            <w:tcW w:w="622" w:type="pct"/>
            <w:tcBorders>
              <w:top w:val="outset" w:sz="6" w:space="0" w:color="414142"/>
              <w:left w:val="outset" w:sz="6" w:space="0" w:color="414142"/>
              <w:bottom w:val="outset" w:sz="6" w:space="0" w:color="414142"/>
              <w:right w:val="outset" w:sz="6" w:space="0" w:color="414142"/>
            </w:tcBorders>
            <w:shd w:val="clear" w:color="auto" w:fill="auto"/>
          </w:tcPr>
          <w:p w14:paraId="7EA008C5" w14:textId="77777777" w:rsidR="0091097E" w:rsidRPr="0091097E" w:rsidRDefault="00A548C7" w:rsidP="00D75DB7">
            <w:pPr>
              <w:spacing w:after="60" w:line="240" w:lineRule="auto"/>
              <w:rPr>
                <w:rFonts w:eastAsia="Times New Roman" w:cs="Times New Roman"/>
                <w:b/>
                <w:bCs/>
                <w:i/>
                <w:iCs/>
                <w:color w:val="00859B"/>
                <w:sz w:val="20"/>
                <w:szCs w:val="20"/>
                <w:lang w:eastAsia="lv-LV"/>
              </w:rPr>
            </w:pPr>
            <w:hyperlink r:id="rId162" w:tgtFrame="_blank" w:history="1">
              <w:r w:rsidR="0091097E" w:rsidRPr="0091097E">
                <w:rPr>
                  <w:rStyle w:val="Hyperlink"/>
                  <w:i/>
                  <w:iCs/>
                  <w:color w:val="00859B"/>
                  <w:sz w:val="20"/>
                  <w:szCs w:val="20"/>
                </w:rPr>
                <w:t>ES stratēģija Baltijas jūras reģionam par BEMIP politikas jomas “Enerģētika” problēmu risinājumiem</w:t>
              </w:r>
            </w:hyperlink>
          </w:p>
          <w:p w14:paraId="5C7D5F62" w14:textId="77777777" w:rsidR="0091097E" w:rsidRPr="0091097E" w:rsidRDefault="0091097E" w:rsidP="00D75DB7">
            <w:pPr>
              <w:spacing w:after="60" w:line="240" w:lineRule="auto"/>
              <w:rPr>
                <w:rFonts w:eastAsia="Times New Roman" w:cs="Times New Roman"/>
                <w:b/>
                <w:bCs/>
                <w:sz w:val="20"/>
                <w:szCs w:val="20"/>
                <w:lang w:eastAsia="lv-LV"/>
              </w:rPr>
            </w:pPr>
          </w:p>
        </w:tc>
        <w:tc>
          <w:tcPr>
            <w:tcW w:w="1187" w:type="pct"/>
            <w:tcBorders>
              <w:top w:val="outset" w:sz="6" w:space="0" w:color="414142"/>
              <w:left w:val="outset" w:sz="6" w:space="0" w:color="414142"/>
              <w:bottom w:val="outset" w:sz="6" w:space="0" w:color="414142"/>
              <w:right w:val="outset" w:sz="6" w:space="0" w:color="414142"/>
            </w:tcBorders>
            <w:shd w:val="clear" w:color="auto" w:fill="auto"/>
          </w:tcPr>
          <w:p w14:paraId="50C10925" w14:textId="3E38128D" w:rsidR="0091097E" w:rsidRPr="00D75DB7" w:rsidRDefault="0091097E" w:rsidP="00D75DB7">
            <w:pPr>
              <w:spacing w:after="0" w:line="240" w:lineRule="auto"/>
              <w:rPr>
                <w:rFonts w:cs="Times New Roman"/>
                <w:sz w:val="20"/>
                <w:szCs w:val="20"/>
                <w:shd w:val="clear" w:color="auto" w:fill="FFFFFF"/>
              </w:rPr>
            </w:pPr>
            <w:r w:rsidRPr="006B53EC">
              <w:rPr>
                <w:rFonts w:eastAsia="Times New Roman" w:cs="Times New Roman"/>
                <w:sz w:val="20"/>
                <w:szCs w:val="20"/>
                <w:lang w:eastAsia="lv-LV"/>
              </w:rPr>
              <w:t>Starptautiski salīdzinoš</w:t>
            </w:r>
            <w:r>
              <w:rPr>
                <w:rFonts w:eastAsia="Times New Roman" w:cs="Times New Roman"/>
                <w:sz w:val="20"/>
                <w:szCs w:val="20"/>
                <w:lang w:eastAsia="lv-LV"/>
              </w:rPr>
              <w:t>ā</w:t>
            </w:r>
            <w:r w:rsidRPr="006B53EC">
              <w:rPr>
                <w:rFonts w:eastAsia="Times New Roman" w:cs="Times New Roman"/>
                <w:sz w:val="20"/>
                <w:szCs w:val="20"/>
                <w:lang w:eastAsia="lv-LV"/>
              </w:rPr>
              <w:t xml:space="preserve"> pētījum</w:t>
            </w:r>
            <w:r>
              <w:rPr>
                <w:rFonts w:eastAsia="Times New Roman" w:cs="Times New Roman"/>
                <w:sz w:val="20"/>
                <w:szCs w:val="20"/>
                <w:lang w:eastAsia="lv-LV"/>
              </w:rPr>
              <w:t>ā tiks analizēti</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Pr="006B53EC">
              <w:rPr>
                <w:rFonts w:eastAsia="Times New Roman" w:cs="Times New Roman"/>
                <w:sz w:val="20"/>
                <w:szCs w:val="20"/>
                <w:lang w:eastAsia="lv-LV"/>
              </w:rPr>
              <w:t xml:space="preserve">ārrobežu sadarbības potenciāls labās prakses piemēri, potenciāls un </w:t>
            </w:r>
            <w:r>
              <w:rPr>
                <w:rFonts w:eastAsia="Times New Roman" w:cs="Times New Roman"/>
                <w:sz w:val="20"/>
                <w:szCs w:val="20"/>
                <w:lang w:eastAsia="lv-LV"/>
              </w:rPr>
              <w:t xml:space="preserve">veikta </w:t>
            </w:r>
            <w:r w:rsidRPr="006B53EC">
              <w:rPr>
                <w:rFonts w:eastAsia="Times New Roman" w:cs="Times New Roman"/>
                <w:sz w:val="20"/>
                <w:szCs w:val="20"/>
                <w:lang w:eastAsia="lv-LV"/>
              </w:rPr>
              <w:t>to ekonomiskā analīze atjaunojamo energoresursu un ūdeņraža tehnoloģiju attīstības veicināšanai Baltijas jūras reģionā</w:t>
            </w:r>
            <w:r>
              <w:rPr>
                <w:rStyle w:val="FootnoteReference"/>
                <w:sz w:val="20"/>
                <w:szCs w:val="20"/>
                <w:lang w:eastAsia="lv-LV"/>
              </w:rPr>
              <w:footnoteReference w:id="56"/>
            </w:r>
          </w:p>
        </w:tc>
        <w:tc>
          <w:tcPr>
            <w:tcW w:w="526" w:type="pct"/>
            <w:tcBorders>
              <w:top w:val="outset" w:sz="6" w:space="0" w:color="414142"/>
              <w:left w:val="outset" w:sz="6" w:space="0" w:color="414142"/>
              <w:bottom w:val="outset" w:sz="6" w:space="0" w:color="414142"/>
              <w:right w:val="outset" w:sz="6" w:space="0" w:color="414142"/>
            </w:tcBorders>
            <w:shd w:val="clear" w:color="auto" w:fill="auto"/>
          </w:tcPr>
          <w:p w14:paraId="1888A26A" w14:textId="77777777" w:rsidR="0091097E" w:rsidRPr="0091097E" w:rsidRDefault="0091097E" w:rsidP="0091097E">
            <w:pPr>
              <w:spacing w:after="0" w:line="240" w:lineRule="auto"/>
              <w:rPr>
                <w:rFonts w:eastAsia="Times New Roman" w:cs="Times New Roman"/>
                <w:sz w:val="20"/>
                <w:szCs w:val="20"/>
                <w:lang w:eastAsia="lv-LV"/>
              </w:rPr>
            </w:pPr>
            <w:r w:rsidRPr="00172F5A">
              <w:rPr>
                <w:rFonts w:eastAsia="Times New Roman" w:cs="Times New Roman"/>
                <w:sz w:val="20"/>
                <w:szCs w:val="20"/>
                <w:lang w:eastAsia="lv-LV"/>
              </w:rPr>
              <w:t xml:space="preserve">5. Industrijas un pakalpojumu </w:t>
            </w:r>
            <w:r w:rsidRPr="0091097E">
              <w:rPr>
                <w:rFonts w:eastAsia="Times New Roman" w:cs="Times New Roman"/>
                <w:sz w:val="20"/>
                <w:szCs w:val="20"/>
                <w:lang w:eastAsia="lv-LV"/>
              </w:rPr>
              <w:t xml:space="preserve">politika, </w:t>
            </w:r>
          </w:p>
          <w:p w14:paraId="4CCB8B68" w14:textId="77777777" w:rsidR="0091097E" w:rsidRDefault="0091097E" w:rsidP="00D75DB7">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5.3. Enerģētikas nozare</w:t>
            </w:r>
          </w:p>
          <w:p w14:paraId="37AFF8E3" w14:textId="77777777" w:rsidR="0091097E" w:rsidRPr="00D75DB7" w:rsidRDefault="0091097E" w:rsidP="00D75DB7">
            <w:pPr>
              <w:spacing w:after="0" w:line="240" w:lineRule="auto"/>
              <w:rPr>
                <w:rFonts w:eastAsia="Times New Roman" w:cs="Times New Roman"/>
                <w:sz w:val="20"/>
                <w:szCs w:val="20"/>
                <w:lang w:eastAsia="lv-LV"/>
              </w:rPr>
            </w:pPr>
          </w:p>
        </w:tc>
        <w:tc>
          <w:tcPr>
            <w:tcW w:w="1045" w:type="pct"/>
            <w:tcBorders>
              <w:top w:val="outset" w:sz="6" w:space="0" w:color="414142"/>
              <w:left w:val="outset" w:sz="6" w:space="0" w:color="414142"/>
              <w:bottom w:val="outset" w:sz="6" w:space="0" w:color="414142"/>
              <w:right w:val="outset" w:sz="6" w:space="0" w:color="414142"/>
            </w:tcBorders>
            <w:shd w:val="clear" w:color="auto" w:fill="auto"/>
          </w:tcPr>
          <w:p w14:paraId="74EBE9B7" w14:textId="77777777" w:rsidR="0091097E" w:rsidRPr="00D75DB7" w:rsidRDefault="00B05D45" w:rsidP="00D75DB7">
            <w:pPr>
              <w:spacing w:after="0" w:line="240" w:lineRule="auto"/>
              <w:rPr>
                <w:rFonts w:eastAsia="Times New Roman" w:cs="Times New Roman"/>
                <w:sz w:val="20"/>
                <w:szCs w:val="20"/>
                <w:lang w:eastAsia="lv-LV"/>
              </w:rPr>
            </w:pPr>
            <w:r w:rsidRPr="006B53EC">
              <w:rPr>
                <w:rFonts w:eastAsia="Times New Roman" w:cs="Times New Roman"/>
                <w:sz w:val="20"/>
                <w:szCs w:val="20"/>
                <w:lang w:eastAsia="lv-LV"/>
              </w:rPr>
              <w:t>Pētījuma rezultāti tiks izsūtīti atbilstošajām BEMIP dalībvalstīm un izmantoti, lai veicinātu atjaunojamo energoresursu izmantošanu Baltijas jūras reģionā</w:t>
            </w:r>
          </w:p>
        </w:tc>
        <w:tc>
          <w:tcPr>
            <w:tcW w:w="621" w:type="pct"/>
            <w:tcBorders>
              <w:top w:val="outset" w:sz="6" w:space="0" w:color="414142"/>
              <w:left w:val="outset" w:sz="6" w:space="0" w:color="414142"/>
              <w:bottom w:val="outset" w:sz="6" w:space="0" w:color="414142"/>
              <w:right w:val="outset" w:sz="6" w:space="0" w:color="414142"/>
            </w:tcBorders>
            <w:shd w:val="clear" w:color="auto" w:fill="auto"/>
          </w:tcPr>
          <w:p w14:paraId="1971F5BD" w14:textId="77777777" w:rsidR="00B05D45" w:rsidRDefault="00B05D45" w:rsidP="00B05D45">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33</w:t>
            </w:r>
            <w:r w:rsidRPr="006B53EC">
              <w:rPr>
                <w:rFonts w:eastAsia="Times New Roman" w:cs="Times New Roman"/>
                <w:sz w:val="20"/>
                <w:szCs w:val="20"/>
                <w:lang w:eastAsia="lv-LV"/>
              </w:rPr>
              <w:t> 0</w:t>
            </w:r>
            <w:r>
              <w:rPr>
                <w:rFonts w:eastAsia="Times New Roman" w:cs="Times New Roman"/>
                <w:sz w:val="20"/>
                <w:szCs w:val="20"/>
                <w:lang w:eastAsia="lv-LV"/>
              </w:rPr>
              <w:t>58</w:t>
            </w:r>
            <w:r w:rsidRPr="009B2FBC">
              <w:rPr>
                <w:rFonts w:eastAsia="Times New Roman" w:cs="Times New Roman"/>
                <w:i/>
                <w:iCs/>
                <w:sz w:val="20"/>
                <w:szCs w:val="20"/>
                <w:lang w:eastAsia="lv-LV"/>
              </w:rPr>
              <w:t>euro</w:t>
            </w:r>
          </w:p>
          <w:p w14:paraId="43ED08A2" w14:textId="77777777" w:rsidR="00B05D45" w:rsidRPr="006B53EC" w:rsidRDefault="00B05D45" w:rsidP="00B05D45">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bez PVN</w:t>
            </w:r>
          </w:p>
          <w:p w14:paraId="777118CC" w14:textId="77777777" w:rsidR="00B05D45" w:rsidRDefault="00B05D45" w:rsidP="00B05D45">
            <w:pPr>
              <w:spacing w:after="0" w:line="240" w:lineRule="auto"/>
              <w:jc w:val="center"/>
              <w:rPr>
                <w:rFonts w:eastAsia="Times New Roman" w:cs="Times New Roman"/>
                <w:sz w:val="20"/>
                <w:szCs w:val="20"/>
                <w:lang w:eastAsia="lv-LV"/>
              </w:rPr>
            </w:pPr>
            <w:r w:rsidRPr="006B53EC">
              <w:rPr>
                <w:rFonts w:eastAsia="Times New Roman" w:cs="Times New Roman"/>
                <w:sz w:val="20"/>
                <w:szCs w:val="20"/>
                <w:lang w:eastAsia="lv-LV"/>
              </w:rPr>
              <w:t>69.06.0</w:t>
            </w:r>
            <w:r>
              <w:rPr>
                <w:rFonts w:eastAsia="Times New Roman" w:cs="Times New Roman"/>
                <w:sz w:val="20"/>
                <w:szCs w:val="20"/>
                <w:lang w:eastAsia="lv-LV"/>
              </w:rPr>
              <w:t>0</w:t>
            </w:r>
            <w:r w:rsidRPr="006B53EC">
              <w:rPr>
                <w:rFonts w:eastAsia="Times New Roman" w:cs="Times New Roman"/>
                <w:sz w:val="20"/>
                <w:szCs w:val="20"/>
                <w:lang w:eastAsia="lv-LV"/>
              </w:rPr>
              <w:t>.</w:t>
            </w:r>
            <w:r>
              <w:rPr>
                <w:rFonts w:eastAsia="Times New Roman" w:cs="Times New Roman"/>
                <w:sz w:val="20"/>
                <w:szCs w:val="20"/>
                <w:lang w:eastAsia="lv-LV"/>
              </w:rPr>
              <w:t xml:space="preserve"> “</w:t>
            </w:r>
            <w:r w:rsidRPr="00A558E1">
              <w:rPr>
                <w:rFonts w:eastAsia="Times New Roman" w:cs="Times New Roman"/>
                <w:sz w:val="20"/>
                <w:szCs w:val="20"/>
                <w:lang w:eastAsia="lv-LV"/>
              </w:rPr>
              <w:t>Mērķa “Eiropas teritoriālā sadarbība” pārrobežu sadarbības projekti</w:t>
            </w:r>
            <w:r>
              <w:rPr>
                <w:rFonts w:eastAsia="Times New Roman" w:cs="Times New Roman"/>
                <w:sz w:val="20"/>
                <w:szCs w:val="20"/>
                <w:lang w:eastAsia="lv-LV"/>
              </w:rPr>
              <w:t>”</w:t>
            </w:r>
          </w:p>
          <w:p w14:paraId="48D1442B" w14:textId="77777777" w:rsidR="0091097E" w:rsidRPr="00D75DB7" w:rsidRDefault="00B05D45" w:rsidP="00B05D45">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p</w:t>
            </w:r>
            <w:r w:rsidRPr="006B53EC">
              <w:rPr>
                <w:rFonts w:eastAsia="Times New Roman" w:cs="Times New Roman"/>
                <w:sz w:val="20"/>
                <w:szCs w:val="20"/>
                <w:lang w:eastAsia="lv-LV"/>
              </w:rPr>
              <w:t>rojekts "P024 PJs enerģētika/transports"</w:t>
            </w:r>
          </w:p>
        </w:tc>
        <w:tc>
          <w:tcPr>
            <w:tcW w:w="856" w:type="pct"/>
            <w:tcBorders>
              <w:top w:val="outset" w:sz="6" w:space="0" w:color="414142"/>
              <w:left w:val="outset" w:sz="6" w:space="0" w:color="414142"/>
              <w:bottom w:val="outset" w:sz="6" w:space="0" w:color="414142"/>
              <w:right w:val="outset" w:sz="6" w:space="0" w:color="414142"/>
            </w:tcBorders>
            <w:shd w:val="clear" w:color="auto" w:fill="auto"/>
          </w:tcPr>
          <w:p w14:paraId="1F30FB6B" w14:textId="77777777" w:rsidR="00B05D45" w:rsidRPr="0091097E" w:rsidRDefault="00B05D45" w:rsidP="00B05D45">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Plānots līdz 3</w:t>
            </w:r>
            <w:r>
              <w:rPr>
                <w:rFonts w:eastAsia="Times New Roman" w:cs="Times New Roman"/>
                <w:sz w:val="20"/>
                <w:szCs w:val="20"/>
                <w:lang w:eastAsia="lv-LV"/>
              </w:rPr>
              <w:t>0</w:t>
            </w:r>
            <w:r w:rsidRPr="0091097E">
              <w:rPr>
                <w:rFonts w:eastAsia="Times New Roman" w:cs="Times New Roman"/>
                <w:sz w:val="20"/>
                <w:szCs w:val="20"/>
                <w:lang w:eastAsia="lv-LV"/>
              </w:rPr>
              <w:t>.</w:t>
            </w:r>
            <w:r>
              <w:rPr>
                <w:rFonts w:eastAsia="Times New Roman" w:cs="Times New Roman"/>
                <w:sz w:val="20"/>
                <w:szCs w:val="20"/>
                <w:lang w:eastAsia="lv-LV"/>
              </w:rPr>
              <w:t>1</w:t>
            </w:r>
            <w:r w:rsidRPr="0091097E">
              <w:rPr>
                <w:rFonts w:eastAsia="Times New Roman" w:cs="Times New Roman"/>
                <w:sz w:val="20"/>
                <w:szCs w:val="20"/>
                <w:lang w:eastAsia="lv-LV"/>
              </w:rPr>
              <w:t>1.202</w:t>
            </w:r>
            <w:r>
              <w:rPr>
                <w:rFonts w:eastAsia="Times New Roman" w:cs="Times New Roman"/>
                <w:sz w:val="20"/>
                <w:szCs w:val="20"/>
                <w:lang w:eastAsia="lv-LV"/>
              </w:rPr>
              <w:t>1</w:t>
            </w:r>
            <w:r w:rsidRPr="0091097E">
              <w:rPr>
                <w:rFonts w:eastAsia="Times New Roman" w:cs="Times New Roman"/>
                <w:sz w:val="20"/>
                <w:szCs w:val="20"/>
                <w:lang w:eastAsia="lv-LV"/>
              </w:rPr>
              <w:t>.;</w:t>
            </w:r>
          </w:p>
          <w:p w14:paraId="3529EA86" w14:textId="77777777" w:rsidR="00B05D45" w:rsidRPr="0091097E" w:rsidRDefault="00B05D45" w:rsidP="00B05D45">
            <w:pPr>
              <w:spacing w:after="0" w:line="240" w:lineRule="auto"/>
              <w:rPr>
                <w:rFonts w:eastAsia="Times New Roman" w:cs="Times New Roman"/>
                <w:i/>
                <w:iCs/>
                <w:sz w:val="20"/>
                <w:szCs w:val="20"/>
                <w:lang w:eastAsia="lv-LV"/>
              </w:rPr>
            </w:pPr>
            <w:r w:rsidRPr="0091097E">
              <w:rPr>
                <w:rFonts w:eastAsia="Times New Roman" w:cs="Times New Roman"/>
                <w:i/>
                <w:iCs/>
                <w:sz w:val="20"/>
                <w:szCs w:val="20"/>
                <w:lang w:eastAsia="lv-LV"/>
              </w:rPr>
              <w:t xml:space="preserve">Kontaktpersona – </w:t>
            </w:r>
          </w:p>
          <w:p w14:paraId="2416E86E" w14:textId="77777777" w:rsidR="00B05D45" w:rsidRPr="00B05D45" w:rsidRDefault="00B05D45" w:rsidP="00B05D45">
            <w:pPr>
              <w:spacing w:after="0" w:line="240" w:lineRule="auto"/>
              <w:rPr>
                <w:rFonts w:eastAsia="Times New Roman" w:cs="Times New Roman"/>
                <w:i/>
                <w:iCs/>
                <w:sz w:val="20"/>
                <w:szCs w:val="20"/>
                <w:lang w:eastAsia="lv-LV"/>
              </w:rPr>
            </w:pPr>
            <w:r w:rsidRPr="0091097E">
              <w:rPr>
                <w:rFonts w:eastAsia="Times New Roman" w:cs="Times New Roman"/>
                <w:i/>
                <w:iCs/>
                <w:sz w:val="20"/>
                <w:szCs w:val="20"/>
                <w:lang w:eastAsia="lv-LV"/>
              </w:rPr>
              <w:t xml:space="preserve">EM </w:t>
            </w:r>
            <w:r w:rsidRPr="00B05D45">
              <w:rPr>
                <w:rFonts w:eastAsia="Times New Roman" w:cs="Times New Roman"/>
                <w:i/>
                <w:iCs/>
                <w:sz w:val="20"/>
                <w:szCs w:val="20"/>
                <w:lang w:eastAsia="lv-LV"/>
              </w:rPr>
              <w:t>Enerģijas tirgus un infrastruktūras departamenta direktore Marija Zjurikova,</w:t>
            </w:r>
          </w:p>
          <w:p w14:paraId="1DDF7DF5" w14:textId="77777777" w:rsidR="00B05D45" w:rsidRPr="00B05D45" w:rsidRDefault="00A548C7" w:rsidP="00B05D45">
            <w:pPr>
              <w:spacing w:after="0" w:line="240" w:lineRule="auto"/>
              <w:rPr>
                <w:rFonts w:eastAsia="Times New Roman" w:cs="Times New Roman"/>
                <w:i/>
                <w:iCs/>
                <w:color w:val="00859B"/>
                <w:sz w:val="20"/>
                <w:szCs w:val="20"/>
                <w:lang w:eastAsia="lv-LV"/>
              </w:rPr>
            </w:pPr>
            <w:hyperlink r:id="rId163" w:history="1">
              <w:r w:rsidR="00B05D45" w:rsidRPr="00B05D45">
                <w:rPr>
                  <w:rStyle w:val="Hyperlink"/>
                  <w:i/>
                  <w:iCs/>
                  <w:color w:val="00859B"/>
                  <w:sz w:val="20"/>
                  <w:szCs w:val="20"/>
                </w:rPr>
                <w:t>Marija.Zjurikova@em.gov.lv</w:t>
              </w:r>
            </w:hyperlink>
          </w:p>
          <w:p w14:paraId="21EFEA1C" w14:textId="77777777" w:rsidR="00B05D45" w:rsidRDefault="00B05D45" w:rsidP="00B05D45">
            <w:pPr>
              <w:spacing w:after="0" w:line="240" w:lineRule="auto"/>
              <w:rPr>
                <w:rFonts w:eastAsia="Times New Roman" w:cs="Times New Roman"/>
                <w:i/>
                <w:iCs/>
                <w:sz w:val="20"/>
                <w:szCs w:val="20"/>
                <w:lang w:eastAsia="lv-LV"/>
              </w:rPr>
            </w:pPr>
            <w:r w:rsidRPr="00B05D45">
              <w:rPr>
                <w:rFonts w:eastAsia="Times New Roman" w:cs="Times New Roman"/>
                <w:i/>
                <w:iCs/>
                <w:sz w:val="20"/>
                <w:szCs w:val="20"/>
                <w:lang w:eastAsia="lv-LV"/>
              </w:rPr>
              <w:t>tālr. 67013242</w:t>
            </w:r>
          </w:p>
          <w:p w14:paraId="0BF5004D" w14:textId="77777777" w:rsidR="009B2FBC" w:rsidRPr="00D75DB7" w:rsidRDefault="009B2FBC" w:rsidP="00B05D45">
            <w:pPr>
              <w:spacing w:after="0" w:line="240" w:lineRule="auto"/>
              <w:rPr>
                <w:rFonts w:eastAsia="Times New Roman" w:cs="Times New Roman"/>
                <w:sz w:val="20"/>
                <w:szCs w:val="20"/>
                <w:lang w:eastAsia="lv-LV"/>
              </w:rPr>
            </w:pPr>
          </w:p>
        </w:tc>
      </w:tr>
      <w:tr w:rsidR="001A175E" w:rsidRPr="00F5511B" w14:paraId="387752E1"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auto"/>
          </w:tcPr>
          <w:p w14:paraId="537C123D" w14:textId="77777777" w:rsidR="009B2FBC" w:rsidRPr="00D75DB7" w:rsidRDefault="009B2FBC"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3.</w:t>
            </w:r>
          </w:p>
        </w:tc>
        <w:tc>
          <w:tcPr>
            <w:tcW w:w="622" w:type="pct"/>
            <w:tcBorders>
              <w:top w:val="outset" w:sz="6" w:space="0" w:color="414142"/>
              <w:left w:val="outset" w:sz="6" w:space="0" w:color="414142"/>
              <w:bottom w:val="outset" w:sz="6" w:space="0" w:color="414142"/>
              <w:right w:val="outset" w:sz="6" w:space="0" w:color="414142"/>
            </w:tcBorders>
            <w:shd w:val="clear" w:color="auto" w:fill="auto"/>
          </w:tcPr>
          <w:p w14:paraId="59D4848D" w14:textId="77777777" w:rsidR="009B2FBC" w:rsidRPr="009B2FBC" w:rsidRDefault="00A548C7" w:rsidP="00D75DB7">
            <w:pPr>
              <w:spacing w:after="60" w:line="240" w:lineRule="auto"/>
              <w:rPr>
                <w:sz w:val="20"/>
                <w:szCs w:val="20"/>
              </w:rPr>
            </w:pPr>
            <w:hyperlink r:id="rId164" w:tgtFrame="_blank" w:history="1">
              <w:r w:rsidR="009B2FBC" w:rsidRPr="009B2FBC">
                <w:rPr>
                  <w:rStyle w:val="Hyperlink"/>
                  <w:i/>
                  <w:iCs/>
                  <w:color w:val="00859B"/>
                  <w:sz w:val="20"/>
                  <w:szCs w:val="20"/>
                </w:rPr>
                <w:t>103.sērijas daudzdzīvokļu dzīvojamo ēku norobežojošo konstrukciju mehāniskās stiprības un stabilitātes izpēte un tipveida risinājumu sagatavošana</w:t>
              </w:r>
            </w:hyperlink>
          </w:p>
          <w:p w14:paraId="48EDFF9F" w14:textId="77777777" w:rsidR="009B2FBC" w:rsidRPr="009B2FBC" w:rsidRDefault="009B2FBC" w:rsidP="00D75DB7">
            <w:pPr>
              <w:spacing w:after="60" w:line="240" w:lineRule="auto"/>
              <w:rPr>
                <w:rFonts w:eastAsia="Times New Roman" w:cs="Times New Roman"/>
                <w:b/>
                <w:bCs/>
                <w:sz w:val="20"/>
                <w:szCs w:val="20"/>
                <w:lang w:eastAsia="lv-LV"/>
              </w:rPr>
            </w:pPr>
          </w:p>
        </w:tc>
        <w:tc>
          <w:tcPr>
            <w:tcW w:w="1187" w:type="pct"/>
            <w:tcBorders>
              <w:top w:val="outset" w:sz="6" w:space="0" w:color="414142"/>
              <w:left w:val="outset" w:sz="6" w:space="0" w:color="414142"/>
              <w:bottom w:val="outset" w:sz="6" w:space="0" w:color="414142"/>
              <w:right w:val="outset" w:sz="6" w:space="0" w:color="414142"/>
            </w:tcBorders>
            <w:shd w:val="clear" w:color="auto" w:fill="auto"/>
          </w:tcPr>
          <w:p w14:paraId="6D744DE7" w14:textId="77777777" w:rsidR="009B2FBC" w:rsidRPr="00D75DB7" w:rsidRDefault="009B2FBC" w:rsidP="00D75DB7">
            <w:pPr>
              <w:spacing w:after="0" w:line="240" w:lineRule="auto"/>
              <w:rPr>
                <w:rFonts w:cs="Times New Roman"/>
                <w:sz w:val="20"/>
                <w:szCs w:val="20"/>
                <w:shd w:val="clear" w:color="auto" w:fill="FFFFFF"/>
              </w:rPr>
            </w:pPr>
            <w:r w:rsidRPr="003B1282">
              <w:rPr>
                <w:rFonts w:cs="Times New Roman"/>
                <w:sz w:val="20"/>
                <w:szCs w:val="20"/>
              </w:rPr>
              <w:t xml:space="preserve">Novērtēt </w:t>
            </w:r>
            <w:r w:rsidRPr="00016CCD">
              <w:rPr>
                <w:rFonts w:cs="Times New Roman"/>
                <w:sz w:val="20"/>
                <w:szCs w:val="20"/>
              </w:rPr>
              <w:t>103.</w:t>
            </w:r>
            <w:r w:rsidRPr="003B1282">
              <w:rPr>
                <w:rFonts w:cs="Times New Roman"/>
                <w:sz w:val="20"/>
                <w:szCs w:val="20"/>
              </w:rPr>
              <w:t> sērijas daudzdzīvokļu dzīvojamo ēku nesošo konstrukciju un to mezglu tehnisko stāvokli</w:t>
            </w:r>
            <w:r w:rsidRPr="00016CCD">
              <w:rPr>
                <w:rFonts w:cs="Times New Roman"/>
                <w:sz w:val="20"/>
                <w:szCs w:val="20"/>
              </w:rPr>
              <w:t xml:space="preserve">. </w:t>
            </w:r>
            <w:r w:rsidRPr="003B1282">
              <w:rPr>
                <w:rFonts w:cs="Times New Roman"/>
                <w:sz w:val="20"/>
                <w:szCs w:val="20"/>
              </w:rPr>
              <w:t>Piedāvāt efektīvus tipveida risinājumus ēku konstrukciju mehāniskās stiprības un stabilitātes atjaunošanai</w:t>
            </w:r>
            <w:r w:rsidRPr="00016CCD">
              <w:rPr>
                <w:rFonts w:cs="Times New Roman"/>
                <w:sz w:val="20"/>
                <w:szCs w:val="20"/>
              </w:rPr>
              <w:t xml:space="preserve">. </w:t>
            </w:r>
            <w:r w:rsidRPr="003B1282">
              <w:rPr>
                <w:rFonts w:cs="Times New Roman"/>
                <w:sz w:val="20"/>
                <w:szCs w:val="20"/>
              </w:rPr>
              <w:t>Sniegt priekšlikumus ēku ekspluatācijas normatīvā regulējuma pilnveidošanai</w:t>
            </w:r>
            <w:r w:rsidRPr="00016CCD">
              <w:rPr>
                <w:rFonts w:cs="Times New Roman"/>
                <w:sz w:val="20"/>
                <w:szCs w:val="20"/>
              </w:rPr>
              <w:t xml:space="preserve">. </w:t>
            </w:r>
            <w:r w:rsidRPr="003B1282">
              <w:rPr>
                <w:rFonts w:cs="Times New Roman"/>
                <w:sz w:val="20"/>
                <w:szCs w:val="20"/>
              </w:rPr>
              <w:t>Sagatavot informatīvu materiālu ēku nesošo konstrukciju padziļinātas tehniskās apsekošanas veikšanai</w:t>
            </w:r>
            <w:r>
              <w:rPr>
                <w:rFonts w:cs="Times New Roman"/>
                <w:sz w:val="20"/>
                <w:szCs w:val="20"/>
              </w:rPr>
              <w:t>.</w:t>
            </w:r>
          </w:p>
        </w:tc>
        <w:tc>
          <w:tcPr>
            <w:tcW w:w="526" w:type="pct"/>
            <w:tcBorders>
              <w:top w:val="outset" w:sz="6" w:space="0" w:color="414142"/>
              <w:left w:val="outset" w:sz="6" w:space="0" w:color="414142"/>
              <w:bottom w:val="outset" w:sz="6" w:space="0" w:color="414142"/>
              <w:right w:val="outset" w:sz="6" w:space="0" w:color="414142"/>
            </w:tcBorders>
            <w:shd w:val="clear" w:color="auto" w:fill="auto"/>
          </w:tcPr>
          <w:p w14:paraId="21DD7A46" w14:textId="77777777" w:rsidR="009B2FBC" w:rsidRPr="0091097E" w:rsidRDefault="009B2FBC" w:rsidP="009B2FBC">
            <w:pPr>
              <w:spacing w:after="0" w:line="240" w:lineRule="auto"/>
              <w:rPr>
                <w:rFonts w:eastAsia="Times New Roman" w:cs="Times New Roman"/>
                <w:sz w:val="20"/>
                <w:szCs w:val="20"/>
                <w:lang w:eastAsia="lv-LV"/>
              </w:rPr>
            </w:pPr>
            <w:r w:rsidRPr="00172F5A">
              <w:rPr>
                <w:rFonts w:eastAsia="Times New Roman" w:cs="Times New Roman"/>
                <w:sz w:val="20"/>
                <w:szCs w:val="20"/>
                <w:lang w:eastAsia="lv-LV"/>
              </w:rPr>
              <w:t xml:space="preserve">5. Industrijas un pakalpojumu </w:t>
            </w:r>
            <w:r w:rsidRPr="0091097E">
              <w:rPr>
                <w:rFonts w:eastAsia="Times New Roman" w:cs="Times New Roman"/>
                <w:sz w:val="20"/>
                <w:szCs w:val="20"/>
                <w:lang w:eastAsia="lv-LV"/>
              </w:rPr>
              <w:t xml:space="preserve">politika, </w:t>
            </w:r>
          </w:p>
          <w:p w14:paraId="48A8A3E0" w14:textId="77777777" w:rsidR="009B2FBC" w:rsidRDefault="009B2FBC" w:rsidP="009B2FBC">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5.3. </w:t>
            </w:r>
            <w:r>
              <w:rPr>
                <w:rFonts w:eastAsia="Times New Roman" w:cs="Times New Roman"/>
                <w:sz w:val="20"/>
                <w:szCs w:val="20"/>
                <w:lang w:eastAsia="lv-LV"/>
              </w:rPr>
              <w:t>Mājokļu politikas</w:t>
            </w:r>
            <w:r w:rsidRPr="0091097E">
              <w:rPr>
                <w:rFonts w:eastAsia="Times New Roman" w:cs="Times New Roman"/>
                <w:sz w:val="20"/>
                <w:szCs w:val="20"/>
                <w:lang w:eastAsia="lv-LV"/>
              </w:rPr>
              <w:t xml:space="preserve"> nozare</w:t>
            </w:r>
          </w:p>
          <w:p w14:paraId="08A3970E" w14:textId="77777777" w:rsidR="009B2FBC" w:rsidRPr="00D75DB7" w:rsidRDefault="009B2FBC" w:rsidP="00D75DB7">
            <w:pPr>
              <w:spacing w:after="0" w:line="240" w:lineRule="auto"/>
              <w:rPr>
                <w:rFonts w:eastAsia="Times New Roman" w:cs="Times New Roman"/>
                <w:sz w:val="20"/>
                <w:szCs w:val="20"/>
                <w:lang w:eastAsia="lv-LV"/>
              </w:rPr>
            </w:pPr>
          </w:p>
        </w:tc>
        <w:tc>
          <w:tcPr>
            <w:tcW w:w="1045" w:type="pct"/>
            <w:tcBorders>
              <w:top w:val="outset" w:sz="6" w:space="0" w:color="414142"/>
              <w:left w:val="outset" w:sz="6" w:space="0" w:color="414142"/>
              <w:bottom w:val="outset" w:sz="6" w:space="0" w:color="414142"/>
              <w:right w:val="outset" w:sz="6" w:space="0" w:color="414142"/>
            </w:tcBorders>
            <w:shd w:val="clear" w:color="auto" w:fill="auto"/>
          </w:tcPr>
          <w:p w14:paraId="06E69CED" w14:textId="77777777" w:rsidR="009B2FBC" w:rsidRDefault="009B2FBC" w:rsidP="00D75DB7">
            <w:pPr>
              <w:spacing w:after="0" w:line="240" w:lineRule="auto"/>
              <w:rPr>
                <w:rFonts w:cs="Times New Roman"/>
                <w:sz w:val="20"/>
                <w:szCs w:val="20"/>
                <w:lang w:eastAsia="lv-LV"/>
              </w:rPr>
            </w:pPr>
            <w:r>
              <w:rPr>
                <w:rFonts w:cs="Times New Roman"/>
                <w:sz w:val="20"/>
                <w:szCs w:val="20"/>
              </w:rPr>
              <w:t xml:space="preserve">Izvērtēts </w:t>
            </w:r>
            <w:r w:rsidRPr="00060A7B">
              <w:rPr>
                <w:rFonts w:cs="Times New Roman"/>
                <w:sz w:val="20"/>
                <w:szCs w:val="20"/>
              </w:rPr>
              <w:t xml:space="preserve">103.sērijas </w:t>
            </w:r>
            <w:r w:rsidRPr="00454250">
              <w:rPr>
                <w:rFonts w:cs="Times New Roman"/>
                <w:sz w:val="20"/>
                <w:szCs w:val="20"/>
                <w:lang w:eastAsia="lv-LV"/>
              </w:rPr>
              <w:t>daudzdzīvokļu ēku konstrukciju tehnisk</w:t>
            </w:r>
            <w:r>
              <w:rPr>
                <w:rFonts w:cs="Times New Roman"/>
                <w:sz w:val="20"/>
                <w:szCs w:val="20"/>
                <w:lang w:eastAsia="lv-LV"/>
              </w:rPr>
              <w:t xml:space="preserve">ais </w:t>
            </w:r>
            <w:r w:rsidRPr="00454250">
              <w:rPr>
                <w:rFonts w:cs="Times New Roman"/>
                <w:sz w:val="20"/>
                <w:szCs w:val="20"/>
                <w:lang w:eastAsia="lv-LV"/>
              </w:rPr>
              <w:t>stāvokli</w:t>
            </w:r>
            <w:r>
              <w:rPr>
                <w:rFonts w:cs="Times New Roman"/>
                <w:sz w:val="20"/>
                <w:szCs w:val="20"/>
                <w:lang w:eastAsia="lv-LV"/>
              </w:rPr>
              <w:t>s</w:t>
            </w:r>
            <w:r w:rsidRPr="00454250">
              <w:rPr>
                <w:rFonts w:cs="Times New Roman"/>
                <w:sz w:val="20"/>
                <w:szCs w:val="20"/>
                <w:lang w:eastAsia="lv-LV"/>
              </w:rPr>
              <w:t xml:space="preserve">, </w:t>
            </w:r>
            <w:r>
              <w:rPr>
                <w:rFonts w:cs="Times New Roman"/>
                <w:sz w:val="20"/>
                <w:szCs w:val="20"/>
                <w:lang w:eastAsia="lv-LV"/>
              </w:rPr>
              <w:t xml:space="preserve">izstrādāti </w:t>
            </w:r>
            <w:r w:rsidRPr="00454250">
              <w:rPr>
                <w:rFonts w:cs="Times New Roman"/>
                <w:sz w:val="20"/>
                <w:szCs w:val="20"/>
                <w:lang w:eastAsia="lv-LV"/>
              </w:rPr>
              <w:t>tehnisk</w:t>
            </w:r>
            <w:r>
              <w:rPr>
                <w:rFonts w:cs="Times New Roman"/>
                <w:sz w:val="20"/>
                <w:szCs w:val="20"/>
                <w:lang w:eastAsia="lv-LV"/>
              </w:rPr>
              <w:t>ie</w:t>
            </w:r>
            <w:r w:rsidRPr="00454250">
              <w:rPr>
                <w:rFonts w:cs="Times New Roman"/>
                <w:sz w:val="20"/>
                <w:szCs w:val="20"/>
                <w:lang w:eastAsia="lv-LV"/>
              </w:rPr>
              <w:t xml:space="preserve"> tipveida risinājum</w:t>
            </w:r>
            <w:r>
              <w:rPr>
                <w:rFonts w:cs="Times New Roman"/>
                <w:sz w:val="20"/>
                <w:szCs w:val="20"/>
                <w:lang w:eastAsia="lv-LV"/>
              </w:rPr>
              <w:t>i</w:t>
            </w:r>
            <w:r w:rsidRPr="00454250">
              <w:rPr>
                <w:rFonts w:cs="Times New Roman"/>
                <w:sz w:val="20"/>
                <w:szCs w:val="20"/>
                <w:lang w:eastAsia="lv-LV"/>
              </w:rPr>
              <w:t xml:space="preserve"> ēku konstrukciju mehāniskās stiprības un stabilitātes atjaunošanai</w:t>
            </w:r>
            <w:r>
              <w:rPr>
                <w:rFonts w:cs="Times New Roman"/>
                <w:sz w:val="20"/>
                <w:szCs w:val="20"/>
                <w:lang w:eastAsia="lv-LV"/>
              </w:rPr>
              <w:t xml:space="preserve">. </w:t>
            </w:r>
          </w:p>
          <w:p w14:paraId="581EE359" w14:textId="77777777" w:rsidR="009B2FBC" w:rsidRDefault="009B2FBC" w:rsidP="00D75DB7">
            <w:pPr>
              <w:spacing w:after="0" w:line="240" w:lineRule="auto"/>
              <w:rPr>
                <w:rFonts w:cs="Times New Roman"/>
                <w:sz w:val="20"/>
                <w:szCs w:val="20"/>
              </w:rPr>
            </w:pPr>
            <w:r>
              <w:rPr>
                <w:rFonts w:cs="Times New Roman"/>
                <w:sz w:val="20"/>
                <w:szCs w:val="20"/>
              </w:rPr>
              <w:t>Sagatavots i</w:t>
            </w:r>
            <w:r w:rsidRPr="003B1282">
              <w:rPr>
                <w:rFonts w:cs="Times New Roman"/>
                <w:sz w:val="20"/>
                <w:szCs w:val="20"/>
              </w:rPr>
              <w:t>nformatīv</w:t>
            </w:r>
            <w:r>
              <w:rPr>
                <w:rFonts w:cs="Times New Roman"/>
                <w:sz w:val="20"/>
                <w:szCs w:val="20"/>
              </w:rPr>
              <w:t xml:space="preserve">s </w:t>
            </w:r>
            <w:r w:rsidRPr="003B1282">
              <w:rPr>
                <w:rFonts w:cs="Times New Roman"/>
                <w:sz w:val="20"/>
                <w:szCs w:val="20"/>
              </w:rPr>
              <w:t>materiāl</w:t>
            </w:r>
            <w:r>
              <w:rPr>
                <w:rFonts w:cs="Times New Roman"/>
                <w:sz w:val="20"/>
                <w:szCs w:val="20"/>
              </w:rPr>
              <w:t>s</w:t>
            </w:r>
            <w:r w:rsidRPr="003B1282">
              <w:rPr>
                <w:rFonts w:cs="Times New Roman"/>
                <w:sz w:val="20"/>
                <w:szCs w:val="20"/>
              </w:rPr>
              <w:t xml:space="preserve"> ēku nesošo konstrukciju padziļinātas tehniskās apsekošanas veikšanai</w:t>
            </w:r>
            <w:r>
              <w:rPr>
                <w:rFonts w:cs="Times New Roman"/>
                <w:sz w:val="20"/>
                <w:szCs w:val="20"/>
              </w:rPr>
              <w:t>.</w:t>
            </w:r>
          </w:p>
          <w:p w14:paraId="3404B077" w14:textId="02AFF82D" w:rsidR="009B2FBC" w:rsidRDefault="009B2FBC" w:rsidP="00D75DB7">
            <w:pPr>
              <w:spacing w:after="0" w:line="240" w:lineRule="auto"/>
              <w:rPr>
                <w:rFonts w:cs="Times New Roman"/>
                <w:sz w:val="20"/>
                <w:szCs w:val="20"/>
                <w:lang w:eastAsia="lv-LV"/>
              </w:rPr>
            </w:pPr>
            <w:r>
              <w:rPr>
                <w:rFonts w:cs="Times New Roman"/>
                <w:sz w:val="20"/>
                <w:szCs w:val="20"/>
                <w:lang w:eastAsia="lv-LV"/>
              </w:rPr>
              <w:t>S</w:t>
            </w:r>
            <w:r w:rsidRPr="00454250">
              <w:rPr>
                <w:rFonts w:cs="Times New Roman"/>
                <w:sz w:val="20"/>
                <w:szCs w:val="20"/>
                <w:lang w:eastAsia="lv-LV"/>
              </w:rPr>
              <w:t>niegt</w:t>
            </w:r>
            <w:r>
              <w:rPr>
                <w:rFonts w:cs="Times New Roman"/>
                <w:sz w:val="20"/>
                <w:szCs w:val="20"/>
                <w:lang w:eastAsia="lv-LV"/>
              </w:rPr>
              <w:t>a</w:t>
            </w:r>
            <w:r w:rsidRPr="00454250">
              <w:rPr>
                <w:rFonts w:cs="Times New Roman"/>
                <w:sz w:val="20"/>
                <w:szCs w:val="20"/>
                <w:lang w:eastAsia="lv-LV"/>
              </w:rPr>
              <w:t xml:space="preserve"> visaptveroš</w:t>
            </w:r>
            <w:r>
              <w:rPr>
                <w:rFonts w:cs="Times New Roman"/>
                <w:sz w:val="20"/>
                <w:szCs w:val="20"/>
                <w:lang w:eastAsia="lv-LV"/>
              </w:rPr>
              <w:t>a</w:t>
            </w:r>
            <w:r w:rsidRPr="00454250">
              <w:rPr>
                <w:rFonts w:cs="Times New Roman"/>
                <w:sz w:val="20"/>
                <w:szCs w:val="20"/>
                <w:lang w:eastAsia="lv-LV"/>
              </w:rPr>
              <w:t xml:space="preserve"> informācij</w:t>
            </w:r>
            <w:r>
              <w:rPr>
                <w:rFonts w:cs="Times New Roman"/>
                <w:sz w:val="20"/>
                <w:szCs w:val="20"/>
                <w:lang w:eastAsia="lv-LV"/>
              </w:rPr>
              <w:t>a</w:t>
            </w:r>
            <w:r w:rsidRPr="00454250">
              <w:rPr>
                <w:rFonts w:cs="Times New Roman"/>
                <w:sz w:val="20"/>
                <w:szCs w:val="20"/>
                <w:lang w:eastAsia="lv-LV"/>
              </w:rPr>
              <w:t xml:space="preserve"> par šo sērijveida daudzdzīvokļu ēku konstrukciju tehnisko stāvokli,</w:t>
            </w:r>
            <w:r w:rsidR="00EE48F2">
              <w:rPr>
                <w:rFonts w:cs="Times New Roman"/>
                <w:sz w:val="20"/>
                <w:szCs w:val="20"/>
                <w:lang w:eastAsia="lv-LV"/>
              </w:rPr>
              <w:t xml:space="preserve"> </w:t>
            </w:r>
            <w:r w:rsidRPr="00454250">
              <w:rPr>
                <w:rFonts w:cs="Times New Roman"/>
                <w:sz w:val="20"/>
                <w:szCs w:val="20"/>
                <w:lang w:eastAsia="lv-LV"/>
              </w:rPr>
              <w:lastRenderedPageBreak/>
              <w:t>piedāvāt</w:t>
            </w:r>
            <w:r>
              <w:rPr>
                <w:rFonts w:cs="Times New Roman"/>
                <w:sz w:val="20"/>
                <w:szCs w:val="20"/>
                <w:lang w:eastAsia="lv-LV"/>
              </w:rPr>
              <w:t>i</w:t>
            </w:r>
            <w:r w:rsidRPr="00454250">
              <w:rPr>
                <w:rFonts w:cs="Times New Roman"/>
                <w:sz w:val="20"/>
                <w:szCs w:val="20"/>
                <w:lang w:eastAsia="lv-LV"/>
              </w:rPr>
              <w:t xml:space="preserve"> tehnisk</w:t>
            </w:r>
            <w:r>
              <w:rPr>
                <w:rFonts w:cs="Times New Roman"/>
                <w:sz w:val="20"/>
                <w:szCs w:val="20"/>
                <w:lang w:eastAsia="lv-LV"/>
              </w:rPr>
              <w:t>ie</w:t>
            </w:r>
            <w:r w:rsidRPr="00454250">
              <w:rPr>
                <w:rFonts w:cs="Times New Roman"/>
                <w:sz w:val="20"/>
                <w:szCs w:val="20"/>
                <w:lang w:eastAsia="lv-LV"/>
              </w:rPr>
              <w:t xml:space="preserve"> tipveida risinājum</w:t>
            </w:r>
            <w:r>
              <w:rPr>
                <w:rFonts w:cs="Times New Roman"/>
                <w:sz w:val="20"/>
                <w:szCs w:val="20"/>
                <w:lang w:eastAsia="lv-LV"/>
              </w:rPr>
              <w:t>i</w:t>
            </w:r>
            <w:r w:rsidRPr="00454250">
              <w:rPr>
                <w:rFonts w:cs="Times New Roman"/>
                <w:sz w:val="20"/>
                <w:szCs w:val="20"/>
                <w:lang w:eastAsia="lv-LV"/>
              </w:rPr>
              <w:t xml:space="preserve"> ēku konstrukciju mehāniskās stiprības un stabilitātes atjaunošanai.</w:t>
            </w:r>
          </w:p>
          <w:p w14:paraId="32F2849F" w14:textId="33D08CD2" w:rsidR="009B2FBC" w:rsidRPr="009B2FBC" w:rsidRDefault="009B2FBC" w:rsidP="00D75DB7">
            <w:pPr>
              <w:spacing w:after="0" w:line="240" w:lineRule="auto"/>
              <w:rPr>
                <w:rFonts w:cs="Times New Roman"/>
                <w:sz w:val="20"/>
                <w:szCs w:val="20"/>
                <w:lang w:eastAsia="lv-LV"/>
              </w:rPr>
            </w:pPr>
            <w:r>
              <w:rPr>
                <w:rFonts w:cs="Times New Roman"/>
                <w:sz w:val="20"/>
                <w:szCs w:val="20"/>
                <w:lang w:eastAsia="lv-LV"/>
              </w:rPr>
              <w:t xml:space="preserve">Veiktas nepieciešamās izmaiņas </w:t>
            </w:r>
            <w:r w:rsidRPr="003B1282">
              <w:rPr>
                <w:rFonts w:cs="Times New Roman"/>
                <w:sz w:val="20"/>
                <w:szCs w:val="20"/>
              </w:rPr>
              <w:t>ēku ekspluatācijas</w:t>
            </w:r>
            <w:r w:rsidR="00EE48F2">
              <w:rPr>
                <w:rFonts w:cs="Times New Roman"/>
                <w:sz w:val="20"/>
                <w:szCs w:val="20"/>
              </w:rPr>
              <w:t xml:space="preserve"> </w:t>
            </w:r>
            <w:r w:rsidRPr="003B1282">
              <w:rPr>
                <w:rFonts w:cs="Times New Roman"/>
                <w:sz w:val="20"/>
                <w:szCs w:val="20"/>
              </w:rPr>
              <w:t>normatīv</w:t>
            </w:r>
            <w:r>
              <w:rPr>
                <w:rFonts w:cs="Times New Roman"/>
                <w:sz w:val="20"/>
                <w:szCs w:val="20"/>
              </w:rPr>
              <w:t>ajos aktos.</w:t>
            </w:r>
          </w:p>
        </w:tc>
        <w:tc>
          <w:tcPr>
            <w:tcW w:w="621" w:type="pct"/>
            <w:tcBorders>
              <w:top w:val="outset" w:sz="6" w:space="0" w:color="414142"/>
              <w:left w:val="outset" w:sz="6" w:space="0" w:color="414142"/>
              <w:bottom w:val="outset" w:sz="6" w:space="0" w:color="414142"/>
              <w:right w:val="outset" w:sz="6" w:space="0" w:color="414142"/>
            </w:tcBorders>
            <w:shd w:val="clear" w:color="auto" w:fill="auto"/>
          </w:tcPr>
          <w:p w14:paraId="1CD694DE" w14:textId="77777777" w:rsidR="009B2FBC" w:rsidRDefault="009B2FBC" w:rsidP="009B2FBC">
            <w:pPr>
              <w:spacing w:after="0" w:line="240" w:lineRule="auto"/>
              <w:jc w:val="center"/>
              <w:rPr>
                <w:rFonts w:ascii="Times" w:hAnsi="Times"/>
                <w:color w:val="000000"/>
                <w:sz w:val="20"/>
                <w:szCs w:val="20"/>
                <w:lang w:eastAsia="lv-LV"/>
              </w:rPr>
            </w:pPr>
            <w:r>
              <w:rPr>
                <w:rFonts w:ascii="Times" w:hAnsi="Times"/>
                <w:color w:val="000000"/>
                <w:sz w:val="20"/>
                <w:szCs w:val="20"/>
                <w:lang w:eastAsia="lv-LV"/>
              </w:rPr>
              <w:lastRenderedPageBreak/>
              <w:t>98</w:t>
            </w:r>
            <w:r>
              <w:rPr>
                <w:rFonts w:ascii="Times" w:hAnsi="Times" w:hint="eastAsia"/>
                <w:color w:val="000000"/>
                <w:sz w:val="20"/>
                <w:szCs w:val="20"/>
                <w:lang w:eastAsia="lv-LV"/>
              </w:rPr>
              <w:t> </w:t>
            </w:r>
            <w:r>
              <w:rPr>
                <w:rFonts w:ascii="Times" w:hAnsi="Times"/>
                <w:color w:val="000000"/>
                <w:sz w:val="20"/>
                <w:szCs w:val="20"/>
                <w:lang w:eastAsia="lv-LV"/>
              </w:rPr>
              <w:t xml:space="preserve">000 </w:t>
            </w:r>
            <w:r w:rsidRPr="009B2FBC">
              <w:rPr>
                <w:rFonts w:ascii="Times" w:hAnsi="Times"/>
                <w:i/>
                <w:iCs/>
                <w:color w:val="000000"/>
                <w:sz w:val="20"/>
                <w:szCs w:val="20"/>
                <w:lang w:eastAsia="lv-LV"/>
              </w:rPr>
              <w:t>euro</w:t>
            </w:r>
          </w:p>
          <w:p w14:paraId="6F19B89A" w14:textId="77777777" w:rsidR="009B2FBC" w:rsidRDefault="009B2FBC" w:rsidP="009B2FBC">
            <w:pPr>
              <w:spacing w:after="0" w:line="240" w:lineRule="auto"/>
              <w:jc w:val="center"/>
              <w:rPr>
                <w:rFonts w:eastAsia="Times New Roman" w:cs="Times New Roman"/>
                <w:sz w:val="20"/>
                <w:szCs w:val="20"/>
                <w:lang w:eastAsia="lv-LV"/>
              </w:rPr>
            </w:pPr>
            <w:r>
              <w:rPr>
                <w:rFonts w:ascii="Times" w:hAnsi="Times"/>
                <w:color w:val="000000"/>
                <w:sz w:val="20"/>
                <w:szCs w:val="20"/>
                <w:lang w:eastAsia="lv-LV"/>
              </w:rPr>
              <w:t>b</w:t>
            </w:r>
            <w:r>
              <w:rPr>
                <w:rFonts w:eastAsia="Times New Roman" w:cs="Times New Roman"/>
                <w:sz w:val="20"/>
                <w:szCs w:val="20"/>
                <w:lang w:eastAsia="lv-LV"/>
              </w:rPr>
              <w:t xml:space="preserve">ez </w:t>
            </w:r>
            <w:r w:rsidRPr="00C13DFE">
              <w:rPr>
                <w:rFonts w:eastAsia="Times New Roman" w:cs="Times New Roman"/>
                <w:sz w:val="20"/>
                <w:szCs w:val="20"/>
                <w:lang w:eastAsia="lv-LV"/>
              </w:rPr>
              <w:t>PVN</w:t>
            </w:r>
          </w:p>
          <w:p w14:paraId="48CBCF60" w14:textId="77777777" w:rsidR="009B2FBC" w:rsidRDefault="009B2FBC" w:rsidP="009B2FBC">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 xml:space="preserve">EM </w:t>
            </w:r>
            <w:r w:rsidRPr="00C13DFE">
              <w:rPr>
                <w:rFonts w:eastAsia="Times New Roman" w:cs="Times New Roman"/>
                <w:sz w:val="20"/>
                <w:szCs w:val="20"/>
                <w:lang w:eastAsia="lv-LV"/>
              </w:rPr>
              <w:t xml:space="preserve">budžeta programma </w:t>
            </w:r>
          </w:p>
          <w:p w14:paraId="4DDF7136" w14:textId="77777777" w:rsidR="009B2FBC" w:rsidRPr="00D75DB7" w:rsidRDefault="009B2FBC" w:rsidP="009B2FBC">
            <w:pPr>
              <w:spacing w:after="0" w:line="240" w:lineRule="auto"/>
              <w:jc w:val="center"/>
              <w:rPr>
                <w:rFonts w:eastAsia="Times New Roman" w:cs="Times New Roman"/>
                <w:sz w:val="20"/>
                <w:szCs w:val="20"/>
                <w:lang w:eastAsia="lv-LV"/>
              </w:rPr>
            </w:pPr>
            <w:r w:rsidRPr="00C13DFE">
              <w:rPr>
                <w:rFonts w:eastAsia="Times New Roman" w:cs="Times New Roman"/>
                <w:sz w:val="20"/>
                <w:szCs w:val="20"/>
                <w:lang w:eastAsia="lv-LV"/>
              </w:rPr>
              <w:t>20.00.00 “Būvniecība”</w:t>
            </w:r>
          </w:p>
        </w:tc>
        <w:tc>
          <w:tcPr>
            <w:tcW w:w="856" w:type="pct"/>
            <w:tcBorders>
              <w:top w:val="outset" w:sz="6" w:space="0" w:color="414142"/>
              <w:left w:val="outset" w:sz="6" w:space="0" w:color="414142"/>
              <w:bottom w:val="outset" w:sz="6" w:space="0" w:color="414142"/>
              <w:right w:val="outset" w:sz="6" w:space="0" w:color="414142"/>
            </w:tcBorders>
            <w:shd w:val="clear" w:color="auto" w:fill="auto"/>
          </w:tcPr>
          <w:p w14:paraId="10070E92" w14:textId="77777777" w:rsidR="009B2FBC" w:rsidRPr="0091097E" w:rsidRDefault="009B2FBC" w:rsidP="009B2FBC">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Plānots līdz 31.</w:t>
            </w:r>
            <w:r>
              <w:rPr>
                <w:rFonts w:eastAsia="Times New Roman" w:cs="Times New Roman"/>
                <w:sz w:val="20"/>
                <w:szCs w:val="20"/>
                <w:lang w:eastAsia="lv-LV"/>
              </w:rPr>
              <w:t>12</w:t>
            </w:r>
            <w:r w:rsidRPr="0091097E">
              <w:rPr>
                <w:rFonts w:eastAsia="Times New Roman" w:cs="Times New Roman"/>
                <w:sz w:val="20"/>
                <w:szCs w:val="20"/>
                <w:lang w:eastAsia="lv-LV"/>
              </w:rPr>
              <w:t>.202</w:t>
            </w:r>
            <w:r>
              <w:rPr>
                <w:rFonts w:eastAsia="Times New Roman" w:cs="Times New Roman"/>
                <w:sz w:val="20"/>
                <w:szCs w:val="20"/>
                <w:lang w:eastAsia="lv-LV"/>
              </w:rPr>
              <w:t>1</w:t>
            </w:r>
            <w:r w:rsidRPr="0091097E">
              <w:rPr>
                <w:rFonts w:eastAsia="Times New Roman" w:cs="Times New Roman"/>
                <w:sz w:val="20"/>
                <w:szCs w:val="20"/>
                <w:lang w:eastAsia="lv-LV"/>
              </w:rPr>
              <w:t>.;</w:t>
            </w:r>
          </w:p>
          <w:p w14:paraId="79C6A45E" w14:textId="77777777" w:rsidR="009B2FBC" w:rsidRPr="009B2FBC" w:rsidRDefault="009B2FBC" w:rsidP="009B2FBC">
            <w:pPr>
              <w:spacing w:after="0" w:line="240" w:lineRule="auto"/>
              <w:rPr>
                <w:rFonts w:eastAsia="Times New Roman" w:cs="Times New Roman"/>
                <w:i/>
                <w:iCs/>
                <w:sz w:val="20"/>
                <w:szCs w:val="20"/>
                <w:lang w:eastAsia="lv-LV"/>
              </w:rPr>
            </w:pPr>
            <w:r w:rsidRPr="009B2FBC">
              <w:rPr>
                <w:rFonts w:eastAsia="Times New Roman" w:cs="Times New Roman"/>
                <w:i/>
                <w:iCs/>
                <w:sz w:val="20"/>
                <w:szCs w:val="20"/>
                <w:lang w:eastAsia="lv-LV"/>
              </w:rPr>
              <w:t xml:space="preserve">Kontaktpersona – </w:t>
            </w:r>
          </w:p>
          <w:p w14:paraId="549CA63B" w14:textId="77777777" w:rsidR="009B2FBC" w:rsidRPr="009B2FBC" w:rsidRDefault="009B2FBC" w:rsidP="009B2FBC">
            <w:pPr>
              <w:spacing w:after="0" w:line="240" w:lineRule="auto"/>
              <w:rPr>
                <w:rFonts w:cs="Times New Roman"/>
                <w:i/>
                <w:iCs/>
                <w:sz w:val="20"/>
                <w:szCs w:val="20"/>
                <w:lang w:eastAsia="lv-LV"/>
              </w:rPr>
            </w:pPr>
            <w:r>
              <w:rPr>
                <w:rFonts w:eastAsia="Times New Roman" w:cs="Times New Roman"/>
                <w:i/>
                <w:iCs/>
                <w:sz w:val="20"/>
                <w:szCs w:val="20"/>
                <w:lang w:eastAsia="lv-LV"/>
              </w:rPr>
              <w:t>EM</w:t>
            </w:r>
            <w:r w:rsidRPr="009B2FBC">
              <w:rPr>
                <w:rFonts w:cs="Times New Roman"/>
                <w:i/>
                <w:iCs/>
                <w:sz w:val="20"/>
                <w:szCs w:val="20"/>
                <w:lang w:eastAsia="lv-LV"/>
              </w:rPr>
              <w:t>Mājokļu politikas departamenta direktorsMārtiņš Auders</w:t>
            </w:r>
          </w:p>
          <w:p w14:paraId="18A1F77C" w14:textId="77777777" w:rsidR="009B2FBC" w:rsidRPr="0078464B" w:rsidRDefault="00A548C7" w:rsidP="009B2FBC">
            <w:pPr>
              <w:spacing w:after="0" w:line="240" w:lineRule="auto"/>
              <w:rPr>
                <w:rFonts w:cs="Times New Roman"/>
                <w:i/>
                <w:iCs/>
                <w:color w:val="00859B"/>
                <w:sz w:val="20"/>
                <w:szCs w:val="20"/>
                <w:lang w:eastAsia="lv-LV"/>
              </w:rPr>
            </w:pPr>
            <w:hyperlink r:id="rId165" w:history="1">
              <w:r w:rsidR="009B2FBC" w:rsidRPr="0078464B">
                <w:rPr>
                  <w:rStyle w:val="Hyperlink"/>
                  <w:i/>
                  <w:iCs/>
                  <w:color w:val="00859B"/>
                  <w:sz w:val="20"/>
                  <w:szCs w:val="20"/>
                </w:rPr>
                <w:t>Martins.Auders@em.gov.lv</w:t>
              </w:r>
            </w:hyperlink>
          </w:p>
          <w:p w14:paraId="189FFF8E" w14:textId="77777777" w:rsidR="009B2FBC" w:rsidRPr="009B2FBC" w:rsidRDefault="009B2FBC" w:rsidP="009B2FBC">
            <w:pPr>
              <w:spacing w:after="0" w:line="240" w:lineRule="auto"/>
              <w:rPr>
                <w:rFonts w:cs="Times New Roman"/>
                <w:i/>
                <w:iCs/>
                <w:sz w:val="20"/>
                <w:szCs w:val="20"/>
                <w:lang w:eastAsia="lv-LV"/>
              </w:rPr>
            </w:pPr>
            <w:r w:rsidRPr="009B2FBC">
              <w:rPr>
                <w:rFonts w:cs="Times New Roman"/>
                <w:i/>
                <w:iCs/>
                <w:sz w:val="20"/>
                <w:szCs w:val="20"/>
                <w:lang w:eastAsia="lv-LV"/>
              </w:rPr>
              <w:t>tālr. 67013287</w:t>
            </w:r>
          </w:p>
          <w:p w14:paraId="4D1BA435" w14:textId="77777777" w:rsidR="009B2FBC" w:rsidRPr="00D75DB7" w:rsidRDefault="009B2FBC" w:rsidP="009B2FBC">
            <w:pPr>
              <w:spacing w:after="0" w:line="240" w:lineRule="auto"/>
              <w:rPr>
                <w:rFonts w:eastAsia="Times New Roman" w:cs="Times New Roman"/>
                <w:sz w:val="20"/>
                <w:szCs w:val="20"/>
                <w:lang w:eastAsia="lv-LV"/>
              </w:rPr>
            </w:pPr>
          </w:p>
        </w:tc>
      </w:tr>
      <w:tr w:rsidR="001A175E" w:rsidRPr="00F5511B" w14:paraId="247A862E"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auto"/>
          </w:tcPr>
          <w:p w14:paraId="54B36278" w14:textId="77777777" w:rsidR="0078464B" w:rsidRPr="00D75DB7" w:rsidRDefault="0078464B"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4.</w:t>
            </w:r>
          </w:p>
        </w:tc>
        <w:tc>
          <w:tcPr>
            <w:tcW w:w="622" w:type="pct"/>
            <w:tcBorders>
              <w:top w:val="outset" w:sz="6" w:space="0" w:color="414142"/>
              <w:left w:val="outset" w:sz="6" w:space="0" w:color="414142"/>
              <w:bottom w:val="outset" w:sz="6" w:space="0" w:color="414142"/>
              <w:right w:val="outset" w:sz="6" w:space="0" w:color="414142"/>
            </w:tcBorders>
            <w:shd w:val="clear" w:color="auto" w:fill="auto"/>
          </w:tcPr>
          <w:p w14:paraId="00D5828B" w14:textId="77777777" w:rsidR="0078464B" w:rsidRPr="0078464B" w:rsidRDefault="00A548C7" w:rsidP="00D75DB7">
            <w:pPr>
              <w:spacing w:after="60" w:line="240" w:lineRule="auto"/>
              <w:rPr>
                <w:i/>
                <w:iCs/>
                <w:color w:val="00859B"/>
                <w:sz w:val="20"/>
                <w:szCs w:val="20"/>
              </w:rPr>
            </w:pPr>
            <w:hyperlink r:id="rId166" w:tgtFrame="_blank" w:history="1">
              <w:r w:rsidR="0078464B" w:rsidRPr="0078464B">
                <w:rPr>
                  <w:rStyle w:val="Hyperlink"/>
                  <w:i/>
                  <w:iCs/>
                  <w:color w:val="00859B"/>
                  <w:sz w:val="20"/>
                  <w:szCs w:val="20"/>
                </w:rPr>
                <w:t>INNOIndustry projekta rīcības plāna izstrāde - uzņēmējdarbības digitālā transformācija un tās atbalsts</w:t>
              </w:r>
            </w:hyperlink>
          </w:p>
          <w:p w14:paraId="19FDC605" w14:textId="77777777" w:rsidR="0078464B" w:rsidRPr="0078464B" w:rsidRDefault="0078464B" w:rsidP="00D75DB7">
            <w:pPr>
              <w:spacing w:after="60" w:line="240" w:lineRule="auto"/>
              <w:rPr>
                <w:rFonts w:eastAsia="Times New Roman" w:cs="Times New Roman"/>
                <w:b/>
                <w:bCs/>
                <w:sz w:val="20"/>
                <w:szCs w:val="20"/>
                <w:lang w:eastAsia="lv-LV"/>
              </w:rPr>
            </w:pPr>
          </w:p>
        </w:tc>
        <w:tc>
          <w:tcPr>
            <w:tcW w:w="1187" w:type="pct"/>
            <w:tcBorders>
              <w:top w:val="outset" w:sz="6" w:space="0" w:color="414142"/>
              <w:left w:val="outset" w:sz="6" w:space="0" w:color="414142"/>
              <w:bottom w:val="outset" w:sz="6" w:space="0" w:color="414142"/>
              <w:right w:val="outset" w:sz="6" w:space="0" w:color="414142"/>
            </w:tcBorders>
            <w:shd w:val="clear" w:color="auto" w:fill="auto"/>
          </w:tcPr>
          <w:p w14:paraId="37A27826" w14:textId="2F69A371" w:rsidR="0078464B" w:rsidRPr="00D75DB7" w:rsidRDefault="0078464B" w:rsidP="00D75DB7">
            <w:pPr>
              <w:spacing w:after="0" w:line="240" w:lineRule="auto"/>
              <w:rPr>
                <w:rFonts w:cs="Times New Roman"/>
                <w:sz w:val="20"/>
                <w:szCs w:val="20"/>
                <w:shd w:val="clear" w:color="auto" w:fill="FFFFFF"/>
              </w:rPr>
            </w:pPr>
            <w:r w:rsidRPr="00BA1824">
              <w:rPr>
                <w:rFonts w:eastAsia="Times New Roman" w:cs="Times New Roman"/>
                <w:sz w:val="20"/>
                <w:szCs w:val="20"/>
                <w:lang w:eastAsia="lv-LV"/>
              </w:rPr>
              <w:t>Izstrādāt rīcības plānu atbilstoši INNOIndustry</w:t>
            </w:r>
            <w:r w:rsidR="00EE48F2">
              <w:rPr>
                <w:rFonts w:eastAsia="Times New Roman" w:cs="Times New Roman"/>
                <w:sz w:val="20"/>
                <w:szCs w:val="20"/>
                <w:lang w:eastAsia="lv-LV"/>
              </w:rPr>
              <w:t xml:space="preserve"> </w:t>
            </w:r>
            <w:r w:rsidRPr="00BA1824">
              <w:rPr>
                <w:rFonts w:eastAsia="Times New Roman" w:cs="Times New Roman"/>
                <w:sz w:val="20"/>
                <w:szCs w:val="20"/>
                <w:lang w:eastAsia="lv-LV"/>
              </w:rPr>
              <w:t>projekta noteiktajiem mērķiem, veicināt uzņēmumu digitālo transformāciju</w:t>
            </w:r>
            <w:r>
              <w:rPr>
                <w:rFonts w:eastAsia="Times New Roman" w:cs="Times New Roman"/>
                <w:sz w:val="20"/>
                <w:szCs w:val="20"/>
                <w:lang w:eastAsia="lv-LV"/>
              </w:rPr>
              <w:t>.</w:t>
            </w:r>
          </w:p>
        </w:tc>
        <w:tc>
          <w:tcPr>
            <w:tcW w:w="526" w:type="pct"/>
            <w:tcBorders>
              <w:top w:val="outset" w:sz="6" w:space="0" w:color="414142"/>
              <w:left w:val="outset" w:sz="6" w:space="0" w:color="414142"/>
              <w:bottom w:val="outset" w:sz="6" w:space="0" w:color="414142"/>
              <w:right w:val="outset" w:sz="6" w:space="0" w:color="414142"/>
            </w:tcBorders>
            <w:shd w:val="clear" w:color="auto" w:fill="auto"/>
          </w:tcPr>
          <w:p w14:paraId="6EE80FF9" w14:textId="77777777" w:rsidR="0078464B" w:rsidRPr="00D75DB7" w:rsidRDefault="0078464B" w:rsidP="00D75DB7">
            <w:pPr>
              <w:spacing w:after="0" w:line="240" w:lineRule="auto"/>
              <w:rPr>
                <w:rFonts w:eastAsia="Times New Roman" w:cs="Times New Roman"/>
                <w:sz w:val="20"/>
                <w:szCs w:val="20"/>
                <w:lang w:eastAsia="lv-LV"/>
              </w:rPr>
            </w:pPr>
            <w:r>
              <w:rPr>
                <w:rFonts w:eastAsia="Times New Roman" w:cs="Times New Roman"/>
                <w:sz w:val="20"/>
                <w:szCs w:val="20"/>
                <w:lang w:eastAsia="lv-LV"/>
              </w:rPr>
              <w:t xml:space="preserve">15. </w:t>
            </w:r>
            <w:r w:rsidRPr="00BA1824">
              <w:rPr>
                <w:rFonts w:eastAsia="Times New Roman" w:cs="Times New Roman"/>
                <w:sz w:val="20"/>
                <w:szCs w:val="20"/>
                <w:lang w:eastAsia="lv-LV"/>
              </w:rPr>
              <w:t>Uzņēmēj</w:t>
            </w:r>
            <w:r>
              <w:rPr>
                <w:rFonts w:eastAsia="Times New Roman" w:cs="Times New Roman"/>
                <w:sz w:val="20"/>
                <w:szCs w:val="20"/>
                <w:lang w:eastAsia="lv-LV"/>
              </w:rPr>
              <w:t>-</w:t>
            </w:r>
            <w:r w:rsidRPr="00BA1824">
              <w:rPr>
                <w:rFonts w:eastAsia="Times New Roman" w:cs="Times New Roman"/>
                <w:sz w:val="20"/>
                <w:szCs w:val="20"/>
                <w:lang w:eastAsia="lv-LV"/>
              </w:rPr>
              <w:t>darbības politika</w:t>
            </w:r>
          </w:p>
        </w:tc>
        <w:tc>
          <w:tcPr>
            <w:tcW w:w="1045" w:type="pct"/>
            <w:tcBorders>
              <w:top w:val="outset" w:sz="6" w:space="0" w:color="414142"/>
              <w:left w:val="outset" w:sz="6" w:space="0" w:color="414142"/>
              <w:bottom w:val="outset" w:sz="6" w:space="0" w:color="414142"/>
              <w:right w:val="outset" w:sz="6" w:space="0" w:color="414142"/>
            </w:tcBorders>
            <w:shd w:val="clear" w:color="auto" w:fill="auto"/>
          </w:tcPr>
          <w:p w14:paraId="57B9B499" w14:textId="77777777" w:rsidR="0078464B" w:rsidRPr="00D75DB7" w:rsidRDefault="0078464B" w:rsidP="00D75DB7">
            <w:pPr>
              <w:spacing w:after="0" w:line="240" w:lineRule="auto"/>
              <w:rPr>
                <w:rFonts w:eastAsia="Times New Roman" w:cs="Times New Roman"/>
                <w:sz w:val="20"/>
                <w:szCs w:val="20"/>
                <w:lang w:eastAsia="lv-LV"/>
              </w:rPr>
            </w:pPr>
            <w:r w:rsidRPr="00BA1824">
              <w:rPr>
                <w:rFonts w:eastAsia="Times New Roman" w:cs="Times New Roman"/>
                <w:sz w:val="20"/>
                <w:szCs w:val="20"/>
                <w:lang w:eastAsia="lv-LV"/>
              </w:rPr>
              <w:t>Pā</w:t>
            </w:r>
            <w:r>
              <w:rPr>
                <w:rFonts w:eastAsia="Times New Roman" w:cs="Times New Roman"/>
                <w:sz w:val="20"/>
                <w:szCs w:val="20"/>
                <w:lang w:eastAsia="lv-LV"/>
              </w:rPr>
              <w:t>r</w:t>
            </w:r>
            <w:r w:rsidRPr="00BA1824">
              <w:rPr>
                <w:rFonts w:eastAsia="Times New Roman" w:cs="Times New Roman"/>
                <w:sz w:val="20"/>
                <w:szCs w:val="20"/>
                <w:lang w:eastAsia="lv-LV"/>
              </w:rPr>
              <w:t>ņemt projekta partneru labās prakses piemērus un īstenot tos Latvijas mērogā</w:t>
            </w:r>
            <w:r>
              <w:rPr>
                <w:rFonts w:eastAsia="Times New Roman" w:cs="Times New Roman"/>
                <w:sz w:val="20"/>
                <w:szCs w:val="20"/>
                <w:lang w:eastAsia="lv-LV"/>
              </w:rPr>
              <w:t>; p</w:t>
            </w:r>
            <w:r w:rsidRPr="00BA1824">
              <w:rPr>
                <w:rFonts w:eastAsia="Times New Roman" w:cs="Times New Roman"/>
                <w:sz w:val="20"/>
                <w:szCs w:val="20"/>
                <w:lang w:eastAsia="lv-LV"/>
              </w:rPr>
              <w:t>ilnveidot pieejamos uzņēmējdarbības atbalsta rīkus digitālās transformācijas veicināšanai</w:t>
            </w:r>
          </w:p>
        </w:tc>
        <w:tc>
          <w:tcPr>
            <w:tcW w:w="621" w:type="pct"/>
            <w:tcBorders>
              <w:top w:val="outset" w:sz="6" w:space="0" w:color="414142"/>
              <w:left w:val="outset" w:sz="6" w:space="0" w:color="414142"/>
              <w:bottom w:val="outset" w:sz="6" w:space="0" w:color="414142"/>
              <w:right w:val="outset" w:sz="6" w:space="0" w:color="414142"/>
            </w:tcBorders>
            <w:shd w:val="clear" w:color="auto" w:fill="auto"/>
          </w:tcPr>
          <w:p w14:paraId="0A523637" w14:textId="77777777" w:rsidR="0078464B" w:rsidRDefault="0078464B" w:rsidP="0078464B">
            <w:pPr>
              <w:spacing w:after="0" w:line="240" w:lineRule="auto"/>
              <w:jc w:val="center"/>
              <w:rPr>
                <w:rFonts w:eastAsia="Times New Roman" w:cs="Times New Roman"/>
                <w:sz w:val="20"/>
                <w:szCs w:val="20"/>
                <w:lang w:eastAsia="lv-LV"/>
              </w:rPr>
            </w:pPr>
            <w:r w:rsidRPr="00BA1824">
              <w:rPr>
                <w:rFonts w:eastAsia="Times New Roman" w:cs="Times New Roman"/>
                <w:sz w:val="20"/>
                <w:szCs w:val="20"/>
                <w:lang w:eastAsia="lv-LV"/>
              </w:rPr>
              <w:t>6</w:t>
            </w:r>
            <w:r w:rsidR="009570AF">
              <w:rPr>
                <w:rFonts w:eastAsia="Times New Roman" w:cs="Times New Roman"/>
                <w:sz w:val="20"/>
                <w:szCs w:val="20"/>
                <w:lang w:eastAsia="lv-LV"/>
              </w:rPr>
              <w:t> </w:t>
            </w:r>
            <w:r w:rsidRPr="00BA1824">
              <w:rPr>
                <w:rFonts w:eastAsia="Times New Roman" w:cs="Times New Roman"/>
                <w:sz w:val="20"/>
                <w:szCs w:val="20"/>
                <w:lang w:eastAsia="lv-LV"/>
              </w:rPr>
              <w:t>887</w:t>
            </w:r>
            <w:r w:rsidR="009570AF">
              <w:rPr>
                <w:rFonts w:eastAsia="Times New Roman" w:cs="Times New Roman"/>
                <w:sz w:val="20"/>
                <w:szCs w:val="20"/>
                <w:lang w:eastAsia="lv-LV"/>
              </w:rPr>
              <w:t>,</w:t>
            </w:r>
            <w:r w:rsidRPr="00BA1824">
              <w:rPr>
                <w:rFonts w:eastAsia="Times New Roman" w:cs="Times New Roman"/>
                <w:sz w:val="20"/>
                <w:szCs w:val="20"/>
                <w:lang w:eastAsia="lv-LV"/>
              </w:rPr>
              <w:t xml:space="preserve">47 </w:t>
            </w:r>
            <w:r w:rsidRPr="0078464B">
              <w:rPr>
                <w:rFonts w:eastAsia="Times New Roman" w:cs="Times New Roman"/>
                <w:i/>
                <w:iCs/>
                <w:sz w:val="20"/>
                <w:szCs w:val="20"/>
                <w:lang w:eastAsia="lv-LV"/>
              </w:rPr>
              <w:t>euro</w:t>
            </w:r>
          </w:p>
          <w:p w14:paraId="0EF68D49" w14:textId="77777777" w:rsidR="0078464B" w:rsidRDefault="0078464B" w:rsidP="0078464B">
            <w:pPr>
              <w:spacing w:after="0" w:line="240" w:lineRule="auto"/>
              <w:jc w:val="center"/>
              <w:rPr>
                <w:rFonts w:eastAsia="Times New Roman" w:cs="Times New Roman"/>
                <w:sz w:val="20"/>
                <w:szCs w:val="20"/>
                <w:lang w:eastAsia="lv-LV"/>
              </w:rPr>
            </w:pPr>
            <w:r w:rsidRPr="00BA1824">
              <w:rPr>
                <w:rFonts w:eastAsia="Times New Roman" w:cs="Times New Roman"/>
                <w:sz w:val="20"/>
                <w:szCs w:val="20"/>
                <w:lang w:eastAsia="lv-LV"/>
              </w:rPr>
              <w:t>bez PVN</w:t>
            </w:r>
          </w:p>
          <w:p w14:paraId="2396F0EE" w14:textId="77777777" w:rsidR="0078464B" w:rsidRPr="00D75DB7" w:rsidRDefault="0078464B" w:rsidP="0078464B">
            <w:pPr>
              <w:spacing w:after="0" w:line="240" w:lineRule="auto"/>
              <w:jc w:val="center"/>
              <w:rPr>
                <w:rFonts w:eastAsia="Times New Roman" w:cs="Times New Roman"/>
                <w:sz w:val="20"/>
                <w:szCs w:val="20"/>
                <w:lang w:eastAsia="lv-LV"/>
              </w:rPr>
            </w:pPr>
            <w:r w:rsidRPr="00BA1824">
              <w:rPr>
                <w:rFonts w:eastAsia="Times New Roman" w:cs="Times New Roman"/>
                <w:sz w:val="20"/>
                <w:szCs w:val="20"/>
                <w:lang w:eastAsia="lv-LV"/>
              </w:rPr>
              <w:t>69.06.</w:t>
            </w:r>
            <w:r>
              <w:rPr>
                <w:rFonts w:eastAsia="Times New Roman" w:cs="Times New Roman"/>
                <w:sz w:val="20"/>
                <w:szCs w:val="20"/>
                <w:lang w:eastAsia="lv-LV"/>
              </w:rPr>
              <w:t>0</w:t>
            </w:r>
            <w:r w:rsidRPr="00BA1824">
              <w:rPr>
                <w:rFonts w:eastAsia="Times New Roman" w:cs="Times New Roman"/>
                <w:sz w:val="20"/>
                <w:szCs w:val="20"/>
                <w:lang w:eastAsia="lv-LV"/>
              </w:rPr>
              <w:t xml:space="preserve">0 </w:t>
            </w:r>
            <w:r>
              <w:rPr>
                <w:rFonts w:eastAsia="Times New Roman" w:cs="Times New Roman"/>
                <w:sz w:val="20"/>
                <w:szCs w:val="20"/>
                <w:lang w:eastAsia="lv-LV"/>
              </w:rPr>
              <w:t>“</w:t>
            </w:r>
            <w:r w:rsidRPr="00A558E1">
              <w:rPr>
                <w:rFonts w:eastAsia="Times New Roman" w:cs="Times New Roman"/>
                <w:sz w:val="20"/>
                <w:szCs w:val="20"/>
                <w:lang w:eastAsia="lv-LV"/>
              </w:rPr>
              <w:t>Mērķa “Eiropas teritoriālā sadarbība” pārrobežu sadarbības projekti</w:t>
            </w:r>
            <w:r>
              <w:rPr>
                <w:rFonts w:eastAsia="Times New Roman" w:cs="Times New Roman"/>
                <w:sz w:val="20"/>
                <w:szCs w:val="20"/>
                <w:lang w:eastAsia="lv-LV"/>
              </w:rPr>
              <w:t xml:space="preserve">” </w:t>
            </w:r>
            <w:r w:rsidRPr="00BA1824">
              <w:rPr>
                <w:rFonts w:eastAsia="Times New Roman" w:cs="Times New Roman"/>
                <w:sz w:val="20"/>
                <w:szCs w:val="20"/>
                <w:lang w:eastAsia="lv-LV"/>
              </w:rPr>
              <w:t>Interreg projekts Nr.PGI06094 “INNO4.0”</w:t>
            </w:r>
          </w:p>
        </w:tc>
        <w:tc>
          <w:tcPr>
            <w:tcW w:w="856" w:type="pct"/>
            <w:tcBorders>
              <w:top w:val="outset" w:sz="6" w:space="0" w:color="414142"/>
              <w:left w:val="outset" w:sz="6" w:space="0" w:color="414142"/>
              <w:bottom w:val="outset" w:sz="6" w:space="0" w:color="414142"/>
              <w:right w:val="outset" w:sz="6" w:space="0" w:color="414142"/>
            </w:tcBorders>
            <w:shd w:val="clear" w:color="auto" w:fill="auto"/>
          </w:tcPr>
          <w:p w14:paraId="70A591E8" w14:textId="77777777" w:rsidR="0078464B" w:rsidRPr="0091097E" w:rsidRDefault="0078464B" w:rsidP="0078464B">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Plānots līdz </w:t>
            </w:r>
            <w:r>
              <w:rPr>
                <w:rFonts w:eastAsia="Times New Roman" w:cs="Times New Roman"/>
                <w:sz w:val="20"/>
                <w:szCs w:val="20"/>
                <w:lang w:eastAsia="lv-LV"/>
              </w:rPr>
              <w:t>19</w:t>
            </w:r>
            <w:r w:rsidRPr="0091097E">
              <w:rPr>
                <w:rFonts w:eastAsia="Times New Roman" w:cs="Times New Roman"/>
                <w:sz w:val="20"/>
                <w:szCs w:val="20"/>
                <w:lang w:eastAsia="lv-LV"/>
              </w:rPr>
              <w:t>.</w:t>
            </w:r>
            <w:r>
              <w:rPr>
                <w:rFonts w:eastAsia="Times New Roman" w:cs="Times New Roman"/>
                <w:sz w:val="20"/>
                <w:szCs w:val="20"/>
                <w:lang w:eastAsia="lv-LV"/>
              </w:rPr>
              <w:t>07</w:t>
            </w:r>
            <w:r w:rsidRPr="0091097E">
              <w:rPr>
                <w:rFonts w:eastAsia="Times New Roman" w:cs="Times New Roman"/>
                <w:sz w:val="20"/>
                <w:szCs w:val="20"/>
                <w:lang w:eastAsia="lv-LV"/>
              </w:rPr>
              <w:t>.202</w:t>
            </w:r>
            <w:r>
              <w:rPr>
                <w:rFonts w:eastAsia="Times New Roman" w:cs="Times New Roman"/>
                <w:sz w:val="20"/>
                <w:szCs w:val="20"/>
                <w:lang w:eastAsia="lv-LV"/>
              </w:rPr>
              <w:t>1</w:t>
            </w:r>
            <w:r w:rsidRPr="0091097E">
              <w:rPr>
                <w:rFonts w:eastAsia="Times New Roman" w:cs="Times New Roman"/>
                <w:sz w:val="20"/>
                <w:szCs w:val="20"/>
                <w:lang w:eastAsia="lv-LV"/>
              </w:rPr>
              <w:t>.;</w:t>
            </w:r>
          </w:p>
          <w:p w14:paraId="1ADB5B02" w14:textId="77777777" w:rsidR="0078464B" w:rsidRPr="009B2FBC" w:rsidRDefault="0078464B" w:rsidP="0078464B">
            <w:pPr>
              <w:spacing w:after="0" w:line="240" w:lineRule="auto"/>
              <w:rPr>
                <w:rFonts w:eastAsia="Times New Roman" w:cs="Times New Roman"/>
                <w:i/>
                <w:iCs/>
                <w:sz w:val="20"/>
                <w:szCs w:val="20"/>
                <w:lang w:eastAsia="lv-LV"/>
              </w:rPr>
            </w:pPr>
            <w:r w:rsidRPr="009B2FBC">
              <w:rPr>
                <w:rFonts w:eastAsia="Times New Roman" w:cs="Times New Roman"/>
                <w:i/>
                <w:iCs/>
                <w:sz w:val="20"/>
                <w:szCs w:val="20"/>
                <w:lang w:eastAsia="lv-LV"/>
              </w:rPr>
              <w:t xml:space="preserve">Kontaktpersona – </w:t>
            </w:r>
          </w:p>
          <w:p w14:paraId="6C3F1A97" w14:textId="77777777" w:rsidR="0078464B" w:rsidRPr="0078464B" w:rsidRDefault="0078464B" w:rsidP="0078464B">
            <w:pPr>
              <w:spacing w:after="0" w:line="240" w:lineRule="auto"/>
              <w:rPr>
                <w:rFonts w:eastAsia="Times New Roman" w:cs="Times New Roman"/>
                <w:i/>
                <w:iCs/>
                <w:sz w:val="20"/>
                <w:szCs w:val="20"/>
                <w:lang w:eastAsia="lv-LV"/>
              </w:rPr>
            </w:pPr>
            <w:r w:rsidRPr="0078464B">
              <w:rPr>
                <w:rFonts w:eastAsia="Times New Roman" w:cs="Times New Roman"/>
                <w:i/>
                <w:iCs/>
                <w:sz w:val="20"/>
                <w:szCs w:val="20"/>
                <w:lang w:eastAsia="lv-LV"/>
              </w:rPr>
              <w:t>EM Nozaru politikas departamenta vecākais eksperts Edgars Ozoliņš-Ozols,</w:t>
            </w:r>
          </w:p>
          <w:p w14:paraId="4BEBFBE8" w14:textId="77777777" w:rsidR="0078464B" w:rsidRPr="0078464B" w:rsidRDefault="00A548C7" w:rsidP="0078464B">
            <w:pPr>
              <w:spacing w:after="0" w:line="240" w:lineRule="auto"/>
              <w:rPr>
                <w:rFonts w:eastAsia="Times New Roman" w:cs="Times New Roman"/>
                <w:i/>
                <w:iCs/>
                <w:color w:val="00859B"/>
                <w:sz w:val="20"/>
                <w:szCs w:val="20"/>
                <w:lang w:eastAsia="lv-LV"/>
              </w:rPr>
            </w:pPr>
            <w:hyperlink r:id="rId167" w:history="1">
              <w:r w:rsidR="0078464B" w:rsidRPr="0078464B">
                <w:rPr>
                  <w:rStyle w:val="Hyperlink"/>
                  <w:i/>
                  <w:iCs/>
                  <w:color w:val="00859B"/>
                  <w:sz w:val="20"/>
                  <w:szCs w:val="20"/>
                </w:rPr>
                <w:t>Edgars.Ozolins-Ozols@em.gov.lv</w:t>
              </w:r>
            </w:hyperlink>
          </w:p>
          <w:p w14:paraId="372BC03C" w14:textId="77777777" w:rsidR="0078464B" w:rsidRPr="0078464B" w:rsidRDefault="0078464B" w:rsidP="0078464B">
            <w:pPr>
              <w:spacing w:after="0" w:line="240" w:lineRule="auto"/>
              <w:rPr>
                <w:rFonts w:eastAsia="Times New Roman" w:cs="Times New Roman"/>
                <w:i/>
                <w:iCs/>
                <w:sz w:val="20"/>
                <w:szCs w:val="20"/>
                <w:lang w:eastAsia="lv-LV"/>
              </w:rPr>
            </w:pPr>
            <w:r w:rsidRPr="0078464B">
              <w:rPr>
                <w:rFonts w:eastAsia="Times New Roman" w:cs="Times New Roman"/>
                <w:i/>
                <w:iCs/>
                <w:sz w:val="20"/>
                <w:szCs w:val="20"/>
                <w:lang w:eastAsia="lv-LV"/>
              </w:rPr>
              <w:t>tālr. 67013011</w:t>
            </w:r>
          </w:p>
        </w:tc>
      </w:tr>
      <w:tr w:rsidR="001A175E" w:rsidRPr="00F5511B" w14:paraId="76E2C425"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auto"/>
          </w:tcPr>
          <w:p w14:paraId="0B7A5806" w14:textId="77777777" w:rsidR="00D75DB7" w:rsidRPr="00D75DB7" w:rsidRDefault="0078464B"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5.</w:t>
            </w:r>
          </w:p>
        </w:tc>
        <w:tc>
          <w:tcPr>
            <w:tcW w:w="622" w:type="pct"/>
            <w:tcBorders>
              <w:top w:val="outset" w:sz="6" w:space="0" w:color="414142"/>
              <w:left w:val="outset" w:sz="6" w:space="0" w:color="414142"/>
              <w:bottom w:val="outset" w:sz="6" w:space="0" w:color="414142"/>
              <w:right w:val="outset" w:sz="6" w:space="0" w:color="414142"/>
            </w:tcBorders>
            <w:shd w:val="clear" w:color="auto" w:fill="auto"/>
          </w:tcPr>
          <w:p w14:paraId="71ED8A89" w14:textId="5A2164C7" w:rsidR="009570AF" w:rsidRPr="0091097E" w:rsidRDefault="00A548C7" w:rsidP="00D75DB7">
            <w:pPr>
              <w:spacing w:after="60" w:line="240" w:lineRule="auto"/>
              <w:rPr>
                <w:rFonts w:eastAsia="Times New Roman" w:cs="Times New Roman"/>
                <w:b/>
                <w:bCs/>
                <w:sz w:val="20"/>
                <w:szCs w:val="20"/>
                <w:lang w:eastAsia="lv-LV"/>
              </w:rPr>
            </w:pPr>
            <w:hyperlink r:id="rId168" w:tgtFrame="_blank" w:history="1">
              <w:r w:rsidR="009570AF" w:rsidRPr="009570AF">
                <w:rPr>
                  <w:rStyle w:val="Hyperlink"/>
                  <w:i/>
                  <w:iCs/>
                  <w:color w:val="00859B"/>
                  <w:sz w:val="20"/>
                  <w:szCs w:val="20"/>
                </w:rPr>
                <w:t>Analīze par Jaunuzņēmumu darbības atbalsta likuma grozījumu ietekmi uz atbalstīto jaunuzņēmumu jaunradīto darba vietu skaitu un piesaistīto ieguldījumu apjomu</w:t>
              </w:r>
            </w:hyperlink>
          </w:p>
        </w:tc>
        <w:tc>
          <w:tcPr>
            <w:tcW w:w="1187" w:type="pct"/>
            <w:tcBorders>
              <w:top w:val="outset" w:sz="6" w:space="0" w:color="414142"/>
              <w:left w:val="outset" w:sz="6" w:space="0" w:color="414142"/>
              <w:bottom w:val="outset" w:sz="6" w:space="0" w:color="414142"/>
              <w:right w:val="outset" w:sz="6" w:space="0" w:color="414142"/>
            </w:tcBorders>
            <w:shd w:val="clear" w:color="auto" w:fill="auto"/>
          </w:tcPr>
          <w:p w14:paraId="40E8AADF" w14:textId="62B73027" w:rsidR="00D75DB7" w:rsidRPr="00D75DB7" w:rsidRDefault="009570AF" w:rsidP="00D75DB7">
            <w:pPr>
              <w:spacing w:after="0" w:line="240" w:lineRule="auto"/>
              <w:rPr>
                <w:rFonts w:cs="Times New Roman"/>
                <w:sz w:val="20"/>
                <w:szCs w:val="20"/>
                <w:shd w:val="clear" w:color="auto" w:fill="FFFFFF"/>
              </w:rPr>
            </w:pPr>
            <w:r w:rsidRPr="00EB0F68">
              <w:rPr>
                <w:rFonts w:eastAsia="Times New Roman" w:cs="Times New Roman"/>
                <w:sz w:val="20"/>
                <w:szCs w:val="20"/>
                <w:lang w:eastAsia="lv-LV"/>
              </w:rPr>
              <w:t>Kompleksi analītisk</w:t>
            </w:r>
            <w:r>
              <w:rPr>
                <w:rFonts w:eastAsia="Times New Roman" w:cs="Times New Roman"/>
                <w:sz w:val="20"/>
                <w:szCs w:val="20"/>
                <w:lang w:eastAsia="lv-LV"/>
              </w:rPr>
              <w:t>ā</w:t>
            </w:r>
            <w:r w:rsidRPr="00EB0F68">
              <w:rPr>
                <w:rFonts w:eastAsia="Times New Roman" w:cs="Times New Roman"/>
                <w:sz w:val="20"/>
                <w:szCs w:val="20"/>
                <w:lang w:eastAsia="lv-LV"/>
              </w:rPr>
              <w:t xml:space="preserve"> pētījum</w:t>
            </w:r>
            <w:r>
              <w:rPr>
                <w:rFonts w:eastAsia="Times New Roman" w:cs="Times New Roman"/>
                <w:sz w:val="20"/>
                <w:szCs w:val="20"/>
                <w:lang w:eastAsia="lv-LV"/>
              </w:rPr>
              <w:t>ā</w:t>
            </w:r>
            <w:r w:rsidR="00EE48F2">
              <w:rPr>
                <w:rFonts w:eastAsia="Times New Roman" w:cs="Times New Roman"/>
                <w:sz w:val="20"/>
                <w:szCs w:val="20"/>
                <w:lang w:eastAsia="lv-LV"/>
              </w:rPr>
              <w:t xml:space="preserve"> </w:t>
            </w:r>
            <w:r>
              <w:rPr>
                <w:rFonts w:eastAsia="Times New Roman" w:cs="Times New Roman"/>
                <w:sz w:val="20"/>
                <w:szCs w:val="20"/>
                <w:lang w:eastAsia="lv-LV"/>
              </w:rPr>
              <w:t>n</w:t>
            </w:r>
            <w:r w:rsidRPr="00EB0F68">
              <w:rPr>
                <w:rFonts w:eastAsia="Times New Roman" w:cs="Times New Roman"/>
                <w:sz w:val="20"/>
                <w:szCs w:val="20"/>
                <w:lang w:eastAsia="lv-LV"/>
              </w:rPr>
              <w:t>ovērtēt atbalstīto jaunuzņēmumu jaunradīto darba vietu skaita un piesaistītā ieguldījumu apjoma izmaiņas</w:t>
            </w:r>
            <w:r>
              <w:rPr>
                <w:rFonts w:eastAsia="Times New Roman" w:cs="Times New Roman"/>
                <w:sz w:val="20"/>
                <w:szCs w:val="20"/>
                <w:lang w:eastAsia="lv-LV"/>
              </w:rPr>
              <w:t>.</w:t>
            </w:r>
          </w:p>
        </w:tc>
        <w:tc>
          <w:tcPr>
            <w:tcW w:w="526" w:type="pct"/>
            <w:tcBorders>
              <w:top w:val="outset" w:sz="6" w:space="0" w:color="414142"/>
              <w:left w:val="outset" w:sz="6" w:space="0" w:color="414142"/>
              <w:bottom w:val="outset" w:sz="6" w:space="0" w:color="414142"/>
              <w:right w:val="outset" w:sz="6" w:space="0" w:color="414142"/>
            </w:tcBorders>
            <w:shd w:val="clear" w:color="auto" w:fill="auto"/>
          </w:tcPr>
          <w:p w14:paraId="38F005A7" w14:textId="77777777" w:rsidR="00D75DB7" w:rsidRPr="00D75DB7" w:rsidRDefault="009570AF" w:rsidP="00D75DB7">
            <w:pPr>
              <w:spacing w:after="0" w:line="240" w:lineRule="auto"/>
              <w:rPr>
                <w:rFonts w:eastAsia="Times New Roman" w:cs="Times New Roman"/>
                <w:sz w:val="20"/>
                <w:szCs w:val="20"/>
                <w:lang w:eastAsia="lv-LV"/>
              </w:rPr>
            </w:pPr>
            <w:r w:rsidRPr="00EB0F68">
              <w:rPr>
                <w:rFonts w:eastAsia="Times New Roman" w:cs="Times New Roman"/>
                <w:sz w:val="20"/>
                <w:szCs w:val="20"/>
                <w:lang w:eastAsia="lv-LV"/>
              </w:rPr>
              <w:t>15. Uzņēmēj-darbības politika</w:t>
            </w:r>
          </w:p>
        </w:tc>
        <w:tc>
          <w:tcPr>
            <w:tcW w:w="1045" w:type="pct"/>
            <w:tcBorders>
              <w:top w:val="outset" w:sz="6" w:space="0" w:color="414142"/>
              <w:left w:val="outset" w:sz="6" w:space="0" w:color="414142"/>
              <w:bottom w:val="outset" w:sz="6" w:space="0" w:color="414142"/>
              <w:right w:val="outset" w:sz="6" w:space="0" w:color="414142"/>
            </w:tcBorders>
            <w:shd w:val="clear" w:color="auto" w:fill="auto"/>
          </w:tcPr>
          <w:p w14:paraId="6B15ACEF" w14:textId="77777777" w:rsidR="00D75DB7" w:rsidRPr="00D75DB7" w:rsidRDefault="009570AF" w:rsidP="00D75DB7">
            <w:pPr>
              <w:spacing w:after="0" w:line="240" w:lineRule="auto"/>
              <w:rPr>
                <w:rFonts w:eastAsia="Times New Roman" w:cs="Times New Roman"/>
                <w:sz w:val="20"/>
                <w:szCs w:val="20"/>
                <w:lang w:eastAsia="lv-LV"/>
              </w:rPr>
            </w:pPr>
            <w:r w:rsidRPr="00EB0F68">
              <w:rPr>
                <w:rFonts w:eastAsia="Times New Roman" w:cs="Times New Roman"/>
                <w:sz w:val="20"/>
                <w:szCs w:val="20"/>
                <w:lang w:eastAsia="lv-LV"/>
              </w:rPr>
              <w:t>Identificētie dati tiks izmantoti Jaunuzņēmumu darbības atbalsta likuma pārejas noteikumu 2.punktā minētā ziņojuma gatavošanā</w:t>
            </w:r>
          </w:p>
        </w:tc>
        <w:tc>
          <w:tcPr>
            <w:tcW w:w="621" w:type="pct"/>
            <w:tcBorders>
              <w:top w:val="outset" w:sz="6" w:space="0" w:color="414142"/>
              <w:left w:val="outset" w:sz="6" w:space="0" w:color="414142"/>
              <w:bottom w:val="outset" w:sz="6" w:space="0" w:color="414142"/>
              <w:right w:val="outset" w:sz="6" w:space="0" w:color="414142"/>
            </w:tcBorders>
            <w:shd w:val="clear" w:color="auto" w:fill="auto"/>
          </w:tcPr>
          <w:p w14:paraId="399841CA" w14:textId="77777777" w:rsidR="009570AF" w:rsidRPr="009570AF" w:rsidRDefault="009570AF" w:rsidP="009570AF">
            <w:pPr>
              <w:spacing w:after="0" w:line="240" w:lineRule="auto"/>
              <w:jc w:val="center"/>
              <w:rPr>
                <w:rFonts w:eastAsia="Times New Roman" w:cs="Times New Roman"/>
                <w:sz w:val="20"/>
                <w:szCs w:val="20"/>
                <w:lang w:eastAsia="lv-LV"/>
              </w:rPr>
            </w:pPr>
            <w:r w:rsidRPr="009570AF">
              <w:rPr>
                <w:rFonts w:eastAsia="Times New Roman" w:cs="Times New Roman"/>
                <w:sz w:val="20"/>
                <w:szCs w:val="20"/>
                <w:lang w:eastAsia="lv-LV"/>
              </w:rPr>
              <w:t xml:space="preserve">8 263,64 </w:t>
            </w:r>
            <w:r w:rsidRPr="009570AF">
              <w:rPr>
                <w:rFonts w:eastAsia="Times New Roman" w:cs="Times New Roman"/>
                <w:i/>
                <w:iCs/>
                <w:sz w:val="20"/>
                <w:szCs w:val="20"/>
                <w:lang w:eastAsia="lv-LV"/>
              </w:rPr>
              <w:t>euro</w:t>
            </w:r>
          </w:p>
          <w:p w14:paraId="2120AAB1" w14:textId="77777777" w:rsidR="009570AF" w:rsidRPr="009570AF" w:rsidRDefault="009570AF" w:rsidP="009570AF">
            <w:pPr>
              <w:spacing w:after="0" w:line="240" w:lineRule="auto"/>
              <w:jc w:val="center"/>
              <w:rPr>
                <w:rFonts w:eastAsia="Times New Roman" w:cs="Times New Roman"/>
                <w:sz w:val="20"/>
                <w:szCs w:val="20"/>
                <w:lang w:eastAsia="lv-LV"/>
              </w:rPr>
            </w:pPr>
            <w:r w:rsidRPr="009570AF">
              <w:rPr>
                <w:rFonts w:eastAsia="Times New Roman" w:cs="Times New Roman"/>
                <w:sz w:val="20"/>
                <w:szCs w:val="20"/>
                <w:lang w:eastAsia="lv-LV"/>
              </w:rPr>
              <w:t xml:space="preserve">bez PVN, </w:t>
            </w:r>
          </w:p>
          <w:p w14:paraId="7D4106A3" w14:textId="77777777" w:rsidR="009570AF" w:rsidRDefault="009570AF" w:rsidP="009570AF">
            <w:pPr>
              <w:spacing w:after="0" w:line="240" w:lineRule="auto"/>
              <w:jc w:val="center"/>
              <w:rPr>
                <w:rFonts w:eastAsia="Times New Roman" w:cs="Times New Roman"/>
                <w:sz w:val="20"/>
                <w:szCs w:val="20"/>
                <w:lang w:eastAsia="lv-LV"/>
              </w:rPr>
            </w:pPr>
            <w:r w:rsidRPr="009570AF">
              <w:rPr>
                <w:rFonts w:eastAsia="Times New Roman" w:cs="Times New Roman"/>
                <w:sz w:val="20"/>
                <w:szCs w:val="20"/>
                <w:lang w:eastAsia="lv-LV"/>
              </w:rPr>
              <w:t xml:space="preserve">EM budžeta programma </w:t>
            </w:r>
          </w:p>
          <w:p w14:paraId="42A8A036" w14:textId="77777777" w:rsidR="009570AF" w:rsidRDefault="009570AF" w:rsidP="009570AF">
            <w:pPr>
              <w:spacing w:after="0" w:line="240" w:lineRule="auto"/>
              <w:jc w:val="center"/>
              <w:rPr>
                <w:rFonts w:eastAsia="Times New Roman" w:cs="Times New Roman"/>
                <w:sz w:val="20"/>
                <w:szCs w:val="20"/>
                <w:lang w:eastAsia="lv-LV"/>
              </w:rPr>
            </w:pPr>
            <w:r w:rsidRPr="009570AF">
              <w:rPr>
                <w:rFonts w:eastAsia="Times New Roman" w:cs="Times New Roman"/>
                <w:sz w:val="20"/>
                <w:szCs w:val="20"/>
                <w:lang w:eastAsia="lv-LV"/>
              </w:rPr>
              <w:t>97.00.00.</w:t>
            </w:r>
          </w:p>
          <w:p w14:paraId="5A172157" w14:textId="77777777" w:rsidR="00D75DB7" w:rsidRPr="00D75DB7" w:rsidRDefault="009570AF" w:rsidP="009570AF">
            <w:pPr>
              <w:spacing w:after="0" w:line="240" w:lineRule="auto"/>
              <w:jc w:val="center"/>
              <w:rPr>
                <w:rFonts w:eastAsia="Times New Roman" w:cs="Times New Roman"/>
                <w:sz w:val="20"/>
                <w:szCs w:val="20"/>
                <w:lang w:eastAsia="lv-LV"/>
              </w:rPr>
            </w:pPr>
            <w:r w:rsidRPr="009570AF">
              <w:rPr>
                <w:rFonts w:eastAsia="Times New Roman" w:cs="Times New Roman"/>
                <w:sz w:val="20"/>
                <w:szCs w:val="20"/>
                <w:lang w:eastAsia="lv-LV"/>
              </w:rPr>
              <w:t>"Nozaru vadība un politikas plānošana"</w:t>
            </w:r>
          </w:p>
        </w:tc>
        <w:tc>
          <w:tcPr>
            <w:tcW w:w="856" w:type="pct"/>
            <w:tcBorders>
              <w:top w:val="outset" w:sz="6" w:space="0" w:color="414142"/>
              <w:left w:val="outset" w:sz="6" w:space="0" w:color="414142"/>
              <w:bottom w:val="outset" w:sz="6" w:space="0" w:color="414142"/>
              <w:right w:val="outset" w:sz="6" w:space="0" w:color="414142"/>
            </w:tcBorders>
            <w:shd w:val="clear" w:color="auto" w:fill="auto"/>
          </w:tcPr>
          <w:p w14:paraId="4466EBC2" w14:textId="77777777" w:rsidR="009570AF" w:rsidRPr="0091097E" w:rsidRDefault="009570AF" w:rsidP="009570AF">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Plānots līdz </w:t>
            </w:r>
            <w:r>
              <w:rPr>
                <w:rFonts w:eastAsia="Times New Roman" w:cs="Times New Roman"/>
                <w:sz w:val="20"/>
                <w:szCs w:val="20"/>
                <w:lang w:eastAsia="lv-LV"/>
              </w:rPr>
              <w:t>20</w:t>
            </w:r>
            <w:r w:rsidRPr="0091097E">
              <w:rPr>
                <w:rFonts w:eastAsia="Times New Roman" w:cs="Times New Roman"/>
                <w:sz w:val="20"/>
                <w:szCs w:val="20"/>
                <w:lang w:eastAsia="lv-LV"/>
              </w:rPr>
              <w:t>.</w:t>
            </w:r>
            <w:r>
              <w:rPr>
                <w:rFonts w:eastAsia="Times New Roman" w:cs="Times New Roman"/>
                <w:sz w:val="20"/>
                <w:szCs w:val="20"/>
                <w:lang w:eastAsia="lv-LV"/>
              </w:rPr>
              <w:t>11</w:t>
            </w:r>
            <w:r w:rsidRPr="0091097E">
              <w:rPr>
                <w:rFonts w:eastAsia="Times New Roman" w:cs="Times New Roman"/>
                <w:sz w:val="20"/>
                <w:szCs w:val="20"/>
                <w:lang w:eastAsia="lv-LV"/>
              </w:rPr>
              <w:t>.202</w:t>
            </w:r>
            <w:r>
              <w:rPr>
                <w:rFonts w:eastAsia="Times New Roman" w:cs="Times New Roman"/>
                <w:sz w:val="20"/>
                <w:szCs w:val="20"/>
                <w:lang w:eastAsia="lv-LV"/>
              </w:rPr>
              <w:t>1</w:t>
            </w:r>
            <w:r w:rsidRPr="0091097E">
              <w:rPr>
                <w:rFonts w:eastAsia="Times New Roman" w:cs="Times New Roman"/>
                <w:sz w:val="20"/>
                <w:szCs w:val="20"/>
                <w:lang w:eastAsia="lv-LV"/>
              </w:rPr>
              <w:t>.;</w:t>
            </w:r>
          </w:p>
          <w:p w14:paraId="3B6F538F" w14:textId="77777777" w:rsidR="009570AF" w:rsidRPr="009B2FBC" w:rsidRDefault="009570AF" w:rsidP="009570AF">
            <w:pPr>
              <w:spacing w:after="0" w:line="240" w:lineRule="auto"/>
              <w:rPr>
                <w:rFonts w:eastAsia="Times New Roman" w:cs="Times New Roman"/>
                <w:i/>
                <w:iCs/>
                <w:sz w:val="20"/>
                <w:szCs w:val="20"/>
                <w:lang w:eastAsia="lv-LV"/>
              </w:rPr>
            </w:pPr>
            <w:r w:rsidRPr="009B2FBC">
              <w:rPr>
                <w:rFonts w:eastAsia="Times New Roman" w:cs="Times New Roman"/>
                <w:i/>
                <w:iCs/>
                <w:sz w:val="20"/>
                <w:szCs w:val="20"/>
                <w:lang w:eastAsia="lv-LV"/>
              </w:rPr>
              <w:t xml:space="preserve">Kontaktpersona – </w:t>
            </w:r>
          </w:p>
          <w:p w14:paraId="38E565DF" w14:textId="77777777" w:rsidR="009570AF" w:rsidRDefault="009570AF" w:rsidP="009570AF">
            <w:pPr>
              <w:spacing w:after="0" w:line="240" w:lineRule="auto"/>
              <w:rPr>
                <w:rFonts w:eastAsia="Times New Roman" w:cs="Times New Roman"/>
                <w:i/>
                <w:iCs/>
                <w:sz w:val="20"/>
                <w:szCs w:val="20"/>
                <w:lang w:eastAsia="lv-LV"/>
              </w:rPr>
            </w:pPr>
            <w:r>
              <w:rPr>
                <w:rFonts w:eastAsia="Times New Roman" w:cs="Times New Roman"/>
                <w:i/>
                <w:iCs/>
                <w:sz w:val="20"/>
                <w:szCs w:val="20"/>
                <w:lang w:eastAsia="lv-LV"/>
              </w:rPr>
              <w:t>EM</w:t>
            </w:r>
            <w:r w:rsidRPr="009570AF">
              <w:rPr>
                <w:rFonts w:eastAsia="Times New Roman" w:cs="Times New Roman"/>
                <w:i/>
                <w:iCs/>
                <w:sz w:val="20"/>
                <w:szCs w:val="20"/>
                <w:lang w:eastAsia="lv-LV"/>
              </w:rPr>
              <w:t xml:space="preserve"> Uzņēmējdarbības konkurētspējas departamenta direktora vietniece </w:t>
            </w:r>
          </w:p>
          <w:p w14:paraId="5381FC72" w14:textId="77777777" w:rsidR="009570AF" w:rsidRPr="009570AF" w:rsidRDefault="009570AF" w:rsidP="009570AF">
            <w:pPr>
              <w:spacing w:after="0" w:line="240" w:lineRule="auto"/>
              <w:rPr>
                <w:rFonts w:eastAsia="Times New Roman" w:cs="Times New Roman"/>
                <w:i/>
                <w:iCs/>
                <w:sz w:val="20"/>
                <w:szCs w:val="20"/>
                <w:lang w:eastAsia="lv-LV"/>
              </w:rPr>
            </w:pPr>
            <w:r w:rsidRPr="009570AF">
              <w:rPr>
                <w:rFonts w:eastAsia="Times New Roman" w:cs="Times New Roman"/>
                <w:i/>
                <w:iCs/>
                <w:sz w:val="20"/>
                <w:szCs w:val="20"/>
                <w:lang w:eastAsia="lv-LV"/>
              </w:rPr>
              <w:t>Sigita Siliņa,</w:t>
            </w:r>
          </w:p>
          <w:p w14:paraId="3CBE727D" w14:textId="77777777" w:rsidR="009570AF" w:rsidRPr="009570AF" w:rsidRDefault="00A548C7" w:rsidP="009570AF">
            <w:pPr>
              <w:spacing w:after="0" w:line="240" w:lineRule="auto"/>
              <w:rPr>
                <w:rStyle w:val="Hyperlink"/>
                <w:rFonts w:eastAsia="Times New Roman" w:cs="Times New Roman"/>
                <w:i/>
                <w:iCs/>
                <w:color w:val="00859B"/>
                <w:sz w:val="20"/>
                <w:szCs w:val="20"/>
                <w:lang w:eastAsia="lv-LV"/>
              </w:rPr>
            </w:pPr>
            <w:hyperlink r:id="rId169" w:history="1">
              <w:r w:rsidR="009570AF" w:rsidRPr="009570AF">
                <w:rPr>
                  <w:rStyle w:val="Hyperlink"/>
                  <w:i/>
                  <w:iCs/>
                  <w:color w:val="00859B"/>
                  <w:sz w:val="20"/>
                  <w:szCs w:val="20"/>
                </w:rPr>
                <w:t>Sigita.Silina@em.gov.lv</w:t>
              </w:r>
            </w:hyperlink>
          </w:p>
          <w:p w14:paraId="713AED6A" w14:textId="77777777" w:rsidR="009570AF" w:rsidRPr="009570AF" w:rsidRDefault="009570AF" w:rsidP="009570AF">
            <w:pPr>
              <w:spacing w:after="0" w:line="240" w:lineRule="auto"/>
              <w:rPr>
                <w:rFonts w:eastAsia="Times New Roman" w:cs="Times New Roman"/>
                <w:i/>
                <w:iCs/>
                <w:sz w:val="20"/>
                <w:szCs w:val="20"/>
                <w:lang w:eastAsia="lv-LV"/>
              </w:rPr>
            </w:pPr>
            <w:r w:rsidRPr="009570AF">
              <w:rPr>
                <w:rFonts w:eastAsia="Times New Roman" w:cs="Times New Roman"/>
                <w:i/>
                <w:iCs/>
                <w:sz w:val="20"/>
                <w:szCs w:val="20"/>
                <w:lang w:eastAsia="lv-LV"/>
              </w:rPr>
              <w:t>tālr. 67013027</w:t>
            </w:r>
          </w:p>
          <w:p w14:paraId="7CB2EAB3" w14:textId="77777777" w:rsidR="009570AF" w:rsidRPr="00D75DB7" w:rsidRDefault="009570AF" w:rsidP="009570AF">
            <w:pPr>
              <w:spacing w:after="0" w:line="240" w:lineRule="auto"/>
              <w:rPr>
                <w:rFonts w:eastAsia="Times New Roman" w:cs="Times New Roman"/>
                <w:sz w:val="20"/>
                <w:szCs w:val="20"/>
                <w:lang w:eastAsia="lv-LV"/>
              </w:rPr>
            </w:pPr>
          </w:p>
        </w:tc>
      </w:tr>
      <w:tr w:rsidR="001A175E" w:rsidRPr="00F5511B" w14:paraId="38EDAC9C" w14:textId="77777777" w:rsidTr="001A175E">
        <w:tc>
          <w:tcPr>
            <w:tcW w:w="142" w:type="pct"/>
            <w:tcBorders>
              <w:top w:val="outset" w:sz="6" w:space="0" w:color="414142"/>
              <w:left w:val="outset" w:sz="6" w:space="0" w:color="414142"/>
              <w:bottom w:val="outset" w:sz="6" w:space="0" w:color="414142"/>
              <w:right w:val="outset" w:sz="6" w:space="0" w:color="414142"/>
            </w:tcBorders>
            <w:shd w:val="clear" w:color="auto" w:fill="00859B"/>
          </w:tcPr>
          <w:p w14:paraId="748BA7AA" w14:textId="77777777" w:rsidR="00D75DB7" w:rsidRPr="00D75DB7" w:rsidRDefault="00D75DB7" w:rsidP="00D75DB7">
            <w:pPr>
              <w:spacing w:after="0" w:line="240" w:lineRule="auto"/>
              <w:rPr>
                <w:rFonts w:eastAsia="Times New Roman" w:cs="Times New Roman"/>
                <w:b/>
                <w:bCs/>
                <w:sz w:val="20"/>
                <w:szCs w:val="20"/>
                <w:lang w:eastAsia="lv-LV"/>
              </w:rPr>
            </w:pPr>
          </w:p>
        </w:tc>
        <w:tc>
          <w:tcPr>
            <w:tcW w:w="622" w:type="pct"/>
            <w:tcBorders>
              <w:top w:val="outset" w:sz="6" w:space="0" w:color="414142"/>
              <w:left w:val="outset" w:sz="6" w:space="0" w:color="414142"/>
              <w:bottom w:val="outset" w:sz="6" w:space="0" w:color="414142"/>
              <w:right w:val="outset" w:sz="6" w:space="0" w:color="414142"/>
            </w:tcBorders>
            <w:shd w:val="clear" w:color="auto" w:fill="00859B"/>
          </w:tcPr>
          <w:p w14:paraId="2CAC1813" w14:textId="77777777" w:rsidR="00D75DB7" w:rsidRPr="00D75DB7" w:rsidRDefault="00D75DB7" w:rsidP="00D75DB7">
            <w:pPr>
              <w:spacing w:after="60" w:line="240" w:lineRule="auto"/>
              <w:rPr>
                <w:rFonts w:eastAsia="Times New Roman" w:cs="Times New Roman"/>
                <w:b/>
                <w:bCs/>
                <w:sz w:val="20"/>
                <w:szCs w:val="20"/>
                <w:lang w:eastAsia="lv-LV"/>
              </w:rPr>
            </w:pPr>
            <w:r w:rsidRPr="00D75DB7">
              <w:rPr>
                <w:rFonts w:eastAsia="Times New Roman" w:cs="Times New Roman"/>
                <w:b/>
                <w:bCs/>
                <w:color w:val="FFFFFF" w:themeColor="background1"/>
                <w:sz w:val="20"/>
                <w:szCs w:val="20"/>
                <w:lang w:eastAsia="lv-LV"/>
              </w:rPr>
              <w:t>2020.gads</w:t>
            </w:r>
          </w:p>
        </w:tc>
        <w:tc>
          <w:tcPr>
            <w:tcW w:w="1187" w:type="pct"/>
            <w:tcBorders>
              <w:top w:val="outset" w:sz="6" w:space="0" w:color="414142"/>
              <w:left w:val="outset" w:sz="6" w:space="0" w:color="414142"/>
              <w:bottom w:val="outset" w:sz="6" w:space="0" w:color="414142"/>
              <w:right w:val="outset" w:sz="6" w:space="0" w:color="414142"/>
            </w:tcBorders>
            <w:shd w:val="clear" w:color="auto" w:fill="00859B"/>
          </w:tcPr>
          <w:p w14:paraId="6124595B" w14:textId="77777777" w:rsidR="00D75DB7" w:rsidRPr="00D75DB7" w:rsidRDefault="00D75DB7" w:rsidP="00D75DB7">
            <w:pPr>
              <w:spacing w:after="0" w:line="240" w:lineRule="auto"/>
              <w:rPr>
                <w:rFonts w:cs="Times New Roman"/>
                <w:sz w:val="20"/>
                <w:szCs w:val="20"/>
                <w:shd w:val="clear" w:color="auto" w:fill="FFFFFF"/>
              </w:rPr>
            </w:pPr>
          </w:p>
        </w:tc>
        <w:tc>
          <w:tcPr>
            <w:tcW w:w="526" w:type="pct"/>
            <w:tcBorders>
              <w:top w:val="outset" w:sz="6" w:space="0" w:color="414142"/>
              <w:left w:val="outset" w:sz="6" w:space="0" w:color="414142"/>
              <w:bottom w:val="outset" w:sz="6" w:space="0" w:color="414142"/>
              <w:right w:val="outset" w:sz="6" w:space="0" w:color="414142"/>
            </w:tcBorders>
            <w:shd w:val="clear" w:color="auto" w:fill="00859B"/>
          </w:tcPr>
          <w:p w14:paraId="4A84EAB3" w14:textId="77777777" w:rsidR="00D75DB7" w:rsidRPr="00D75DB7" w:rsidRDefault="00D75DB7" w:rsidP="00D75DB7">
            <w:pPr>
              <w:spacing w:after="0" w:line="240" w:lineRule="auto"/>
              <w:rPr>
                <w:rFonts w:eastAsia="Times New Roman" w:cs="Times New Roman"/>
                <w:sz w:val="20"/>
                <w:szCs w:val="20"/>
                <w:lang w:eastAsia="lv-LV"/>
              </w:rPr>
            </w:pPr>
          </w:p>
        </w:tc>
        <w:tc>
          <w:tcPr>
            <w:tcW w:w="1045" w:type="pct"/>
            <w:tcBorders>
              <w:top w:val="outset" w:sz="6" w:space="0" w:color="414142"/>
              <w:left w:val="outset" w:sz="6" w:space="0" w:color="414142"/>
              <w:bottom w:val="outset" w:sz="6" w:space="0" w:color="414142"/>
              <w:right w:val="outset" w:sz="6" w:space="0" w:color="414142"/>
            </w:tcBorders>
            <w:shd w:val="clear" w:color="auto" w:fill="00859B"/>
          </w:tcPr>
          <w:p w14:paraId="682CAB6B" w14:textId="77777777" w:rsidR="00D75DB7" w:rsidRPr="00D75DB7" w:rsidRDefault="00D75DB7" w:rsidP="00D75DB7">
            <w:pPr>
              <w:spacing w:after="0" w:line="240" w:lineRule="auto"/>
              <w:rPr>
                <w:rFonts w:eastAsia="Times New Roman" w:cs="Times New Roman"/>
                <w:sz w:val="20"/>
                <w:szCs w:val="20"/>
                <w:lang w:eastAsia="lv-LV"/>
              </w:rPr>
            </w:pPr>
          </w:p>
        </w:tc>
        <w:tc>
          <w:tcPr>
            <w:tcW w:w="621" w:type="pct"/>
            <w:tcBorders>
              <w:top w:val="outset" w:sz="6" w:space="0" w:color="414142"/>
              <w:left w:val="outset" w:sz="6" w:space="0" w:color="414142"/>
              <w:bottom w:val="outset" w:sz="6" w:space="0" w:color="414142"/>
              <w:right w:val="outset" w:sz="6" w:space="0" w:color="414142"/>
            </w:tcBorders>
            <w:shd w:val="clear" w:color="auto" w:fill="00859B"/>
          </w:tcPr>
          <w:p w14:paraId="14B91246" w14:textId="77777777" w:rsidR="00D75DB7" w:rsidRPr="00D75DB7" w:rsidRDefault="00D75DB7" w:rsidP="00D75DB7">
            <w:pPr>
              <w:spacing w:after="0" w:line="240" w:lineRule="auto"/>
              <w:rPr>
                <w:rFonts w:eastAsia="Times New Roman" w:cs="Times New Roman"/>
                <w:sz w:val="20"/>
                <w:szCs w:val="20"/>
                <w:lang w:eastAsia="lv-LV"/>
              </w:rPr>
            </w:pPr>
          </w:p>
        </w:tc>
        <w:tc>
          <w:tcPr>
            <w:tcW w:w="856" w:type="pct"/>
            <w:tcBorders>
              <w:top w:val="outset" w:sz="6" w:space="0" w:color="414142"/>
              <w:left w:val="outset" w:sz="6" w:space="0" w:color="414142"/>
              <w:bottom w:val="outset" w:sz="6" w:space="0" w:color="414142"/>
              <w:right w:val="outset" w:sz="6" w:space="0" w:color="414142"/>
            </w:tcBorders>
            <w:shd w:val="clear" w:color="auto" w:fill="00859B"/>
          </w:tcPr>
          <w:p w14:paraId="1AFEB836" w14:textId="77777777" w:rsidR="00D75DB7" w:rsidRPr="00D75DB7" w:rsidRDefault="00D75DB7" w:rsidP="00D75DB7">
            <w:pPr>
              <w:spacing w:after="0" w:line="240" w:lineRule="auto"/>
              <w:rPr>
                <w:rFonts w:eastAsia="Times New Roman" w:cs="Times New Roman"/>
                <w:sz w:val="20"/>
                <w:szCs w:val="20"/>
                <w:lang w:eastAsia="lv-LV"/>
              </w:rPr>
            </w:pPr>
          </w:p>
        </w:tc>
      </w:tr>
      <w:tr w:rsidR="001A175E" w:rsidRPr="00F5511B" w14:paraId="3C8CB78D" w14:textId="77777777" w:rsidTr="001A175E">
        <w:tc>
          <w:tcPr>
            <w:tcW w:w="142" w:type="pct"/>
            <w:tcBorders>
              <w:top w:val="outset" w:sz="6" w:space="0" w:color="414142"/>
              <w:left w:val="outset" w:sz="6" w:space="0" w:color="414142"/>
              <w:bottom w:val="outset" w:sz="6" w:space="0" w:color="414142"/>
              <w:right w:val="outset" w:sz="6" w:space="0" w:color="414142"/>
            </w:tcBorders>
            <w:hideMark/>
          </w:tcPr>
          <w:p w14:paraId="1103B0F8" w14:textId="77777777" w:rsidR="00D75DB7" w:rsidRPr="0091097E" w:rsidRDefault="00D75DB7" w:rsidP="00D75DB7">
            <w:pPr>
              <w:spacing w:after="0" w:line="240" w:lineRule="auto"/>
              <w:rPr>
                <w:rFonts w:eastAsia="Times New Roman" w:cs="Times New Roman"/>
                <w:b/>
                <w:bCs/>
                <w:sz w:val="20"/>
                <w:szCs w:val="20"/>
                <w:lang w:eastAsia="lv-LV"/>
              </w:rPr>
            </w:pPr>
            <w:r w:rsidRPr="0091097E">
              <w:rPr>
                <w:rFonts w:eastAsia="Times New Roman" w:cs="Times New Roman"/>
                <w:b/>
                <w:bCs/>
                <w:sz w:val="20"/>
                <w:szCs w:val="20"/>
                <w:lang w:eastAsia="lv-LV"/>
              </w:rPr>
              <w:t>1.</w:t>
            </w:r>
          </w:p>
        </w:tc>
        <w:tc>
          <w:tcPr>
            <w:tcW w:w="622" w:type="pct"/>
            <w:tcBorders>
              <w:top w:val="outset" w:sz="6" w:space="0" w:color="414142"/>
              <w:left w:val="outset" w:sz="6" w:space="0" w:color="414142"/>
              <w:bottom w:val="outset" w:sz="6" w:space="0" w:color="414142"/>
              <w:right w:val="outset" w:sz="6" w:space="0" w:color="414142"/>
            </w:tcBorders>
            <w:hideMark/>
          </w:tcPr>
          <w:p w14:paraId="55A8DAD5" w14:textId="77777777" w:rsidR="00D75DB7" w:rsidRPr="0091097E" w:rsidRDefault="00A548C7" w:rsidP="00D75DB7">
            <w:pPr>
              <w:spacing w:after="0" w:line="240" w:lineRule="auto"/>
              <w:rPr>
                <w:rFonts w:eastAsia="Times New Roman" w:cs="Times New Roman"/>
                <w:i/>
                <w:iCs/>
                <w:sz w:val="20"/>
                <w:szCs w:val="20"/>
                <w:u w:val="single"/>
                <w:lang w:eastAsia="lv-LV"/>
              </w:rPr>
            </w:pPr>
            <w:hyperlink r:id="rId170" w:tgtFrame="_blank" w:history="1">
              <w:r w:rsidR="00D75DB7" w:rsidRPr="0091097E">
                <w:rPr>
                  <w:rStyle w:val="Hyperlink"/>
                  <w:i/>
                  <w:iCs/>
                  <w:color w:val="00859B"/>
                  <w:sz w:val="20"/>
                  <w:szCs w:val="20"/>
                </w:rPr>
                <w:t>Pētījums par prognozētām izmaiņām darbaspēka un būvmateriālu izmaksās būvniecības nozarē Latvijā</w:t>
              </w:r>
            </w:hyperlink>
          </w:p>
        </w:tc>
        <w:tc>
          <w:tcPr>
            <w:tcW w:w="1187" w:type="pct"/>
            <w:tcBorders>
              <w:top w:val="outset" w:sz="6" w:space="0" w:color="414142"/>
              <w:left w:val="outset" w:sz="6" w:space="0" w:color="414142"/>
              <w:bottom w:val="outset" w:sz="6" w:space="0" w:color="414142"/>
              <w:right w:val="outset" w:sz="6" w:space="0" w:color="414142"/>
            </w:tcBorders>
            <w:hideMark/>
          </w:tcPr>
          <w:p w14:paraId="49DFF4D2" w14:textId="77777777" w:rsidR="00D75DB7" w:rsidRPr="0091097E" w:rsidRDefault="00D75DB7" w:rsidP="00D75DB7">
            <w:pPr>
              <w:spacing w:after="0" w:line="240" w:lineRule="auto"/>
              <w:rPr>
                <w:rFonts w:eastAsia="Times New Roman" w:cs="Times New Roman"/>
                <w:sz w:val="20"/>
                <w:szCs w:val="20"/>
                <w:lang w:eastAsia="lv-LV"/>
              </w:rPr>
            </w:pPr>
            <w:r w:rsidRPr="0091097E">
              <w:rPr>
                <w:rFonts w:cs="Times New Roman"/>
                <w:sz w:val="20"/>
                <w:szCs w:val="20"/>
                <w:shd w:val="clear" w:color="auto" w:fill="FFFFFF"/>
              </w:rPr>
              <w:t>Saskaņā ar MK 23.04.2019. sēdē (prot. Nr.21,</w:t>
            </w:r>
            <w:r w:rsidRPr="0091097E">
              <w:rPr>
                <w:rFonts w:cs="Times New Roman"/>
                <w:sz w:val="20"/>
                <w:szCs w:val="20"/>
                <w:lang w:eastAsia="lv-LV"/>
              </w:rPr>
              <w:t xml:space="preserve"> 23.§, 3.punkts) EM doto uzdevumu, lai nodrošinātu Valdības rīcības plāna </w:t>
            </w:r>
            <w:r w:rsidRPr="0091097E">
              <w:rPr>
                <w:rFonts w:cs="Times New Roman"/>
                <w:sz w:val="20"/>
                <w:szCs w:val="20"/>
                <w:shd w:val="clear" w:color="auto" w:fill="FFFFFF"/>
              </w:rPr>
              <w:t xml:space="preserve">26.uzdevuma efektīvu izpildi, katru gadu līdz kārtējā gada 1.jūlijam EM jāveic izvērtējums par prognozētām izmaiņām darba spēka un būvmateriālu izmaksās būvniecības nozarē. </w:t>
            </w:r>
          </w:p>
        </w:tc>
        <w:tc>
          <w:tcPr>
            <w:tcW w:w="526" w:type="pct"/>
            <w:tcBorders>
              <w:top w:val="outset" w:sz="6" w:space="0" w:color="414142"/>
              <w:left w:val="outset" w:sz="6" w:space="0" w:color="414142"/>
              <w:bottom w:val="outset" w:sz="6" w:space="0" w:color="414142"/>
              <w:right w:val="outset" w:sz="6" w:space="0" w:color="414142"/>
            </w:tcBorders>
            <w:hideMark/>
          </w:tcPr>
          <w:p w14:paraId="2FBFF528" w14:textId="77777777" w:rsidR="00D75DB7" w:rsidRPr="0091097E" w:rsidRDefault="00D75DB7" w:rsidP="00D75DB7">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5. Industrijas un pakalpojumu politika, </w:t>
            </w:r>
          </w:p>
          <w:p w14:paraId="722CC357" w14:textId="77777777" w:rsidR="00D75DB7" w:rsidRPr="0091097E" w:rsidRDefault="00D75DB7" w:rsidP="00D75DB7">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5.2. Būvniecības politikas nozare</w:t>
            </w:r>
          </w:p>
        </w:tc>
        <w:tc>
          <w:tcPr>
            <w:tcW w:w="1045" w:type="pct"/>
            <w:tcBorders>
              <w:top w:val="outset" w:sz="6" w:space="0" w:color="414142"/>
              <w:left w:val="outset" w:sz="6" w:space="0" w:color="414142"/>
              <w:bottom w:val="outset" w:sz="6" w:space="0" w:color="414142"/>
              <w:right w:val="outset" w:sz="6" w:space="0" w:color="414142"/>
            </w:tcBorders>
            <w:hideMark/>
          </w:tcPr>
          <w:p w14:paraId="3A4EC935" w14:textId="77777777" w:rsidR="00D75DB7" w:rsidRPr="0091097E" w:rsidRDefault="00D75DB7" w:rsidP="00D75DB7">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Pētījums tiks izmantots lai EM </w:t>
            </w:r>
            <w:r w:rsidRPr="0091097E">
              <w:rPr>
                <w:rFonts w:cs="Times New Roman"/>
                <w:sz w:val="20"/>
                <w:szCs w:val="20"/>
                <w:shd w:val="clear" w:color="auto" w:fill="FFFFFF"/>
              </w:rPr>
              <w:t>līdz kārtējā gada 1.augustam, pamatojoties uz veikto prognozi, iesniegtu MK informatīvo ziņojumu par izvērtējuma rezultātiem, sniedzot priekšlikumus nepieciešamai rīcībai, lai laikus novērstu tautsaimniecības pārkāršanas riskus</w:t>
            </w:r>
          </w:p>
        </w:tc>
        <w:tc>
          <w:tcPr>
            <w:tcW w:w="621" w:type="pct"/>
            <w:tcBorders>
              <w:top w:val="outset" w:sz="6" w:space="0" w:color="414142"/>
              <w:left w:val="outset" w:sz="6" w:space="0" w:color="414142"/>
              <w:bottom w:val="outset" w:sz="6" w:space="0" w:color="414142"/>
              <w:right w:val="outset" w:sz="6" w:space="0" w:color="414142"/>
            </w:tcBorders>
            <w:hideMark/>
          </w:tcPr>
          <w:p w14:paraId="7B89BF9B" w14:textId="77777777" w:rsidR="00D75DB7" w:rsidRPr="0091097E" w:rsidRDefault="00D75DB7" w:rsidP="00D75DB7">
            <w:pPr>
              <w:spacing w:after="0" w:line="240" w:lineRule="auto"/>
              <w:jc w:val="center"/>
              <w:rPr>
                <w:rFonts w:eastAsia="Times New Roman" w:cs="Times New Roman"/>
                <w:i/>
                <w:sz w:val="20"/>
                <w:szCs w:val="20"/>
                <w:lang w:eastAsia="lv-LV"/>
              </w:rPr>
            </w:pPr>
            <w:r w:rsidRPr="0091097E">
              <w:rPr>
                <w:rFonts w:eastAsia="Times New Roman" w:cs="Times New Roman"/>
                <w:sz w:val="20"/>
                <w:szCs w:val="20"/>
                <w:lang w:eastAsia="lv-LV"/>
              </w:rPr>
              <w:t xml:space="preserve">25 000 </w:t>
            </w:r>
            <w:r w:rsidRPr="0091097E">
              <w:rPr>
                <w:rFonts w:eastAsia="Times New Roman" w:cs="Times New Roman"/>
                <w:i/>
                <w:sz w:val="20"/>
                <w:szCs w:val="20"/>
                <w:lang w:eastAsia="lv-LV"/>
              </w:rPr>
              <w:t>euro</w:t>
            </w:r>
          </w:p>
          <w:p w14:paraId="6E8896D7" w14:textId="77777777" w:rsidR="00D75DB7" w:rsidRPr="0091097E" w:rsidRDefault="00D75DB7" w:rsidP="00D75DB7">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 xml:space="preserve">bez PVN </w:t>
            </w:r>
          </w:p>
          <w:p w14:paraId="090FA7ED" w14:textId="77777777" w:rsidR="00D75DB7" w:rsidRPr="0091097E" w:rsidRDefault="00D75DB7" w:rsidP="00D75DB7">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 xml:space="preserve">EM budžeta programma </w:t>
            </w:r>
          </w:p>
          <w:p w14:paraId="38A9DF47" w14:textId="77777777" w:rsidR="00D75DB7" w:rsidRPr="0091097E" w:rsidRDefault="00D75DB7" w:rsidP="00D75DB7">
            <w:pPr>
              <w:spacing w:after="0" w:line="240" w:lineRule="auto"/>
              <w:jc w:val="center"/>
              <w:rPr>
                <w:rFonts w:eastAsia="Times New Roman" w:cs="Times New Roman"/>
                <w:sz w:val="20"/>
                <w:szCs w:val="20"/>
                <w:lang w:eastAsia="lv-LV"/>
              </w:rPr>
            </w:pPr>
            <w:r w:rsidRPr="0091097E">
              <w:rPr>
                <w:rFonts w:eastAsia="Times New Roman" w:cs="Times New Roman"/>
                <w:sz w:val="20"/>
                <w:szCs w:val="20"/>
                <w:lang w:eastAsia="lv-LV"/>
              </w:rPr>
              <w:t>20.00.00 “Būvniecība”</w:t>
            </w:r>
          </w:p>
        </w:tc>
        <w:tc>
          <w:tcPr>
            <w:tcW w:w="856" w:type="pct"/>
            <w:tcBorders>
              <w:top w:val="outset" w:sz="6" w:space="0" w:color="414142"/>
              <w:left w:val="outset" w:sz="6" w:space="0" w:color="414142"/>
              <w:bottom w:val="outset" w:sz="6" w:space="0" w:color="414142"/>
              <w:right w:val="outset" w:sz="6" w:space="0" w:color="414142"/>
            </w:tcBorders>
            <w:hideMark/>
          </w:tcPr>
          <w:p w14:paraId="67E778C3" w14:textId="77777777" w:rsidR="00707776" w:rsidRPr="00707776" w:rsidRDefault="00707776" w:rsidP="00707776">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R</w:t>
            </w:r>
            <w:r w:rsidR="0091097E" w:rsidRPr="00707776">
              <w:rPr>
                <w:rFonts w:eastAsia="Times New Roman" w:cs="Times New Roman"/>
                <w:sz w:val="20"/>
                <w:szCs w:val="20"/>
                <w:lang w:eastAsia="lv-LV"/>
              </w:rPr>
              <w:t>ezultāts</w:t>
            </w:r>
            <w:r w:rsidRPr="00707776">
              <w:rPr>
                <w:rFonts w:eastAsia="Times New Roman" w:cs="Times New Roman"/>
                <w:sz w:val="20"/>
                <w:szCs w:val="20"/>
                <w:lang w:eastAsia="lv-LV"/>
              </w:rPr>
              <w:t xml:space="preserve"> publicēts – </w:t>
            </w:r>
          </w:p>
          <w:p w14:paraId="3610C61B" w14:textId="77777777" w:rsidR="00707776" w:rsidRPr="00707776" w:rsidRDefault="00A548C7" w:rsidP="00D75DB7">
            <w:pPr>
              <w:spacing w:after="0" w:line="240" w:lineRule="auto"/>
              <w:rPr>
                <w:rFonts w:eastAsia="Times New Roman" w:cs="Times New Roman"/>
                <w:i/>
                <w:iCs/>
                <w:sz w:val="20"/>
                <w:szCs w:val="20"/>
                <w:highlight w:val="yellow"/>
                <w:lang w:eastAsia="lv-LV"/>
              </w:rPr>
            </w:pPr>
            <w:hyperlink r:id="rId171" w:history="1">
              <w:r w:rsidR="00707776" w:rsidRPr="00707776">
                <w:rPr>
                  <w:rStyle w:val="Hyperlink"/>
                  <w:i/>
                  <w:iCs/>
                  <w:color w:val="00859B"/>
                  <w:sz w:val="20"/>
                  <w:szCs w:val="20"/>
                </w:rPr>
                <w:t>F_Gala_zinojums_EM_LV.docx</w:t>
              </w:r>
            </w:hyperlink>
          </w:p>
        </w:tc>
      </w:tr>
      <w:tr w:rsidR="001A175E" w:rsidRPr="00F5511B" w14:paraId="15D1E193" w14:textId="77777777" w:rsidTr="001A175E">
        <w:tc>
          <w:tcPr>
            <w:tcW w:w="142" w:type="pct"/>
            <w:tcBorders>
              <w:top w:val="outset" w:sz="6" w:space="0" w:color="414142"/>
              <w:left w:val="outset" w:sz="6" w:space="0" w:color="414142"/>
              <w:bottom w:val="outset" w:sz="6" w:space="0" w:color="414142"/>
              <w:right w:val="outset" w:sz="6" w:space="0" w:color="414142"/>
            </w:tcBorders>
          </w:tcPr>
          <w:p w14:paraId="7D6A6978" w14:textId="77777777" w:rsidR="00D75DB7" w:rsidRPr="003F104B" w:rsidRDefault="003F0AF5"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lastRenderedPageBreak/>
              <w:t>2</w:t>
            </w:r>
            <w:r w:rsidR="00D75DB7" w:rsidRPr="003F104B">
              <w:rPr>
                <w:rFonts w:eastAsia="Times New Roman" w:cs="Times New Roman"/>
                <w:b/>
                <w:bCs/>
                <w:sz w:val="20"/>
                <w:szCs w:val="20"/>
                <w:lang w:eastAsia="lv-LV"/>
              </w:rPr>
              <w:t>.</w:t>
            </w:r>
          </w:p>
        </w:tc>
        <w:tc>
          <w:tcPr>
            <w:tcW w:w="622" w:type="pct"/>
            <w:tcBorders>
              <w:top w:val="outset" w:sz="6" w:space="0" w:color="414142"/>
              <w:left w:val="outset" w:sz="6" w:space="0" w:color="414142"/>
              <w:bottom w:val="outset" w:sz="6" w:space="0" w:color="414142"/>
              <w:right w:val="outset" w:sz="6" w:space="0" w:color="414142"/>
            </w:tcBorders>
          </w:tcPr>
          <w:p w14:paraId="765D2B35" w14:textId="77777777" w:rsidR="00D75DB7" w:rsidRPr="003F104B" w:rsidRDefault="00A548C7" w:rsidP="00D75DB7">
            <w:pPr>
              <w:spacing w:after="0" w:line="240" w:lineRule="auto"/>
              <w:rPr>
                <w:rFonts w:eastAsia="Times New Roman" w:cs="Times New Roman"/>
                <w:i/>
                <w:iCs/>
                <w:sz w:val="20"/>
                <w:szCs w:val="20"/>
                <w:lang w:eastAsia="lv-LV"/>
              </w:rPr>
            </w:pPr>
            <w:hyperlink r:id="rId172" w:tgtFrame="_blank" w:history="1">
              <w:r w:rsidR="00D75DB7" w:rsidRPr="003F104B">
                <w:rPr>
                  <w:rStyle w:val="Hyperlink"/>
                  <w:i/>
                  <w:iCs/>
                  <w:color w:val="00859B"/>
                  <w:sz w:val="20"/>
                  <w:szCs w:val="20"/>
                </w:rPr>
                <w:t>Analīze par labāko Eiropas atbalsta, agrās brīdināšanas un otrās iespējas sistēmu pārneses iespējām Baltijas jūras reģiona valstīs</w:t>
              </w:r>
            </w:hyperlink>
          </w:p>
        </w:tc>
        <w:tc>
          <w:tcPr>
            <w:tcW w:w="1187" w:type="pct"/>
            <w:tcBorders>
              <w:top w:val="outset" w:sz="6" w:space="0" w:color="414142"/>
              <w:left w:val="outset" w:sz="6" w:space="0" w:color="414142"/>
              <w:bottom w:val="outset" w:sz="6" w:space="0" w:color="414142"/>
              <w:right w:val="outset" w:sz="6" w:space="0" w:color="414142"/>
            </w:tcBorders>
          </w:tcPr>
          <w:p w14:paraId="6F4F91F4"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 xml:space="preserve">Veikt izvērtējumu par Latvijas, Lietuvas, Igaunijas un Polijas finansiālās grūtībās nonākušo uzņēmumu atbalsta, agrās brīdināšanas un otrās iespējas ekosistēmām, kā arī identificēti finansiālās grūtībās nonākušo uzņēmumu šķēršļi finansiālo grūtību novēršanā. </w:t>
            </w:r>
          </w:p>
          <w:p w14:paraId="5A9F27AA"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 xml:space="preserve">Veikt izpēti par labāko Eiropas uzņēmumu atbalsta, agrās brīdināšanas un otrās iespējas sistēmu būtību, struktūru, formu, ieviešanas un uzturēšanas izaicinājumiem. </w:t>
            </w:r>
          </w:p>
          <w:p w14:paraId="26C17F7F"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Izstrādāt priekšlikumus par piemērotāko atbalsta, agrās brīdināšanas un otro iespēju sistēmas modeli Latvijai, Lietuvai, Igaunijai un Polijai</w:t>
            </w:r>
          </w:p>
        </w:tc>
        <w:tc>
          <w:tcPr>
            <w:tcW w:w="526" w:type="pct"/>
            <w:tcBorders>
              <w:top w:val="outset" w:sz="6" w:space="0" w:color="414142"/>
              <w:left w:val="outset" w:sz="6" w:space="0" w:color="414142"/>
              <w:bottom w:val="outset" w:sz="6" w:space="0" w:color="414142"/>
              <w:right w:val="outset" w:sz="6" w:space="0" w:color="414142"/>
            </w:tcBorders>
          </w:tcPr>
          <w:p w14:paraId="684503B3"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15. Uzņēmēj-darbības politika</w:t>
            </w:r>
          </w:p>
        </w:tc>
        <w:tc>
          <w:tcPr>
            <w:tcW w:w="1045" w:type="pct"/>
            <w:tcBorders>
              <w:top w:val="outset" w:sz="6" w:space="0" w:color="414142"/>
              <w:left w:val="outset" w:sz="6" w:space="0" w:color="414142"/>
              <w:bottom w:val="outset" w:sz="6" w:space="0" w:color="414142"/>
              <w:right w:val="outset" w:sz="6" w:space="0" w:color="414142"/>
            </w:tcBorders>
          </w:tcPr>
          <w:p w14:paraId="3AABDEB1"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Pētījuma rezultātā tiks iegūti secinājumi un priekšlikumi par piemērotāko atbalsta, agrās brīdināšanas un otro iespēju sistēmas modeli Latvijai, Lietuvai, Igaunijai un Polijai, kas tiks izmantoti Interreg projektā RestartBSR, tai skaitā rekomendāciju un vadlīniju izstrādei politikas veidotājiem</w:t>
            </w:r>
          </w:p>
        </w:tc>
        <w:tc>
          <w:tcPr>
            <w:tcW w:w="621" w:type="pct"/>
            <w:tcBorders>
              <w:top w:val="outset" w:sz="6" w:space="0" w:color="414142"/>
              <w:left w:val="outset" w:sz="6" w:space="0" w:color="414142"/>
              <w:bottom w:val="outset" w:sz="6" w:space="0" w:color="414142"/>
              <w:right w:val="outset" w:sz="6" w:space="0" w:color="414142"/>
            </w:tcBorders>
          </w:tcPr>
          <w:p w14:paraId="6E8AFF05"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 xml:space="preserve">15 700 </w:t>
            </w:r>
            <w:r w:rsidRPr="003F104B">
              <w:rPr>
                <w:rFonts w:eastAsia="Times New Roman" w:cs="Times New Roman"/>
                <w:i/>
                <w:iCs/>
                <w:sz w:val="20"/>
                <w:szCs w:val="20"/>
                <w:lang w:eastAsia="lv-LV"/>
              </w:rPr>
              <w:t>euro</w:t>
            </w:r>
          </w:p>
          <w:p w14:paraId="65665109"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bez PVN,</w:t>
            </w:r>
          </w:p>
          <w:p w14:paraId="213FA79B"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EM budžeta apakš-programma 69.06.00</w:t>
            </w:r>
          </w:p>
          <w:p w14:paraId="220D96EA"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“Mērķa “Eiropas teritoriālā sadarbība” pārrobežu sadarbības projekti”,</w:t>
            </w:r>
          </w:p>
          <w:p w14:paraId="7E634BEC"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color w:val="000000" w:themeColor="text1"/>
                <w:sz w:val="20"/>
                <w:szCs w:val="20"/>
                <w:lang w:eastAsia="lv-LV"/>
              </w:rPr>
              <w:t>INTERREG</w:t>
            </w:r>
            <w:r w:rsidRPr="003F104B">
              <w:rPr>
                <w:rFonts w:eastAsia="Times New Roman" w:cs="Times New Roman"/>
                <w:sz w:val="20"/>
                <w:szCs w:val="20"/>
                <w:lang w:eastAsia="lv-LV"/>
              </w:rPr>
              <w:t xml:space="preserve"> projekts Nr .#RO87 “RestartBSR”</w:t>
            </w:r>
          </w:p>
        </w:tc>
        <w:tc>
          <w:tcPr>
            <w:tcW w:w="856" w:type="pct"/>
            <w:tcBorders>
              <w:top w:val="outset" w:sz="6" w:space="0" w:color="414142"/>
              <w:left w:val="outset" w:sz="6" w:space="0" w:color="414142"/>
              <w:bottom w:val="outset" w:sz="6" w:space="0" w:color="414142"/>
              <w:right w:val="outset" w:sz="6" w:space="0" w:color="414142"/>
            </w:tcBorders>
          </w:tcPr>
          <w:p w14:paraId="4264906D" w14:textId="28BF2D2C" w:rsidR="003F104B" w:rsidRPr="003F104B" w:rsidRDefault="00707776" w:rsidP="003F104B">
            <w:pPr>
              <w:spacing w:after="0" w:line="240" w:lineRule="auto"/>
              <w:rPr>
                <w:rFonts w:eastAsia="Times New Roman" w:cs="Times New Roman"/>
                <w:i/>
                <w:iCs/>
                <w:sz w:val="20"/>
                <w:szCs w:val="20"/>
                <w:lang w:eastAsia="lv-LV"/>
              </w:rPr>
            </w:pPr>
            <w:r w:rsidRPr="00707776">
              <w:rPr>
                <w:rFonts w:eastAsia="Times New Roman" w:cs="Times New Roman"/>
                <w:sz w:val="20"/>
                <w:szCs w:val="20"/>
                <w:lang w:eastAsia="lv-LV"/>
              </w:rPr>
              <w:t>Rezultāts</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003F104B" w:rsidRPr="003F104B">
              <w:rPr>
                <w:rFonts w:eastAsia="Times New Roman" w:cs="Times New Roman"/>
                <w:sz w:val="20"/>
                <w:szCs w:val="20"/>
                <w:lang w:eastAsia="lv-LV"/>
              </w:rPr>
              <w:t>ublicēts</w:t>
            </w:r>
            <w:r w:rsidR="003F104B" w:rsidRPr="003F104B">
              <w:rPr>
                <w:rFonts w:eastAsia="Times New Roman" w:cs="Times New Roman"/>
                <w:i/>
                <w:iCs/>
                <w:sz w:val="20"/>
                <w:szCs w:val="20"/>
                <w:lang w:eastAsia="lv-LV"/>
              </w:rPr>
              <w:t xml:space="preserve"> – </w:t>
            </w:r>
          </w:p>
          <w:p w14:paraId="27056A75" w14:textId="77777777" w:rsidR="00D75DB7" w:rsidRPr="003F104B" w:rsidRDefault="00A548C7" w:rsidP="00D75DB7">
            <w:pPr>
              <w:spacing w:after="0" w:line="240" w:lineRule="auto"/>
              <w:rPr>
                <w:rFonts w:eastAsia="Times New Roman" w:cs="Times New Roman"/>
                <w:i/>
                <w:iCs/>
                <w:sz w:val="20"/>
                <w:szCs w:val="20"/>
                <w:highlight w:val="yellow"/>
                <w:lang w:eastAsia="lv-LV"/>
              </w:rPr>
            </w:pPr>
            <w:hyperlink r:id="rId173" w:history="1">
              <w:r w:rsidR="003F104B" w:rsidRPr="003F104B">
                <w:rPr>
                  <w:rStyle w:val="Hyperlink"/>
                  <w:i/>
                  <w:iCs/>
                  <w:color w:val="00859B"/>
                  <w:sz w:val="20"/>
                  <w:szCs w:val="20"/>
                </w:rPr>
                <w:t>F_Agrīnā</w:t>
              </w:r>
              <w:r w:rsidR="00707776">
                <w:rPr>
                  <w:rStyle w:val="Hyperlink"/>
                  <w:i/>
                  <w:iCs/>
                  <w:color w:val="00859B"/>
                  <w:sz w:val="20"/>
                  <w:szCs w:val="20"/>
                </w:rPr>
                <w:t>_</w:t>
              </w:r>
              <w:r w:rsidR="003F104B" w:rsidRPr="003F104B">
                <w:rPr>
                  <w:rStyle w:val="Hyperlink"/>
                  <w:i/>
                  <w:iCs/>
                  <w:color w:val="00859B"/>
                  <w:sz w:val="20"/>
                  <w:szCs w:val="20"/>
                </w:rPr>
                <w:t>brīdināšana_ publicēšanai.docx</w:t>
              </w:r>
            </w:hyperlink>
          </w:p>
        </w:tc>
      </w:tr>
      <w:tr w:rsidR="001A175E" w:rsidRPr="00F5511B" w14:paraId="7FF00F82" w14:textId="77777777" w:rsidTr="001A175E">
        <w:tc>
          <w:tcPr>
            <w:tcW w:w="142" w:type="pct"/>
            <w:tcBorders>
              <w:top w:val="outset" w:sz="6" w:space="0" w:color="414142"/>
              <w:left w:val="outset" w:sz="6" w:space="0" w:color="414142"/>
              <w:bottom w:val="outset" w:sz="6" w:space="0" w:color="414142"/>
              <w:right w:val="outset" w:sz="6" w:space="0" w:color="414142"/>
            </w:tcBorders>
          </w:tcPr>
          <w:p w14:paraId="2FC77A6D" w14:textId="77777777" w:rsidR="00D75DB7" w:rsidRPr="00707776" w:rsidRDefault="003F0AF5"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3</w:t>
            </w:r>
            <w:r w:rsidR="00D75DB7" w:rsidRPr="00707776">
              <w:rPr>
                <w:rFonts w:eastAsia="Times New Roman" w:cs="Times New Roman"/>
                <w:b/>
                <w:bCs/>
                <w:sz w:val="20"/>
                <w:szCs w:val="20"/>
                <w:lang w:eastAsia="lv-LV"/>
              </w:rPr>
              <w:t>.</w:t>
            </w:r>
          </w:p>
        </w:tc>
        <w:tc>
          <w:tcPr>
            <w:tcW w:w="622" w:type="pct"/>
            <w:tcBorders>
              <w:top w:val="outset" w:sz="6" w:space="0" w:color="414142"/>
              <w:left w:val="outset" w:sz="6" w:space="0" w:color="414142"/>
              <w:bottom w:val="outset" w:sz="6" w:space="0" w:color="414142"/>
              <w:right w:val="outset" w:sz="6" w:space="0" w:color="414142"/>
            </w:tcBorders>
          </w:tcPr>
          <w:p w14:paraId="12B08004" w14:textId="77777777" w:rsidR="00D75DB7" w:rsidRPr="00707776" w:rsidRDefault="00A548C7" w:rsidP="00D75DB7">
            <w:pPr>
              <w:spacing w:after="0" w:line="240" w:lineRule="auto"/>
              <w:rPr>
                <w:i/>
                <w:iCs/>
                <w:color w:val="00859B"/>
                <w:sz w:val="20"/>
                <w:szCs w:val="20"/>
                <w:u w:val="single"/>
              </w:rPr>
            </w:pPr>
            <w:hyperlink r:id="rId174" w:tgtFrame="_blank" w:history="1">
              <w:r w:rsidR="00D75DB7" w:rsidRPr="00707776">
                <w:rPr>
                  <w:rStyle w:val="Hyperlink"/>
                  <w:i/>
                  <w:iCs/>
                  <w:color w:val="00859B"/>
                  <w:sz w:val="20"/>
                  <w:szCs w:val="20"/>
                </w:rPr>
                <w:t>Rekomendāciju izstrāde inovācijas iepirkuma atbalsta instrumenta izveidei un tiesiskā regulējuma prasību piemērošanai Latvijā</w:t>
              </w:r>
            </w:hyperlink>
          </w:p>
        </w:tc>
        <w:tc>
          <w:tcPr>
            <w:tcW w:w="1187" w:type="pct"/>
            <w:tcBorders>
              <w:top w:val="outset" w:sz="6" w:space="0" w:color="414142"/>
              <w:left w:val="outset" w:sz="6" w:space="0" w:color="414142"/>
              <w:bottom w:val="outset" w:sz="6" w:space="0" w:color="414142"/>
              <w:right w:val="outset" w:sz="6" w:space="0" w:color="414142"/>
            </w:tcBorders>
          </w:tcPr>
          <w:p w14:paraId="182BD9D2"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 xml:space="preserve">Izstrādāt rekomendācijas inovācijas iepirkuma atbalsta instrumenta izveidei Latvijā un tiesiskā regulējuma prasību piemērošanai inovatīva produkta, pakalpojuma vai būvdarbu iegādei Latvijā. Paredzēts veikt ES valstu labās prakses piemēru izpēti par ieviestajiem inovācijas iepirkuma atbalsta instrumentiem un to piemērošanas iespējām atbalsta instrumenta izveidei Latvijā. </w:t>
            </w:r>
          </w:p>
        </w:tc>
        <w:tc>
          <w:tcPr>
            <w:tcW w:w="526" w:type="pct"/>
            <w:tcBorders>
              <w:top w:val="outset" w:sz="6" w:space="0" w:color="414142"/>
              <w:left w:val="outset" w:sz="6" w:space="0" w:color="414142"/>
              <w:bottom w:val="outset" w:sz="6" w:space="0" w:color="414142"/>
              <w:right w:val="outset" w:sz="6" w:space="0" w:color="414142"/>
            </w:tcBorders>
          </w:tcPr>
          <w:p w14:paraId="655001E3" w14:textId="77777777" w:rsidR="00D75DB7" w:rsidRPr="00707776" w:rsidRDefault="00D75DB7" w:rsidP="00D75DB7">
            <w:pPr>
              <w:spacing w:after="0" w:line="240" w:lineRule="auto"/>
              <w:rPr>
                <w:rFonts w:eastAsia="Times New Roman" w:cs="Times New Roman"/>
                <w:color w:val="414142"/>
                <w:sz w:val="20"/>
                <w:szCs w:val="20"/>
                <w:lang w:eastAsia="lv-LV"/>
              </w:rPr>
            </w:pPr>
            <w:r w:rsidRPr="00707776">
              <w:rPr>
                <w:rFonts w:eastAsia="Times New Roman" w:cs="Times New Roman"/>
                <w:color w:val="414142"/>
                <w:sz w:val="20"/>
                <w:szCs w:val="20"/>
                <w:lang w:eastAsia="lv-LV"/>
              </w:rPr>
              <w:t>5. Industrijas un pakalpojumu politika,</w:t>
            </w:r>
          </w:p>
          <w:p w14:paraId="49654EEF"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color w:val="414142"/>
                <w:sz w:val="20"/>
                <w:szCs w:val="20"/>
                <w:lang w:eastAsia="lv-LV"/>
              </w:rPr>
              <w:t>5.5. Inovāciju attīstības nozare</w:t>
            </w:r>
          </w:p>
        </w:tc>
        <w:tc>
          <w:tcPr>
            <w:tcW w:w="1045" w:type="pct"/>
            <w:tcBorders>
              <w:top w:val="outset" w:sz="6" w:space="0" w:color="414142"/>
              <w:left w:val="outset" w:sz="6" w:space="0" w:color="414142"/>
              <w:bottom w:val="outset" w:sz="6" w:space="0" w:color="414142"/>
              <w:right w:val="outset" w:sz="6" w:space="0" w:color="414142"/>
            </w:tcBorders>
          </w:tcPr>
          <w:p w14:paraId="4E920F20"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Pētījuma rezultātā tiks izstrādātas rekomendācijas inovācijas iepirkuma atbalsta instrumenta izveidei, kas tiks izmantotas izstrādājot inovācijas iepirkuma attīstības rīcības plānu. Rekomendācijas tiesiskā regulējuma prasību piemērošanai un priekšlikumi tiesiskā regulējuma pilnveidošanai inovatīvu produktu, pakalpojumu vai būvdarbu iegādei Latvijā, kā arī priekšlikumi vadlīniju izstrādei par šobrīd spēkā esošā Latvijas tiesiskā regulējuma piemērošanu inovācijas iepirkuma veikšanai.</w:t>
            </w:r>
          </w:p>
        </w:tc>
        <w:tc>
          <w:tcPr>
            <w:tcW w:w="621" w:type="pct"/>
            <w:tcBorders>
              <w:top w:val="outset" w:sz="6" w:space="0" w:color="414142"/>
              <w:left w:val="outset" w:sz="6" w:space="0" w:color="414142"/>
              <w:bottom w:val="outset" w:sz="6" w:space="0" w:color="414142"/>
              <w:right w:val="outset" w:sz="6" w:space="0" w:color="414142"/>
            </w:tcBorders>
          </w:tcPr>
          <w:p w14:paraId="545B1278"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 xml:space="preserve">24 000 </w:t>
            </w:r>
            <w:r w:rsidRPr="00707776">
              <w:rPr>
                <w:rFonts w:eastAsia="Times New Roman" w:cs="Times New Roman"/>
                <w:i/>
                <w:iCs/>
                <w:sz w:val="20"/>
                <w:szCs w:val="20"/>
                <w:lang w:eastAsia="lv-LV"/>
              </w:rPr>
              <w:t>euro</w:t>
            </w:r>
          </w:p>
          <w:p w14:paraId="44E06940"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bez PVN,</w:t>
            </w:r>
          </w:p>
          <w:p w14:paraId="7032860D"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EM budžeta apakš-programma 69.06.00 “Mērķa “Eiropas teritoriālā sadarbība” pārrobežu sadarbības projekti”</w:t>
            </w:r>
          </w:p>
          <w:p w14:paraId="5D4D9DB4"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color w:val="000000" w:themeColor="text1"/>
                <w:sz w:val="20"/>
                <w:szCs w:val="20"/>
                <w:lang w:eastAsia="lv-LV"/>
              </w:rPr>
              <w:t>INTERREG</w:t>
            </w:r>
            <w:r w:rsidRPr="00707776">
              <w:rPr>
                <w:rFonts w:eastAsia="Times New Roman" w:cs="Times New Roman"/>
                <w:sz w:val="20"/>
                <w:szCs w:val="20"/>
                <w:lang w:eastAsia="lv-LV"/>
              </w:rPr>
              <w:t xml:space="preserve"> projekts Nr. PGI04868 “iBuY”</w:t>
            </w:r>
          </w:p>
        </w:tc>
        <w:tc>
          <w:tcPr>
            <w:tcW w:w="856" w:type="pct"/>
            <w:tcBorders>
              <w:top w:val="outset" w:sz="6" w:space="0" w:color="414142"/>
              <w:left w:val="outset" w:sz="6" w:space="0" w:color="414142"/>
              <w:bottom w:val="outset" w:sz="6" w:space="0" w:color="414142"/>
              <w:right w:val="outset" w:sz="6" w:space="0" w:color="414142"/>
            </w:tcBorders>
          </w:tcPr>
          <w:p w14:paraId="05A7DB56" w14:textId="4934C521" w:rsidR="00707776" w:rsidRPr="003F104B" w:rsidRDefault="00707776" w:rsidP="00707776">
            <w:pPr>
              <w:spacing w:after="0" w:line="240" w:lineRule="auto"/>
              <w:rPr>
                <w:rFonts w:eastAsia="Times New Roman" w:cs="Times New Roman"/>
                <w:i/>
                <w:iCs/>
                <w:sz w:val="20"/>
                <w:szCs w:val="20"/>
                <w:lang w:eastAsia="lv-LV"/>
              </w:rPr>
            </w:pPr>
            <w:r w:rsidRPr="00707776">
              <w:rPr>
                <w:rFonts w:eastAsia="Times New Roman" w:cs="Times New Roman"/>
                <w:sz w:val="20"/>
                <w:szCs w:val="20"/>
                <w:lang w:eastAsia="lv-LV"/>
              </w:rPr>
              <w:t>Rezultāts</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Pr="003F104B">
              <w:rPr>
                <w:rFonts w:eastAsia="Times New Roman" w:cs="Times New Roman"/>
                <w:sz w:val="20"/>
                <w:szCs w:val="20"/>
                <w:lang w:eastAsia="lv-LV"/>
              </w:rPr>
              <w:t>ublicēts</w:t>
            </w:r>
            <w:r w:rsidRPr="003F104B">
              <w:rPr>
                <w:rFonts w:eastAsia="Times New Roman" w:cs="Times New Roman"/>
                <w:i/>
                <w:iCs/>
                <w:sz w:val="20"/>
                <w:szCs w:val="20"/>
                <w:lang w:eastAsia="lv-LV"/>
              </w:rPr>
              <w:t xml:space="preserve"> – </w:t>
            </w:r>
          </w:p>
          <w:p w14:paraId="139616A9" w14:textId="77777777" w:rsidR="00D75DB7" w:rsidRPr="00707776" w:rsidRDefault="00A548C7" w:rsidP="00D75DB7">
            <w:pPr>
              <w:spacing w:after="0" w:line="240" w:lineRule="auto"/>
              <w:rPr>
                <w:rFonts w:eastAsia="Times New Roman" w:cs="Times New Roman"/>
                <w:i/>
                <w:iCs/>
                <w:sz w:val="20"/>
                <w:szCs w:val="20"/>
                <w:highlight w:val="yellow"/>
                <w:lang w:eastAsia="lv-LV"/>
              </w:rPr>
            </w:pPr>
            <w:hyperlink r:id="rId175" w:history="1">
              <w:r w:rsidR="00707776" w:rsidRPr="00707776">
                <w:rPr>
                  <w:rStyle w:val="Hyperlink"/>
                  <w:i/>
                  <w:iCs/>
                  <w:color w:val="00859B"/>
                  <w:sz w:val="20"/>
                  <w:szCs w:val="20"/>
                </w:rPr>
                <w:t>Zinojums_Inovacijas iepirkumi.docx</w:t>
              </w:r>
            </w:hyperlink>
          </w:p>
        </w:tc>
      </w:tr>
      <w:tr w:rsidR="001A175E" w:rsidRPr="00F5511B" w14:paraId="58C1A778" w14:textId="77777777" w:rsidTr="001A175E">
        <w:tc>
          <w:tcPr>
            <w:tcW w:w="142" w:type="pct"/>
            <w:tcBorders>
              <w:top w:val="outset" w:sz="6" w:space="0" w:color="414142"/>
              <w:left w:val="outset" w:sz="6" w:space="0" w:color="414142"/>
              <w:bottom w:val="outset" w:sz="6" w:space="0" w:color="414142"/>
              <w:right w:val="outset" w:sz="6" w:space="0" w:color="414142"/>
            </w:tcBorders>
          </w:tcPr>
          <w:p w14:paraId="378FDE52" w14:textId="77777777" w:rsidR="00D75DB7" w:rsidRPr="003F104B" w:rsidRDefault="003F0AF5" w:rsidP="00D75DB7">
            <w:pPr>
              <w:spacing w:after="0" w:line="240" w:lineRule="auto"/>
              <w:rPr>
                <w:rFonts w:eastAsia="Times New Roman" w:cs="Times New Roman"/>
                <w:sz w:val="20"/>
                <w:szCs w:val="20"/>
                <w:lang w:eastAsia="lv-LV"/>
              </w:rPr>
            </w:pPr>
            <w:r>
              <w:rPr>
                <w:rFonts w:eastAsia="Times New Roman" w:cs="Times New Roman"/>
                <w:b/>
                <w:bCs/>
                <w:sz w:val="20"/>
                <w:szCs w:val="20"/>
                <w:lang w:eastAsia="lv-LV"/>
              </w:rPr>
              <w:t>4</w:t>
            </w:r>
            <w:r w:rsidR="00D75DB7" w:rsidRPr="003F104B">
              <w:rPr>
                <w:rFonts w:eastAsia="Times New Roman" w:cs="Times New Roman"/>
                <w:sz w:val="20"/>
                <w:szCs w:val="20"/>
                <w:lang w:eastAsia="lv-LV"/>
              </w:rPr>
              <w:t>.</w:t>
            </w:r>
          </w:p>
        </w:tc>
        <w:tc>
          <w:tcPr>
            <w:tcW w:w="622" w:type="pct"/>
            <w:tcBorders>
              <w:top w:val="outset" w:sz="6" w:space="0" w:color="414142"/>
              <w:left w:val="outset" w:sz="6" w:space="0" w:color="414142"/>
              <w:bottom w:val="outset" w:sz="6" w:space="0" w:color="414142"/>
              <w:right w:val="outset" w:sz="6" w:space="0" w:color="414142"/>
            </w:tcBorders>
          </w:tcPr>
          <w:p w14:paraId="2550BF71" w14:textId="77777777" w:rsidR="00D75DB7" w:rsidRPr="003F104B" w:rsidRDefault="00A548C7" w:rsidP="00D75DB7">
            <w:pPr>
              <w:spacing w:after="0" w:line="240" w:lineRule="auto"/>
              <w:rPr>
                <w:rFonts w:eastAsia="Times New Roman" w:cs="Times New Roman"/>
                <w:i/>
                <w:iCs/>
                <w:sz w:val="20"/>
                <w:szCs w:val="20"/>
                <w:lang w:eastAsia="lv-LV"/>
              </w:rPr>
            </w:pPr>
            <w:hyperlink r:id="rId176" w:tgtFrame="_blank" w:history="1">
              <w:r w:rsidR="00D75DB7" w:rsidRPr="003F104B">
                <w:rPr>
                  <w:rStyle w:val="Hyperlink"/>
                  <w:i/>
                  <w:iCs/>
                  <w:color w:val="00859B"/>
                  <w:sz w:val="20"/>
                  <w:szCs w:val="20"/>
                </w:rPr>
                <w:t>Enerģētikas attīstības pamatnostādņu 2015.-2020.gadam īstenošanas ietekmes uz vidi monitoringa ziņojums</w:t>
              </w:r>
            </w:hyperlink>
          </w:p>
        </w:tc>
        <w:tc>
          <w:tcPr>
            <w:tcW w:w="1187" w:type="pct"/>
            <w:tcBorders>
              <w:top w:val="outset" w:sz="6" w:space="0" w:color="414142"/>
              <w:left w:val="outset" w:sz="6" w:space="0" w:color="414142"/>
              <w:bottom w:val="outset" w:sz="6" w:space="0" w:color="414142"/>
              <w:right w:val="outset" w:sz="6" w:space="0" w:color="414142"/>
            </w:tcBorders>
          </w:tcPr>
          <w:p w14:paraId="25CD08C0"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Veikt Enerģētikas attīstības pamatnostādņu 2015.-2020.gadam īstenošanas ietekmes uz vidi monitoringu saskaņā ar Vides pārraudzības valsts biroja atzinumu par Enerģētikas politikas pamatnostādņu 2015.-2020.gadam stratēģisko ietekmes uz vidi novērtējumu</w:t>
            </w:r>
          </w:p>
        </w:tc>
        <w:tc>
          <w:tcPr>
            <w:tcW w:w="526" w:type="pct"/>
            <w:tcBorders>
              <w:top w:val="outset" w:sz="6" w:space="0" w:color="414142"/>
              <w:left w:val="outset" w:sz="6" w:space="0" w:color="414142"/>
              <w:bottom w:val="outset" w:sz="6" w:space="0" w:color="414142"/>
              <w:right w:val="outset" w:sz="6" w:space="0" w:color="414142"/>
            </w:tcBorders>
          </w:tcPr>
          <w:p w14:paraId="45D57827" w14:textId="77777777" w:rsidR="00D75DB7" w:rsidRPr="003F104B" w:rsidRDefault="00D75DB7" w:rsidP="00D75DB7">
            <w:pPr>
              <w:spacing w:after="0" w:line="240" w:lineRule="auto"/>
              <w:rPr>
                <w:sz w:val="20"/>
                <w:szCs w:val="20"/>
              </w:rPr>
            </w:pPr>
            <w:r w:rsidRPr="003F104B">
              <w:rPr>
                <w:sz w:val="20"/>
                <w:szCs w:val="20"/>
              </w:rPr>
              <w:t xml:space="preserve">5. Industrijas un pakalpojumu politika, </w:t>
            </w:r>
          </w:p>
          <w:p w14:paraId="296F582C"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5.3. Enerģētikas nozare</w:t>
            </w:r>
          </w:p>
        </w:tc>
        <w:tc>
          <w:tcPr>
            <w:tcW w:w="1045" w:type="pct"/>
            <w:tcBorders>
              <w:top w:val="outset" w:sz="6" w:space="0" w:color="414142"/>
              <w:left w:val="outset" w:sz="6" w:space="0" w:color="414142"/>
              <w:bottom w:val="outset" w:sz="6" w:space="0" w:color="414142"/>
              <w:right w:val="outset" w:sz="6" w:space="0" w:color="414142"/>
            </w:tcBorders>
          </w:tcPr>
          <w:p w14:paraId="2F9647F5" w14:textId="77777777" w:rsidR="00D75DB7" w:rsidRPr="003F104B" w:rsidRDefault="00D75DB7" w:rsidP="00D75DB7">
            <w:pPr>
              <w:spacing w:after="0" w:line="240" w:lineRule="auto"/>
              <w:rPr>
                <w:rFonts w:eastAsia="Times New Roman" w:cs="Times New Roman"/>
                <w:color w:val="414142"/>
                <w:sz w:val="20"/>
                <w:szCs w:val="20"/>
                <w:lang w:eastAsia="lv-LV"/>
              </w:rPr>
            </w:pPr>
            <w:r w:rsidRPr="003F104B">
              <w:rPr>
                <w:rFonts w:eastAsia="Times New Roman" w:cs="Times New Roman"/>
                <w:sz w:val="20"/>
                <w:szCs w:val="20"/>
                <w:lang w:eastAsia="lv-LV"/>
              </w:rPr>
              <w:t>Pētījuma rezultātus paredzēts iesniegt Vides pārraudzības valsts birojam</w:t>
            </w:r>
          </w:p>
        </w:tc>
        <w:tc>
          <w:tcPr>
            <w:tcW w:w="621" w:type="pct"/>
            <w:tcBorders>
              <w:top w:val="outset" w:sz="6" w:space="0" w:color="414142"/>
              <w:left w:val="outset" w:sz="6" w:space="0" w:color="414142"/>
              <w:bottom w:val="outset" w:sz="6" w:space="0" w:color="414142"/>
              <w:right w:val="outset" w:sz="6" w:space="0" w:color="414142"/>
            </w:tcBorders>
          </w:tcPr>
          <w:p w14:paraId="33534FC8" w14:textId="77777777" w:rsidR="00D75DB7" w:rsidRPr="003F104B" w:rsidRDefault="00D75DB7" w:rsidP="00D75DB7">
            <w:pPr>
              <w:spacing w:after="0" w:line="240" w:lineRule="auto"/>
              <w:jc w:val="center"/>
              <w:rPr>
                <w:rFonts w:eastAsia="Times New Roman" w:cs="Times New Roman"/>
                <w:i/>
                <w:iCs/>
                <w:sz w:val="20"/>
                <w:szCs w:val="20"/>
                <w:lang w:eastAsia="lv-LV"/>
              </w:rPr>
            </w:pPr>
            <w:r w:rsidRPr="003F104B">
              <w:rPr>
                <w:rFonts w:eastAsia="Times New Roman" w:cs="Times New Roman"/>
                <w:sz w:val="20"/>
                <w:szCs w:val="20"/>
                <w:lang w:eastAsia="lv-LV"/>
              </w:rPr>
              <w:t xml:space="preserve">4 000 </w:t>
            </w:r>
            <w:r w:rsidRPr="003F104B">
              <w:rPr>
                <w:rFonts w:eastAsia="Times New Roman" w:cs="Times New Roman"/>
                <w:i/>
                <w:iCs/>
                <w:sz w:val="20"/>
                <w:szCs w:val="20"/>
                <w:lang w:eastAsia="lv-LV"/>
              </w:rPr>
              <w:t>euro</w:t>
            </w:r>
          </w:p>
          <w:p w14:paraId="1E2873F7" w14:textId="77777777" w:rsidR="00D75DB7" w:rsidRPr="003F104B" w:rsidRDefault="00D75DB7" w:rsidP="00D75DB7">
            <w:pPr>
              <w:spacing w:after="0" w:line="240" w:lineRule="auto"/>
              <w:jc w:val="center"/>
              <w:rPr>
                <w:rFonts w:eastAsia="Times New Roman" w:cs="Times New Roman"/>
                <w:i/>
                <w:iCs/>
                <w:sz w:val="20"/>
                <w:szCs w:val="20"/>
                <w:lang w:eastAsia="lv-LV"/>
              </w:rPr>
            </w:pPr>
            <w:r w:rsidRPr="003F104B">
              <w:rPr>
                <w:rFonts w:eastAsia="Times New Roman" w:cs="Times New Roman"/>
                <w:sz w:val="20"/>
                <w:szCs w:val="20"/>
                <w:lang w:eastAsia="lv-LV"/>
              </w:rPr>
              <w:t>bez PVN,</w:t>
            </w:r>
          </w:p>
          <w:p w14:paraId="10F58913"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 xml:space="preserve">EM budžeta programma </w:t>
            </w:r>
          </w:p>
          <w:p w14:paraId="3698562D"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97.00.00 “Nozaru vadība un politikas plānošana”</w:t>
            </w:r>
          </w:p>
        </w:tc>
        <w:tc>
          <w:tcPr>
            <w:tcW w:w="856" w:type="pct"/>
            <w:tcBorders>
              <w:top w:val="outset" w:sz="6" w:space="0" w:color="414142"/>
              <w:left w:val="outset" w:sz="6" w:space="0" w:color="414142"/>
              <w:bottom w:val="outset" w:sz="6" w:space="0" w:color="414142"/>
              <w:right w:val="outset" w:sz="6" w:space="0" w:color="414142"/>
            </w:tcBorders>
          </w:tcPr>
          <w:p w14:paraId="0D2EBFA3" w14:textId="087B5C28" w:rsidR="00D75DB7" w:rsidRPr="003F104B" w:rsidRDefault="00707776" w:rsidP="00D75DB7">
            <w:pPr>
              <w:spacing w:after="0" w:line="240" w:lineRule="auto"/>
              <w:rPr>
                <w:rFonts w:eastAsia="Times New Roman" w:cs="Times New Roman"/>
                <w:i/>
                <w:iCs/>
                <w:sz w:val="20"/>
                <w:szCs w:val="20"/>
                <w:lang w:eastAsia="lv-LV"/>
              </w:rPr>
            </w:pPr>
            <w:r w:rsidRPr="00707776">
              <w:rPr>
                <w:rFonts w:eastAsia="Times New Roman" w:cs="Times New Roman"/>
                <w:sz w:val="20"/>
                <w:szCs w:val="20"/>
                <w:lang w:eastAsia="lv-LV"/>
              </w:rPr>
              <w:t>Rezultāts</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003F104B" w:rsidRPr="003F104B">
              <w:rPr>
                <w:rFonts w:eastAsia="Times New Roman" w:cs="Times New Roman"/>
                <w:sz w:val="20"/>
                <w:szCs w:val="20"/>
                <w:lang w:eastAsia="lv-LV"/>
              </w:rPr>
              <w:t>ublicēts</w:t>
            </w:r>
            <w:r w:rsidR="00D75DB7" w:rsidRPr="003F104B">
              <w:rPr>
                <w:rFonts w:eastAsia="Times New Roman" w:cs="Times New Roman"/>
                <w:i/>
                <w:iCs/>
                <w:sz w:val="20"/>
                <w:szCs w:val="20"/>
                <w:lang w:eastAsia="lv-LV"/>
              </w:rPr>
              <w:t xml:space="preserve"> – </w:t>
            </w:r>
          </w:p>
          <w:p w14:paraId="557A8809" w14:textId="77777777" w:rsidR="00D75DB7" w:rsidRPr="003F104B" w:rsidRDefault="00A548C7" w:rsidP="00D75DB7">
            <w:pPr>
              <w:spacing w:after="0" w:line="240" w:lineRule="auto"/>
              <w:rPr>
                <w:rFonts w:eastAsia="Times New Roman" w:cs="Times New Roman"/>
                <w:i/>
                <w:iCs/>
                <w:sz w:val="20"/>
                <w:szCs w:val="20"/>
                <w:lang w:eastAsia="lv-LV"/>
              </w:rPr>
            </w:pPr>
            <w:hyperlink r:id="rId177" w:history="1">
              <w:r w:rsidR="003F104B" w:rsidRPr="003F104B">
                <w:rPr>
                  <w:rStyle w:val="Hyperlink"/>
                  <w:i/>
                  <w:iCs/>
                  <w:color w:val="00859B"/>
                  <w:sz w:val="20"/>
                  <w:szCs w:val="20"/>
                </w:rPr>
                <w:t>Energetik_att_pamatnost_monitor_zin_PETIJUMS.doc</w:t>
              </w:r>
            </w:hyperlink>
          </w:p>
        </w:tc>
      </w:tr>
      <w:tr w:rsidR="001A175E" w:rsidRPr="00F5511B" w14:paraId="19011D92" w14:textId="77777777" w:rsidTr="001A175E">
        <w:tc>
          <w:tcPr>
            <w:tcW w:w="142" w:type="pct"/>
            <w:tcBorders>
              <w:top w:val="outset" w:sz="6" w:space="0" w:color="414142"/>
              <w:left w:val="outset" w:sz="6" w:space="0" w:color="414142"/>
              <w:bottom w:val="outset" w:sz="6" w:space="0" w:color="414142"/>
              <w:right w:val="outset" w:sz="6" w:space="0" w:color="414142"/>
            </w:tcBorders>
          </w:tcPr>
          <w:p w14:paraId="18429D82" w14:textId="77777777" w:rsidR="00D75DB7" w:rsidRPr="003F104B" w:rsidRDefault="003F0AF5"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lastRenderedPageBreak/>
              <w:t>5</w:t>
            </w:r>
            <w:r w:rsidR="00D75DB7" w:rsidRPr="003F104B">
              <w:rPr>
                <w:rFonts w:eastAsia="Times New Roman" w:cs="Times New Roman"/>
                <w:b/>
                <w:bCs/>
                <w:sz w:val="20"/>
                <w:szCs w:val="20"/>
                <w:lang w:eastAsia="lv-LV"/>
              </w:rPr>
              <w:t>.</w:t>
            </w:r>
          </w:p>
        </w:tc>
        <w:tc>
          <w:tcPr>
            <w:tcW w:w="622" w:type="pct"/>
            <w:tcBorders>
              <w:top w:val="outset" w:sz="6" w:space="0" w:color="414142"/>
              <w:left w:val="outset" w:sz="6" w:space="0" w:color="414142"/>
              <w:bottom w:val="outset" w:sz="6" w:space="0" w:color="414142"/>
              <w:right w:val="outset" w:sz="6" w:space="0" w:color="414142"/>
            </w:tcBorders>
          </w:tcPr>
          <w:p w14:paraId="4EA141D1" w14:textId="77777777" w:rsidR="00D75DB7" w:rsidRPr="003F104B" w:rsidRDefault="00A548C7" w:rsidP="00D75DB7">
            <w:pPr>
              <w:spacing w:after="0" w:line="240" w:lineRule="auto"/>
              <w:rPr>
                <w:rFonts w:eastAsia="Times New Roman" w:cs="Times New Roman"/>
                <w:i/>
                <w:iCs/>
                <w:sz w:val="20"/>
                <w:szCs w:val="20"/>
                <w:lang w:eastAsia="lv-LV"/>
              </w:rPr>
            </w:pPr>
            <w:hyperlink r:id="rId178" w:tgtFrame="_blank" w:history="1">
              <w:r w:rsidR="00D75DB7" w:rsidRPr="003F104B">
                <w:rPr>
                  <w:rStyle w:val="Hyperlink"/>
                  <w:i/>
                  <w:iCs/>
                  <w:color w:val="00859B"/>
                  <w:sz w:val="20"/>
                  <w:szCs w:val="20"/>
                </w:rPr>
                <w:t>Energoefektivitātes pienākuma shēmas paplašināšanas ietekmes novērtējums</w:t>
              </w:r>
            </w:hyperlink>
          </w:p>
        </w:tc>
        <w:tc>
          <w:tcPr>
            <w:tcW w:w="1187" w:type="pct"/>
            <w:tcBorders>
              <w:top w:val="outset" w:sz="6" w:space="0" w:color="414142"/>
              <w:left w:val="outset" w:sz="6" w:space="0" w:color="414142"/>
              <w:bottom w:val="outset" w:sz="6" w:space="0" w:color="414142"/>
              <w:right w:val="outset" w:sz="6" w:space="0" w:color="414142"/>
            </w:tcBorders>
          </w:tcPr>
          <w:p w14:paraId="1B66D49B"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Atbilstoši NEKP Energoefektivitātes pienākuma shēma (EPS) ir paplašināma, lai izpildītu valsts obligātās saistības energoefektivitātes jomā līdz 2030.gadam. Pētījuma mērķis ir izvērtēt EPS darbības rezultātus un analizēt EPS paplašināšanas iespējas. Ņemot vērā nepieciešamību nodrošināt 2030.gada enerģijas ietaupījumu mērķa sasniegšanu, galvenais mērķis ir aplūkot EPS līdzšinējo pieredzi, izvērtēt EPS paplašināšanas iespējas, kā arī tās rezultātā radīto ietekmi, lai nākošajiem saistību periodiem noteiktu potenciāli iekļaujamās nozares un atbildīgo pušu izvēles kritērijus.</w:t>
            </w:r>
          </w:p>
        </w:tc>
        <w:tc>
          <w:tcPr>
            <w:tcW w:w="526" w:type="pct"/>
            <w:tcBorders>
              <w:top w:val="outset" w:sz="6" w:space="0" w:color="414142"/>
              <w:left w:val="outset" w:sz="6" w:space="0" w:color="414142"/>
              <w:bottom w:val="outset" w:sz="6" w:space="0" w:color="414142"/>
              <w:right w:val="outset" w:sz="6" w:space="0" w:color="414142"/>
            </w:tcBorders>
          </w:tcPr>
          <w:p w14:paraId="52F70471" w14:textId="77777777" w:rsidR="00D75DB7" w:rsidRPr="003F104B" w:rsidRDefault="00D75DB7" w:rsidP="00D75DB7">
            <w:pPr>
              <w:spacing w:after="0" w:line="240" w:lineRule="auto"/>
              <w:rPr>
                <w:sz w:val="20"/>
                <w:szCs w:val="20"/>
              </w:rPr>
            </w:pPr>
            <w:r w:rsidRPr="003F104B">
              <w:rPr>
                <w:sz w:val="20"/>
                <w:szCs w:val="20"/>
              </w:rPr>
              <w:t xml:space="preserve">5. Industrijas un pakalpojumu politika, </w:t>
            </w:r>
          </w:p>
          <w:p w14:paraId="69723D7D" w14:textId="77777777" w:rsidR="00D75DB7" w:rsidRPr="003F104B" w:rsidRDefault="00D75DB7" w:rsidP="00D75DB7">
            <w:pPr>
              <w:spacing w:after="0" w:line="240" w:lineRule="auto"/>
              <w:rPr>
                <w:sz w:val="20"/>
                <w:szCs w:val="20"/>
              </w:rPr>
            </w:pPr>
            <w:r w:rsidRPr="003F104B">
              <w:rPr>
                <w:rFonts w:eastAsia="Times New Roman" w:cs="Times New Roman"/>
                <w:sz w:val="20"/>
                <w:szCs w:val="20"/>
                <w:lang w:eastAsia="lv-LV"/>
              </w:rPr>
              <w:t>5.3. Enerģētikas nozare</w:t>
            </w:r>
          </w:p>
        </w:tc>
        <w:tc>
          <w:tcPr>
            <w:tcW w:w="1045" w:type="pct"/>
            <w:tcBorders>
              <w:top w:val="outset" w:sz="6" w:space="0" w:color="414142"/>
              <w:left w:val="outset" w:sz="6" w:space="0" w:color="414142"/>
              <w:bottom w:val="outset" w:sz="6" w:space="0" w:color="414142"/>
              <w:right w:val="outset" w:sz="6" w:space="0" w:color="414142"/>
            </w:tcBorders>
          </w:tcPr>
          <w:p w14:paraId="5EADC777" w14:textId="77777777" w:rsidR="00D75DB7" w:rsidRPr="003F104B" w:rsidRDefault="00D75DB7" w:rsidP="00D75DB7">
            <w:pPr>
              <w:spacing w:after="0" w:line="240" w:lineRule="auto"/>
              <w:rPr>
                <w:rFonts w:eastAsia="Times New Roman" w:cs="Times New Roman"/>
                <w:sz w:val="20"/>
                <w:szCs w:val="20"/>
                <w:lang w:eastAsia="lv-LV"/>
              </w:rPr>
            </w:pPr>
            <w:r w:rsidRPr="003F104B">
              <w:rPr>
                <w:rFonts w:eastAsia="Times New Roman" w:cs="Times New Roman"/>
                <w:sz w:val="20"/>
                <w:szCs w:val="20"/>
                <w:lang w:eastAsia="lv-LV"/>
              </w:rPr>
              <w:t>Tiks nodrošināta MK 25.04.2017. noteikumu Nr.226 “Energoefektivitātes pienākuma shēmas noteikumi” prasību izpilde - noteikti EPS darbības nosacījumi saistību periodiem 01.01.2021.-31.12.2025. un 01.01.2026.-31.12.2030. vismaz sešus mēnešus pirms katra perioda beigām.</w:t>
            </w:r>
          </w:p>
        </w:tc>
        <w:tc>
          <w:tcPr>
            <w:tcW w:w="621" w:type="pct"/>
            <w:tcBorders>
              <w:top w:val="outset" w:sz="6" w:space="0" w:color="414142"/>
              <w:left w:val="outset" w:sz="6" w:space="0" w:color="414142"/>
              <w:bottom w:val="outset" w:sz="6" w:space="0" w:color="414142"/>
              <w:right w:val="outset" w:sz="6" w:space="0" w:color="414142"/>
            </w:tcBorders>
          </w:tcPr>
          <w:p w14:paraId="4BC9FF04" w14:textId="77777777" w:rsidR="00D75DB7" w:rsidRPr="003F104B" w:rsidRDefault="00D75DB7" w:rsidP="00D75DB7">
            <w:pPr>
              <w:spacing w:after="0" w:line="240" w:lineRule="auto"/>
              <w:jc w:val="center"/>
              <w:rPr>
                <w:rFonts w:eastAsia="Times New Roman" w:cs="Times New Roman"/>
                <w:i/>
                <w:iCs/>
                <w:sz w:val="20"/>
                <w:szCs w:val="20"/>
                <w:lang w:eastAsia="lv-LV"/>
              </w:rPr>
            </w:pPr>
            <w:r w:rsidRPr="003F104B">
              <w:rPr>
                <w:rFonts w:eastAsia="Times New Roman" w:cs="Times New Roman"/>
                <w:sz w:val="20"/>
                <w:szCs w:val="20"/>
                <w:lang w:eastAsia="lv-LV"/>
              </w:rPr>
              <w:t xml:space="preserve">9 500 </w:t>
            </w:r>
            <w:r w:rsidRPr="003F104B">
              <w:rPr>
                <w:rFonts w:eastAsia="Times New Roman" w:cs="Times New Roman"/>
                <w:i/>
                <w:iCs/>
                <w:sz w:val="20"/>
                <w:szCs w:val="20"/>
                <w:lang w:eastAsia="lv-LV"/>
              </w:rPr>
              <w:t>euro</w:t>
            </w:r>
          </w:p>
          <w:p w14:paraId="1F490DAD"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bez PVN,</w:t>
            </w:r>
          </w:p>
          <w:p w14:paraId="509E7BCA"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 xml:space="preserve">EM budžeta programma </w:t>
            </w:r>
          </w:p>
          <w:p w14:paraId="6AFFDB55" w14:textId="77777777" w:rsidR="003F104B"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 xml:space="preserve">97.00.00 </w:t>
            </w:r>
          </w:p>
          <w:p w14:paraId="748E3BBE" w14:textId="77777777" w:rsidR="00D75DB7" w:rsidRPr="003F104B" w:rsidRDefault="00D75DB7" w:rsidP="00D75DB7">
            <w:pPr>
              <w:spacing w:after="0" w:line="240" w:lineRule="auto"/>
              <w:jc w:val="center"/>
              <w:rPr>
                <w:rFonts w:eastAsia="Times New Roman" w:cs="Times New Roman"/>
                <w:sz w:val="20"/>
                <w:szCs w:val="20"/>
                <w:lang w:eastAsia="lv-LV"/>
              </w:rPr>
            </w:pPr>
            <w:r w:rsidRPr="003F104B">
              <w:rPr>
                <w:rFonts w:eastAsia="Times New Roman" w:cs="Times New Roman"/>
                <w:sz w:val="20"/>
                <w:szCs w:val="20"/>
                <w:lang w:eastAsia="lv-LV"/>
              </w:rPr>
              <w:t>“Nozaru vadība un politikas plānošana”</w:t>
            </w:r>
          </w:p>
        </w:tc>
        <w:tc>
          <w:tcPr>
            <w:tcW w:w="856" w:type="pct"/>
            <w:tcBorders>
              <w:top w:val="outset" w:sz="6" w:space="0" w:color="414142"/>
              <w:left w:val="outset" w:sz="6" w:space="0" w:color="414142"/>
              <w:bottom w:val="outset" w:sz="6" w:space="0" w:color="414142"/>
              <w:right w:val="outset" w:sz="6" w:space="0" w:color="414142"/>
            </w:tcBorders>
          </w:tcPr>
          <w:p w14:paraId="0F96EF92" w14:textId="7F8B23D9" w:rsidR="003F104B" w:rsidRPr="003F104B" w:rsidRDefault="00707776" w:rsidP="003F104B">
            <w:pPr>
              <w:spacing w:after="0" w:line="240" w:lineRule="auto"/>
              <w:rPr>
                <w:rFonts w:eastAsia="Times New Roman" w:cs="Times New Roman"/>
                <w:i/>
                <w:iCs/>
                <w:sz w:val="20"/>
                <w:szCs w:val="20"/>
                <w:lang w:eastAsia="lv-LV"/>
              </w:rPr>
            </w:pPr>
            <w:r w:rsidRPr="00707776">
              <w:rPr>
                <w:rFonts w:eastAsia="Times New Roman" w:cs="Times New Roman"/>
                <w:sz w:val="20"/>
                <w:szCs w:val="20"/>
                <w:lang w:eastAsia="lv-LV"/>
              </w:rPr>
              <w:t>Rezultāts</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003F104B" w:rsidRPr="003F104B">
              <w:rPr>
                <w:rFonts w:eastAsia="Times New Roman" w:cs="Times New Roman"/>
                <w:sz w:val="20"/>
                <w:szCs w:val="20"/>
                <w:lang w:eastAsia="lv-LV"/>
              </w:rPr>
              <w:t>ublicēts</w:t>
            </w:r>
            <w:r w:rsidR="003F104B" w:rsidRPr="003F104B">
              <w:rPr>
                <w:rFonts w:eastAsia="Times New Roman" w:cs="Times New Roman"/>
                <w:i/>
                <w:iCs/>
                <w:sz w:val="20"/>
                <w:szCs w:val="20"/>
                <w:lang w:eastAsia="lv-LV"/>
              </w:rPr>
              <w:t xml:space="preserve"> – </w:t>
            </w:r>
          </w:p>
          <w:p w14:paraId="2C717E25" w14:textId="77777777" w:rsidR="00D75DB7" w:rsidRPr="003F104B" w:rsidRDefault="00A548C7" w:rsidP="00D75DB7">
            <w:pPr>
              <w:spacing w:after="0" w:line="240" w:lineRule="auto"/>
              <w:rPr>
                <w:rFonts w:eastAsia="Times New Roman" w:cs="Times New Roman"/>
                <w:i/>
                <w:iCs/>
                <w:sz w:val="20"/>
                <w:szCs w:val="20"/>
                <w:highlight w:val="yellow"/>
                <w:lang w:eastAsia="lv-LV"/>
              </w:rPr>
            </w:pPr>
            <w:hyperlink r:id="rId179" w:history="1">
              <w:r w:rsidR="003F104B" w:rsidRPr="003F104B">
                <w:rPr>
                  <w:rStyle w:val="Hyperlink"/>
                  <w:i/>
                  <w:iCs/>
                  <w:color w:val="00859B"/>
                  <w:sz w:val="20"/>
                  <w:szCs w:val="20"/>
                </w:rPr>
                <w:t>Energoefekti_pienak_sh_nov_PETIJUMS.docx</w:t>
              </w:r>
            </w:hyperlink>
          </w:p>
        </w:tc>
      </w:tr>
      <w:tr w:rsidR="001A175E" w:rsidRPr="00F5511B" w14:paraId="0F61933C" w14:textId="77777777" w:rsidTr="001A175E">
        <w:tc>
          <w:tcPr>
            <w:tcW w:w="142" w:type="pct"/>
            <w:tcBorders>
              <w:top w:val="outset" w:sz="6" w:space="0" w:color="414142"/>
              <w:left w:val="outset" w:sz="6" w:space="0" w:color="414142"/>
              <w:bottom w:val="outset" w:sz="6" w:space="0" w:color="414142"/>
              <w:right w:val="outset" w:sz="6" w:space="0" w:color="414142"/>
            </w:tcBorders>
          </w:tcPr>
          <w:p w14:paraId="5AD8327E" w14:textId="77777777" w:rsidR="00D75DB7" w:rsidRPr="00707776" w:rsidRDefault="003F0AF5" w:rsidP="00D75DB7">
            <w:pPr>
              <w:spacing w:after="0" w:line="240" w:lineRule="auto"/>
              <w:rPr>
                <w:rFonts w:eastAsia="Times New Roman" w:cs="Times New Roman"/>
                <w:b/>
                <w:bCs/>
                <w:sz w:val="20"/>
                <w:szCs w:val="20"/>
                <w:lang w:eastAsia="lv-LV"/>
              </w:rPr>
            </w:pPr>
            <w:r>
              <w:rPr>
                <w:rFonts w:eastAsia="Times New Roman" w:cs="Times New Roman"/>
                <w:b/>
                <w:bCs/>
                <w:sz w:val="20"/>
                <w:szCs w:val="20"/>
                <w:lang w:eastAsia="lv-LV"/>
              </w:rPr>
              <w:t>6</w:t>
            </w:r>
            <w:r w:rsidR="00707776" w:rsidRPr="00707776">
              <w:rPr>
                <w:rFonts w:eastAsia="Times New Roman" w:cs="Times New Roman"/>
                <w:b/>
                <w:bCs/>
                <w:sz w:val="20"/>
                <w:szCs w:val="20"/>
                <w:lang w:eastAsia="lv-LV"/>
              </w:rPr>
              <w:t>.</w:t>
            </w:r>
          </w:p>
        </w:tc>
        <w:tc>
          <w:tcPr>
            <w:tcW w:w="622" w:type="pct"/>
            <w:tcBorders>
              <w:top w:val="outset" w:sz="6" w:space="0" w:color="414142"/>
              <w:left w:val="outset" w:sz="6" w:space="0" w:color="414142"/>
              <w:bottom w:val="outset" w:sz="6" w:space="0" w:color="414142"/>
              <w:right w:val="outset" w:sz="6" w:space="0" w:color="414142"/>
            </w:tcBorders>
          </w:tcPr>
          <w:p w14:paraId="3315FE6A" w14:textId="77777777" w:rsidR="00D75DB7" w:rsidRPr="00707776" w:rsidRDefault="00A548C7" w:rsidP="00D75DB7">
            <w:pPr>
              <w:spacing w:after="0" w:line="240" w:lineRule="auto"/>
              <w:rPr>
                <w:rFonts w:eastAsia="Times New Roman" w:cs="Times New Roman"/>
                <w:i/>
                <w:iCs/>
                <w:sz w:val="20"/>
                <w:szCs w:val="20"/>
                <w:lang w:eastAsia="lv-LV"/>
              </w:rPr>
            </w:pPr>
            <w:hyperlink r:id="rId180" w:tgtFrame="_blank" w:history="1">
              <w:r w:rsidR="00D75DB7" w:rsidRPr="00707776">
                <w:rPr>
                  <w:rStyle w:val="Hyperlink"/>
                  <w:i/>
                  <w:iCs/>
                  <w:color w:val="00859B"/>
                  <w:sz w:val="20"/>
                  <w:szCs w:val="20"/>
                </w:rPr>
                <w:t>Mājokļu politikas stratēģija Centrāleiropai un Austrumeiropai</w:t>
              </w:r>
            </w:hyperlink>
          </w:p>
          <w:p w14:paraId="6DCDFEE6"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w:t>
            </w:r>
            <w:r w:rsidRPr="00707776">
              <w:rPr>
                <w:rFonts w:eastAsia="Times New Roman" w:cs="Times New Roman"/>
                <w:i/>
                <w:sz w:val="20"/>
                <w:szCs w:val="20"/>
                <w:lang w:eastAsia="lv-LV"/>
              </w:rPr>
              <w:t>dalība Ekonomiskās sadarbības un attīstības organizācijas (OECD) un Austrumeiropas Mājokļu iniciatīvas (IWO) sadarbības projektā</w:t>
            </w:r>
            <w:r w:rsidRPr="00707776">
              <w:rPr>
                <w:rFonts w:eastAsia="Times New Roman" w:cs="Times New Roman"/>
                <w:sz w:val="20"/>
                <w:szCs w:val="20"/>
                <w:lang w:eastAsia="lv-LV"/>
              </w:rPr>
              <w:t>).</w:t>
            </w:r>
          </w:p>
        </w:tc>
        <w:tc>
          <w:tcPr>
            <w:tcW w:w="1187" w:type="pct"/>
            <w:tcBorders>
              <w:top w:val="outset" w:sz="6" w:space="0" w:color="414142"/>
              <w:left w:val="outset" w:sz="6" w:space="0" w:color="414142"/>
              <w:bottom w:val="outset" w:sz="6" w:space="0" w:color="414142"/>
              <w:right w:val="outset" w:sz="6" w:space="0" w:color="414142"/>
            </w:tcBorders>
          </w:tcPr>
          <w:p w14:paraId="12B8A7F5"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Projekta mērķis ir raksturot Austrumeiropas mājokļu tirgu atbilstoši tā kvalitātei un pieejamībai, mājokļu tirgus ietekmi uz mobilitāti un darba tirgus funkcionēšanu un vidi. Pētījumā tiks analizētas barjeras ieguldījumiem ēku uzturēšanā, uzlabojumu veikšanā un energoefektivitātes uzlabošanā, kā arī piedāvāti risinājumi šo barjeru likvidēšanai ar izmaiņām normatīvajā regulējumā, finanšu instrumentiem, subsīdijām, tehnisko iespēju attīstīšanu vai valsts veidotu, bet privāti finansētu investīciju piesaisti plašākā mērogā.</w:t>
            </w:r>
          </w:p>
        </w:tc>
        <w:tc>
          <w:tcPr>
            <w:tcW w:w="526" w:type="pct"/>
            <w:tcBorders>
              <w:top w:val="outset" w:sz="6" w:space="0" w:color="414142"/>
              <w:left w:val="outset" w:sz="6" w:space="0" w:color="414142"/>
              <w:bottom w:val="outset" w:sz="6" w:space="0" w:color="414142"/>
              <w:right w:val="outset" w:sz="6" w:space="0" w:color="414142"/>
            </w:tcBorders>
          </w:tcPr>
          <w:p w14:paraId="511012C8" w14:textId="77777777" w:rsidR="00D75DB7"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5. Industrijas un pakalpojumu politika</w:t>
            </w:r>
          </w:p>
          <w:p w14:paraId="70AD6602" w14:textId="77777777" w:rsidR="00707776" w:rsidRDefault="00707776" w:rsidP="00707776">
            <w:pPr>
              <w:spacing w:after="0" w:line="240" w:lineRule="auto"/>
              <w:rPr>
                <w:rFonts w:eastAsia="Times New Roman" w:cs="Times New Roman"/>
                <w:sz w:val="20"/>
                <w:szCs w:val="20"/>
                <w:lang w:eastAsia="lv-LV"/>
              </w:rPr>
            </w:pPr>
            <w:r w:rsidRPr="0091097E">
              <w:rPr>
                <w:rFonts w:eastAsia="Times New Roman" w:cs="Times New Roman"/>
                <w:sz w:val="20"/>
                <w:szCs w:val="20"/>
                <w:lang w:eastAsia="lv-LV"/>
              </w:rPr>
              <w:t xml:space="preserve">5.3. </w:t>
            </w:r>
            <w:r>
              <w:rPr>
                <w:rFonts w:eastAsia="Times New Roman" w:cs="Times New Roman"/>
                <w:sz w:val="20"/>
                <w:szCs w:val="20"/>
                <w:lang w:eastAsia="lv-LV"/>
              </w:rPr>
              <w:t>Mājokļu politikas</w:t>
            </w:r>
            <w:r w:rsidRPr="0091097E">
              <w:rPr>
                <w:rFonts w:eastAsia="Times New Roman" w:cs="Times New Roman"/>
                <w:sz w:val="20"/>
                <w:szCs w:val="20"/>
                <w:lang w:eastAsia="lv-LV"/>
              </w:rPr>
              <w:t xml:space="preserve"> nozare</w:t>
            </w:r>
          </w:p>
          <w:p w14:paraId="472F5562" w14:textId="77777777" w:rsidR="00707776" w:rsidRPr="00707776" w:rsidRDefault="00707776" w:rsidP="00D75DB7">
            <w:pPr>
              <w:spacing w:after="0" w:line="240" w:lineRule="auto"/>
              <w:rPr>
                <w:sz w:val="20"/>
                <w:szCs w:val="20"/>
              </w:rPr>
            </w:pPr>
          </w:p>
        </w:tc>
        <w:tc>
          <w:tcPr>
            <w:tcW w:w="1045" w:type="pct"/>
            <w:tcBorders>
              <w:top w:val="outset" w:sz="6" w:space="0" w:color="414142"/>
              <w:left w:val="outset" w:sz="6" w:space="0" w:color="414142"/>
              <w:bottom w:val="outset" w:sz="6" w:space="0" w:color="414142"/>
              <w:right w:val="outset" w:sz="6" w:space="0" w:color="414142"/>
            </w:tcBorders>
          </w:tcPr>
          <w:p w14:paraId="7DEB77C6"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Pētījuma rezultāts var palīdzēt valstīm izstrādāt un ieviest saskanīgas mājokļu politikas stratēģijas, kas nodrošinātu mājokļu pieejamību, darba tirgus efektivitāti, ekonomisko noturību, nabadzības samazināšanos un urbānās vides sakopšanu.</w:t>
            </w:r>
          </w:p>
          <w:p w14:paraId="4D5EEBB4"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Pētījuma ietvaros paredzēts izstrādāt īres tirgus politikas stratēģijas piedāvājot veiksmīgāku pilsētplānošanas izmantošanu, pieprasījuma un piedāvājuma subsīdijas, īrnieka un izīrētāja tiesību sabalansēšanu.</w:t>
            </w:r>
          </w:p>
        </w:tc>
        <w:tc>
          <w:tcPr>
            <w:tcW w:w="621" w:type="pct"/>
            <w:tcBorders>
              <w:top w:val="outset" w:sz="6" w:space="0" w:color="414142"/>
              <w:left w:val="outset" w:sz="6" w:space="0" w:color="414142"/>
              <w:bottom w:val="outset" w:sz="6" w:space="0" w:color="414142"/>
              <w:right w:val="outset" w:sz="6" w:space="0" w:color="414142"/>
            </w:tcBorders>
          </w:tcPr>
          <w:p w14:paraId="4D852D22"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bCs/>
                <w:sz w:val="20"/>
                <w:szCs w:val="20"/>
                <w:lang w:eastAsia="lv-LV"/>
              </w:rPr>
              <w:t>60 000</w:t>
            </w:r>
            <w:r w:rsidRPr="00707776">
              <w:rPr>
                <w:rFonts w:eastAsia="Times New Roman" w:cs="Times New Roman"/>
                <w:i/>
                <w:iCs/>
                <w:sz w:val="20"/>
                <w:szCs w:val="20"/>
                <w:lang w:eastAsia="lv-LV"/>
              </w:rPr>
              <w:t>euro</w:t>
            </w:r>
          </w:p>
          <w:p w14:paraId="09215BE7"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 xml:space="preserve">bez PVN, </w:t>
            </w:r>
          </w:p>
          <w:p w14:paraId="5FCF6BA2"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 xml:space="preserve">EM budžeta programma </w:t>
            </w:r>
          </w:p>
          <w:p w14:paraId="336100F7" w14:textId="77777777" w:rsid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 xml:space="preserve">20.00.00 </w:t>
            </w:r>
          </w:p>
          <w:p w14:paraId="2B6ED8C7"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programma “Būvniecība”</w:t>
            </w:r>
          </w:p>
          <w:p w14:paraId="567F03FD" w14:textId="77777777" w:rsidR="00D75DB7" w:rsidRPr="00707776" w:rsidRDefault="00D75DB7" w:rsidP="00D75DB7">
            <w:pPr>
              <w:spacing w:after="0" w:line="240" w:lineRule="auto"/>
              <w:jc w:val="center"/>
              <w:rPr>
                <w:rFonts w:eastAsia="Times New Roman" w:cs="Times New Roman"/>
                <w:sz w:val="20"/>
                <w:szCs w:val="20"/>
                <w:lang w:eastAsia="lv-LV"/>
              </w:rPr>
            </w:pPr>
            <w:r w:rsidRPr="00707776">
              <w:rPr>
                <w:rFonts w:eastAsia="Times New Roman" w:cs="Times New Roman"/>
                <w:sz w:val="20"/>
                <w:szCs w:val="20"/>
                <w:lang w:eastAsia="lv-LV"/>
              </w:rPr>
              <w:t>(pētījums netik</w:t>
            </w:r>
            <w:r w:rsidR="00707776">
              <w:rPr>
                <w:rFonts w:eastAsia="Times New Roman" w:cs="Times New Roman"/>
                <w:sz w:val="20"/>
                <w:szCs w:val="20"/>
                <w:lang w:eastAsia="lv-LV"/>
              </w:rPr>
              <w:t>a</w:t>
            </w:r>
            <w:r w:rsidRPr="00707776">
              <w:rPr>
                <w:rFonts w:eastAsia="Times New Roman" w:cs="Times New Roman"/>
                <w:sz w:val="20"/>
                <w:szCs w:val="20"/>
                <w:lang w:eastAsia="lv-LV"/>
              </w:rPr>
              <w:t xml:space="preserve"> pasūtīts, veikt</w:t>
            </w:r>
            <w:r w:rsidR="00707776">
              <w:rPr>
                <w:rFonts w:eastAsia="Times New Roman" w:cs="Times New Roman"/>
                <w:sz w:val="20"/>
                <w:szCs w:val="20"/>
                <w:lang w:eastAsia="lv-LV"/>
              </w:rPr>
              <w:t>s</w:t>
            </w:r>
            <w:r w:rsidRPr="00707776">
              <w:rPr>
                <w:rFonts w:eastAsia="Times New Roman" w:cs="Times New Roman"/>
                <w:sz w:val="20"/>
                <w:szCs w:val="20"/>
                <w:lang w:eastAsia="lv-LV"/>
              </w:rPr>
              <w:t xml:space="preserve"> dalības maksājum</w:t>
            </w:r>
            <w:r w:rsidR="00707776">
              <w:rPr>
                <w:rFonts w:eastAsia="Times New Roman" w:cs="Times New Roman"/>
                <w:sz w:val="20"/>
                <w:szCs w:val="20"/>
                <w:lang w:eastAsia="lv-LV"/>
              </w:rPr>
              <w:t>s</w:t>
            </w:r>
            <w:r w:rsidRPr="00707776">
              <w:rPr>
                <w:rFonts w:eastAsia="Times New Roman" w:cs="Times New Roman"/>
                <w:sz w:val="20"/>
                <w:szCs w:val="20"/>
                <w:lang w:eastAsia="lv-LV"/>
              </w:rPr>
              <w:t xml:space="preserve"> OECD, piedaloties </w:t>
            </w:r>
            <w:r w:rsidRPr="00707776">
              <w:rPr>
                <w:rFonts w:eastAsia="Times New Roman" w:cs="Times New Roman"/>
                <w:i/>
                <w:sz w:val="20"/>
                <w:szCs w:val="20"/>
                <w:lang w:eastAsia="lv-LV"/>
              </w:rPr>
              <w:t>A HousingStrategyforCentralandEasternEurope</w:t>
            </w:r>
            <w:r w:rsidRPr="00707776">
              <w:rPr>
                <w:rFonts w:eastAsia="Times New Roman" w:cs="Times New Roman"/>
                <w:sz w:val="20"/>
                <w:szCs w:val="20"/>
                <w:lang w:eastAsia="lv-LV"/>
              </w:rPr>
              <w:t xml:space="preserve"> izstrādes pētījuma īstenošan</w:t>
            </w:r>
            <w:r w:rsidR="00707776">
              <w:rPr>
                <w:rFonts w:eastAsia="Times New Roman" w:cs="Times New Roman"/>
                <w:sz w:val="20"/>
                <w:szCs w:val="20"/>
                <w:lang w:eastAsia="lv-LV"/>
              </w:rPr>
              <w:t>ā</w:t>
            </w:r>
            <w:r w:rsidRPr="00707776">
              <w:rPr>
                <w:rFonts w:eastAsia="Times New Roman" w:cs="Times New Roman"/>
                <w:sz w:val="20"/>
                <w:szCs w:val="20"/>
                <w:lang w:eastAsia="lv-LV"/>
              </w:rPr>
              <w:t>).</w:t>
            </w:r>
          </w:p>
        </w:tc>
        <w:tc>
          <w:tcPr>
            <w:tcW w:w="856" w:type="pct"/>
            <w:tcBorders>
              <w:top w:val="outset" w:sz="6" w:space="0" w:color="414142"/>
              <w:left w:val="outset" w:sz="6" w:space="0" w:color="414142"/>
              <w:bottom w:val="outset" w:sz="6" w:space="0" w:color="414142"/>
              <w:right w:val="outset" w:sz="6" w:space="0" w:color="414142"/>
            </w:tcBorders>
          </w:tcPr>
          <w:p w14:paraId="61C8D581" w14:textId="77777777" w:rsidR="00D75DB7" w:rsidRPr="00707776" w:rsidRDefault="00D75DB7" w:rsidP="00D75DB7">
            <w:pPr>
              <w:spacing w:after="0" w:line="240" w:lineRule="auto"/>
              <w:rPr>
                <w:rFonts w:eastAsia="Times New Roman" w:cs="Times New Roman"/>
                <w:sz w:val="20"/>
                <w:szCs w:val="20"/>
                <w:lang w:eastAsia="lv-LV"/>
              </w:rPr>
            </w:pPr>
            <w:r w:rsidRPr="00707776">
              <w:rPr>
                <w:rFonts w:eastAsia="Times New Roman" w:cs="Times New Roman"/>
                <w:sz w:val="20"/>
                <w:szCs w:val="20"/>
                <w:lang w:eastAsia="lv-LV"/>
              </w:rPr>
              <w:t>Uzsākts 15.04.2019., īstenošana 2019.-2020.gadā.</w:t>
            </w:r>
          </w:p>
          <w:p w14:paraId="70B39279" w14:textId="17EB3A50" w:rsidR="00707776" w:rsidRPr="003F104B" w:rsidRDefault="00707776" w:rsidP="00707776">
            <w:pPr>
              <w:spacing w:after="0" w:line="240" w:lineRule="auto"/>
              <w:rPr>
                <w:rFonts w:eastAsia="Times New Roman" w:cs="Times New Roman"/>
                <w:i/>
                <w:iCs/>
                <w:sz w:val="20"/>
                <w:szCs w:val="20"/>
                <w:lang w:eastAsia="lv-LV"/>
              </w:rPr>
            </w:pPr>
            <w:r w:rsidRPr="00707776">
              <w:rPr>
                <w:rFonts w:eastAsia="Times New Roman" w:cs="Times New Roman"/>
                <w:sz w:val="20"/>
                <w:szCs w:val="20"/>
                <w:lang w:eastAsia="lv-LV"/>
              </w:rPr>
              <w:t>Rezultāts</w:t>
            </w:r>
            <w:r w:rsidR="00EE48F2">
              <w:rPr>
                <w:rFonts w:eastAsia="Times New Roman" w:cs="Times New Roman"/>
                <w:sz w:val="20"/>
                <w:szCs w:val="20"/>
                <w:lang w:eastAsia="lv-LV"/>
              </w:rPr>
              <w:t xml:space="preserve"> </w:t>
            </w:r>
            <w:r>
              <w:rPr>
                <w:rFonts w:eastAsia="Times New Roman" w:cs="Times New Roman"/>
                <w:sz w:val="20"/>
                <w:szCs w:val="20"/>
                <w:lang w:eastAsia="lv-LV"/>
              </w:rPr>
              <w:t>p</w:t>
            </w:r>
            <w:r w:rsidRPr="003F104B">
              <w:rPr>
                <w:rFonts w:eastAsia="Times New Roman" w:cs="Times New Roman"/>
                <w:sz w:val="20"/>
                <w:szCs w:val="20"/>
                <w:lang w:eastAsia="lv-LV"/>
              </w:rPr>
              <w:t>ublicēts</w:t>
            </w:r>
            <w:r w:rsidRPr="003F104B">
              <w:rPr>
                <w:rFonts w:eastAsia="Times New Roman" w:cs="Times New Roman"/>
                <w:i/>
                <w:iCs/>
                <w:sz w:val="20"/>
                <w:szCs w:val="20"/>
                <w:lang w:eastAsia="lv-LV"/>
              </w:rPr>
              <w:t xml:space="preserve"> – </w:t>
            </w:r>
          </w:p>
          <w:p w14:paraId="34071947" w14:textId="77777777" w:rsidR="00D75DB7" w:rsidRPr="00707776" w:rsidRDefault="00A548C7" w:rsidP="00D75DB7">
            <w:pPr>
              <w:spacing w:after="0" w:line="240" w:lineRule="auto"/>
              <w:rPr>
                <w:rFonts w:eastAsia="Times New Roman" w:cs="Times New Roman"/>
                <w:i/>
                <w:iCs/>
                <w:sz w:val="20"/>
                <w:szCs w:val="20"/>
                <w:highlight w:val="yellow"/>
                <w:lang w:eastAsia="lv-LV"/>
              </w:rPr>
            </w:pPr>
            <w:hyperlink r:id="rId181" w:history="1">
              <w:r w:rsidR="00707776" w:rsidRPr="00707776">
                <w:rPr>
                  <w:rStyle w:val="Hyperlink"/>
                  <w:i/>
                  <w:iCs/>
                  <w:color w:val="00859B"/>
                  <w:sz w:val="20"/>
                  <w:szCs w:val="20"/>
                </w:rPr>
                <w:t>EM_2019_petijums_10.docx</w:t>
              </w:r>
            </w:hyperlink>
          </w:p>
        </w:tc>
      </w:tr>
    </w:tbl>
    <w:p w14:paraId="2D5A217E" w14:textId="77777777" w:rsidR="00B50A89" w:rsidRPr="00F5511B" w:rsidRDefault="00B50A89" w:rsidP="00B50A89">
      <w:pPr>
        <w:pStyle w:val="ListParagraph"/>
        <w:ind w:left="0" w:right="108"/>
        <w:rPr>
          <w:i/>
          <w:sz w:val="18"/>
          <w:szCs w:val="18"/>
        </w:rPr>
      </w:pPr>
      <w:r w:rsidRPr="00F5511B">
        <w:rPr>
          <w:i/>
          <w:sz w:val="18"/>
          <w:szCs w:val="18"/>
        </w:rPr>
        <w:t xml:space="preserve">Avots: EM dati </w:t>
      </w:r>
    </w:p>
    <w:p w14:paraId="75C39731" w14:textId="77777777" w:rsidR="00B50A89" w:rsidRPr="00F5511B" w:rsidRDefault="00B50A89" w:rsidP="003539DA">
      <w:pPr>
        <w:pStyle w:val="ListParagraph"/>
        <w:ind w:left="0" w:right="108"/>
        <w:rPr>
          <w:i/>
          <w:sz w:val="18"/>
          <w:szCs w:val="18"/>
          <w:highlight w:val="yellow"/>
        </w:rPr>
      </w:pPr>
    </w:p>
    <w:p w14:paraId="6B8C2A62" w14:textId="77777777" w:rsidR="00E82094" w:rsidRPr="00F5511B" w:rsidRDefault="00E82094" w:rsidP="003539DA">
      <w:pPr>
        <w:pStyle w:val="ListParagraph"/>
        <w:ind w:left="0" w:right="108"/>
        <w:rPr>
          <w:i/>
          <w:sz w:val="18"/>
          <w:szCs w:val="18"/>
          <w:highlight w:val="yellow"/>
        </w:rPr>
      </w:pPr>
    </w:p>
    <w:p w14:paraId="7B42EDE8" w14:textId="03D38FCB" w:rsidR="002C04D4" w:rsidRPr="00F5511B" w:rsidRDefault="002C04D4" w:rsidP="003539DA">
      <w:pPr>
        <w:pStyle w:val="ListParagraph"/>
        <w:ind w:left="0" w:right="108"/>
        <w:rPr>
          <w:i/>
          <w:sz w:val="18"/>
          <w:szCs w:val="18"/>
          <w:highlight w:val="yellow"/>
        </w:rPr>
      </w:pPr>
    </w:p>
    <w:sectPr w:rsidR="002C04D4" w:rsidRPr="00F5511B"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BE881" w14:textId="77777777" w:rsidR="00003D52" w:rsidRDefault="00003D52" w:rsidP="00B64328">
      <w:pPr>
        <w:spacing w:after="0" w:line="240" w:lineRule="auto"/>
      </w:pPr>
      <w:r>
        <w:separator/>
      </w:r>
    </w:p>
  </w:endnote>
  <w:endnote w:type="continuationSeparator" w:id="0">
    <w:p w14:paraId="1D34A3C7" w14:textId="77777777" w:rsidR="00003D52" w:rsidRDefault="00003D52" w:rsidP="00B64328">
      <w:pPr>
        <w:spacing w:after="0" w:line="240" w:lineRule="auto"/>
      </w:pPr>
      <w:r>
        <w:continuationSeparator/>
      </w:r>
    </w:p>
  </w:endnote>
  <w:endnote w:type="continuationNotice" w:id="1">
    <w:p w14:paraId="3560F110" w14:textId="77777777" w:rsidR="00003D52" w:rsidRDefault="00003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Dutch T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Times New Roman"/>
    <w:charset w:val="00"/>
    <w:family w:val="auto"/>
    <w:pitch w:val="default"/>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BA"/>
    <w:family w:val="swiss"/>
    <w:pitch w:val="variable"/>
    <w:sig w:usb0="E00002EF" w:usb1="4000205B" w:usb2="00000028"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859B"/>
      </w:rPr>
      <w:id w:val="-1325653907"/>
      <w:docPartObj>
        <w:docPartGallery w:val="Page Numbers (Bottom of Page)"/>
        <w:docPartUnique/>
      </w:docPartObj>
    </w:sdtPr>
    <w:sdtEndPr>
      <w:rPr>
        <w:noProof/>
      </w:rPr>
    </w:sdtEndPr>
    <w:sdtContent>
      <w:p w14:paraId="00537603" w14:textId="77777777" w:rsidR="00003D52" w:rsidRPr="00067B7D" w:rsidRDefault="00003D5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20</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4</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05047"/>
      <w:docPartObj>
        <w:docPartGallery w:val="Page Numbers (Bottom of Page)"/>
        <w:docPartUnique/>
      </w:docPartObj>
    </w:sdtPr>
    <w:sdtEndPr>
      <w:rPr>
        <w:color w:val="31849B" w:themeColor="accent5" w:themeShade="BF"/>
      </w:rPr>
    </w:sdtEndPr>
    <w:sdtContent>
      <w:p w14:paraId="232B3F22" w14:textId="77777777" w:rsidR="00003D52" w:rsidRPr="00A04AE3" w:rsidRDefault="00003D52">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Pr>
            <w:noProof/>
            <w:color w:val="31849B" w:themeColor="accent5" w:themeShade="BF"/>
          </w:rPr>
          <w:t>1</w:t>
        </w:r>
        <w:r w:rsidRPr="00A04AE3">
          <w:rPr>
            <w:color w:val="31849B" w:themeColor="accent5" w:themeShade="BF"/>
          </w:rPr>
          <w:fldChar w:fldCharType="end"/>
        </w:r>
      </w:p>
    </w:sdtContent>
  </w:sdt>
  <w:p w14:paraId="4D21C65B" w14:textId="77777777" w:rsidR="00003D52" w:rsidRDefault="00003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859B"/>
      </w:rPr>
      <w:id w:val="-1834373305"/>
      <w:docPartObj>
        <w:docPartGallery w:val="Page Numbers (Bottom of Page)"/>
        <w:docPartUnique/>
      </w:docPartObj>
    </w:sdtPr>
    <w:sdtEndPr>
      <w:rPr>
        <w:noProof/>
      </w:rPr>
    </w:sdtEndPr>
    <w:sdtContent>
      <w:p w14:paraId="19E336FF" w14:textId="77777777" w:rsidR="00003D52" w:rsidRPr="00067B7D" w:rsidRDefault="00003D52"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w:t>
        </w:r>
        <w:r>
          <w:rPr>
            <w:color w:val="00859B"/>
            <w:sz w:val="20"/>
            <w:szCs w:val="20"/>
          </w:rPr>
          <w:t>20</w:t>
        </w:r>
        <w:r w:rsidRPr="00067B7D">
          <w:rPr>
            <w:color w:val="00859B"/>
            <w:sz w:val="20"/>
            <w:szCs w:val="20"/>
          </w:rPr>
          <w:t>.gada publiskais pārskats</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6</w:t>
        </w:r>
        <w:r w:rsidRPr="00067B7D">
          <w:rPr>
            <w:noProof/>
            <w:color w:val="00859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CC010" w14:textId="77777777" w:rsidR="00003D52" w:rsidRDefault="00003D52" w:rsidP="00B64328">
      <w:pPr>
        <w:spacing w:after="0" w:line="240" w:lineRule="auto"/>
      </w:pPr>
      <w:r>
        <w:separator/>
      </w:r>
    </w:p>
  </w:footnote>
  <w:footnote w:type="continuationSeparator" w:id="0">
    <w:p w14:paraId="0C306046" w14:textId="77777777" w:rsidR="00003D52" w:rsidRDefault="00003D52" w:rsidP="00B64328">
      <w:pPr>
        <w:spacing w:after="0" w:line="240" w:lineRule="auto"/>
      </w:pPr>
      <w:r>
        <w:continuationSeparator/>
      </w:r>
    </w:p>
  </w:footnote>
  <w:footnote w:type="continuationNotice" w:id="1">
    <w:p w14:paraId="4FB68200" w14:textId="77777777" w:rsidR="00003D52" w:rsidRDefault="00003D52">
      <w:pPr>
        <w:spacing w:after="0" w:line="240" w:lineRule="auto"/>
      </w:pPr>
    </w:p>
  </w:footnote>
  <w:footnote w:id="2">
    <w:p w14:paraId="77748FE4" w14:textId="77777777" w:rsidR="00003D52" w:rsidRPr="00E26EAA" w:rsidRDefault="00003D52" w:rsidP="00017F55">
      <w:pPr>
        <w:pStyle w:val="FootnoteText"/>
        <w:jc w:val="both"/>
        <w:rPr>
          <w:rFonts w:cs="Times New Roman"/>
          <w:color w:val="000000"/>
          <w:sz w:val="18"/>
          <w:szCs w:val="18"/>
        </w:rPr>
      </w:pPr>
      <w:r w:rsidRPr="00E26EAA">
        <w:rPr>
          <w:rStyle w:val="FootnoteReference"/>
          <w:rFonts w:cs="Times New Roman"/>
          <w:sz w:val="18"/>
          <w:szCs w:val="18"/>
        </w:rPr>
        <w:footnoteRef/>
      </w:r>
      <w:bookmarkStart w:id="18" w:name="_Hlk74818687"/>
      <w:r w:rsidRPr="00E26EAA">
        <w:rPr>
          <w:rFonts w:cs="Times New Roman"/>
          <w:color w:val="000000"/>
          <w:sz w:val="18"/>
          <w:szCs w:val="18"/>
        </w:rPr>
        <w:t>2020. gada 9. oktobrī AS “Publisko aktīvu pārvaldītājs Possessor” pārveidota par SIA</w:t>
      </w:r>
      <w:r>
        <w:rPr>
          <w:rFonts w:cs="Times New Roman"/>
          <w:color w:val="000000"/>
          <w:sz w:val="18"/>
          <w:szCs w:val="18"/>
        </w:rPr>
        <w:t> </w:t>
      </w:r>
      <w:r w:rsidRPr="00E26EAA">
        <w:rPr>
          <w:rFonts w:cs="Times New Roman"/>
          <w:color w:val="000000"/>
          <w:sz w:val="18"/>
          <w:szCs w:val="18"/>
        </w:rPr>
        <w:t>“Publisko aktīvu pārvaldītājs Possessor”.</w:t>
      </w:r>
      <w:bookmarkEnd w:id="18"/>
    </w:p>
  </w:footnote>
  <w:footnote w:id="3">
    <w:p w14:paraId="6ADBA592" w14:textId="77777777" w:rsidR="00003D52" w:rsidRPr="00F625D6" w:rsidRDefault="00003D52" w:rsidP="00D16979">
      <w:pPr>
        <w:pStyle w:val="FootnoteText"/>
        <w:jc w:val="both"/>
        <w:rPr>
          <w:sz w:val="18"/>
          <w:szCs w:val="18"/>
        </w:rPr>
      </w:pPr>
      <w:r w:rsidRPr="00F625D6">
        <w:rPr>
          <w:rStyle w:val="FootnoteReference"/>
          <w:sz w:val="18"/>
          <w:szCs w:val="18"/>
        </w:rPr>
        <w:footnoteRef/>
      </w:r>
      <w:r w:rsidRPr="00F625D6">
        <w:rPr>
          <w:sz w:val="18"/>
          <w:szCs w:val="18"/>
        </w:rPr>
        <w:t xml:space="preserve"> Skatīt: </w:t>
      </w:r>
      <w:r w:rsidRPr="00F625D6">
        <w:rPr>
          <w:i/>
          <w:iCs/>
          <w:sz w:val="18"/>
          <w:szCs w:val="18"/>
        </w:rPr>
        <w:t xml:space="preserve">European Commission. 2020. European Economic Forecast: Autumn 2020, Institutional Paper 136, November 2020, p.48. </w:t>
      </w:r>
      <w:hyperlink r:id="rId1" w:history="1">
        <w:r w:rsidRPr="00F625D6">
          <w:rPr>
            <w:rStyle w:val="Hyperlink"/>
            <w:i/>
            <w:iCs/>
            <w:color w:val="00859B"/>
            <w:sz w:val="18"/>
            <w:szCs w:val="18"/>
          </w:rPr>
          <w:t>https://ec.europa.eu/info/publications/economic-and-financial-affairs-publications_en</w:t>
        </w:r>
      </w:hyperlink>
    </w:p>
  </w:footnote>
  <w:footnote w:id="4">
    <w:p w14:paraId="076BB566" w14:textId="77777777" w:rsidR="00003D52" w:rsidRPr="00A636C1" w:rsidRDefault="00003D52" w:rsidP="00D16979">
      <w:pPr>
        <w:pStyle w:val="FootnoteText"/>
        <w:rPr>
          <w:sz w:val="18"/>
          <w:szCs w:val="18"/>
        </w:rPr>
      </w:pPr>
      <w:r w:rsidRPr="00A636C1">
        <w:rPr>
          <w:rStyle w:val="FootnoteReference"/>
          <w:sz w:val="18"/>
          <w:szCs w:val="18"/>
        </w:rPr>
        <w:footnoteRef/>
      </w:r>
      <w:r w:rsidRPr="00A636C1">
        <w:rPr>
          <w:sz w:val="18"/>
          <w:szCs w:val="18"/>
        </w:rPr>
        <w:t xml:space="preserve"> </w:t>
      </w:r>
      <w:r w:rsidRPr="00A636C1">
        <w:rPr>
          <w:color w:val="000000" w:themeColor="text1"/>
          <w:sz w:val="18"/>
          <w:szCs w:val="18"/>
        </w:rPr>
        <w:t>Metodoloģijas izmaiņu dēļ reitinga rezultāti nav salīdzināmi vairāk kā divu gadu griezumā</w:t>
      </w:r>
      <w:r>
        <w:rPr>
          <w:color w:val="000000" w:themeColor="text1"/>
          <w:sz w:val="18"/>
          <w:szCs w:val="18"/>
        </w:rPr>
        <w:t>.</w:t>
      </w:r>
    </w:p>
  </w:footnote>
  <w:footnote w:id="5">
    <w:p w14:paraId="31655424" w14:textId="77777777" w:rsidR="00003D52" w:rsidRPr="002371DB" w:rsidRDefault="00003D52" w:rsidP="00C4736C">
      <w:pPr>
        <w:pStyle w:val="FootnoteText"/>
        <w:rPr>
          <w:sz w:val="18"/>
          <w:szCs w:val="18"/>
        </w:rPr>
      </w:pPr>
      <w:r w:rsidRPr="002371DB">
        <w:rPr>
          <w:rStyle w:val="FootnoteReference"/>
          <w:sz w:val="18"/>
          <w:szCs w:val="18"/>
        </w:rPr>
        <w:footnoteRef/>
      </w:r>
      <w:r w:rsidRPr="002371DB">
        <w:rPr>
          <w:sz w:val="18"/>
          <w:szCs w:val="18"/>
        </w:rPr>
        <w:t xml:space="preserve"> EM 2020. gada 11. jūnija rīkojums Nr.1-6.1/2020/99</w:t>
      </w:r>
    </w:p>
  </w:footnote>
  <w:footnote w:id="6">
    <w:p w14:paraId="1759C95E" w14:textId="77777777" w:rsidR="00003D52" w:rsidRPr="002371DB" w:rsidRDefault="00003D52">
      <w:pPr>
        <w:pStyle w:val="FootnoteText"/>
        <w:rPr>
          <w:sz w:val="18"/>
          <w:szCs w:val="18"/>
        </w:rPr>
      </w:pPr>
      <w:r w:rsidRPr="002371DB">
        <w:rPr>
          <w:rStyle w:val="FootnoteReference"/>
          <w:sz w:val="18"/>
          <w:szCs w:val="18"/>
        </w:rPr>
        <w:footnoteRef/>
      </w:r>
      <w:r w:rsidRPr="002371DB">
        <w:rPr>
          <w:sz w:val="18"/>
          <w:szCs w:val="18"/>
        </w:rPr>
        <w:t xml:space="preserve"> Informatīvais ziņojums "Stratēģija Latvijai Covid-19 krīzes radīto seku mazināšanai", </w:t>
      </w:r>
      <w:hyperlink r:id="rId2" w:history="1">
        <w:r w:rsidRPr="002371DB">
          <w:rPr>
            <w:rStyle w:val="Hyperlink"/>
            <w:i/>
            <w:iCs/>
            <w:color w:val="00859B"/>
            <w:sz w:val="18"/>
            <w:szCs w:val="18"/>
          </w:rPr>
          <w:t>http://tap.mk.gov.lv/mk/tap/?pid=40487682</w:t>
        </w:r>
      </w:hyperlink>
    </w:p>
  </w:footnote>
  <w:footnote w:id="7">
    <w:p w14:paraId="6A8ECEEC" w14:textId="77777777" w:rsidR="00003D52" w:rsidRPr="00B40556" w:rsidRDefault="00003D52" w:rsidP="00B40556">
      <w:pPr>
        <w:pStyle w:val="FootnoteText"/>
        <w:jc w:val="both"/>
        <w:rPr>
          <w:sz w:val="18"/>
          <w:szCs w:val="18"/>
        </w:rPr>
      </w:pPr>
      <w:r w:rsidRPr="00B40556">
        <w:rPr>
          <w:rStyle w:val="FootnoteReference"/>
          <w:sz w:val="18"/>
          <w:szCs w:val="18"/>
        </w:rPr>
        <w:footnoteRef/>
      </w:r>
      <w:r w:rsidRPr="00B40556">
        <w:rPr>
          <w:sz w:val="18"/>
          <w:szCs w:val="18"/>
        </w:rPr>
        <w:t xml:space="preserve"> Saskaņā ar </w:t>
      </w:r>
      <w:hyperlink r:id="rId3" w:history="1">
        <w:r w:rsidRPr="00540F6C">
          <w:rPr>
            <w:rStyle w:val="Hyperlink"/>
            <w:color w:val="auto"/>
            <w:sz w:val="18"/>
            <w:szCs w:val="18"/>
            <w:u w:val="none"/>
          </w:rPr>
          <w:t xml:space="preserve">MK 2020.gada 19.marta noteikumiem Nr.149 </w:t>
        </w:r>
        <w:r w:rsidRPr="003E5DAC">
          <w:rPr>
            <w:rStyle w:val="Hyperlink"/>
            <w:i/>
            <w:iCs/>
            <w:color w:val="00859B"/>
            <w:sz w:val="18"/>
            <w:szCs w:val="18"/>
          </w:rPr>
          <w:t>“Noteikumi par apgrozāmo līdzekļu aizdevumiem saimnieciskās darbības veicējiem, kuru darbību ietekmējusi Covid-19 izplatība</w:t>
        </w:r>
      </w:hyperlink>
      <w:r w:rsidRPr="003E5DAC">
        <w:rPr>
          <w:rStyle w:val="Hyperlink"/>
          <w:i/>
          <w:iCs/>
          <w:color w:val="00859B"/>
          <w:sz w:val="18"/>
          <w:szCs w:val="18"/>
        </w:rPr>
        <w:t>”</w:t>
      </w:r>
      <w:r>
        <w:rPr>
          <w:sz w:val="18"/>
          <w:szCs w:val="18"/>
        </w:rPr>
        <w:t>p</w:t>
      </w:r>
      <w:r w:rsidRPr="00B40556">
        <w:rPr>
          <w:sz w:val="18"/>
          <w:szCs w:val="18"/>
        </w:rPr>
        <w:t>r</w:t>
      </w:r>
      <w:r>
        <w:rPr>
          <w:sz w:val="18"/>
          <w:szCs w:val="18"/>
        </w:rPr>
        <w:t>ogrammu administrē ALTUM</w:t>
      </w:r>
    </w:p>
  </w:footnote>
  <w:footnote w:id="8">
    <w:p w14:paraId="03A52149" w14:textId="77777777" w:rsidR="00003D52" w:rsidRPr="003E5DAC" w:rsidRDefault="00003D52" w:rsidP="003E5DAC">
      <w:pPr>
        <w:pStyle w:val="FootnoteText"/>
        <w:jc w:val="both"/>
        <w:rPr>
          <w:sz w:val="18"/>
          <w:szCs w:val="18"/>
        </w:rPr>
      </w:pPr>
      <w:r>
        <w:rPr>
          <w:rStyle w:val="FootnoteReference"/>
        </w:rPr>
        <w:footnoteRef/>
      </w:r>
      <w:r w:rsidRPr="00B40556">
        <w:rPr>
          <w:sz w:val="18"/>
          <w:szCs w:val="18"/>
        </w:rPr>
        <w:t xml:space="preserve">Saskaņā ar </w:t>
      </w:r>
      <w:hyperlink r:id="rId4" w:history="1">
        <w:r w:rsidRPr="00540F6C">
          <w:rPr>
            <w:rStyle w:val="Hyperlink"/>
            <w:color w:val="auto"/>
            <w:sz w:val="18"/>
            <w:szCs w:val="18"/>
            <w:u w:val="none"/>
          </w:rPr>
          <w:t>MK 2020.gada 19.marta noteikumiem Nr.150</w:t>
        </w:r>
        <w:r w:rsidRPr="003E5DAC">
          <w:rPr>
            <w:rStyle w:val="Hyperlink"/>
            <w:i/>
            <w:iCs/>
            <w:color w:val="00859B"/>
            <w:sz w:val="18"/>
            <w:szCs w:val="18"/>
          </w:rPr>
          <w:t xml:space="preserve"> “Noteikumi par garantijām saimnieciskās darbības veicējiem, kuru darbību ietekmējusi Covid-19 izplatība</w:t>
        </w:r>
      </w:hyperlink>
      <w:r>
        <w:rPr>
          <w:sz w:val="18"/>
          <w:szCs w:val="18"/>
        </w:rPr>
        <w:t>” p</w:t>
      </w:r>
      <w:r w:rsidRPr="00B40556">
        <w:rPr>
          <w:sz w:val="18"/>
          <w:szCs w:val="18"/>
        </w:rPr>
        <w:t>r</w:t>
      </w:r>
      <w:r>
        <w:rPr>
          <w:sz w:val="18"/>
          <w:szCs w:val="18"/>
        </w:rPr>
        <w:t>ogrammu administrē ALTUM</w:t>
      </w:r>
    </w:p>
  </w:footnote>
  <w:footnote w:id="9">
    <w:p w14:paraId="70FA900F" w14:textId="7513C101" w:rsidR="00003D52" w:rsidRPr="00252C84" w:rsidRDefault="00003D52" w:rsidP="00F8309E">
      <w:pPr>
        <w:pStyle w:val="FootnoteText"/>
        <w:jc w:val="both"/>
        <w:rPr>
          <w:sz w:val="18"/>
          <w:szCs w:val="18"/>
        </w:rPr>
      </w:pPr>
      <w:r w:rsidRPr="00252C84">
        <w:rPr>
          <w:rStyle w:val="FootnoteReference"/>
          <w:sz w:val="18"/>
          <w:szCs w:val="18"/>
        </w:rPr>
        <w:footnoteRef/>
      </w:r>
      <w:r w:rsidRPr="00252C84">
        <w:rPr>
          <w:sz w:val="18"/>
          <w:szCs w:val="18"/>
        </w:rPr>
        <w:t xml:space="preserve"> Saskaņā ar MK 2020.gada 14.jūlija noteikumiem Nr.458 “</w:t>
      </w:r>
      <w:hyperlink r:id="rId5" w:history="1">
        <w:r w:rsidRPr="00252C84">
          <w:rPr>
            <w:rStyle w:val="Hyperlink"/>
            <w:i/>
            <w:iCs/>
            <w:color w:val="00859B"/>
            <w:sz w:val="18"/>
            <w:szCs w:val="18"/>
          </w:rPr>
          <w:t>Noteikumi par kapitāla ieguldījumiem komersantos, kuru darbību ietekmējusi covid-19 izplatība</w:t>
        </w:r>
      </w:hyperlink>
      <w:r w:rsidRPr="00252C84">
        <w:rPr>
          <w:rStyle w:val="Hyperlink"/>
          <w:i/>
          <w:iCs/>
          <w:color w:val="00859B"/>
          <w:sz w:val="18"/>
          <w:szCs w:val="18"/>
        </w:rPr>
        <w:t xml:space="preserve">” </w:t>
      </w:r>
      <w:r w:rsidRPr="00252C84">
        <w:rPr>
          <w:sz w:val="18"/>
          <w:szCs w:val="18"/>
        </w:rPr>
        <w:t xml:space="preserve">programmu administrē ALTUM, paredzot nodrošināt investīcijas </w:t>
      </w:r>
      <w:r w:rsidRPr="00252C84">
        <w:rPr>
          <w:rStyle w:val="Strong"/>
          <w:b w:val="0"/>
          <w:bCs w:val="0"/>
          <w:sz w:val="18"/>
          <w:szCs w:val="18"/>
        </w:rPr>
        <w:t>lielajiem komersantiem, kuru darbību negatīvi ietekmēja Covid-19, kā arī tiem lielajiem komersantiem, kuri pielāgo vai pārveido līdzšinējo komercdarbības modeli</w:t>
      </w:r>
      <w:r>
        <w:rPr>
          <w:rStyle w:val="Strong"/>
          <w:b w:val="0"/>
          <w:bCs w:val="0"/>
          <w:sz w:val="18"/>
          <w:szCs w:val="18"/>
        </w:rPr>
        <w:t>.</w:t>
      </w:r>
    </w:p>
  </w:footnote>
  <w:footnote w:id="10">
    <w:p w14:paraId="57758589" w14:textId="77777777" w:rsidR="00003D52" w:rsidRDefault="00003D52" w:rsidP="004B7384">
      <w:pPr>
        <w:pStyle w:val="FootnoteText"/>
        <w:jc w:val="both"/>
      </w:pPr>
      <w:r>
        <w:rPr>
          <w:rStyle w:val="FootnoteReference"/>
        </w:rPr>
        <w:footnoteRef/>
      </w:r>
      <w:r w:rsidRPr="00434038">
        <w:rPr>
          <w:sz w:val="18"/>
          <w:szCs w:val="18"/>
        </w:rPr>
        <w:t>MK 2020.</w:t>
      </w:r>
      <w:r>
        <w:rPr>
          <w:sz w:val="18"/>
          <w:szCs w:val="18"/>
        </w:rPr>
        <w:t> gada 10. novembra</w:t>
      </w:r>
      <w:r w:rsidRPr="00434038">
        <w:rPr>
          <w:sz w:val="18"/>
          <w:szCs w:val="18"/>
        </w:rPr>
        <w:t xml:space="preserve"> noteikumi Nr.676 </w:t>
      </w:r>
      <w:hyperlink r:id="rId6" w:history="1">
        <w:r w:rsidRPr="00434038">
          <w:rPr>
            <w:rStyle w:val="Hyperlink"/>
            <w:i/>
            <w:iCs/>
            <w:color w:val="00859B"/>
            <w:sz w:val="18"/>
            <w:szCs w:val="18"/>
          </w:rPr>
          <w:t>“Noteikumi par atbalstu Covid-19 krīzes skartajiem uzņēmumiem apgrozāmo līdzekļu plūsmas nodrošināšanai</w:t>
        </w:r>
      </w:hyperlink>
      <w:r w:rsidRPr="00434038">
        <w:rPr>
          <w:i/>
          <w:iCs/>
          <w:color w:val="00859B"/>
          <w:sz w:val="18"/>
          <w:szCs w:val="18"/>
        </w:rPr>
        <w:t>”</w:t>
      </w:r>
    </w:p>
  </w:footnote>
  <w:footnote w:id="11">
    <w:p w14:paraId="5290BCCC" w14:textId="77777777" w:rsidR="00003D52" w:rsidRDefault="00003D52" w:rsidP="004B7384">
      <w:pPr>
        <w:pStyle w:val="FootnoteText"/>
        <w:jc w:val="both"/>
      </w:pPr>
      <w:r>
        <w:rPr>
          <w:rStyle w:val="FootnoteReference"/>
        </w:rPr>
        <w:footnoteRef/>
      </w:r>
      <w:r w:rsidRPr="00434038">
        <w:rPr>
          <w:sz w:val="18"/>
          <w:szCs w:val="18"/>
        </w:rPr>
        <w:t>MK 2020.</w:t>
      </w:r>
      <w:r>
        <w:rPr>
          <w:sz w:val="18"/>
          <w:szCs w:val="18"/>
        </w:rPr>
        <w:t> gada 10. novembra</w:t>
      </w:r>
      <w:r w:rsidRPr="00434038">
        <w:rPr>
          <w:sz w:val="18"/>
          <w:szCs w:val="18"/>
        </w:rPr>
        <w:t xml:space="preserve"> noteikumi Nr.676 </w:t>
      </w:r>
      <w:r w:rsidRPr="00434038">
        <w:rPr>
          <w:i/>
          <w:iCs/>
          <w:color w:val="00859B"/>
          <w:sz w:val="18"/>
          <w:szCs w:val="18"/>
        </w:rPr>
        <w:t>“</w:t>
      </w:r>
      <w:hyperlink r:id="rId7" w:history="1">
        <w:r w:rsidRPr="00434038">
          <w:rPr>
            <w:rStyle w:val="Hyperlink"/>
            <w:i/>
            <w:iCs/>
            <w:color w:val="00859B"/>
            <w:sz w:val="18"/>
            <w:szCs w:val="18"/>
          </w:rPr>
          <w:t>Noteikumi par atbalsta sniegšanu nodokļu maksātajiem to darbības turpināšanai Covid-19 krīzes apstākļos</w:t>
        </w:r>
      </w:hyperlink>
      <w:r w:rsidRPr="00434038">
        <w:rPr>
          <w:i/>
          <w:iCs/>
          <w:color w:val="00859B"/>
          <w:sz w:val="18"/>
          <w:szCs w:val="18"/>
        </w:rPr>
        <w:t>”</w:t>
      </w:r>
    </w:p>
  </w:footnote>
  <w:footnote w:id="12">
    <w:p w14:paraId="15A7CAC2" w14:textId="77777777" w:rsidR="00003D52" w:rsidRPr="00173B3B" w:rsidRDefault="00003D52" w:rsidP="00173B3B">
      <w:pPr>
        <w:pStyle w:val="FootnoteText"/>
        <w:jc w:val="both"/>
        <w:rPr>
          <w:sz w:val="18"/>
          <w:szCs w:val="18"/>
        </w:rPr>
      </w:pPr>
      <w:r w:rsidRPr="00173B3B">
        <w:rPr>
          <w:rStyle w:val="FootnoteReference"/>
          <w:sz w:val="18"/>
          <w:szCs w:val="18"/>
        </w:rPr>
        <w:footnoteRef/>
      </w:r>
      <w:r w:rsidRPr="00173B3B">
        <w:rPr>
          <w:sz w:val="18"/>
          <w:szCs w:val="18"/>
        </w:rPr>
        <w:t xml:space="preserve"> MK 2020. gada 10. novembra noteikumi Nr.677 </w:t>
      </w:r>
      <w:r w:rsidRPr="00173B3B">
        <w:rPr>
          <w:i/>
          <w:iCs/>
          <w:color w:val="00859B"/>
          <w:sz w:val="18"/>
          <w:szCs w:val="18"/>
        </w:rPr>
        <w:t>“</w:t>
      </w:r>
      <w:hyperlink r:id="rId8" w:history="1">
        <w:r w:rsidRPr="00173B3B">
          <w:rPr>
            <w:rStyle w:val="Hyperlink"/>
            <w:i/>
            <w:iCs/>
            <w:color w:val="00859B"/>
            <w:sz w:val="18"/>
            <w:szCs w:val="18"/>
          </w:rPr>
          <w:t>Noteikumi par aizdevumiem un to procentu likmju subsīdijām komersantiem konkurētspējas veicināšanai</w:t>
        </w:r>
      </w:hyperlink>
      <w:r w:rsidRPr="00173B3B">
        <w:rPr>
          <w:i/>
          <w:iCs/>
          <w:color w:val="00859B"/>
          <w:sz w:val="18"/>
          <w:szCs w:val="18"/>
        </w:rPr>
        <w:t>”</w:t>
      </w:r>
    </w:p>
  </w:footnote>
  <w:footnote w:id="13">
    <w:p w14:paraId="0F124230" w14:textId="358A48AB" w:rsidR="00003D52" w:rsidRPr="00551986" w:rsidRDefault="00003D52">
      <w:pPr>
        <w:pStyle w:val="FootnoteText"/>
        <w:rPr>
          <w:sz w:val="18"/>
          <w:szCs w:val="18"/>
        </w:rPr>
      </w:pPr>
      <w:r w:rsidRPr="00551986">
        <w:rPr>
          <w:rStyle w:val="FootnoteReference"/>
          <w:sz w:val="18"/>
          <w:szCs w:val="18"/>
        </w:rPr>
        <w:footnoteRef/>
      </w:r>
      <w:r w:rsidRPr="00551986">
        <w:rPr>
          <w:sz w:val="18"/>
          <w:szCs w:val="18"/>
        </w:rPr>
        <w:t xml:space="preserve"> </w:t>
      </w:r>
      <w:r>
        <w:rPr>
          <w:sz w:val="18"/>
          <w:szCs w:val="18"/>
        </w:rPr>
        <w:t xml:space="preserve">Skatīt </w:t>
      </w:r>
      <w:hyperlink r:id="rId9" w:history="1">
        <w:r w:rsidRPr="002514A3">
          <w:rPr>
            <w:rStyle w:val="Hyperlink"/>
            <w:i/>
            <w:iCs/>
            <w:color w:val="00859B"/>
            <w:sz w:val="18"/>
            <w:szCs w:val="18"/>
          </w:rPr>
          <w:t>https://likumi.lv/ta/id/324617-par-atsevisku-ministru-kabineta-noteikumu-atzisanu-par-speku-zaudejusiem</w:t>
        </w:r>
      </w:hyperlink>
      <w:r>
        <w:rPr>
          <w:sz w:val="18"/>
          <w:szCs w:val="18"/>
        </w:rPr>
        <w:t xml:space="preserve"> </w:t>
      </w:r>
    </w:p>
  </w:footnote>
  <w:footnote w:id="14">
    <w:p w14:paraId="2A8C4D1E" w14:textId="3D989120" w:rsidR="00003D52" w:rsidRPr="004E5C56" w:rsidRDefault="00003D52" w:rsidP="00C0521A">
      <w:pPr>
        <w:pStyle w:val="FootnoteText"/>
        <w:jc w:val="both"/>
        <w:rPr>
          <w:sz w:val="18"/>
          <w:szCs w:val="18"/>
        </w:rPr>
      </w:pPr>
      <w:r w:rsidRPr="004E5C56">
        <w:rPr>
          <w:rStyle w:val="FootnoteReference"/>
          <w:sz w:val="18"/>
          <w:szCs w:val="18"/>
        </w:rPr>
        <w:footnoteRef/>
      </w:r>
      <w:r w:rsidRPr="004E5C56">
        <w:rPr>
          <w:sz w:val="18"/>
          <w:szCs w:val="18"/>
        </w:rPr>
        <w:t xml:space="preserve"> Saskaņā ar </w:t>
      </w:r>
      <w:hyperlink r:id="rId10" w:history="1">
        <w:r w:rsidRPr="004E5C56">
          <w:rPr>
            <w:rStyle w:val="Hyperlink"/>
            <w:color w:val="auto"/>
            <w:sz w:val="18"/>
            <w:szCs w:val="18"/>
            <w:u w:val="none"/>
          </w:rPr>
          <w:t xml:space="preserve">MK 2020.gada 14.jūlija noteikumiem Nr.454 </w:t>
        </w:r>
        <w:r w:rsidRPr="004E5C56">
          <w:rPr>
            <w:rStyle w:val="Hyperlink"/>
            <w:i/>
            <w:iCs/>
            <w:color w:val="00859B"/>
            <w:sz w:val="18"/>
            <w:szCs w:val="18"/>
          </w:rPr>
          <w:t>“Noteikumi par garantijām lielajiem komersantiem, kuru darbību ietekmējusi Covid-19 izplatība</w:t>
        </w:r>
      </w:hyperlink>
      <w:r w:rsidRPr="004E5C56">
        <w:rPr>
          <w:i/>
          <w:iCs/>
          <w:color w:val="00859B"/>
          <w:sz w:val="18"/>
          <w:szCs w:val="18"/>
        </w:rPr>
        <w:t>”</w:t>
      </w:r>
      <w:r w:rsidRPr="004E5C56">
        <w:rPr>
          <w:sz w:val="18"/>
          <w:szCs w:val="18"/>
        </w:rPr>
        <w:t xml:space="preserve"> programmu administrē</w:t>
      </w:r>
      <w:r>
        <w:rPr>
          <w:sz w:val="18"/>
          <w:szCs w:val="18"/>
        </w:rPr>
        <w:t>tu</w:t>
      </w:r>
      <w:r w:rsidRPr="004E5C56">
        <w:rPr>
          <w:sz w:val="18"/>
          <w:szCs w:val="18"/>
        </w:rPr>
        <w:t xml:space="preserve"> ALTUM, paredzot atbalstīt lielos komersantus (eksportējošus uzņēmumus), kuru darbībai Covid-19 izplatības dēļ nepieciešams finansējums, lai atjaunotu, saglabātu un veicinātu to konkurētspēju, kā arī palielinātu eksportu</w:t>
      </w:r>
      <w:r>
        <w:rPr>
          <w:sz w:val="18"/>
          <w:szCs w:val="18"/>
        </w:rPr>
        <w:t>.</w:t>
      </w:r>
    </w:p>
  </w:footnote>
  <w:footnote w:id="15">
    <w:p w14:paraId="29123A5C" w14:textId="37256034" w:rsidR="00003D52" w:rsidRPr="002514A3" w:rsidRDefault="00003D52">
      <w:pPr>
        <w:pStyle w:val="FootnoteText"/>
        <w:rPr>
          <w:sz w:val="18"/>
          <w:szCs w:val="18"/>
        </w:rPr>
      </w:pPr>
      <w:r w:rsidRPr="002514A3">
        <w:rPr>
          <w:rStyle w:val="FootnoteReference"/>
          <w:sz w:val="18"/>
          <w:szCs w:val="18"/>
        </w:rPr>
        <w:footnoteRef/>
      </w:r>
      <w:r w:rsidRPr="002514A3">
        <w:rPr>
          <w:sz w:val="18"/>
          <w:szCs w:val="18"/>
        </w:rPr>
        <w:t xml:space="preserve"> Skatīt </w:t>
      </w:r>
      <w:hyperlink r:id="rId11" w:history="1">
        <w:r w:rsidRPr="002514A3">
          <w:rPr>
            <w:rStyle w:val="Hyperlink"/>
            <w:i/>
            <w:iCs/>
            <w:color w:val="00859B"/>
            <w:sz w:val="18"/>
            <w:szCs w:val="18"/>
          </w:rPr>
          <w:t>https://likumi.lv/ta/id/324617-par-atsevisku-ministru-kabineta-noteikumu-atzisanu-par-speku-zaudejusiem</w:t>
        </w:r>
      </w:hyperlink>
      <w:r w:rsidRPr="002514A3">
        <w:rPr>
          <w:sz w:val="18"/>
          <w:szCs w:val="18"/>
        </w:rPr>
        <w:t xml:space="preserve"> </w:t>
      </w:r>
    </w:p>
  </w:footnote>
  <w:footnote w:id="16">
    <w:p w14:paraId="45A93439" w14:textId="46076BB2" w:rsidR="00003D52" w:rsidRPr="00407AA5" w:rsidRDefault="00003D52" w:rsidP="004B7384">
      <w:pPr>
        <w:pStyle w:val="FootnoteText"/>
        <w:jc w:val="both"/>
        <w:rPr>
          <w:sz w:val="18"/>
          <w:szCs w:val="18"/>
        </w:rPr>
      </w:pPr>
      <w:r w:rsidRPr="00407AA5">
        <w:rPr>
          <w:rStyle w:val="FootnoteReference"/>
          <w:sz w:val="18"/>
          <w:szCs w:val="18"/>
        </w:rPr>
        <w:footnoteRef/>
      </w:r>
      <w:r>
        <w:t xml:space="preserve"> </w:t>
      </w:r>
      <w:hyperlink r:id="rId12" w:history="1">
        <w:r w:rsidRPr="00407AA5">
          <w:rPr>
            <w:rStyle w:val="Hyperlink"/>
            <w:color w:val="auto"/>
            <w:sz w:val="18"/>
            <w:szCs w:val="18"/>
            <w:u w:val="none"/>
          </w:rPr>
          <w:t xml:space="preserve">MK 2020.gada 14.jūlija noteikumi Nr.454 </w:t>
        </w:r>
        <w:r w:rsidRPr="00407AA5">
          <w:rPr>
            <w:rStyle w:val="Hyperlink"/>
            <w:i/>
            <w:iCs/>
            <w:color w:val="00859B"/>
            <w:sz w:val="18"/>
            <w:szCs w:val="18"/>
          </w:rPr>
          <w:t>“Noteikumi par atbalstu Covid-19 krīzes skartajiem preču un pakalpojumu eksportētajiem krīzes seku pārvarēšanai</w:t>
        </w:r>
      </w:hyperlink>
    </w:p>
  </w:footnote>
  <w:footnote w:id="17">
    <w:p w14:paraId="07454E3F" w14:textId="77777777" w:rsidR="00003D52" w:rsidRPr="0067060A" w:rsidRDefault="00003D52" w:rsidP="0067060A">
      <w:pPr>
        <w:pStyle w:val="FootnoteText"/>
        <w:jc w:val="both"/>
        <w:rPr>
          <w:color w:val="00859B"/>
          <w:sz w:val="18"/>
          <w:szCs w:val="18"/>
        </w:rPr>
      </w:pPr>
      <w:r w:rsidRPr="0067060A">
        <w:rPr>
          <w:rStyle w:val="FootnoteReference"/>
          <w:sz w:val="18"/>
          <w:szCs w:val="18"/>
        </w:rPr>
        <w:footnoteRef/>
      </w:r>
      <w:r w:rsidRPr="0067060A">
        <w:rPr>
          <w:sz w:val="18"/>
          <w:szCs w:val="18"/>
        </w:rPr>
        <w:t xml:space="preserve"> Skatīt </w:t>
      </w:r>
      <w:hyperlink r:id="rId13" w:history="1">
        <w:r w:rsidRPr="0067060A">
          <w:rPr>
            <w:rStyle w:val="Hyperlink"/>
            <w:i/>
            <w:iCs/>
            <w:color w:val="00859B"/>
            <w:sz w:val="18"/>
            <w:szCs w:val="18"/>
          </w:rPr>
          <w:t>https://www.csb.gov.lv/lv/statistika/statistikas-temas/transports-turisms/turisms/meklet-tema/2935-latvijas-viesnicu-un-citu-turisma-mitnu</w:t>
        </w:r>
      </w:hyperlink>
    </w:p>
  </w:footnote>
  <w:footnote w:id="18">
    <w:p w14:paraId="08D76AB5" w14:textId="77777777" w:rsidR="00003D52" w:rsidRPr="0067060A" w:rsidRDefault="00003D52">
      <w:pPr>
        <w:pStyle w:val="FootnoteText"/>
        <w:rPr>
          <w:sz w:val="18"/>
          <w:szCs w:val="18"/>
        </w:rPr>
      </w:pPr>
      <w:r w:rsidRPr="0067060A">
        <w:rPr>
          <w:rStyle w:val="FootnoteReference"/>
          <w:sz w:val="18"/>
          <w:szCs w:val="18"/>
        </w:rPr>
        <w:footnoteRef/>
      </w:r>
      <w:r w:rsidRPr="0067060A">
        <w:rPr>
          <w:sz w:val="18"/>
          <w:szCs w:val="18"/>
        </w:rPr>
        <w:t xml:space="preserve"> Saraksts pieejams </w:t>
      </w:r>
      <w:hyperlink r:id="rId14" w:history="1">
        <w:r w:rsidRPr="0067060A">
          <w:rPr>
            <w:rStyle w:val="Hyperlink"/>
            <w:i/>
            <w:iCs/>
            <w:color w:val="00859B"/>
            <w:sz w:val="18"/>
            <w:szCs w:val="18"/>
          </w:rPr>
          <w:t>https://www.liaa.gov.lv/lv/covid19/turistu-mitnes-pasizolacijai</w:t>
        </w:r>
      </w:hyperlink>
    </w:p>
  </w:footnote>
  <w:footnote w:id="19">
    <w:p w14:paraId="4B254E7C" w14:textId="77777777" w:rsidR="00003D52" w:rsidRPr="0067060A" w:rsidRDefault="00003D52">
      <w:pPr>
        <w:pStyle w:val="FootnoteText"/>
        <w:rPr>
          <w:sz w:val="18"/>
          <w:szCs w:val="18"/>
        </w:rPr>
      </w:pPr>
      <w:r w:rsidRPr="0067060A">
        <w:rPr>
          <w:rStyle w:val="FootnoteReference"/>
          <w:sz w:val="18"/>
          <w:szCs w:val="18"/>
        </w:rPr>
        <w:footnoteRef/>
      </w:r>
      <w:r w:rsidRPr="0067060A">
        <w:rPr>
          <w:sz w:val="18"/>
          <w:szCs w:val="18"/>
        </w:rPr>
        <w:t xml:space="preserve"> Sīkāk informācija pieejama </w:t>
      </w:r>
      <w:hyperlink r:id="rId15" w:history="1">
        <w:r w:rsidRPr="0067060A">
          <w:rPr>
            <w:rStyle w:val="Hyperlink"/>
            <w:i/>
            <w:iCs/>
            <w:color w:val="00859B"/>
            <w:sz w:val="18"/>
            <w:szCs w:val="18"/>
          </w:rPr>
          <w:t>https://www.em.gov.lv/lv/jaunums/atbalsts-privatpersonam-pasizolacijai-latvija</w:t>
        </w:r>
      </w:hyperlink>
    </w:p>
  </w:footnote>
  <w:footnote w:id="20">
    <w:p w14:paraId="0A5FD628" w14:textId="77777777" w:rsidR="00003D52" w:rsidRPr="0067060A" w:rsidRDefault="00003D52" w:rsidP="00E22E00">
      <w:pPr>
        <w:pStyle w:val="FootnoteText"/>
        <w:jc w:val="both"/>
        <w:rPr>
          <w:rFonts w:cs="Times New Roman"/>
          <w:sz w:val="18"/>
          <w:szCs w:val="18"/>
        </w:rPr>
      </w:pPr>
      <w:r w:rsidRPr="0067060A">
        <w:rPr>
          <w:rStyle w:val="FootnoteReference"/>
          <w:rFonts w:cs="Times New Roman"/>
          <w:sz w:val="18"/>
          <w:szCs w:val="18"/>
        </w:rPr>
        <w:footnoteRef/>
      </w:r>
      <w:r>
        <w:rPr>
          <w:rFonts w:cs="Times New Roman"/>
          <w:sz w:val="18"/>
          <w:szCs w:val="18"/>
        </w:rPr>
        <w:t xml:space="preserve"> </w:t>
      </w:r>
      <w:r w:rsidRPr="0067060A">
        <w:rPr>
          <w:rFonts w:cs="Times New Roman"/>
          <w:sz w:val="18"/>
          <w:szCs w:val="18"/>
        </w:rPr>
        <w:t>Programmas ietvaros darbojas: Viedo materiālu un tehnoloģiju; Farmācijas, biomedicīnas un medicīnas tehnoloģiju; IKT; Enerģētikas un transporta; Latvijas Pārtikas; Meža nozares; Mašīnbūves; Latvijas Elektrisko un optisko iekārtu ražošanas nozares kompetences centri.</w:t>
      </w:r>
    </w:p>
  </w:footnote>
  <w:footnote w:id="21">
    <w:p w14:paraId="1AECA649" w14:textId="77777777" w:rsidR="00003D52" w:rsidRPr="0067060A" w:rsidRDefault="00003D52" w:rsidP="00E22E00">
      <w:pPr>
        <w:pStyle w:val="FootnoteText"/>
        <w:jc w:val="both"/>
        <w:rPr>
          <w:rFonts w:cs="Times New Roman"/>
          <w:sz w:val="18"/>
          <w:szCs w:val="18"/>
        </w:rPr>
      </w:pPr>
      <w:r w:rsidRPr="0067060A">
        <w:rPr>
          <w:rStyle w:val="FootnoteReference"/>
          <w:rFonts w:cs="Times New Roman"/>
          <w:sz w:val="18"/>
          <w:szCs w:val="18"/>
        </w:rPr>
        <w:footnoteRef/>
      </w:r>
      <w:r w:rsidRPr="0067060A">
        <w:rPr>
          <w:rFonts w:cs="Times New Roman"/>
          <w:sz w:val="18"/>
          <w:szCs w:val="18"/>
        </w:rPr>
        <w:t xml:space="preserve"> Programmas ietvaros darbojas: Gaujas nacionālā parka – Entergauja; IT; Latvijas dzīvības zinātņu nozares attīstības; Latvijas Eksporta; Latvijas elektronikas un elektrotehnikas nozares; Latvijas koka būvniecības; Latvijas veselības tūrisma; Metālapstrādes; Pārtikas produktu kvalitātes; CLEANTECH LATVIA; Viedās pilsētas; Zaļo un viedo tehnoloģiju; Drukas un mediju; Latvijas Drošības un aizsardzības klasteri.</w:t>
      </w:r>
    </w:p>
  </w:footnote>
  <w:footnote w:id="22">
    <w:p w14:paraId="1992EF1C" w14:textId="6F0062D2" w:rsidR="00003D52" w:rsidRPr="00F7507C" w:rsidRDefault="00003D52" w:rsidP="001A7310">
      <w:pPr>
        <w:pStyle w:val="FootnoteText"/>
        <w:jc w:val="both"/>
        <w:rPr>
          <w:sz w:val="18"/>
          <w:szCs w:val="18"/>
        </w:rPr>
      </w:pPr>
      <w:r w:rsidRPr="00F7507C">
        <w:rPr>
          <w:rStyle w:val="FootnoteReference"/>
          <w:sz w:val="18"/>
          <w:szCs w:val="18"/>
        </w:rPr>
        <w:footnoteRef/>
      </w:r>
      <w:r w:rsidRPr="00F7507C">
        <w:rPr>
          <w:sz w:val="18"/>
          <w:szCs w:val="18"/>
        </w:rPr>
        <w:t xml:space="preserve"> Sīkāk informāciju par plānoto pasākumu īstenošanu skatīt </w:t>
      </w:r>
      <w:hyperlink r:id="rId16" w:history="1">
        <w:r w:rsidRPr="00F7507C">
          <w:rPr>
            <w:rStyle w:val="Hyperlink"/>
            <w:i/>
            <w:iCs/>
            <w:color w:val="00859B"/>
            <w:sz w:val="18"/>
            <w:szCs w:val="18"/>
          </w:rPr>
          <w:t>Informatīvajā ziņojumā "Par Uzņēmējdarbības vides pilnveidošanas pasākumu plānā iekļauto uzdevumu izpildi"</w:t>
        </w:r>
      </w:hyperlink>
    </w:p>
  </w:footnote>
  <w:footnote w:id="23">
    <w:p w14:paraId="67FC9188" w14:textId="02CF45A2" w:rsidR="00003D52" w:rsidRPr="00F7507C" w:rsidRDefault="00003D52" w:rsidP="00F7507C">
      <w:pPr>
        <w:pStyle w:val="FootnoteText"/>
        <w:jc w:val="both"/>
        <w:rPr>
          <w:sz w:val="18"/>
          <w:szCs w:val="18"/>
        </w:rPr>
      </w:pPr>
      <w:r w:rsidRPr="00F7507C">
        <w:rPr>
          <w:rStyle w:val="FootnoteReference"/>
          <w:sz w:val="18"/>
          <w:szCs w:val="18"/>
        </w:rPr>
        <w:footnoteRef/>
      </w:r>
      <w:r w:rsidRPr="00F7507C">
        <w:rPr>
          <w:sz w:val="18"/>
          <w:szCs w:val="18"/>
        </w:rPr>
        <w:t xml:space="preserve"> </w:t>
      </w:r>
      <w:r w:rsidRPr="00F7507C">
        <w:rPr>
          <w:sz w:val="18"/>
          <w:szCs w:val="18"/>
          <w:lang w:eastAsia="lv-LV"/>
        </w:rPr>
        <w:t>Jaunajā procesā LTRK, LDDK un FICIL katru gadu līdz 15.aprīlim iesniegs priekšlikumus EM par ieviešamajiem pasākumu virzieniem vai pasākumiem uzņēmējdarbības vides pilnveidošanai virzīšanai apstiprināšanai MK, savukārt, atbildīgās valsts pārvaldes institūcijas par pasākumiem līdz katra gada 31.martam iesniegs EM informāciju par paveikto pasākumā no tā apstiprināšanas brīža MK. Katra atbildīgā valsts pārvaldes institūcija, atbilstoši tai piešķirtajiem budžeta līdzekļiem, ir atbildīga par pasākuma īstenošanu noteiktajā termiņā atbilstoši MK apstiprinātajiem pasākumiem uzņēmējdarbības vides pilnveidošanai.</w:t>
      </w:r>
    </w:p>
  </w:footnote>
  <w:footnote w:id="24">
    <w:p w14:paraId="7770C986" w14:textId="77777777" w:rsidR="00003D52" w:rsidRPr="0005005D" w:rsidRDefault="00003D52" w:rsidP="0005005D">
      <w:pPr>
        <w:pStyle w:val="FootnoteText"/>
        <w:jc w:val="both"/>
        <w:rPr>
          <w:sz w:val="18"/>
          <w:szCs w:val="18"/>
        </w:rPr>
      </w:pPr>
      <w:r w:rsidRPr="0005005D">
        <w:rPr>
          <w:rStyle w:val="FootnoteReference"/>
          <w:sz w:val="18"/>
          <w:szCs w:val="18"/>
        </w:rPr>
        <w:footnoteRef/>
      </w:r>
      <w:r w:rsidRPr="0005005D">
        <w:rPr>
          <w:rFonts w:eastAsia="Times New Roman"/>
          <w:i/>
          <w:iCs/>
          <w:sz w:val="18"/>
          <w:szCs w:val="18"/>
        </w:rPr>
        <w:t>Eiropas Parlamenta un Padomes Regulas (ES) 2018/1724 (2018.gada 2.oktobris), ar ko izveido vienotu digitālo vārteju, lai sniegtu piekļuvi informācijai, procedūrām un palīdzības un problēmu risināšanas pakalpojumiem, un ar ko groza Regulu (ES) Nr.1024/2012 īstenošanu</w:t>
      </w:r>
      <w:r>
        <w:rPr>
          <w:rFonts w:eastAsia="Times New Roman"/>
          <w:i/>
          <w:iCs/>
          <w:sz w:val="18"/>
          <w:szCs w:val="18"/>
        </w:rPr>
        <w:t>,</w:t>
      </w:r>
      <w:hyperlink r:id="rId17" w:history="1">
        <w:r w:rsidRPr="0005005D">
          <w:rPr>
            <w:rStyle w:val="Hyperlink"/>
            <w:rFonts w:eastAsia="Times New Roman"/>
            <w:i/>
            <w:iCs/>
            <w:color w:val="00859B"/>
            <w:sz w:val="18"/>
            <w:szCs w:val="18"/>
          </w:rPr>
          <w:t>https://eur-lex.europa.eu/legal-content/LV/TXT/?uri=CELEX%3A32018R1724</w:t>
        </w:r>
      </w:hyperlink>
    </w:p>
  </w:footnote>
  <w:footnote w:id="25">
    <w:p w14:paraId="22D5AA8F" w14:textId="419A5EDF" w:rsidR="00003D52" w:rsidRPr="00B26ECF" w:rsidRDefault="00003D52" w:rsidP="00B26ECF">
      <w:pPr>
        <w:pStyle w:val="FootnoteText"/>
        <w:jc w:val="both"/>
        <w:rPr>
          <w:sz w:val="18"/>
          <w:szCs w:val="18"/>
        </w:rPr>
      </w:pPr>
      <w:r w:rsidRPr="00924E2C">
        <w:rPr>
          <w:rStyle w:val="FootnoteReference"/>
          <w:sz w:val="18"/>
          <w:szCs w:val="18"/>
        </w:rPr>
        <w:footnoteRef/>
      </w:r>
      <w:r w:rsidRPr="00924E2C">
        <w:rPr>
          <w:sz w:val="18"/>
          <w:szCs w:val="18"/>
        </w:rPr>
        <w:t xml:space="preserve"> Inovācijas iepirkums kā inovācijas veicinošs instruments iekļauts politikas plānošanas dokumentos</w:t>
      </w:r>
      <w:r>
        <w:rPr>
          <w:sz w:val="18"/>
          <w:szCs w:val="18"/>
        </w:rPr>
        <w:t>, t.sk</w:t>
      </w:r>
      <w:r w:rsidRPr="00924E2C">
        <w:rPr>
          <w:sz w:val="18"/>
          <w:szCs w:val="18"/>
        </w:rPr>
        <w:t xml:space="preserve">. </w:t>
      </w:r>
      <w:hyperlink r:id="rId18" w:history="1">
        <w:r w:rsidRPr="004E2C62">
          <w:rPr>
            <w:rStyle w:val="Hyperlink"/>
            <w:i/>
            <w:iCs/>
            <w:color w:val="00859B"/>
            <w:sz w:val="18"/>
            <w:szCs w:val="18"/>
          </w:rPr>
          <w:t>Latvijas Nacionālā attīstības plānā 2021.-2027.gadam</w:t>
        </w:r>
      </w:hyperlink>
      <w:r w:rsidRPr="00924E2C">
        <w:rPr>
          <w:sz w:val="18"/>
          <w:szCs w:val="18"/>
        </w:rPr>
        <w:t xml:space="preserve"> viens no rīcības virziena “Produktivitāte un inovācija” uzstādījumiem ir tas, ka publiskajam sektoram ir jāuzņemas aktīva loma kā inovācijas veicinātājiem un pasūtītājiem, kas iekļauj arī inovācijas</w:t>
      </w:r>
      <w:r>
        <w:rPr>
          <w:sz w:val="18"/>
          <w:szCs w:val="18"/>
        </w:rPr>
        <w:t xml:space="preserve"> </w:t>
      </w:r>
      <w:r w:rsidRPr="00924E2C">
        <w:rPr>
          <w:sz w:val="18"/>
          <w:szCs w:val="18"/>
        </w:rPr>
        <w:t>veicināšanu caur publisko iepirkumu. Sīkāk skatīt EM veidotajā materiālā</w:t>
      </w:r>
      <w:r w:rsidRPr="00924E2C">
        <w:rPr>
          <w:sz w:val="18"/>
          <w:szCs w:val="18"/>
          <w:u w:val="single"/>
        </w:rPr>
        <w:t xml:space="preserve"> </w:t>
      </w:r>
      <w:hyperlink r:id="rId19" w:tgtFrame="_blank" w:tooltip="https://www.em.gov.lv/sites/em/files/content/inov%c4%81cijas_dep/em-broshura_elektroniska.pdf" w:history="1">
        <w:r w:rsidRPr="004E2C62">
          <w:rPr>
            <w:rStyle w:val="Hyperlink"/>
            <w:i/>
            <w:iCs/>
            <w:color w:val="00859B"/>
            <w:sz w:val="18"/>
            <w:szCs w:val="18"/>
          </w:rPr>
          <w:t>"Inovācijas iepirkums. Būtiskākais"</w:t>
        </w:r>
      </w:hyperlink>
      <w:r w:rsidRPr="00B26ECF">
        <w:rPr>
          <w:sz w:val="18"/>
          <w:szCs w:val="18"/>
          <w:u w:val="single"/>
        </w:rPr>
        <w:t xml:space="preserve"> </w:t>
      </w:r>
    </w:p>
  </w:footnote>
  <w:footnote w:id="26">
    <w:p w14:paraId="61600D62" w14:textId="77777777" w:rsidR="00003D52" w:rsidRPr="008524DA" w:rsidRDefault="00003D52" w:rsidP="008524DA">
      <w:pPr>
        <w:pStyle w:val="FootnoteText"/>
        <w:jc w:val="both"/>
        <w:rPr>
          <w:sz w:val="18"/>
          <w:szCs w:val="18"/>
        </w:rPr>
      </w:pPr>
      <w:r w:rsidRPr="008524DA">
        <w:rPr>
          <w:rStyle w:val="FootnoteReference"/>
          <w:sz w:val="18"/>
          <w:szCs w:val="18"/>
        </w:rPr>
        <w:footnoteRef/>
      </w:r>
      <w:r w:rsidRPr="008524DA">
        <w:rPr>
          <w:sz w:val="18"/>
          <w:szCs w:val="18"/>
        </w:rPr>
        <w:t xml:space="preserve"> Eiropas Parlamenta un Padomes Direktīva 98/70/EK (1998. gada 13. oktobris), kas attiecas uz benzīna un dīzeļdegvielu kvalitāti un ar ko groza Padomes Direktīvu 93/12/EEK,</w:t>
      </w:r>
      <w:hyperlink r:id="rId20" w:history="1">
        <w:r w:rsidRPr="008524DA">
          <w:rPr>
            <w:rStyle w:val="Hyperlink"/>
            <w:i/>
            <w:iCs/>
            <w:color w:val="00859B"/>
            <w:sz w:val="18"/>
            <w:szCs w:val="18"/>
          </w:rPr>
          <w:t>https://eur-lex.europa.eu/legal-content/LV/TXT/?uri=CELEX%3A31998L0070</w:t>
        </w:r>
      </w:hyperlink>
    </w:p>
  </w:footnote>
  <w:footnote w:id="27">
    <w:p w14:paraId="3CEE4C68" w14:textId="77777777" w:rsidR="00003D52" w:rsidRPr="0067060A" w:rsidRDefault="00003D52">
      <w:pPr>
        <w:pStyle w:val="FootnoteText"/>
        <w:rPr>
          <w:sz w:val="18"/>
          <w:szCs w:val="18"/>
        </w:rPr>
      </w:pPr>
      <w:r w:rsidRPr="0067060A">
        <w:rPr>
          <w:rStyle w:val="FootnoteReference"/>
          <w:sz w:val="18"/>
          <w:szCs w:val="18"/>
        </w:rPr>
        <w:footnoteRef/>
      </w:r>
      <w:r>
        <w:rPr>
          <w:sz w:val="18"/>
          <w:szCs w:val="18"/>
        </w:rPr>
        <w:t xml:space="preserve">Skatīt </w:t>
      </w:r>
      <w:hyperlink r:id="rId21" w:history="1">
        <w:r w:rsidRPr="00613E91">
          <w:rPr>
            <w:rStyle w:val="Hyperlink"/>
            <w:i/>
            <w:iCs/>
            <w:color w:val="00859B"/>
            <w:sz w:val="18"/>
            <w:szCs w:val="18"/>
          </w:rPr>
          <w:t>https://likumi.lv/ta/id/315822-grozijumi-ministru-kabineta-2016-gada-15-marta-noteikumos-nr-160-darbibas-programmas-izaugsme-un-nodarbinatiba-4-2-1-specifiska</w:t>
        </w:r>
      </w:hyperlink>
      <w:r w:rsidRPr="00613E91">
        <w:rPr>
          <w:i/>
          <w:iCs/>
          <w:color w:val="00859B"/>
          <w:sz w:val="18"/>
          <w:szCs w:val="18"/>
        </w:rPr>
        <w:t>..</w:t>
      </w:r>
      <w:r w:rsidRPr="0067060A">
        <w:rPr>
          <w:i/>
          <w:iCs/>
          <w:color w:val="00859B"/>
          <w:sz w:val="18"/>
          <w:szCs w:val="18"/>
        </w:rPr>
        <w:t>.</w:t>
      </w:r>
    </w:p>
  </w:footnote>
  <w:footnote w:id="28">
    <w:p w14:paraId="1CF60986" w14:textId="77777777" w:rsidR="00003D52" w:rsidRPr="00613E91" w:rsidRDefault="00003D52" w:rsidP="000B4ACD">
      <w:pPr>
        <w:pStyle w:val="FootnoteText"/>
        <w:jc w:val="both"/>
        <w:rPr>
          <w:sz w:val="18"/>
          <w:szCs w:val="18"/>
        </w:rPr>
      </w:pPr>
      <w:r w:rsidRPr="00613E91">
        <w:rPr>
          <w:rStyle w:val="FootnoteReference"/>
          <w:sz w:val="18"/>
          <w:szCs w:val="18"/>
        </w:rPr>
        <w:footnoteRef/>
      </w:r>
      <w:r w:rsidRPr="00613E91">
        <w:rPr>
          <w:sz w:val="18"/>
          <w:szCs w:val="18"/>
        </w:rPr>
        <w:t xml:space="preserve"> Elektroniskā darba laika uzskaite būvniecības nozarē ieviesta kā instruments cīņai ar ēnu ekonomiku un tās pamatkomponenti – aplokšņu algām. Kopā ar nozarē parakstīto ģenerālvienošanos tas sniedz būtisku ieguldījumu uzņēmējdarbības vides uzlabošanā, uzņēmumu konkurētspējas veicināšanā, kā arī nodarbināto sociālās aizsardzības stiprināšanā.</w:t>
      </w:r>
    </w:p>
  </w:footnote>
  <w:footnote w:id="29">
    <w:p w14:paraId="25D8280E" w14:textId="7A213AD6" w:rsidR="00003D52" w:rsidRPr="00613E91" w:rsidRDefault="00003D52">
      <w:pPr>
        <w:pStyle w:val="FootnoteText"/>
        <w:rPr>
          <w:sz w:val="18"/>
          <w:szCs w:val="18"/>
        </w:rPr>
      </w:pPr>
      <w:r w:rsidRPr="00613E91">
        <w:rPr>
          <w:rStyle w:val="FootnoteReference"/>
          <w:sz w:val="18"/>
          <w:szCs w:val="18"/>
        </w:rPr>
        <w:footnoteRef/>
      </w:r>
      <w:r>
        <w:rPr>
          <w:color w:val="000000"/>
          <w:sz w:val="18"/>
          <w:szCs w:val="18"/>
          <w:shd w:val="clear" w:color="auto" w:fill="FFFFFF"/>
        </w:rPr>
        <w:t xml:space="preserve"> </w:t>
      </w:r>
      <w:r w:rsidRPr="00613E91">
        <w:rPr>
          <w:color w:val="000000"/>
          <w:sz w:val="18"/>
          <w:szCs w:val="18"/>
          <w:shd w:val="clear" w:color="auto" w:fill="FFFFFF"/>
        </w:rPr>
        <w:t>BIM ceļa karte paredz BIM ieviešanu, noteiktos publiskajos būvniecības iepirkumos, līdz 2025. gadam.</w:t>
      </w:r>
    </w:p>
  </w:footnote>
  <w:footnote w:id="30">
    <w:p w14:paraId="70857AC6" w14:textId="77777777" w:rsidR="00003D52" w:rsidRPr="00613E91" w:rsidRDefault="00003D52" w:rsidP="00C22DCD">
      <w:pPr>
        <w:pStyle w:val="FootnoteText"/>
        <w:rPr>
          <w:sz w:val="18"/>
          <w:szCs w:val="18"/>
        </w:rPr>
      </w:pPr>
      <w:r w:rsidRPr="00613E91">
        <w:rPr>
          <w:rStyle w:val="FootnoteReference"/>
          <w:sz w:val="18"/>
          <w:szCs w:val="18"/>
        </w:rPr>
        <w:footnoteRef/>
      </w:r>
      <w:r w:rsidRPr="00613E91">
        <w:rPr>
          <w:sz w:val="18"/>
          <w:szCs w:val="18"/>
        </w:rPr>
        <w:t xml:space="preserve"> Projekta nodevums: “</w:t>
      </w:r>
      <w:hyperlink r:id="rId22" w:history="1">
        <w:r w:rsidRPr="00613E91">
          <w:rPr>
            <w:rStyle w:val="Hyperlink"/>
            <w:i/>
            <w:iCs/>
            <w:color w:val="00859B"/>
            <w:sz w:val="18"/>
            <w:szCs w:val="18"/>
          </w:rPr>
          <w:t>Policy Actions for Affordable Housing in Latvia</w:t>
        </w:r>
      </w:hyperlink>
      <w:r w:rsidRPr="00613E91">
        <w:rPr>
          <w:sz w:val="18"/>
          <w:szCs w:val="18"/>
        </w:rPr>
        <w:t>”</w:t>
      </w:r>
    </w:p>
  </w:footnote>
  <w:footnote w:id="31">
    <w:p w14:paraId="4BC3E807" w14:textId="13912C6F" w:rsidR="00003D52" w:rsidRPr="0067060A" w:rsidRDefault="00003D52" w:rsidP="00C22DCD">
      <w:pPr>
        <w:pStyle w:val="FootnoteText"/>
        <w:jc w:val="both"/>
        <w:rPr>
          <w:sz w:val="18"/>
          <w:szCs w:val="18"/>
        </w:rPr>
      </w:pPr>
      <w:r w:rsidRPr="0067060A">
        <w:rPr>
          <w:rStyle w:val="FootnoteReference"/>
          <w:sz w:val="18"/>
          <w:szCs w:val="18"/>
        </w:rPr>
        <w:footnoteRef/>
      </w:r>
      <w:r w:rsidRPr="0067060A">
        <w:rPr>
          <w:sz w:val="18"/>
          <w:szCs w:val="18"/>
        </w:rPr>
        <w:t xml:space="preserve"> Vairāk informācija par pieteikto atbalsta programmu atrodama </w:t>
      </w:r>
      <w:hyperlink r:id="rId23" w:history="1">
        <w:r w:rsidRPr="0067060A">
          <w:rPr>
            <w:rStyle w:val="Hyperlink"/>
            <w:i/>
            <w:iCs/>
            <w:color w:val="00859B"/>
            <w:sz w:val="18"/>
            <w:szCs w:val="18"/>
          </w:rPr>
          <w:t>Atveseļošanās un noturības mehānisma plāna</w:t>
        </w:r>
      </w:hyperlink>
      <w:r>
        <w:rPr>
          <w:rStyle w:val="Hyperlink"/>
          <w:i/>
          <w:iCs/>
          <w:color w:val="00859B"/>
          <w:sz w:val="18"/>
          <w:szCs w:val="18"/>
        </w:rPr>
        <w:t xml:space="preserve"> </w:t>
      </w:r>
      <w:r w:rsidRPr="0067060A">
        <w:rPr>
          <w:sz w:val="18"/>
          <w:szCs w:val="18"/>
        </w:rPr>
        <w:t xml:space="preserve">sadaļā “Investīcija 3.1.1.4.i. Finansēšanas fonda izveidei zemas īres mājokļu būvniecībai”181.-187.lpp. </w:t>
      </w:r>
    </w:p>
  </w:footnote>
  <w:footnote w:id="32">
    <w:p w14:paraId="35A9362D" w14:textId="77777777" w:rsidR="00003D52" w:rsidRPr="0067060A" w:rsidRDefault="00003D52" w:rsidP="005D1B30">
      <w:pPr>
        <w:pStyle w:val="FootnoteText"/>
        <w:jc w:val="both"/>
        <w:rPr>
          <w:sz w:val="18"/>
          <w:szCs w:val="18"/>
        </w:rPr>
      </w:pPr>
      <w:r w:rsidRPr="0067060A">
        <w:rPr>
          <w:rStyle w:val="FootnoteReference"/>
          <w:sz w:val="18"/>
          <w:szCs w:val="18"/>
        </w:rPr>
        <w:footnoteRef/>
      </w:r>
      <w:r w:rsidRPr="0067060A">
        <w:rPr>
          <w:sz w:val="18"/>
          <w:szCs w:val="18"/>
        </w:rPr>
        <w:t xml:space="preserve"> MK 2018.</w:t>
      </w:r>
      <w:r>
        <w:rPr>
          <w:sz w:val="18"/>
          <w:szCs w:val="18"/>
        </w:rPr>
        <w:t> gada 20. februāra</w:t>
      </w:r>
      <w:r w:rsidRPr="0067060A">
        <w:rPr>
          <w:sz w:val="18"/>
          <w:szCs w:val="18"/>
        </w:rPr>
        <w:t xml:space="preserve"> noteikumi Nr.95 “</w:t>
      </w:r>
      <w:hyperlink r:id="rId24" w:history="1">
        <w:r w:rsidRPr="0067060A">
          <w:rPr>
            <w:rStyle w:val="Hyperlink"/>
            <w:i/>
            <w:iCs/>
            <w:color w:val="00859B"/>
            <w:sz w:val="18"/>
            <w:szCs w:val="18"/>
          </w:rPr>
          <w:t>Noteikumi par valsts palīdzību dzīvojamās telpas iegādei vai būvniecībai</w:t>
        </w:r>
      </w:hyperlink>
      <w:r w:rsidRPr="0067060A">
        <w:rPr>
          <w:sz w:val="18"/>
          <w:szCs w:val="18"/>
        </w:rPr>
        <w:t>”</w:t>
      </w:r>
    </w:p>
  </w:footnote>
  <w:footnote w:id="33">
    <w:p w14:paraId="379029D3" w14:textId="77777777" w:rsidR="00003D52" w:rsidRPr="0067060A" w:rsidRDefault="00003D52" w:rsidP="006F1FF1">
      <w:pPr>
        <w:spacing w:after="0" w:line="240" w:lineRule="auto"/>
        <w:jc w:val="both"/>
        <w:rPr>
          <w:sz w:val="18"/>
          <w:szCs w:val="18"/>
        </w:rPr>
      </w:pPr>
      <w:r w:rsidRPr="0067060A">
        <w:rPr>
          <w:rStyle w:val="FootnoteReference"/>
          <w:sz w:val="18"/>
          <w:szCs w:val="18"/>
        </w:rPr>
        <w:footnoteRef/>
      </w:r>
      <w:r w:rsidRPr="0067060A">
        <w:rPr>
          <w:sz w:val="18"/>
          <w:szCs w:val="18"/>
        </w:rPr>
        <w:t xml:space="preserve"> MK pieņemtie </w:t>
      </w:r>
      <w:r w:rsidRPr="0067060A">
        <w:rPr>
          <w:rFonts w:eastAsia="Times New Roman"/>
          <w:sz w:val="18"/>
          <w:szCs w:val="18"/>
        </w:rPr>
        <w:t>grozījumi MK 21.08.2018. noteikumos Nr.531 “</w:t>
      </w:r>
      <w:hyperlink r:id="rId25" w:history="1">
        <w:r w:rsidRPr="0067060A">
          <w:rPr>
            <w:rStyle w:val="Hyperlink"/>
            <w:rFonts w:eastAsia="Times New Roman"/>
            <w:i/>
            <w:iCs/>
            <w:color w:val="00859B"/>
            <w:sz w:val="18"/>
            <w:szCs w:val="18"/>
          </w:rPr>
          <w:t>Noteikumi par neatkarīgu ekspertu kompetences novērtēšanu un profesionālās darbības uzraudzību ēku energoefektivitātes jomā</w:t>
        </w:r>
      </w:hyperlink>
      <w:r w:rsidRPr="0067060A">
        <w:rPr>
          <w:rFonts w:eastAsia="Times New Roman"/>
          <w:sz w:val="18"/>
          <w:szCs w:val="18"/>
        </w:rPr>
        <w:t xml:space="preserve">” </w:t>
      </w:r>
    </w:p>
  </w:footnote>
  <w:footnote w:id="34">
    <w:p w14:paraId="30A15673" w14:textId="5D82AAF8" w:rsidR="00003D52" w:rsidRPr="0067060A" w:rsidRDefault="00003D52" w:rsidP="00C22DCD">
      <w:pPr>
        <w:spacing w:after="0" w:line="240" w:lineRule="auto"/>
        <w:contextualSpacing/>
        <w:jc w:val="both"/>
        <w:rPr>
          <w:rFonts w:eastAsia="Times New Roman" w:cstheme="minorHAnsi"/>
          <w:sz w:val="18"/>
          <w:szCs w:val="18"/>
        </w:rPr>
      </w:pPr>
      <w:r w:rsidRPr="0067060A">
        <w:rPr>
          <w:rStyle w:val="FootnoteReference"/>
          <w:sz w:val="18"/>
          <w:szCs w:val="18"/>
        </w:rPr>
        <w:footnoteRef/>
      </w:r>
      <w:r>
        <w:rPr>
          <w:rFonts w:eastAsia="Times New Roman" w:cstheme="minorHAnsi"/>
          <w:sz w:val="18"/>
          <w:szCs w:val="18"/>
        </w:rPr>
        <w:t xml:space="preserve"> </w:t>
      </w:r>
      <w:r w:rsidRPr="0067060A">
        <w:rPr>
          <w:rFonts w:eastAsia="Times New Roman" w:cstheme="minorHAnsi"/>
          <w:sz w:val="18"/>
          <w:szCs w:val="18"/>
        </w:rPr>
        <w:t xml:space="preserve">MK </w:t>
      </w:r>
      <w:hyperlink r:id="rId26" w:history="1">
        <w:r w:rsidRPr="0067060A">
          <w:rPr>
            <w:rStyle w:val="Hyperlink"/>
            <w:rFonts w:eastAsia="Times New Roman" w:cstheme="minorHAnsi"/>
            <w:color w:val="00859B"/>
            <w:sz w:val="18"/>
            <w:szCs w:val="18"/>
          </w:rPr>
          <w:t>31.03.2020</w:t>
        </w:r>
      </w:hyperlink>
      <w:r w:rsidRPr="0067060A">
        <w:rPr>
          <w:rStyle w:val="Hyperlink"/>
          <w:rFonts w:eastAsia="Times New Roman" w:cstheme="minorHAnsi"/>
          <w:color w:val="00859B"/>
          <w:sz w:val="18"/>
          <w:szCs w:val="18"/>
        </w:rPr>
        <w:t>.</w:t>
      </w:r>
      <w:r w:rsidRPr="0067060A">
        <w:rPr>
          <w:rFonts w:eastAsia="Times New Roman" w:cstheme="minorHAnsi"/>
          <w:sz w:val="18"/>
          <w:szCs w:val="18"/>
        </w:rPr>
        <w:t xml:space="preserve"> un </w:t>
      </w:r>
      <w:hyperlink r:id="rId27" w:history="1">
        <w:r w:rsidRPr="0067060A">
          <w:rPr>
            <w:rStyle w:val="Hyperlink"/>
            <w:rFonts w:eastAsia="Times New Roman" w:cstheme="minorHAnsi"/>
            <w:color w:val="00859B"/>
            <w:sz w:val="18"/>
            <w:szCs w:val="18"/>
          </w:rPr>
          <w:t>21.04.2020</w:t>
        </w:r>
      </w:hyperlink>
      <w:r w:rsidRPr="0067060A">
        <w:rPr>
          <w:rFonts w:eastAsia="Times New Roman" w:cstheme="minorHAnsi"/>
          <w:color w:val="00859B"/>
          <w:sz w:val="18"/>
          <w:szCs w:val="18"/>
        </w:rPr>
        <w:t>.</w:t>
      </w:r>
      <w:r w:rsidRPr="0067060A">
        <w:rPr>
          <w:rFonts w:eastAsia="Times New Roman" w:cstheme="minorHAnsi"/>
          <w:sz w:val="18"/>
          <w:szCs w:val="18"/>
        </w:rPr>
        <w:t xml:space="preserve"> pieņemtie grozījumi MK 09.12.2008. noteikumos Nr.1013 „Kārtība, kādā dzīvokļa īpašnieks daudzdzīvokļu dzīvojamā mājā norēķinās par pakalpojumiem, kas saistīti ar dzīvokļa īpašuma lietošanu”.</w:t>
      </w:r>
    </w:p>
  </w:footnote>
  <w:footnote w:id="35">
    <w:p w14:paraId="387E489A" w14:textId="78E5CD03" w:rsidR="00003D52" w:rsidRPr="0067060A" w:rsidRDefault="00003D52" w:rsidP="00C22DCD">
      <w:pPr>
        <w:spacing w:after="0" w:line="240" w:lineRule="auto"/>
        <w:contextualSpacing/>
        <w:jc w:val="both"/>
        <w:rPr>
          <w:rFonts w:eastAsia="Times New Roman" w:cstheme="minorHAnsi"/>
          <w:sz w:val="18"/>
          <w:szCs w:val="18"/>
        </w:rPr>
      </w:pPr>
      <w:r w:rsidRPr="0067060A">
        <w:rPr>
          <w:rStyle w:val="FootnoteReference"/>
          <w:rFonts w:cstheme="minorHAnsi"/>
          <w:sz w:val="18"/>
          <w:szCs w:val="18"/>
        </w:rPr>
        <w:footnoteRef/>
      </w:r>
      <w:r>
        <w:rPr>
          <w:rFonts w:eastAsia="Times New Roman" w:cstheme="minorHAnsi"/>
          <w:sz w:val="18"/>
          <w:szCs w:val="18"/>
        </w:rPr>
        <w:t xml:space="preserve"> </w:t>
      </w:r>
      <w:r w:rsidRPr="0067060A">
        <w:rPr>
          <w:rFonts w:eastAsia="Times New Roman" w:cstheme="minorHAnsi"/>
          <w:sz w:val="18"/>
          <w:szCs w:val="18"/>
        </w:rPr>
        <w:t xml:space="preserve">MK </w:t>
      </w:r>
      <w:hyperlink r:id="rId28" w:history="1">
        <w:r w:rsidRPr="0067060A">
          <w:rPr>
            <w:rStyle w:val="Hyperlink"/>
            <w:rFonts w:eastAsia="Times New Roman" w:cstheme="minorHAnsi"/>
            <w:color w:val="00859B"/>
            <w:sz w:val="18"/>
            <w:szCs w:val="18"/>
          </w:rPr>
          <w:t>31.03.2020</w:t>
        </w:r>
      </w:hyperlink>
      <w:r w:rsidRPr="0067060A">
        <w:rPr>
          <w:rStyle w:val="Hyperlink"/>
          <w:rFonts w:eastAsia="Times New Roman" w:cstheme="minorHAnsi"/>
          <w:color w:val="00859B"/>
          <w:sz w:val="18"/>
          <w:szCs w:val="18"/>
        </w:rPr>
        <w:t>.</w:t>
      </w:r>
      <w:r w:rsidRPr="0067060A">
        <w:rPr>
          <w:rFonts w:eastAsia="Times New Roman" w:cstheme="minorHAnsi"/>
          <w:sz w:val="18"/>
          <w:szCs w:val="18"/>
        </w:rPr>
        <w:t xml:space="preserve"> un </w:t>
      </w:r>
      <w:hyperlink r:id="rId29" w:history="1">
        <w:r w:rsidRPr="0067060A">
          <w:rPr>
            <w:rStyle w:val="Hyperlink"/>
            <w:rFonts w:eastAsia="Times New Roman" w:cstheme="minorHAnsi"/>
            <w:color w:val="00859B"/>
            <w:sz w:val="18"/>
            <w:szCs w:val="18"/>
          </w:rPr>
          <w:t>21.04.2020</w:t>
        </w:r>
      </w:hyperlink>
      <w:r w:rsidRPr="0067060A">
        <w:rPr>
          <w:rStyle w:val="Hyperlink"/>
          <w:rFonts w:eastAsia="Times New Roman" w:cstheme="minorHAnsi"/>
          <w:color w:val="00859B"/>
          <w:sz w:val="18"/>
          <w:szCs w:val="18"/>
        </w:rPr>
        <w:t>.</w:t>
      </w:r>
      <w:r w:rsidRPr="0067060A">
        <w:rPr>
          <w:rFonts w:eastAsia="Times New Roman" w:cstheme="minorHAnsi"/>
          <w:sz w:val="18"/>
          <w:szCs w:val="18"/>
        </w:rPr>
        <w:t xml:space="preserve"> pieņemtie grozījumi MK 15.09.2015. noteikumos Nr.524 „Kārtība, kādā nosaka, aprēķina un uzskaita katra dzīvojamās mājas īpašnieka maksājamo daļu par dzīvojamās mājas uzturēšanai nepieciešamajiem pakalpojumiem”. </w:t>
      </w:r>
    </w:p>
  </w:footnote>
  <w:footnote w:id="36">
    <w:p w14:paraId="5FB41914" w14:textId="77777777" w:rsidR="00003D52" w:rsidRPr="0067060A" w:rsidRDefault="00003D52" w:rsidP="00B736A7">
      <w:pPr>
        <w:pStyle w:val="FootnoteText"/>
        <w:jc w:val="both"/>
        <w:rPr>
          <w:sz w:val="18"/>
          <w:szCs w:val="18"/>
        </w:rPr>
      </w:pPr>
      <w:r w:rsidRPr="0067060A">
        <w:rPr>
          <w:rStyle w:val="FootnoteReference"/>
          <w:sz w:val="18"/>
          <w:szCs w:val="18"/>
        </w:rPr>
        <w:footnoteRef/>
      </w:r>
      <w:r w:rsidRPr="00613E91">
        <w:rPr>
          <w:sz w:val="18"/>
          <w:szCs w:val="18"/>
        </w:rPr>
        <w:t>Eiropas Parlamenta un Padomes Direktīva 2019/1/ES (2018.</w:t>
      </w:r>
      <w:r>
        <w:rPr>
          <w:sz w:val="18"/>
          <w:szCs w:val="18"/>
        </w:rPr>
        <w:t> </w:t>
      </w:r>
      <w:r w:rsidRPr="00613E91">
        <w:rPr>
          <w:sz w:val="18"/>
          <w:szCs w:val="18"/>
        </w:rPr>
        <w:t>gada 11.</w:t>
      </w:r>
      <w:r>
        <w:rPr>
          <w:sz w:val="18"/>
          <w:szCs w:val="18"/>
        </w:rPr>
        <w:t> </w:t>
      </w:r>
      <w:r w:rsidRPr="00613E91">
        <w:rPr>
          <w:sz w:val="18"/>
          <w:szCs w:val="18"/>
        </w:rPr>
        <w:t xml:space="preserve">decembris) par apstākļu nodrošināšanu nolūkā dot dalībvalstu konkurences iestādēm iespēju efektīvāk izpildīt konkurences noteikumus un par iekšējā tirgus pienācīgas darbības nodrošināšanu (ECN+ </w:t>
      </w:r>
      <w:r>
        <w:rPr>
          <w:sz w:val="18"/>
          <w:szCs w:val="18"/>
        </w:rPr>
        <w:t>D</w:t>
      </w:r>
      <w:r w:rsidRPr="00613E91">
        <w:rPr>
          <w:sz w:val="18"/>
          <w:szCs w:val="18"/>
        </w:rPr>
        <w:t>irektīva)</w:t>
      </w:r>
      <w:r>
        <w:rPr>
          <w:sz w:val="18"/>
          <w:szCs w:val="18"/>
        </w:rPr>
        <w:t xml:space="preserve">, </w:t>
      </w:r>
      <w:hyperlink r:id="rId30" w:history="1">
        <w:r w:rsidRPr="0029754A">
          <w:rPr>
            <w:rStyle w:val="Hyperlink"/>
            <w:i/>
            <w:iCs/>
            <w:color w:val="00859B"/>
            <w:sz w:val="18"/>
            <w:szCs w:val="18"/>
          </w:rPr>
          <w:t>https://eur-lex.europa.eu/legal-content/LV/TXT/?uri=CELEX:32019L0001</w:t>
        </w:r>
      </w:hyperlink>
    </w:p>
  </w:footnote>
  <w:footnote w:id="37">
    <w:p w14:paraId="1B330C01" w14:textId="77777777" w:rsidR="00003D52" w:rsidRPr="0067060A" w:rsidRDefault="00003D52" w:rsidP="007B1B74">
      <w:pPr>
        <w:pStyle w:val="FootnoteText"/>
        <w:jc w:val="both"/>
        <w:rPr>
          <w:sz w:val="18"/>
          <w:szCs w:val="18"/>
        </w:rPr>
      </w:pPr>
      <w:r w:rsidRPr="0067060A">
        <w:rPr>
          <w:rStyle w:val="FootnoteReference"/>
          <w:sz w:val="18"/>
          <w:szCs w:val="18"/>
        </w:rPr>
        <w:footnoteRef/>
      </w:r>
      <w:r w:rsidRPr="0067060A">
        <w:rPr>
          <w:sz w:val="18"/>
          <w:szCs w:val="18"/>
        </w:rPr>
        <w:t xml:space="preserve"> Trīs gadu ieviešanas posms noslēdzās 2020. gadā, vairāk informācijas par </w:t>
      </w:r>
      <w:r>
        <w:rPr>
          <w:sz w:val="18"/>
          <w:szCs w:val="18"/>
        </w:rPr>
        <w:t xml:space="preserve">īstenoto </w:t>
      </w:r>
      <w:r w:rsidRPr="0067060A">
        <w:rPr>
          <w:sz w:val="18"/>
          <w:szCs w:val="18"/>
        </w:rPr>
        <w:t xml:space="preserve">iniciatīvu pieejams: </w:t>
      </w:r>
      <w:hyperlink r:id="rId31" w:history="1">
        <w:r w:rsidRPr="0067060A">
          <w:rPr>
            <w:rStyle w:val="Hyperlink"/>
            <w:i/>
            <w:iCs/>
            <w:color w:val="00859B"/>
            <w:sz w:val="18"/>
            <w:szCs w:val="18"/>
          </w:rPr>
          <w:t>https://www.em.gov.lv/lv/konsulte-vispirms</w:t>
        </w:r>
      </w:hyperlink>
    </w:p>
  </w:footnote>
  <w:footnote w:id="38">
    <w:p w14:paraId="10603FE2" w14:textId="77777777" w:rsidR="00003D52" w:rsidRPr="004F77BB" w:rsidRDefault="00003D52">
      <w:pPr>
        <w:pStyle w:val="FootnoteText"/>
        <w:rPr>
          <w:sz w:val="18"/>
          <w:szCs w:val="18"/>
        </w:rPr>
      </w:pPr>
      <w:r w:rsidRPr="004F77BB">
        <w:rPr>
          <w:rStyle w:val="FootnoteReference"/>
          <w:sz w:val="18"/>
          <w:szCs w:val="18"/>
        </w:rPr>
        <w:footnoteRef/>
      </w:r>
      <w:r>
        <w:rPr>
          <w:sz w:val="18"/>
          <w:szCs w:val="18"/>
        </w:rPr>
        <w:t xml:space="preserve">Informācija par pētījumu: </w:t>
      </w:r>
      <w:hyperlink r:id="rId32" w:history="1">
        <w:r w:rsidRPr="004F77BB">
          <w:rPr>
            <w:rStyle w:val="Hyperlink"/>
            <w:i/>
            <w:iCs/>
            <w:color w:val="00859B"/>
            <w:sz w:val="18"/>
            <w:szCs w:val="18"/>
          </w:rPr>
          <w:t>https://www.em.gov.lv/lv/buvniecibas-nozare-attistiba-strategija-un-petijum</w:t>
        </w:r>
      </w:hyperlink>
      <w:r w:rsidRPr="004F77BB">
        <w:rPr>
          <w:i/>
          <w:iCs/>
          <w:color w:val="00859B"/>
          <w:sz w:val="18"/>
          <w:szCs w:val="18"/>
          <w:u w:val="single"/>
        </w:rPr>
        <w:t>i</w:t>
      </w:r>
    </w:p>
  </w:footnote>
  <w:footnote w:id="39">
    <w:p w14:paraId="577F7972" w14:textId="77777777" w:rsidR="00003D52" w:rsidRPr="004F77BB" w:rsidRDefault="00003D52" w:rsidP="00850BB5">
      <w:pPr>
        <w:pStyle w:val="FootnoteText"/>
        <w:jc w:val="both"/>
        <w:rPr>
          <w:sz w:val="18"/>
          <w:szCs w:val="18"/>
        </w:rPr>
      </w:pPr>
      <w:r w:rsidRPr="004F77BB">
        <w:rPr>
          <w:rStyle w:val="FootnoteReference"/>
          <w:sz w:val="18"/>
          <w:szCs w:val="18"/>
        </w:rPr>
        <w:footnoteRef/>
      </w:r>
      <w:r>
        <w:rPr>
          <w:sz w:val="18"/>
          <w:szCs w:val="18"/>
        </w:rPr>
        <w:t>M</w:t>
      </w:r>
      <w:r w:rsidRPr="004F77BB">
        <w:rPr>
          <w:sz w:val="18"/>
          <w:szCs w:val="18"/>
        </w:rPr>
        <w:t xml:space="preserve">onitoringa ziņojums pieejams </w:t>
      </w:r>
      <w:hyperlink r:id="rId33" w:history="1">
        <w:r w:rsidRPr="004F77BB">
          <w:rPr>
            <w:rStyle w:val="Hyperlink"/>
            <w:i/>
            <w:iCs/>
            <w:color w:val="00859B"/>
            <w:sz w:val="18"/>
            <w:szCs w:val="18"/>
          </w:rPr>
          <w:t>http://petijumi.mk.gov.lv/node/3291</w:t>
        </w:r>
      </w:hyperlink>
    </w:p>
  </w:footnote>
  <w:footnote w:id="40">
    <w:p w14:paraId="5062FB08" w14:textId="77777777" w:rsidR="00003D52" w:rsidRPr="004F77BB" w:rsidRDefault="00003D52" w:rsidP="008D791D">
      <w:pPr>
        <w:spacing w:after="0" w:line="240" w:lineRule="auto"/>
        <w:rPr>
          <w:rFonts w:cs="Times New Roman"/>
          <w:sz w:val="18"/>
          <w:szCs w:val="18"/>
        </w:rPr>
      </w:pPr>
      <w:r w:rsidRPr="004F77BB">
        <w:rPr>
          <w:rStyle w:val="FootnoteReference"/>
          <w:rFonts w:cs="Times New Roman"/>
          <w:sz w:val="18"/>
          <w:szCs w:val="18"/>
        </w:rPr>
        <w:footnoteRef/>
      </w:r>
      <w:r w:rsidRPr="004F77BB">
        <w:rPr>
          <w:rFonts w:cs="Times New Roman"/>
          <w:sz w:val="18"/>
          <w:szCs w:val="18"/>
        </w:rPr>
        <w:t xml:space="preserve"> Informācija par pētījumu: </w:t>
      </w:r>
      <w:hyperlink r:id="rId34" w:tgtFrame="_blank" w:tooltip="https://www.nordicenergy.org/publications/heat-pump-potential-in-the-baltic-states/" w:history="1">
        <w:r w:rsidRPr="004F77BB">
          <w:rPr>
            <w:rStyle w:val="Hyperlink"/>
            <w:rFonts w:cs="Times New Roman"/>
            <w:i/>
            <w:iCs/>
            <w:color w:val="00859B"/>
            <w:sz w:val="18"/>
            <w:szCs w:val="18"/>
          </w:rPr>
          <w:t>https://www.nordicenergy.org/publications/heat-pump-potential-in-the-baltic-states/</w:t>
        </w:r>
      </w:hyperlink>
    </w:p>
  </w:footnote>
  <w:footnote w:id="41">
    <w:p w14:paraId="00453BF9" w14:textId="77777777" w:rsidR="00003D52" w:rsidRPr="004F77BB" w:rsidRDefault="00003D52" w:rsidP="008D791D">
      <w:pPr>
        <w:spacing w:after="0" w:line="240" w:lineRule="auto"/>
        <w:rPr>
          <w:rFonts w:cs="Times New Roman"/>
          <w:sz w:val="18"/>
          <w:szCs w:val="18"/>
        </w:rPr>
      </w:pPr>
      <w:r w:rsidRPr="004F77BB">
        <w:rPr>
          <w:rStyle w:val="FootnoteReference"/>
          <w:rFonts w:cs="Times New Roman"/>
          <w:sz w:val="18"/>
          <w:szCs w:val="18"/>
        </w:rPr>
        <w:footnoteRef/>
      </w:r>
      <w:r w:rsidRPr="004F77BB">
        <w:rPr>
          <w:rFonts w:cs="Times New Roman"/>
          <w:sz w:val="18"/>
          <w:szCs w:val="18"/>
        </w:rPr>
        <w:t xml:space="preserve"> Informācija par pētījumu: </w:t>
      </w:r>
      <w:hyperlink r:id="rId35" w:history="1">
        <w:r w:rsidRPr="004F77BB">
          <w:rPr>
            <w:rStyle w:val="Hyperlink"/>
            <w:rFonts w:eastAsia="Times New Roman" w:cs="Times New Roman"/>
            <w:i/>
            <w:iCs/>
            <w:color w:val="00859B"/>
            <w:sz w:val="18"/>
            <w:szCs w:val="18"/>
            <w:lang w:eastAsia="lv-LV"/>
          </w:rPr>
          <w:t>https://www.nordicenergy.org/article/baltic-nordic-research-in-decarbonization/</w:t>
        </w:r>
      </w:hyperlink>
    </w:p>
  </w:footnote>
  <w:footnote w:id="42">
    <w:p w14:paraId="7B1A7FAB" w14:textId="77777777" w:rsidR="00003D52" w:rsidRPr="004F77BB" w:rsidRDefault="00003D52" w:rsidP="008D791D">
      <w:pPr>
        <w:spacing w:after="0" w:line="240" w:lineRule="auto"/>
        <w:rPr>
          <w:sz w:val="18"/>
          <w:szCs w:val="18"/>
        </w:rPr>
      </w:pPr>
      <w:r w:rsidRPr="004F77BB">
        <w:rPr>
          <w:rStyle w:val="FootnoteReference"/>
          <w:rFonts w:cs="Times New Roman"/>
          <w:sz w:val="18"/>
          <w:szCs w:val="18"/>
        </w:rPr>
        <w:footnoteRef/>
      </w:r>
      <w:r w:rsidRPr="004F77BB">
        <w:rPr>
          <w:rFonts w:cs="Times New Roman"/>
          <w:sz w:val="18"/>
          <w:szCs w:val="18"/>
        </w:rPr>
        <w:t xml:space="preserve"> Informācija par pētījumu: </w:t>
      </w:r>
      <w:hyperlink r:id="rId36" w:history="1">
        <w:r w:rsidRPr="004F77BB">
          <w:rPr>
            <w:rStyle w:val="Hyperlink"/>
            <w:rFonts w:eastAsia="Times New Roman" w:cs="Times New Roman"/>
            <w:i/>
            <w:iCs/>
            <w:color w:val="00859B"/>
            <w:sz w:val="18"/>
            <w:szCs w:val="18"/>
            <w:lang w:eastAsia="lv-LV"/>
          </w:rPr>
          <w:t>https://www.nordicenergy.org/publications/tracking-nordic-clean-energy-progress/</w:t>
        </w:r>
      </w:hyperlink>
    </w:p>
  </w:footnote>
  <w:footnote w:id="43">
    <w:p w14:paraId="42A0B683" w14:textId="77777777" w:rsidR="00003D52" w:rsidRPr="00157497" w:rsidRDefault="00003D52" w:rsidP="00157497">
      <w:pPr>
        <w:spacing w:after="0" w:line="240" w:lineRule="auto"/>
        <w:jc w:val="both"/>
        <w:rPr>
          <w:sz w:val="18"/>
          <w:szCs w:val="18"/>
        </w:rPr>
      </w:pPr>
      <w:r w:rsidRPr="00157497">
        <w:rPr>
          <w:rStyle w:val="FootnoteReference"/>
          <w:sz w:val="18"/>
          <w:szCs w:val="18"/>
        </w:rPr>
        <w:footnoteRef/>
      </w:r>
      <w:r w:rsidRPr="00157497">
        <w:rPr>
          <w:sz w:val="18"/>
          <w:szCs w:val="18"/>
        </w:rPr>
        <w:t xml:space="preserve"> Pētījums pieejams: </w:t>
      </w:r>
      <w:hyperlink r:id="rId37" w:history="1">
        <w:r w:rsidRPr="000B5C31">
          <w:rPr>
            <w:rStyle w:val="Hyperlink"/>
            <w:i/>
            <w:iCs/>
            <w:color w:val="00859B"/>
            <w:sz w:val="18"/>
            <w:szCs w:val="18"/>
          </w:rPr>
          <w:t>http://petijumi.mk.gov.lv/node/3405</w:t>
        </w:r>
      </w:hyperlink>
    </w:p>
  </w:footnote>
  <w:footnote w:id="44">
    <w:p w14:paraId="2A869D54" w14:textId="77777777" w:rsidR="00003D52" w:rsidRPr="0029754A" w:rsidRDefault="00003D52" w:rsidP="0029754A">
      <w:pPr>
        <w:pStyle w:val="FootnoteText"/>
        <w:jc w:val="both"/>
        <w:rPr>
          <w:sz w:val="18"/>
          <w:szCs w:val="18"/>
        </w:rPr>
      </w:pPr>
      <w:r w:rsidRPr="0029754A">
        <w:rPr>
          <w:rStyle w:val="FootnoteReference"/>
          <w:sz w:val="18"/>
          <w:szCs w:val="18"/>
        </w:rPr>
        <w:footnoteRef/>
      </w:r>
      <w:r w:rsidRPr="0029754A">
        <w:rPr>
          <w:i/>
          <w:iCs/>
          <w:sz w:val="18"/>
          <w:szCs w:val="18"/>
        </w:rPr>
        <w:t>Eiropas Parlamenta un Padomes Direktīva (ES) 2018/844 (2018. gada 30. maijs), ar ko groza Direktīvu 2010/31/ES par ēku energoefektivitāti un Direktīvu 2012/27/ES par energoefektivitāti</w:t>
      </w:r>
      <w:r w:rsidRPr="0029754A">
        <w:rPr>
          <w:sz w:val="18"/>
          <w:szCs w:val="18"/>
        </w:rPr>
        <w:t xml:space="preserve">, </w:t>
      </w:r>
      <w:hyperlink r:id="rId38" w:history="1">
        <w:r w:rsidRPr="0029754A">
          <w:rPr>
            <w:rStyle w:val="Hyperlink"/>
            <w:i/>
            <w:iCs/>
            <w:color w:val="00859B"/>
            <w:sz w:val="18"/>
            <w:szCs w:val="18"/>
          </w:rPr>
          <w:t>https://eur-lex.europa.eu/legal-content/lv/TXT/?uri=CELEX% 3A32018L0844</w:t>
        </w:r>
      </w:hyperlink>
    </w:p>
  </w:footnote>
  <w:footnote w:id="45">
    <w:p w14:paraId="094E5BE9" w14:textId="77777777" w:rsidR="00003D52" w:rsidRPr="00157497" w:rsidRDefault="00003D52" w:rsidP="008D791D">
      <w:pPr>
        <w:pStyle w:val="FootnoteText"/>
        <w:rPr>
          <w:sz w:val="18"/>
          <w:szCs w:val="18"/>
        </w:rPr>
      </w:pPr>
      <w:r w:rsidRPr="00157497">
        <w:rPr>
          <w:rStyle w:val="FootnoteReference"/>
          <w:sz w:val="18"/>
          <w:szCs w:val="18"/>
        </w:rPr>
        <w:footnoteRef/>
      </w:r>
      <w:r w:rsidRPr="00157497">
        <w:rPr>
          <w:color w:val="000000"/>
          <w:sz w:val="18"/>
          <w:szCs w:val="18"/>
          <w:lang w:eastAsia="lv-LV"/>
        </w:rPr>
        <w:t xml:space="preserve">Atsauces norādītas saskaņā ar </w:t>
      </w:r>
      <w:hyperlink r:id="rId39" w:history="1">
        <w:r w:rsidRPr="00157497">
          <w:rPr>
            <w:rStyle w:val="Hyperlink"/>
            <w:i/>
            <w:iCs/>
            <w:color w:val="00859B"/>
            <w:sz w:val="18"/>
            <w:szCs w:val="18"/>
            <w:lang w:eastAsia="lv-LV"/>
          </w:rPr>
          <w:t>http://petijumi.mk.gov.lv/</w:t>
        </w:r>
      </w:hyperlink>
      <w:r w:rsidRPr="00157497">
        <w:rPr>
          <w:color w:val="000000"/>
          <w:sz w:val="18"/>
          <w:szCs w:val="18"/>
          <w:lang w:eastAsia="lv-LV"/>
        </w:rPr>
        <w:t xml:space="preserve"> iekļauto informāciju.</w:t>
      </w:r>
    </w:p>
  </w:footnote>
  <w:footnote w:id="46">
    <w:p w14:paraId="1E28BC8F" w14:textId="6C1AD6D6" w:rsidR="00003D52" w:rsidRPr="0067060A" w:rsidRDefault="00003D52" w:rsidP="006C1EC5">
      <w:pPr>
        <w:pStyle w:val="FootnoteText"/>
        <w:rPr>
          <w:sz w:val="18"/>
          <w:szCs w:val="18"/>
        </w:rPr>
      </w:pPr>
      <w:r w:rsidRPr="0067060A">
        <w:rPr>
          <w:rStyle w:val="FootnoteReference"/>
          <w:sz w:val="18"/>
          <w:szCs w:val="18"/>
        </w:rPr>
        <w:footnoteRef/>
      </w:r>
      <w:r w:rsidRPr="0067060A">
        <w:rPr>
          <w:sz w:val="18"/>
          <w:szCs w:val="18"/>
        </w:rPr>
        <w:t xml:space="preserve"> EM mājaslapā publicēti </w:t>
      </w:r>
      <w:hyperlink r:id="rId40" w:history="1">
        <w:r w:rsidRPr="0067060A">
          <w:rPr>
            <w:rStyle w:val="Hyperlink"/>
            <w:i/>
            <w:iCs/>
            <w:color w:val="00859B"/>
            <w:sz w:val="18"/>
            <w:szCs w:val="18"/>
          </w:rPr>
          <w:t>sadarbības partneru</w:t>
        </w:r>
      </w:hyperlink>
      <w:r>
        <w:rPr>
          <w:rStyle w:val="Hyperlink"/>
          <w:i/>
          <w:iCs/>
          <w:color w:val="00859B"/>
          <w:sz w:val="18"/>
          <w:szCs w:val="18"/>
        </w:rPr>
        <w:t xml:space="preserve"> </w:t>
      </w:r>
      <w:r w:rsidRPr="0067060A">
        <w:rPr>
          <w:sz w:val="18"/>
          <w:szCs w:val="18"/>
        </w:rPr>
        <w:t xml:space="preserve">un </w:t>
      </w:r>
      <w:hyperlink r:id="rId41" w:history="1">
        <w:r w:rsidRPr="0067060A">
          <w:rPr>
            <w:rStyle w:val="Hyperlink"/>
            <w:i/>
            <w:iCs/>
            <w:color w:val="00859B"/>
            <w:sz w:val="18"/>
            <w:szCs w:val="18"/>
          </w:rPr>
          <w:t>konsultatīvo padomju</w:t>
        </w:r>
      </w:hyperlink>
      <w:r w:rsidRPr="0067060A">
        <w:rPr>
          <w:sz w:val="18"/>
          <w:szCs w:val="18"/>
        </w:rPr>
        <w:t xml:space="preserve"> saraksti.</w:t>
      </w:r>
    </w:p>
  </w:footnote>
  <w:footnote w:id="47">
    <w:p w14:paraId="1AA3A088" w14:textId="0F3BFBEA" w:rsidR="00003D52" w:rsidRPr="007D700E" w:rsidRDefault="00003D52">
      <w:pPr>
        <w:pStyle w:val="FootnoteText"/>
        <w:rPr>
          <w:sz w:val="18"/>
          <w:szCs w:val="18"/>
        </w:rPr>
      </w:pPr>
      <w:r w:rsidRPr="007D700E">
        <w:rPr>
          <w:rStyle w:val="FootnoteReference"/>
          <w:sz w:val="18"/>
          <w:szCs w:val="18"/>
        </w:rPr>
        <w:footnoteRef/>
      </w:r>
      <w:r w:rsidRPr="007D700E">
        <w:rPr>
          <w:sz w:val="18"/>
          <w:szCs w:val="18"/>
        </w:rPr>
        <w:t xml:space="preserve"> </w:t>
      </w:r>
      <w:r w:rsidRPr="007D700E">
        <w:rPr>
          <w:rFonts w:eastAsia="Times New Roman" w:cs="Times New Roman"/>
          <w:color w:val="000000"/>
          <w:sz w:val="18"/>
          <w:szCs w:val="18"/>
          <w:lang w:eastAsia="lv-LV"/>
        </w:rPr>
        <w:t xml:space="preserve">Detalizētu informāciju skatīt: </w:t>
      </w:r>
      <w:hyperlink r:id="rId42" w:history="1">
        <w:r w:rsidRPr="007D700E">
          <w:rPr>
            <w:rStyle w:val="Hyperlink"/>
            <w:rFonts w:eastAsia="Times New Roman" w:cs="Times New Roman"/>
            <w:i/>
            <w:iCs/>
            <w:color w:val="00859B"/>
            <w:sz w:val="18"/>
            <w:szCs w:val="18"/>
            <w:lang w:eastAsia="lv-LV"/>
          </w:rPr>
          <w:t>https://www.liaa.gov.lv/lv/covid19</w:t>
        </w:r>
      </w:hyperlink>
      <w:r>
        <w:rPr>
          <w:rFonts w:eastAsia="Times New Roman" w:cs="Times New Roman"/>
          <w:color w:val="0563C1"/>
          <w:sz w:val="18"/>
          <w:szCs w:val="18"/>
          <w:u w:val="single"/>
          <w:lang w:eastAsia="lv-LV"/>
        </w:rPr>
        <w:t xml:space="preserve"> </w:t>
      </w:r>
    </w:p>
  </w:footnote>
  <w:footnote w:id="48">
    <w:p w14:paraId="13907059" w14:textId="73E41E70" w:rsidR="00003D52" w:rsidRPr="003F33B0" w:rsidRDefault="00003D52">
      <w:pPr>
        <w:pStyle w:val="FootnoteText"/>
        <w:rPr>
          <w:sz w:val="18"/>
          <w:szCs w:val="18"/>
        </w:rPr>
      </w:pPr>
      <w:r w:rsidRPr="003F33B0">
        <w:rPr>
          <w:rStyle w:val="FootnoteReference"/>
          <w:sz w:val="18"/>
          <w:szCs w:val="18"/>
        </w:rPr>
        <w:footnoteRef/>
      </w:r>
      <w:r w:rsidRPr="003F33B0">
        <w:rPr>
          <w:sz w:val="18"/>
          <w:szCs w:val="18"/>
        </w:rPr>
        <w:t xml:space="preserve"> </w:t>
      </w:r>
      <w:hyperlink r:id="rId43" w:history="1">
        <w:r w:rsidRPr="004226AB">
          <w:rPr>
            <w:rStyle w:val="Hyperlink"/>
            <w:rFonts w:eastAsia="Times New Roman" w:cs="Times New Roman"/>
            <w:i/>
            <w:iCs/>
            <w:color w:val="00859B"/>
            <w:sz w:val="18"/>
            <w:szCs w:val="18"/>
            <w:lang w:eastAsia="lv-LV"/>
          </w:rPr>
          <w:t>https://likumi.lv/ta/id/319787-par-finansu-lidzeklu-pieskirsanu-no-valsts-budzeta-programmas-lidzekli-neparedzetiem-gadijumiem</w:t>
        </w:r>
      </w:hyperlink>
      <w:r>
        <w:rPr>
          <w:rFonts w:eastAsia="Times New Roman" w:cs="Times New Roman"/>
          <w:color w:val="0563C1"/>
          <w:sz w:val="18"/>
          <w:szCs w:val="18"/>
          <w:u w:val="single"/>
          <w:lang w:eastAsia="lv-LV"/>
        </w:rPr>
        <w:t xml:space="preserve"> </w:t>
      </w:r>
    </w:p>
  </w:footnote>
  <w:footnote w:id="49">
    <w:p w14:paraId="50267C06" w14:textId="5AC04C7B" w:rsidR="00003D52" w:rsidRPr="003F33B0" w:rsidRDefault="00003D52">
      <w:pPr>
        <w:pStyle w:val="FootnoteText"/>
        <w:rPr>
          <w:sz w:val="18"/>
          <w:szCs w:val="18"/>
        </w:rPr>
      </w:pPr>
      <w:r w:rsidRPr="003F33B0">
        <w:rPr>
          <w:rStyle w:val="FootnoteReference"/>
          <w:sz w:val="18"/>
          <w:szCs w:val="18"/>
        </w:rPr>
        <w:footnoteRef/>
      </w:r>
      <w:r w:rsidRPr="003F33B0">
        <w:rPr>
          <w:sz w:val="18"/>
          <w:szCs w:val="18"/>
        </w:rPr>
        <w:t xml:space="preserve"> </w:t>
      </w:r>
      <w:hyperlink r:id="rId44" w:history="1">
        <w:r w:rsidRPr="004226AB">
          <w:rPr>
            <w:rFonts w:eastAsia="Times New Roman" w:cs="Times New Roman"/>
            <w:i/>
            <w:iCs/>
            <w:color w:val="00859B"/>
            <w:sz w:val="18"/>
            <w:szCs w:val="18"/>
            <w:u w:val="single"/>
            <w:lang w:eastAsia="lv-LV"/>
          </w:rPr>
          <w:t>https://likumi.lv/ta/id/320278-par-finansu-lidzeklu-pieskirsanu-no-valsts-budzeta-programmas-lidzekli-neparedzetiem-gadijumiem</w:t>
        </w:r>
      </w:hyperlink>
      <w:r>
        <w:rPr>
          <w:rFonts w:eastAsia="Times New Roman" w:cs="Times New Roman"/>
          <w:color w:val="0563C1"/>
          <w:sz w:val="18"/>
          <w:szCs w:val="18"/>
          <w:u w:val="single"/>
          <w:lang w:eastAsia="lv-LV"/>
        </w:rPr>
        <w:t xml:space="preserve"> </w:t>
      </w:r>
    </w:p>
  </w:footnote>
  <w:footnote w:id="50">
    <w:p w14:paraId="4D6496C3" w14:textId="192BC76B" w:rsidR="00003D52" w:rsidRPr="003F33B0" w:rsidRDefault="00003D52">
      <w:pPr>
        <w:pStyle w:val="FootnoteText"/>
        <w:rPr>
          <w:sz w:val="18"/>
          <w:szCs w:val="18"/>
        </w:rPr>
      </w:pPr>
      <w:r w:rsidRPr="003F33B0">
        <w:rPr>
          <w:rStyle w:val="FootnoteReference"/>
          <w:sz w:val="18"/>
          <w:szCs w:val="18"/>
        </w:rPr>
        <w:footnoteRef/>
      </w:r>
      <w:r w:rsidRPr="003F33B0">
        <w:rPr>
          <w:sz w:val="18"/>
          <w:szCs w:val="18"/>
        </w:rPr>
        <w:t xml:space="preserve"> </w:t>
      </w:r>
      <w:hyperlink r:id="rId45" w:history="1">
        <w:r w:rsidRPr="00A50FA9">
          <w:rPr>
            <w:rStyle w:val="Hyperlink"/>
            <w:rFonts w:eastAsia="Times New Roman" w:cs="Times New Roman"/>
            <w:i/>
            <w:iCs/>
            <w:color w:val="00859B"/>
            <w:sz w:val="18"/>
            <w:szCs w:val="18"/>
            <w:lang w:eastAsia="lv-LV"/>
          </w:rPr>
          <w:t>https://likumi.lv/ta/id/323483-par-finansu-lidzeklu-pieskirsanu-no-valsts-budzeta-programmas-lidzekli-neparedzetiem-gadijumiem</w:t>
        </w:r>
      </w:hyperlink>
      <w:r>
        <w:rPr>
          <w:rFonts w:eastAsia="Times New Roman" w:cs="Times New Roman"/>
          <w:color w:val="0563C1"/>
          <w:sz w:val="18"/>
          <w:szCs w:val="18"/>
          <w:u w:val="single"/>
          <w:lang w:eastAsia="lv-LV"/>
        </w:rPr>
        <w:t xml:space="preserve"> </w:t>
      </w:r>
    </w:p>
  </w:footnote>
  <w:footnote w:id="51">
    <w:p w14:paraId="1BDE6FB7" w14:textId="26F59E6B" w:rsidR="00003D52" w:rsidRPr="004226AB" w:rsidRDefault="00003D52">
      <w:pPr>
        <w:pStyle w:val="FootnoteText"/>
        <w:rPr>
          <w:sz w:val="18"/>
          <w:szCs w:val="18"/>
        </w:rPr>
      </w:pPr>
      <w:r w:rsidRPr="004226AB">
        <w:rPr>
          <w:rStyle w:val="FootnoteReference"/>
          <w:sz w:val="18"/>
          <w:szCs w:val="18"/>
        </w:rPr>
        <w:footnoteRef/>
      </w:r>
      <w:r w:rsidRPr="004226AB">
        <w:rPr>
          <w:sz w:val="18"/>
          <w:szCs w:val="18"/>
        </w:rPr>
        <w:t xml:space="preserve"> </w:t>
      </w:r>
      <w:hyperlink r:id="rId46" w:history="1">
        <w:r w:rsidRPr="00A50FA9">
          <w:rPr>
            <w:rStyle w:val="Hyperlink"/>
            <w:rFonts w:eastAsia="Times New Roman" w:cs="Times New Roman"/>
            <w:i/>
            <w:iCs/>
            <w:color w:val="00859B"/>
            <w:sz w:val="18"/>
            <w:szCs w:val="18"/>
            <w:lang w:eastAsia="lv-LV"/>
          </w:rPr>
          <w:t>https://likumi.lv/ta/id/323484-par-finansu-lidzeklu-pieskirsanu-no-valsts-budzeta-programmas-lidzekli-neparedzetiem-gadijumiem</w:t>
        </w:r>
      </w:hyperlink>
      <w:r>
        <w:rPr>
          <w:rFonts w:eastAsia="Times New Roman" w:cs="Times New Roman"/>
          <w:color w:val="0563C1"/>
          <w:sz w:val="18"/>
          <w:szCs w:val="18"/>
          <w:u w:val="single"/>
          <w:lang w:eastAsia="lv-LV"/>
        </w:rPr>
        <w:t xml:space="preserve"> </w:t>
      </w:r>
    </w:p>
  </w:footnote>
  <w:footnote w:id="52">
    <w:p w14:paraId="68843A0C" w14:textId="01A6A334" w:rsidR="00003D52" w:rsidRPr="00A50FA9" w:rsidRDefault="00003D52">
      <w:pPr>
        <w:pStyle w:val="FootnoteText"/>
        <w:rPr>
          <w:rFonts w:cs="Times New Roman"/>
          <w:sz w:val="18"/>
          <w:szCs w:val="18"/>
        </w:rPr>
      </w:pPr>
      <w:r w:rsidRPr="00A50FA9">
        <w:rPr>
          <w:rStyle w:val="FootnoteReference"/>
          <w:rFonts w:cs="Times New Roman"/>
          <w:sz w:val="18"/>
          <w:szCs w:val="18"/>
        </w:rPr>
        <w:footnoteRef/>
      </w:r>
      <w:r w:rsidRPr="004226AB">
        <w:rPr>
          <w:rFonts w:cs="Times New Roman"/>
          <w:sz w:val="18"/>
          <w:szCs w:val="18"/>
        </w:rPr>
        <w:t xml:space="preserve"> </w:t>
      </w:r>
      <w:r w:rsidRPr="007D700E">
        <w:rPr>
          <w:rFonts w:eastAsia="Times New Roman" w:cs="Times New Roman"/>
          <w:color w:val="000000"/>
          <w:sz w:val="18"/>
          <w:szCs w:val="18"/>
          <w:lang w:eastAsia="lv-LV"/>
        </w:rPr>
        <w:t>Detalizētu informāciju skatīt</w:t>
      </w:r>
      <w:r w:rsidRPr="004226AB">
        <w:rPr>
          <w:rFonts w:cs="Times New Roman"/>
          <w:sz w:val="18"/>
          <w:szCs w:val="18"/>
        </w:rPr>
        <w:t xml:space="preserve"> </w:t>
      </w:r>
      <w:hyperlink r:id="rId47" w:history="1">
        <w:r w:rsidRPr="00A50FA9">
          <w:rPr>
            <w:rStyle w:val="Hyperlink"/>
            <w:rFonts w:eastAsia="Times New Roman" w:cs="Times New Roman"/>
            <w:i/>
            <w:iCs/>
            <w:color w:val="00859B"/>
            <w:sz w:val="18"/>
            <w:szCs w:val="18"/>
            <w:lang w:eastAsia="lv-LV"/>
          </w:rPr>
          <w:t>https://www.em.gov.lv/lv/informacija-tirgotajiem</w:t>
        </w:r>
        <w:r w:rsidRPr="00A50FA9">
          <w:rPr>
            <w:rStyle w:val="Hyperlink"/>
            <w:rFonts w:eastAsia="Times New Roman" w:cs="Times New Roman"/>
            <w:color w:val="auto"/>
            <w:sz w:val="18"/>
            <w:szCs w:val="18"/>
            <w:u w:val="none"/>
            <w:lang w:eastAsia="lv-LV"/>
          </w:rPr>
          <w:t xml:space="preserve">, </w:t>
        </w:r>
      </w:hyperlink>
      <w:r w:rsidRPr="004226AB">
        <w:rPr>
          <w:rFonts w:eastAsia="Times New Roman" w:cs="Times New Roman"/>
          <w:color w:val="0563C1"/>
          <w:sz w:val="18"/>
          <w:szCs w:val="18"/>
          <w:u w:val="single"/>
          <w:lang w:eastAsia="lv-LV"/>
        </w:rPr>
        <w:t xml:space="preserve"> </w:t>
      </w:r>
      <w:hyperlink r:id="rId48" w:history="1">
        <w:r w:rsidRPr="00B67AD6">
          <w:rPr>
            <w:rFonts w:eastAsia="Times New Roman" w:cs="Times New Roman"/>
            <w:i/>
            <w:iCs/>
            <w:color w:val="00859B"/>
            <w:sz w:val="18"/>
            <w:szCs w:val="18"/>
            <w:u w:val="single"/>
            <w:lang w:eastAsia="lv-LV"/>
          </w:rPr>
          <w:t>https://drosspaliekdross.lv/</w:t>
        </w:r>
      </w:hyperlink>
      <w:r w:rsidRPr="00A50FA9">
        <w:rPr>
          <w:rFonts w:eastAsia="Times New Roman" w:cs="Times New Roman"/>
          <w:color w:val="0563C1"/>
          <w:sz w:val="18"/>
          <w:szCs w:val="18"/>
          <w:lang w:eastAsia="lv-LV"/>
        </w:rPr>
        <w:t xml:space="preserve"> </w:t>
      </w:r>
    </w:p>
  </w:footnote>
  <w:footnote w:id="53">
    <w:p w14:paraId="257C02B8" w14:textId="14FDFB89" w:rsidR="00003D52" w:rsidRDefault="00003D52">
      <w:pPr>
        <w:pStyle w:val="FootnoteText"/>
      </w:pPr>
      <w:r>
        <w:rPr>
          <w:rStyle w:val="FootnoteReference"/>
        </w:rPr>
        <w:footnoteRef/>
      </w:r>
      <w:r>
        <w:t xml:space="preserve"> </w:t>
      </w:r>
      <w:hyperlink r:id="rId49" w:history="1">
        <w:r w:rsidRPr="00B67AD6">
          <w:rPr>
            <w:rFonts w:eastAsia="Times New Roman" w:cs="Times New Roman"/>
            <w:i/>
            <w:iCs/>
            <w:color w:val="00859B"/>
            <w:sz w:val="18"/>
            <w:szCs w:val="18"/>
            <w:u w:val="single"/>
            <w:lang w:eastAsia="lv-LV"/>
          </w:rPr>
          <w:t>https://likumi.lv/ta/id/321498</w:t>
        </w:r>
      </w:hyperlink>
    </w:p>
  </w:footnote>
  <w:footnote w:id="54">
    <w:p w14:paraId="1BD6754C" w14:textId="77777777" w:rsidR="00003D52" w:rsidRPr="005E237B" w:rsidRDefault="00003D52" w:rsidP="005E237B">
      <w:pPr>
        <w:pStyle w:val="FootnoteText"/>
        <w:jc w:val="both"/>
        <w:rPr>
          <w:sz w:val="18"/>
          <w:szCs w:val="18"/>
        </w:rPr>
      </w:pPr>
      <w:r w:rsidRPr="005E237B">
        <w:rPr>
          <w:rStyle w:val="FootnoteReference"/>
          <w:sz w:val="18"/>
          <w:szCs w:val="18"/>
        </w:rPr>
        <w:footnoteRef/>
      </w:r>
      <w:r w:rsidRPr="005E237B">
        <w:rPr>
          <w:i/>
          <w:iCs/>
          <w:sz w:val="18"/>
          <w:szCs w:val="18"/>
        </w:rPr>
        <w:t>Eiropas Parlamenta un Padomes Regula (ES) 2017/1938 (2017.</w:t>
      </w:r>
      <w:r>
        <w:rPr>
          <w:i/>
          <w:iCs/>
          <w:sz w:val="18"/>
          <w:szCs w:val="18"/>
        </w:rPr>
        <w:t> </w:t>
      </w:r>
      <w:r w:rsidRPr="005E237B">
        <w:rPr>
          <w:i/>
          <w:iCs/>
          <w:sz w:val="18"/>
          <w:szCs w:val="18"/>
        </w:rPr>
        <w:t>gada 25.</w:t>
      </w:r>
      <w:r>
        <w:rPr>
          <w:i/>
          <w:iCs/>
          <w:sz w:val="18"/>
          <w:szCs w:val="18"/>
        </w:rPr>
        <w:t> </w:t>
      </w:r>
      <w:r w:rsidRPr="005E237B">
        <w:rPr>
          <w:i/>
          <w:iCs/>
          <w:sz w:val="18"/>
          <w:szCs w:val="18"/>
        </w:rPr>
        <w:t>oktobris) par gāzes piegādes drošības aizsardzības pasākumiem un ar ko atceļ Regulu (ES) Nr.994/2010</w:t>
      </w:r>
      <w:r>
        <w:rPr>
          <w:i/>
          <w:iCs/>
          <w:sz w:val="18"/>
          <w:szCs w:val="18"/>
        </w:rPr>
        <w:t xml:space="preserve">, </w:t>
      </w:r>
      <w:hyperlink r:id="rId50" w:history="1">
        <w:r w:rsidRPr="005E237B">
          <w:rPr>
            <w:rStyle w:val="Hyperlink"/>
            <w:i/>
            <w:iCs/>
            <w:color w:val="00859B"/>
            <w:sz w:val="18"/>
            <w:szCs w:val="18"/>
          </w:rPr>
          <w:t>https://eur-lex.europa.eu/legal-content/lv/TXT/?uri=CELEX%3A32017R1938</w:t>
        </w:r>
      </w:hyperlink>
    </w:p>
  </w:footnote>
  <w:footnote w:id="55">
    <w:p w14:paraId="0D5E92B2" w14:textId="77777777" w:rsidR="00003D52" w:rsidRDefault="00003D52">
      <w:pPr>
        <w:pStyle w:val="FootnoteText"/>
      </w:pPr>
      <w:r>
        <w:rPr>
          <w:rStyle w:val="FootnoteReference"/>
        </w:rPr>
        <w:footnoteRef/>
      </w:r>
      <w:r>
        <w:t xml:space="preserve"> Atbilstoši </w:t>
      </w:r>
      <w:r>
        <w:rPr>
          <w:rFonts w:eastAsia="Franklin Gothic Book" w:cs="Times New Roman"/>
          <w:bCs/>
          <w:szCs w:val="24"/>
        </w:rPr>
        <w:t>MK</w:t>
      </w:r>
      <w:r w:rsidRPr="00256E6D">
        <w:rPr>
          <w:rFonts w:eastAsia="Franklin Gothic Book" w:cs="Times New Roman"/>
          <w:bCs/>
          <w:szCs w:val="24"/>
        </w:rPr>
        <w:t xml:space="preserve"> 20</w:t>
      </w:r>
      <w:r>
        <w:rPr>
          <w:rFonts w:eastAsia="Franklin Gothic Book" w:cs="Times New Roman"/>
          <w:bCs/>
          <w:szCs w:val="24"/>
        </w:rPr>
        <w:t>2</w:t>
      </w:r>
      <w:r w:rsidRPr="00256E6D">
        <w:rPr>
          <w:rFonts w:eastAsia="Franklin Gothic Book" w:cs="Times New Roman"/>
          <w:bCs/>
          <w:szCs w:val="24"/>
        </w:rPr>
        <w:t>0. gada 2</w:t>
      </w:r>
      <w:r>
        <w:rPr>
          <w:rFonts w:eastAsia="Franklin Gothic Book" w:cs="Times New Roman"/>
          <w:bCs/>
          <w:szCs w:val="24"/>
        </w:rPr>
        <w:t>2</w:t>
      </w:r>
      <w:r w:rsidRPr="00256E6D">
        <w:rPr>
          <w:rFonts w:eastAsia="Franklin Gothic Book" w:cs="Times New Roman"/>
          <w:bCs/>
          <w:szCs w:val="24"/>
        </w:rPr>
        <w:t>. </w:t>
      </w:r>
      <w:r>
        <w:rPr>
          <w:rFonts w:eastAsia="Franklin Gothic Book" w:cs="Times New Roman"/>
          <w:bCs/>
          <w:szCs w:val="24"/>
        </w:rPr>
        <w:t>septembra</w:t>
      </w:r>
      <w:r w:rsidRPr="00256E6D">
        <w:rPr>
          <w:rFonts w:eastAsia="Franklin Gothic Book" w:cs="Times New Roman"/>
          <w:bCs/>
          <w:szCs w:val="24"/>
        </w:rPr>
        <w:t xml:space="preserve"> noteikumiem Nr.</w:t>
      </w:r>
      <w:r>
        <w:rPr>
          <w:rFonts w:eastAsia="Franklin Gothic Book" w:cs="Times New Roman"/>
          <w:bCs/>
          <w:szCs w:val="24"/>
        </w:rPr>
        <w:t>588</w:t>
      </w:r>
      <w:hyperlink r:id="rId51" w:history="1">
        <w:r w:rsidRPr="00316343">
          <w:rPr>
            <w:rStyle w:val="Hyperlink"/>
            <w:rFonts w:eastAsia="Franklin Gothic Book" w:cs="Times New Roman"/>
            <w:i/>
            <w:iCs/>
            <w:color w:val="00859B"/>
            <w:szCs w:val="24"/>
          </w:rPr>
          <w:t>Ekonomikas ministrijas nolikums</w:t>
        </w:r>
      </w:hyperlink>
    </w:p>
  </w:footnote>
  <w:footnote w:id="56">
    <w:p w14:paraId="002E5EFB" w14:textId="1A2D819F" w:rsidR="00003D52" w:rsidRPr="001A175E" w:rsidRDefault="00003D52" w:rsidP="0091097E">
      <w:pPr>
        <w:pStyle w:val="FootnoteText"/>
        <w:jc w:val="both"/>
        <w:rPr>
          <w:sz w:val="18"/>
          <w:szCs w:val="18"/>
        </w:rPr>
      </w:pPr>
      <w:r w:rsidRPr="001A175E">
        <w:rPr>
          <w:rStyle w:val="FootnoteReference"/>
          <w:sz w:val="18"/>
          <w:szCs w:val="18"/>
        </w:rPr>
        <w:footnoteRef/>
      </w:r>
      <w:r w:rsidRPr="001A175E">
        <w:rPr>
          <w:rFonts w:eastAsia="Times New Roman" w:cs="Times New Roman"/>
          <w:sz w:val="18"/>
          <w:szCs w:val="18"/>
          <w:lang w:eastAsia="lv-LV"/>
        </w:rPr>
        <w:t xml:space="preserve"> Pētījuma mērķis, apakšmērķis un uzdevumi precīzi tiek saskaņoti ar Baltijas enerģijas tirgus un starpsavienojuma plāna (BEMIP) grupas dalībvalstīm un tiks pielāgoti ES stratēģijas BJR politikas jomas Enerģētika rīcības plānam (ko precizē no EK puses, apkopojot BEMIP dalībvalstu viedokļus), kā rezultātā pašreiz norādītie mērķi un apakšmērķi var tikt mainīti.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A5656" w14:textId="77777777" w:rsidR="00003D52" w:rsidRDefault="00003D52"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21480_"/>
      </v:shape>
    </w:pict>
  </w:numPicBullet>
  <w:numPicBullet w:numPicBulletId="1">
    <w:pict>
      <v:shape id="_x0000_i1027" type="#_x0000_t75" style="width:11.5pt;height:11.5pt" o:bullet="t">
        <v:imagedata r:id="rId2" o:title="BD14752_"/>
      </v:shape>
    </w:pict>
  </w:numPicBullet>
  <w:abstractNum w:abstractNumId="0" w15:restartNumberingAfterBreak="0">
    <w:nsid w:val="0CD56F4E"/>
    <w:multiLevelType w:val="hybridMultilevel"/>
    <w:tmpl w:val="814EF86A"/>
    <w:lvl w:ilvl="0" w:tplc="C59ED4AA">
      <w:start w:val="2021"/>
      <w:numFmt w:val="bullet"/>
      <w:lvlText w:val="-"/>
      <w:lvlJc w:val="left"/>
      <w:pPr>
        <w:ind w:left="720" w:hanging="360"/>
      </w:pPr>
      <w:rPr>
        <w:rFonts w:ascii="Times New Roman" w:hAnsi="Times New Roman" w:cs="Times New Roman"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874F24"/>
    <w:multiLevelType w:val="hybridMultilevel"/>
    <w:tmpl w:val="DB2A605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F370A98A">
      <w:start w:val="1"/>
      <w:numFmt w:val="lowerLetter"/>
      <w:lvlText w:val="%2."/>
      <w:lvlJc w:val="left"/>
      <w:pPr>
        <w:ind w:left="1440" w:hanging="360"/>
      </w:pPr>
    </w:lvl>
    <w:lvl w:ilvl="2" w:tplc="9410B03A">
      <w:start w:val="1"/>
      <w:numFmt w:val="lowerRoman"/>
      <w:lvlText w:val="%3."/>
      <w:lvlJc w:val="right"/>
      <w:pPr>
        <w:ind w:left="2160" w:hanging="180"/>
      </w:pPr>
    </w:lvl>
    <w:lvl w:ilvl="3" w:tplc="0EA4F37A">
      <w:start w:val="1"/>
      <w:numFmt w:val="decimal"/>
      <w:lvlText w:val="%4."/>
      <w:lvlJc w:val="left"/>
      <w:pPr>
        <w:ind w:left="2880" w:hanging="360"/>
      </w:pPr>
    </w:lvl>
    <w:lvl w:ilvl="4" w:tplc="5366D5DC">
      <w:start w:val="1"/>
      <w:numFmt w:val="lowerLetter"/>
      <w:lvlText w:val="%5."/>
      <w:lvlJc w:val="left"/>
      <w:pPr>
        <w:ind w:left="3600" w:hanging="360"/>
      </w:pPr>
    </w:lvl>
    <w:lvl w:ilvl="5" w:tplc="DDD01710">
      <w:start w:val="1"/>
      <w:numFmt w:val="lowerRoman"/>
      <w:lvlText w:val="%6."/>
      <w:lvlJc w:val="right"/>
      <w:pPr>
        <w:ind w:left="4320" w:hanging="180"/>
      </w:pPr>
    </w:lvl>
    <w:lvl w:ilvl="6" w:tplc="27CC0C68">
      <w:start w:val="1"/>
      <w:numFmt w:val="decimal"/>
      <w:lvlText w:val="%7."/>
      <w:lvlJc w:val="left"/>
      <w:pPr>
        <w:ind w:left="5040" w:hanging="360"/>
      </w:pPr>
    </w:lvl>
    <w:lvl w:ilvl="7" w:tplc="7416DAEC">
      <w:start w:val="1"/>
      <w:numFmt w:val="lowerLetter"/>
      <w:lvlText w:val="%8."/>
      <w:lvlJc w:val="left"/>
      <w:pPr>
        <w:ind w:left="5760" w:hanging="360"/>
      </w:pPr>
    </w:lvl>
    <w:lvl w:ilvl="8" w:tplc="2ACC59B6">
      <w:start w:val="1"/>
      <w:numFmt w:val="lowerRoman"/>
      <w:lvlText w:val="%9."/>
      <w:lvlJc w:val="right"/>
      <w:pPr>
        <w:ind w:left="6480" w:hanging="180"/>
      </w:pPr>
    </w:lvl>
  </w:abstractNum>
  <w:abstractNum w:abstractNumId="3"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F95FA4"/>
    <w:multiLevelType w:val="hybridMultilevel"/>
    <w:tmpl w:val="A4CA57B2"/>
    <w:lvl w:ilvl="0" w:tplc="F908464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456173"/>
    <w:multiLevelType w:val="hybridMultilevel"/>
    <w:tmpl w:val="8CEA70E8"/>
    <w:lvl w:ilvl="0" w:tplc="C59ED4AA">
      <w:start w:val="2021"/>
      <w:numFmt w:val="bullet"/>
      <w:lvlText w:val="-"/>
      <w:lvlJc w:val="left"/>
      <w:pPr>
        <w:ind w:left="1077" w:hanging="360"/>
      </w:pPr>
      <w:rPr>
        <w:rFonts w:ascii="Times New Roman" w:hAnsi="Times New Roman" w:cs="Times New Roman" w:hint="default"/>
        <w:color w:val="00859B"/>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 w15:restartNumberingAfterBreak="0">
    <w:nsid w:val="26D44AEE"/>
    <w:multiLevelType w:val="multilevel"/>
    <w:tmpl w:val="97BA2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6B6FB7"/>
    <w:multiLevelType w:val="hybridMultilevel"/>
    <w:tmpl w:val="05283228"/>
    <w:lvl w:ilvl="0" w:tplc="C59ED4AA">
      <w:start w:val="2021"/>
      <w:numFmt w:val="bullet"/>
      <w:lvlText w:val="-"/>
      <w:lvlJc w:val="left"/>
      <w:pPr>
        <w:ind w:left="1077" w:hanging="360"/>
      </w:pPr>
      <w:rPr>
        <w:rFonts w:ascii="Times New Roman" w:hAnsi="Times New Roman" w:cs="Times New Roman" w:hint="default"/>
        <w:color w:val="00859B"/>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3F608E"/>
    <w:multiLevelType w:val="hybridMultilevel"/>
    <w:tmpl w:val="E6388D2A"/>
    <w:lvl w:ilvl="0" w:tplc="F9C24C98">
      <w:start w:val="4"/>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 w15:restartNumberingAfterBreak="0">
    <w:nsid w:val="39094B5D"/>
    <w:multiLevelType w:val="multilevel"/>
    <w:tmpl w:val="D318E0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252F2C"/>
    <w:multiLevelType w:val="hybridMultilevel"/>
    <w:tmpl w:val="52AADC3C"/>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3AA2A65C">
      <w:start w:val="1"/>
      <w:numFmt w:val="bullet"/>
      <w:lvlText w:val="o"/>
      <w:lvlJc w:val="left"/>
      <w:pPr>
        <w:ind w:left="1440" w:hanging="360"/>
      </w:pPr>
      <w:rPr>
        <w:rFonts w:ascii="Courier New" w:hAnsi="Courier New" w:hint="default"/>
      </w:rPr>
    </w:lvl>
    <w:lvl w:ilvl="2" w:tplc="B28C4514">
      <w:start w:val="1"/>
      <w:numFmt w:val="bullet"/>
      <w:lvlText w:val=""/>
      <w:lvlJc w:val="left"/>
      <w:pPr>
        <w:ind w:left="2160" w:hanging="360"/>
      </w:pPr>
      <w:rPr>
        <w:rFonts w:ascii="Wingdings" w:hAnsi="Wingdings" w:hint="default"/>
      </w:rPr>
    </w:lvl>
    <w:lvl w:ilvl="3" w:tplc="76B6B6BA">
      <w:start w:val="1"/>
      <w:numFmt w:val="bullet"/>
      <w:lvlText w:val=""/>
      <w:lvlJc w:val="left"/>
      <w:pPr>
        <w:ind w:left="2880" w:hanging="360"/>
      </w:pPr>
      <w:rPr>
        <w:rFonts w:ascii="Symbol" w:hAnsi="Symbol" w:hint="default"/>
      </w:rPr>
    </w:lvl>
    <w:lvl w:ilvl="4" w:tplc="85F8F464">
      <w:start w:val="1"/>
      <w:numFmt w:val="bullet"/>
      <w:lvlText w:val="o"/>
      <w:lvlJc w:val="left"/>
      <w:pPr>
        <w:ind w:left="3600" w:hanging="360"/>
      </w:pPr>
      <w:rPr>
        <w:rFonts w:ascii="Courier New" w:hAnsi="Courier New" w:hint="default"/>
      </w:rPr>
    </w:lvl>
    <w:lvl w:ilvl="5" w:tplc="33C2FDCE">
      <w:start w:val="1"/>
      <w:numFmt w:val="bullet"/>
      <w:lvlText w:val=""/>
      <w:lvlJc w:val="left"/>
      <w:pPr>
        <w:ind w:left="4320" w:hanging="360"/>
      </w:pPr>
      <w:rPr>
        <w:rFonts w:ascii="Wingdings" w:hAnsi="Wingdings" w:hint="default"/>
      </w:rPr>
    </w:lvl>
    <w:lvl w:ilvl="6" w:tplc="6436CF94">
      <w:start w:val="1"/>
      <w:numFmt w:val="bullet"/>
      <w:lvlText w:val=""/>
      <w:lvlJc w:val="left"/>
      <w:pPr>
        <w:ind w:left="5040" w:hanging="360"/>
      </w:pPr>
      <w:rPr>
        <w:rFonts w:ascii="Symbol" w:hAnsi="Symbol" w:hint="default"/>
      </w:rPr>
    </w:lvl>
    <w:lvl w:ilvl="7" w:tplc="F314EB4A">
      <w:start w:val="1"/>
      <w:numFmt w:val="bullet"/>
      <w:lvlText w:val="o"/>
      <w:lvlJc w:val="left"/>
      <w:pPr>
        <w:ind w:left="5760" w:hanging="360"/>
      </w:pPr>
      <w:rPr>
        <w:rFonts w:ascii="Courier New" w:hAnsi="Courier New" w:hint="default"/>
      </w:rPr>
    </w:lvl>
    <w:lvl w:ilvl="8" w:tplc="113CA63E">
      <w:start w:val="1"/>
      <w:numFmt w:val="bullet"/>
      <w:lvlText w:val=""/>
      <w:lvlJc w:val="left"/>
      <w:pPr>
        <w:ind w:left="6480" w:hanging="360"/>
      </w:pPr>
      <w:rPr>
        <w:rFonts w:ascii="Wingdings" w:hAnsi="Wingdings" w:hint="default"/>
      </w:rPr>
    </w:lvl>
  </w:abstractNum>
  <w:abstractNum w:abstractNumId="12"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A76E20"/>
    <w:multiLevelType w:val="hybridMultilevel"/>
    <w:tmpl w:val="1B8C13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BEE1D3C"/>
    <w:multiLevelType w:val="multilevel"/>
    <w:tmpl w:val="B6D0C8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517CE3"/>
    <w:multiLevelType w:val="hybridMultilevel"/>
    <w:tmpl w:val="CDF01096"/>
    <w:lvl w:ilvl="0" w:tplc="8D30CEE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0C7845"/>
    <w:multiLevelType w:val="hybridMultilevel"/>
    <w:tmpl w:val="62468AAC"/>
    <w:lvl w:ilvl="0" w:tplc="E012BB3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50F6913"/>
    <w:multiLevelType w:val="hybridMultilevel"/>
    <w:tmpl w:val="9522D9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5B8424C8"/>
    <w:multiLevelType w:val="hybridMultilevel"/>
    <w:tmpl w:val="761A2018"/>
    <w:lvl w:ilvl="0" w:tplc="6122B752">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08C138A"/>
    <w:multiLevelType w:val="hybridMultilevel"/>
    <w:tmpl w:val="2CB20E32"/>
    <w:lvl w:ilvl="0" w:tplc="C59ED4AA">
      <w:start w:val="2021"/>
      <w:numFmt w:val="bullet"/>
      <w:lvlText w:val="-"/>
      <w:lvlJc w:val="left"/>
      <w:pPr>
        <w:ind w:left="720" w:hanging="360"/>
      </w:pPr>
      <w:rPr>
        <w:rFonts w:ascii="Times New Roman" w:hAnsi="Times New Roman" w:cs="Times New Roman" w:hint="default"/>
        <w:color w:val="00859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3B6680"/>
    <w:multiLevelType w:val="hybridMultilevel"/>
    <w:tmpl w:val="0FAC931E"/>
    <w:lvl w:ilvl="0" w:tplc="02723D7C">
      <w:start w:val="1"/>
      <w:numFmt w:val="decimal"/>
      <w:lvlText w:val="%1."/>
      <w:lvlJc w:val="left"/>
      <w:pPr>
        <w:ind w:left="720" w:hanging="360"/>
      </w:pPr>
      <w:rPr>
        <w:rFonts w:ascii="Times New Roman" w:eastAsiaTheme="minorHAnsi" w:hAnsi="Times New Roman" w:hint="default"/>
        <w:color w:val="0000FF"/>
        <w:sz w:val="24"/>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C94389"/>
    <w:multiLevelType w:val="hybridMultilevel"/>
    <w:tmpl w:val="570CD28A"/>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8" w15:restartNumberingAfterBreak="0">
    <w:nsid w:val="7E543975"/>
    <w:multiLevelType w:val="hybridMultilevel"/>
    <w:tmpl w:val="80AA7826"/>
    <w:lvl w:ilvl="0" w:tplc="99BADB9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22"/>
  </w:num>
  <w:num w:numId="3">
    <w:abstractNumId w:val="1"/>
  </w:num>
  <w:num w:numId="4">
    <w:abstractNumId w:val="3"/>
  </w:num>
  <w:num w:numId="5">
    <w:abstractNumId w:val="8"/>
  </w:num>
  <w:num w:numId="6">
    <w:abstractNumId w:val="12"/>
  </w:num>
  <w:num w:numId="7">
    <w:abstractNumId w:val="12"/>
  </w:num>
  <w:num w:numId="8">
    <w:abstractNumId w:val="26"/>
  </w:num>
  <w:num w:numId="9">
    <w:abstractNumId w:val="4"/>
  </w:num>
  <w:num w:numId="10">
    <w:abstractNumId w:val="20"/>
  </w:num>
  <w:num w:numId="11">
    <w:abstractNumId w:val="18"/>
  </w:num>
  <w:num w:numId="12">
    <w:abstractNumId w:val="27"/>
  </w:num>
  <w:num w:numId="13">
    <w:abstractNumId w:val="17"/>
  </w:num>
  <w:num w:numId="14">
    <w:abstractNumId w:val="9"/>
  </w:num>
  <w:num w:numId="15">
    <w:abstractNumId w:val="6"/>
  </w:num>
  <w:num w:numId="16">
    <w:abstractNumId w:val="10"/>
  </w:num>
  <w:num w:numId="17">
    <w:abstractNumId w:val="16"/>
  </w:num>
  <w:num w:numId="18">
    <w:abstractNumId w:val="19"/>
  </w:num>
  <w:num w:numId="19">
    <w:abstractNumId w:val="28"/>
  </w:num>
  <w:num w:numId="20">
    <w:abstractNumId w:val="14"/>
  </w:num>
  <w:num w:numId="21">
    <w:abstractNumId w:val="15"/>
  </w:num>
  <w:num w:numId="22">
    <w:abstractNumId w:val="25"/>
  </w:num>
  <w:num w:numId="23">
    <w:abstractNumId w:val="21"/>
  </w:num>
  <w:num w:numId="24">
    <w:abstractNumId w:val="11"/>
  </w:num>
  <w:num w:numId="25">
    <w:abstractNumId w:val="2"/>
  </w:num>
  <w:num w:numId="26">
    <w:abstractNumId w:val="13"/>
  </w:num>
  <w:num w:numId="27">
    <w:abstractNumId w:val="0"/>
  </w:num>
  <w:num w:numId="28">
    <w:abstractNumId w:val="5"/>
  </w:num>
  <w:num w:numId="29">
    <w:abstractNumId w:val="7"/>
  </w:num>
  <w:num w:numId="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hdrShapeDefaults>
    <o:shapedefaults v:ext="edit" spidmax="2049">
      <o:colormru v:ext="edit" colors="#ffc,#ddd,#cff,#ccf,#fcc,#ccecff,#cc0,#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CE"/>
    <w:rsid w:val="000000C5"/>
    <w:rsid w:val="000002C3"/>
    <w:rsid w:val="0000071A"/>
    <w:rsid w:val="00000769"/>
    <w:rsid w:val="0000095F"/>
    <w:rsid w:val="00000981"/>
    <w:rsid w:val="00000AE9"/>
    <w:rsid w:val="00000DA7"/>
    <w:rsid w:val="00001909"/>
    <w:rsid w:val="00001FC5"/>
    <w:rsid w:val="000023E5"/>
    <w:rsid w:val="00002442"/>
    <w:rsid w:val="000024C2"/>
    <w:rsid w:val="00002ACD"/>
    <w:rsid w:val="00003C6B"/>
    <w:rsid w:val="00003D52"/>
    <w:rsid w:val="00003DDF"/>
    <w:rsid w:val="000043D3"/>
    <w:rsid w:val="00004876"/>
    <w:rsid w:val="00004C59"/>
    <w:rsid w:val="00004FBA"/>
    <w:rsid w:val="000051C4"/>
    <w:rsid w:val="00005676"/>
    <w:rsid w:val="000063C8"/>
    <w:rsid w:val="00006427"/>
    <w:rsid w:val="00006651"/>
    <w:rsid w:val="00006C4B"/>
    <w:rsid w:val="00006C50"/>
    <w:rsid w:val="00006C61"/>
    <w:rsid w:val="00007139"/>
    <w:rsid w:val="00007568"/>
    <w:rsid w:val="000107A0"/>
    <w:rsid w:val="00010C63"/>
    <w:rsid w:val="00010C8F"/>
    <w:rsid w:val="00011596"/>
    <w:rsid w:val="00011A4C"/>
    <w:rsid w:val="00011BAD"/>
    <w:rsid w:val="000120A2"/>
    <w:rsid w:val="00012181"/>
    <w:rsid w:val="000125E4"/>
    <w:rsid w:val="000129B2"/>
    <w:rsid w:val="0001319E"/>
    <w:rsid w:val="00013212"/>
    <w:rsid w:val="00013433"/>
    <w:rsid w:val="00013479"/>
    <w:rsid w:val="000136E8"/>
    <w:rsid w:val="000137EB"/>
    <w:rsid w:val="00013B45"/>
    <w:rsid w:val="00013DE9"/>
    <w:rsid w:val="00014791"/>
    <w:rsid w:val="0001499B"/>
    <w:rsid w:val="000149E6"/>
    <w:rsid w:val="000152EE"/>
    <w:rsid w:val="00015316"/>
    <w:rsid w:val="000153ED"/>
    <w:rsid w:val="0001562E"/>
    <w:rsid w:val="0001568E"/>
    <w:rsid w:val="00015B4F"/>
    <w:rsid w:val="00015B82"/>
    <w:rsid w:val="00016297"/>
    <w:rsid w:val="0001636F"/>
    <w:rsid w:val="00016F84"/>
    <w:rsid w:val="00016FAE"/>
    <w:rsid w:val="000173EA"/>
    <w:rsid w:val="00017CF6"/>
    <w:rsid w:val="00017F55"/>
    <w:rsid w:val="00020145"/>
    <w:rsid w:val="0002120E"/>
    <w:rsid w:val="000212F3"/>
    <w:rsid w:val="000214C4"/>
    <w:rsid w:val="000230DE"/>
    <w:rsid w:val="000235EB"/>
    <w:rsid w:val="00023D00"/>
    <w:rsid w:val="00024870"/>
    <w:rsid w:val="0002488E"/>
    <w:rsid w:val="00024C76"/>
    <w:rsid w:val="00024EC4"/>
    <w:rsid w:val="00024FA1"/>
    <w:rsid w:val="00025134"/>
    <w:rsid w:val="0002518D"/>
    <w:rsid w:val="000251B9"/>
    <w:rsid w:val="00025306"/>
    <w:rsid w:val="0002542A"/>
    <w:rsid w:val="0002542B"/>
    <w:rsid w:val="000257B5"/>
    <w:rsid w:val="000268E8"/>
    <w:rsid w:val="000269FA"/>
    <w:rsid w:val="00026F74"/>
    <w:rsid w:val="000270C4"/>
    <w:rsid w:val="000278B1"/>
    <w:rsid w:val="000278D3"/>
    <w:rsid w:val="000278D8"/>
    <w:rsid w:val="0003044F"/>
    <w:rsid w:val="00030FC1"/>
    <w:rsid w:val="00031264"/>
    <w:rsid w:val="00031393"/>
    <w:rsid w:val="00031927"/>
    <w:rsid w:val="00032340"/>
    <w:rsid w:val="00032B49"/>
    <w:rsid w:val="00033738"/>
    <w:rsid w:val="000339A1"/>
    <w:rsid w:val="00034073"/>
    <w:rsid w:val="0003417E"/>
    <w:rsid w:val="0003422C"/>
    <w:rsid w:val="000343B1"/>
    <w:rsid w:val="0003473B"/>
    <w:rsid w:val="00034DC7"/>
    <w:rsid w:val="00035350"/>
    <w:rsid w:val="000357F6"/>
    <w:rsid w:val="0003586D"/>
    <w:rsid w:val="00035B47"/>
    <w:rsid w:val="000362C6"/>
    <w:rsid w:val="00036610"/>
    <w:rsid w:val="00036ADF"/>
    <w:rsid w:val="00036B16"/>
    <w:rsid w:val="00036C37"/>
    <w:rsid w:val="00036F93"/>
    <w:rsid w:val="00036FF4"/>
    <w:rsid w:val="00037A25"/>
    <w:rsid w:val="00037C41"/>
    <w:rsid w:val="00037CCD"/>
    <w:rsid w:val="00037D8E"/>
    <w:rsid w:val="000400AD"/>
    <w:rsid w:val="0004014F"/>
    <w:rsid w:val="0004020D"/>
    <w:rsid w:val="000402FC"/>
    <w:rsid w:val="00040B90"/>
    <w:rsid w:val="00040CCC"/>
    <w:rsid w:val="00040CFF"/>
    <w:rsid w:val="00040EAA"/>
    <w:rsid w:val="00041B97"/>
    <w:rsid w:val="00041E5C"/>
    <w:rsid w:val="00041EDE"/>
    <w:rsid w:val="0004222D"/>
    <w:rsid w:val="00042B4E"/>
    <w:rsid w:val="00042E9B"/>
    <w:rsid w:val="00043876"/>
    <w:rsid w:val="00044451"/>
    <w:rsid w:val="0004463E"/>
    <w:rsid w:val="00044A16"/>
    <w:rsid w:val="00044C2C"/>
    <w:rsid w:val="00044E18"/>
    <w:rsid w:val="00044E33"/>
    <w:rsid w:val="0004534B"/>
    <w:rsid w:val="0004563D"/>
    <w:rsid w:val="00045814"/>
    <w:rsid w:val="00045943"/>
    <w:rsid w:val="00045CF4"/>
    <w:rsid w:val="00045F96"/>
    <w:rsid w:val="00045FE7"/>
    <w:rsid w:val="0004614F"/>
    <w:rsid w:val="00046B82"/>
    <w:rsid w:val="00046E4D"/>
    <w:rsid w:val="000470BF"/>
    <w:rsid w:val="00047F4F"/>
    <w:rsid w:val="0005005D"/>
    <w:rsid w:val="00050107"/>
    <w:rsid w:val="00050124"/>
    <w:rsid w:val="00050B29"/>
    <w:rsid w:val="000511BB"/>
    <w:rsid w:val="0005127F"/>
    <w:rsid w:val="000512F1"/>
    <w:rsid w:val="000512F6"/>
    <w:rsid w:val="00051DD6"/>
    <w:rsid w:val="00052096"/>
    <w:rsid w:val="00052182"/>
    <w:rsid w:val="00052EBB"/>
    <w:rsid w:val="00052F1D"/>
    <w:rsid w:val="0005350C"/>
    <w:rsid w:val="00054016"/>
    <w:rsid w:val="00054359"/>
    <w:rsid w:val="0005497F"/>
    <w:rsid w:val="00054A90"/>
    <w:rsid w:val="00054D50"/>
    <w:rsid w:val="00054E86"/>
    <w:rsid w:val="0005568C"/>
    <w:rsid w:val="00055BB9"/>
    <w:rsid w:val="00055DEE"/>
    <w:rsid w:val="00056278"/>
    <w:rsid w:val="000562FA"/>
    <w:rsid w:val="00056874"/>
    <w:rsid w:val="00056A59"/>
    <w:rsid w:val="00057474"/>
    <w:rsid w:val="000576C0"/>
    <w:rsid w:val="00060645"/>
    <w:rsid w:val="000609FE"/>
    <w:rsid w:val="00060B4F"/>
    <w:rsid w:val="00060B69"/>
    <w:rsid w:val="00060D38"/>
    <w:rsid w:val="00061380"/>
    <w:rsid w:val="00061441"/>
    <w:rsid w:val="000615CD"/>
    <w:rsid w:val="00061FB9"/>
    <w:rsid w:val="00062D3F"/>
    <w:rsid w:val="000630B8"/>
    <w:rsid w:val="00063267"/>
    <w:rsid w:val="000633C4"/>
    <w:rsid w:val="0006362D"/>
    <w:rsid w:val="00063A52"/>
    <w:rsid w:val="00063A72"/>
    <w:rsid w:val="00063A89"/>
    <w:rsid w:val="00063EC3"/>
    <w:rsid w:val="00064051"/>
    <w:rsid w:val="00064467"/>
    <w:rsid w:val="00064632"/>
    <w:rsid w:val="00064C52"/>
    <w:rsid w:val="00064E79"/>
    <w:rsid w:val="00064EB5"/>
    <w:rsid w:val="00064F58"/>
    <w:rsid w:val="00065AE9"/>
    <w:rsid w:val="00065BBB"/>
    <w:rsid w:val="000664A4"/>
    <w:rsid w:val="000667FD"/>
    <w:rsid w:val="000668ED"/>
    <w:rsid w:val="00066EC8"/>
    <w:rsid w:val="00067695"/>
    <w:rsid w:val="000678B9"/>
    <w:rsid w:val="00067B7D"/>
    <w:rsid w:val="0007018D"/>
    <w:rsid w:val="00070EF6"/>
    <w:rsid w:val="0007210A"/>
    <w:rsid w:val="00072423"/>
    <w:rsid w:val="00072B81"/>
    <w:rsid w:val="00072EF2"/>
    <w:rsid w:val="0007323D"/>
    <w:rsid w:val="00073586"/>
    <w:rsid w:val="00073652"/>
    <w:rsid w:val="000738DC"/>
    <w:rsid w:val="00073BE1"/>
    <w:rsid w:val="00073E12"/>
    <w:rsid w:val="0007454F"/>
    <w:rsid w:val="000745CD"/>
    <w:rsid w:val="00074AB1"/>
    <w:rsid w:val="00075418"/>
    <w:rsid w:val="00075949"/>
    <w:rsid w:val="00076304"/>
    <w:rsid w:val="000764C4"/>
    <w:rsid w:val="00076C34"/>
    <w:rsid w:val="000770A2"/>
    <w:rsid w:val="00077837"/>
    <w:rsid w:val="00077F20"/>
    <w:rsid w:val="000800D1"/>
    <w:rsid w:val="000802D1"/>
    <w:rsid w:val="0008049E"/>
    <w:rsid w:val="000806F1"/>
    <w:rsid w:val="0008073A"/>
    <w:rsid w:val="00080CED"/>
    <w:rsid w:val="00080E97"/>
    <w:rsid w:val="00081012"/>
    <w:rsid w:val="00081349"/>
    <w:rsid w:val="00081E5F"/>
    <w:rsid w:val="00081EB0"/>
    <w:rsid w:val="00081EF8"/>
    <w:rsid w:val="000824DE"/>
    <w:rsid w:val="000827B9"/>
    <w:rsid w:val="00082CD3"/>
    <w:rsid w:val="000831DD"/>
    <w:rsid w:val="000835B9"/>
    <w:rsid w:val="00083847"/>
    <w:rsid w:val="00083FBD"/>
    <w:rsid w:val="00084017"/>
    <w:rsid w:val="0008422E"/>
    <w:rsid w:val="00084745"/>
    <w:rsid w:val="00084B9D"/>
    <w:rsid w:val="00085260"/>
    <w:rsid w:val="00085AB6"/>
    <w:rsid w:val="00085C79"/>
    <w:rsid w:val="00085CA8"/>
    <w:rsid w:val="000862DE"/>
    <w:rsid w:val="00087095"/>
    <w:rsid w:val="0008719B"/>
    <w:rsid w:val="000876BD"/>
    <w:rsid w:val="0008785E"/>
    <w:rsid w:val="000879EC"/>
    <w:rsid w:val="00087B79"/>
    <w:rsid w:val="0009014C"/>
    <w:rsid w:val="000901BB"/>
    <w:rsid w:val="00090282"/>
    <w:rsid w:val="00090305"/>
    <w:rsid w:val="0009047B"/>
    <w:rsid w:val="00090A39"/>
    <w:rsid w:val="00091089"/>
    <w:rsid w:val="000912B3"/>
    <w:rsid w:val="00091A03"/>
    <w:rsid w:val="000924E3"/>
    <w:rsid w:val="00092524"/>
    <w:rsid w:val="00092D73"/>
    <w:rsid w:val="00092DC6"/>
    <w:rsid w:val="00093257"/>
    <w:rsid w:val="00093E1D"/>
    <w:rsid w:val="00094508"/>
    <w:rsid w:val="000945AA"/>
    <w:rsid w:val="0009460D"/>
    <w:rsid w:val="000947A1"/>
    <w:rsid w:val="00095190"/>
    <w:rsid w:val="000955CB"/>
    <w:rsid w:val="00095B5E"/>
    <w:rsid w:val="00095E2A"/>
    <w:rsid w:val="000962CF"/>
    <w:rsid w:val="00096554"/>
    <w:rsid w:val="000967FB"/>
    <w:rsid w:val="00096C4C"/>
    <w:rsid w:val="00097E7C"/>
    <w:rsid w:val="000A06ED"/>
    <w:rsid w:val="000A1168"/>
    <w:rsid w:val="000A12B6"/>
    <w:rsid w:val="000A1962"/>
    <w:rsid w:val="000A1B45"/>
    <w:rsid w:val="000A20A3"/>
    <w:rsid w:val="000A2EA9"/>
    <w:rsid w:val="000A4501"/>
    <w:rsid w:val="000A4D33"/>
    <w:rsid w:val="000A4D90"/>
    <w:rsid w:val="000A4E31"/>
    <w:rsid w:val="000A56F3"/>
    <w:rsid w:val="000A5723"/>
    <w:rsid w:val="000A5A74"/>
    <w:rsid w:val="000A601E"/>
    <w:rsid w:val="000A65F0"/>
    <w:rsid w:val="000A684D"/>
    <w:rsid w:val="000A6C36"/>
    <w:rsid w:val="000A6FCE"/>
    <w:rsid w:val="000A716C"/>
    <w:rsid w:val="000A7385"/>
    <w:rsid w:val="000A7809"/>
    <w:rsid w:val="000A7939"/>
    <w:rsid w:val="000B0058"/>
    <w:rsid w:val="000B0251"/>
    <w:rsid w:val="000B05DC"/>
    <w:rsid w:val="000B074E"/>
    <w:rsid w:val="000B0C86"/>
    <w:rsid w:val="000B0F34"/>
    <w:rsid w:val="000B10A0"/>
    <w:rsid w:val="000B1109"/>
    <w:rsid w:val="000B1742"/>
    <w:rsid w:val="000B1917"/>
    <w:rsid w:val="000B2221"/>
    <w:rsid w:val="000B23A4"/>
    <w:rsid w:val="000B29E3"/>
    <w:rsid w:val="000B2BCB"/>
    <w:rsid w:val="000B2E89"/>
    <w:rsid w:val="000B354D"/>
    <w:rsid w:val="000B3E48"/>
    <w:rsid w:val="000B3F49"/>
    <w:rsid w:val="000B4070"/>
    <w:rsid w:val="000B41B9"/>
    <w:rsid w:val="000B41EF"/>
    <w:rsid w:val="000B45AB"/>
    <w:rsid w:val="000B47D8"/>
    <w:rsid w:val="000B4ACD"/>
    <w:rsid w:val="000B4D4C"/>
    <w:rsid w:val="000B5557"/>
    <w:rsid w:val="000B5A41"/>
    <w:rsid w:val="000B5C31"/>
    <w:rsid w:val="000B60B5"/>
    <w:rsid w:val="000B61E4"/>
    <w:rsid w:val="000B66EC"/>
    <w:rsid w:val="000B6A16"/>
    <w:rsid w:val="000B73C3"/>
    <w:rsid w:val="000B7DE3"/>
    <w:rsid w:val="000B7DEB"/>
    <w:rsid w:val="000C0622"/>
    <w:rsid w:val="000C0684"/>
    <w:rsid w:val="000C0700"/>
    <w:rsid w:val="000C09D1"/>
    <w:rsid w:val="000C0ABA"/>
    <w:rsid w:val="000C13C0"/>
    <w:rsid w:val="000C18B3"/>
    <w:rsid w:val="000C27DC"/>
    <w:rsid w:val="000C292E"/>
    <w:rsid w:val="000C32A1"/>
    <w:rsid w:val="000C342F"/>
    <w:rsid w:val="000C365B"/>
    <w:rsid w:val="000C3AAD"/>
    <w:rsid w:val="000C47C1"/>
    <w:rsid w:val="000C4914"/>
    <w:rsid w:val="000C4998"/>
    <w:rsid w:val="000C4B88"/>
    <w:rsid w:val="000C4DA4"/>
    <w:rsid w:val="000C4F25"/>
    <w:rsid w:val="000C512D"/>
    <w:rsid w:val="000C57C8"/>
    <w:rsid w:val="000C5CD0"/>
    <w:rsid w:val="000C65D6"/>
    <w:rsid w:val="000C6929"/>
    <w:rsid w:val="000C6B77"/>
    <w:rsid w:val="000C6C15"/>
    <w:rsid w:val="000C6DFE"/>
    <w:rsid w:val="000C71B7"/>
    <w:rsid w:val="000C71D9"/>
    <w:rsid w:val="000C786C"/>
    <w:rsid w:val="000C7C32"/>
    <w:rsid w:val="000D0169"/>
    <w:rsid w:val="000D03D2"/>
    <w:rsid w:val="000D07B3"/>
    <w:rsid w:val="000D08BD"/>
    <w:rsid w:val="000D08CC"/>
    <w:rsid w:val="000D0B03"/>
    <w:rsid w:val="000D0B17"/>
    <w:rsid w:val="000D0CC5"/>
    <w:rsid w:val="000D1027"/>
    <w:rsid w:val="000D11E9"/>
    <w:rsid w:val="000D15EB"/>
    <w:rsid w:val="000D16E8"/>
    <w:rsid w:val="000D1D84"/>
    <w:rsid w:val="000D1E9C"/>
    <w:rsid w:val="000D1FE8"/>
    <w:rsid w:val="000D2003"/>
    <w:rsid w:val="000D21F8"/>
    <w:rsid w:val="000D2804"/>
    <w:rsid w:val="000D2A63"/>
    <w:rsid w:val="000D2D28"/>
    <w:rsid w:val="000D2E6F"/>
    <w:rsid w:val="000D3A30"/>
    <w:rsid w:val="000D3BB9"/>
    <w:rsid w:val="000D4829"/>
    <w:rsid w:val="000D4C7D"/>
    <w:rsid w:val="000D4F75"/>
    <w:rsid w:val="000D558E"/>
    <w:rsid w:val="000D5A65"/>
    <w:rsid w:val="000D5D35"/>
    <w:rsid w:val="000D5E6D"/>
    <w:rsid w:val="000D690D"/>
    <w:rsid w:val="000D698A"/>
    <w:rsid w:val="000D6B0A"/>
    <w:rsid w:val="000D749E"/>
    <w:rsid w:val="000D7A09"/>
    <w:rsid w:val="000E02A0"/>
    <w:rsid w:val="000E05EF"/>
    <w:rsid w:val="000E1221"/>
    <w:rsid w:val="000E1C1A"/>
    <w:rsid w:val="000E1E90"/>
    <w:rsid w:val="000E1F24"/>
    <w:rsid w:val="000E23A0"/>
    <w:rsid w:val="000E2795"/>
    <w:rsid w:val="000E283D"/>
    <w:rsid w:val="000E28CC"/>
    <w:rsid w:val="000E3143"/>
    <w:rsid w:val="000E385B"/>
    <w:rsid w:val="000E3D89"/>
    <w:rsid w:val="000E49D9"/>
    <w:rsid w:val="000E4BEC"/>
    <w:rsid w:val="000E4E6E"/>
    <w:rsid w:val="000E50EC"/>
    <w:rsid w:val="000E541E"/>
    <w:rsid w:val="000E5558"/>
    <w:rsid w:val="000E556E"/>
    <w:rsid w:val="000E5C4F"/>
    <w:rsid w:val="000E5D6C"/>
    <w:rsid w:val="000E5F40"/>
    <w:rsid w:val="000E6174"/>
    <w:rsid w:val="000E650B"/>
    <w:rsid w:val="000E7475"/>
    <w:rsid w:val="000E74B5"/>
    <w:rsid w:val="000E7873"/>
    <w:rsid w:val="000E7CBC"/>
    <w:rsid w:val="000E7D81"/>
    <w:rsid w:val="000E7E79"/>
    <w:rsid w:val="000F00DA"/>
    <w:rsid w:val="000F0510"/>
    <w:rsid w:val="000F0A7F"/>
    <w:rsid w:val="000F11CD"/>
    <w:rsid w:val="000F14E3"/>
    <w:rsid w:val="000F1763"/>
    <w:rsid w:val="000F23E0"/>
    <w:rsid w:val="000F2ADA"/>
    <w:rsid w:val="000F2D93"/>
    <w:rsid w:val="000F30DD"/>
    <w:rsid w:val="000F3128"/>
    <w:rsid w:val="000F3175"/>
    <w:rsid w:val="000F371C"/>
    <w:rsid w:val="000F372A"/>
    <w:rsid w:val="000F376D"/>
    <w:rsid w:val="000F3799"/>
    <w:rsid w:val="000F3B00"/>
    <w:rsid w:val="000F3B2D"/>
    <w:rsid w:val="000F3C10"/>
    <w:rsid w:val="000F4065"/>
    <w:rsid w:val="000F4767"/>
    <w:rsid w:val="000F4844"/>
    <w:rsid w:val="000F5997"/>
    <w:rsid w:val="000F67C0"/>
    <w:rsid w:val="000F6DD6"/>
    <w:rsid w:val="000F74E3"/>
    <w:rsid w:val="000F7816"/>
    <w:rsid w:val="0010016E"/>
    <w:rsid w:val="00100411"/>
    <w:rsid w:val="00100EB4"/>
    <w:rsid w:val="00101554"/>
    <w:rsid w:val="00101610"/>
    <w:rsid w:val="00101ADA"/>
    <w:rsid w:val="00101ECE"/>
    <w:rsid w:val="0010244A"/>
    <w:rsid w:val="001024DE"/>
    <w:rsid w:val="001029F2"/>
    <w:rsid w:val="00103B62"/>
    <w:rsid w:val="00104032"/>
    <w:rsid w:val="001041C6"/>
    <w:rsid w:val="00104D01"/>
    <w:rsid w:val="001054EF"/>
    <w:rsid w:val="00105B9B"/>
    <w:rsid w:val="001063D7"/>
    <w:rsid w:val="0010645D"/>
    <w:rsid w:val="00106D3A"/>
    <w:rsid w:val="00107052"/>
    <w:rsid w:val="001076ED"/>
    <w:rsid w:val="001077B1"/>
    <w:rsid w:val="00107AF9"/>
    <w:rsid w:val="00110292"/>
    <w:rsid w:val="00110293"/>
    <w:rsid w:val="0011114B"/>
    <w:rsid w:val="001112CE"/>
    <w:rsid w:val="0011171C"/>
    <w:rsid w:val="0011191A"/>
    <w:rsid w:val="00111C72"/>
    <w:rsid w:val="001120B3"/>
    <w:rsid w:val="001120C3"/>
    <w:rsid w:val="0011220A"/>
    <w:rsid w:val="001130D1"/>
    <w:rsid w:val="001135EB"/>
    <w:rsid w:val="00113923"/>
    <w:rsid w:val="001139B1"/>
    <w:rsid w:val="001143F6"/>
    <w:rsid w:val="0011440A"/>
    <w:rsid w:val="00114692"/>
    <w:rsid w:val="00114DAA"/>
    <w:rsid w:val="00116448"/>
    <w:rsid w:val="001171E4"/>
    <w:rsid w:val="00117722"/>
    <w:rsid w:val="001177AF"/>
    <w:rsid w:val="00117F31"/>
    <w:rsid w:val="0012012F"/>
    <w:rsid w:val="00120274"/>
    <w:rsid w:val="00120843"/>
    <w:rsid w:val="00120AA4"/>
    <w:rsid w:val="00121051"/>
    <w:rsid w:val="00121392"/>
    <w:rsid w:val="00121DE4"/>
    <w:rsid w:val="00121EE9"/>
    <w:rsid w:val="0012263E"/>
    <w:rsid w:val="00123121"/>
    <w:rsid w:val="001233B5"/>
    <w:rsid w:val="001234A9"/>
    <w:rsid w:val="001238BE"/>
    <w:rsid w:val="00123959"/>
    <w:rsid w:val="00123B73"/>
    <w:rsid w:val="00123FFE"/>
    <w:rsid w:val="00124082"/>
    <w:rsid w:val="00124263"/>
    <w:rsid w:val="00124359"/>
    <w:rsid w:val="00124764"/>
    <w:rsid w:val="001248C5"/>
    <w:rsid w:val="0012493C"/>
    <w:rsid w:val="00125BC3"/>
    <w:rsid w:val="00125E3C"/>
    <w:rsid w:val="0012659D"/>
    <w:rsid w:val="0012730B"/>
    <w:rsid w:val="00127576"/>
    <w:rsid w:val="00127685"/>
    <w:rsid w:val="00127E69"/>
    <w:rsid w:val="001303D7"/>
    <w:rsid w:val="001304EF"/>
    <w:rsid w:val="00130838"/>
    <w:rsid w:val="001308A8"/>
    <w:rsid w:val="001308F2"/>
    <w:rsid w:val="00130964"/>
    <w:rsid w:val="00130F29"/>
    <w:rsid w:val="00130F43"/>
    <w:rsid w:val="0013105F"/>
    <w:rsid w:val="0013197E"/>
    <w:rsid w:val="00131BA5"/>
    <w:rsid w:val="00132050"/>
    <w:rsid w:val="00132057"/>
    <w:rsid w:val="00132080"/>
    <w:rsid w:val="00132432"/>
    <w:rsid w:val="00132621"/>
    <w:rsid w:val="00132694"/>
    <w:rsid w:val="00132980"/>
    <w:rsid w:val="00132AAF"/>
    <w:rsid w:val="00132AE0"/>
    <w:rsid w:val="00133DE4"/>
    <w:rsid w:val="00134130"/>
    <w:rsid w:val="00134518"/>
    <w:rsid w:val="00134E50"/>
    <w:rsid w:val="0013533E"/>
    <w:rsid w:val="00135CBF"/>
    <w:rsid w:val="0013677E"/>
    <w:rsid w:val="00136C4D"/>
    <w:rsid w:val="00136C67"/>
    <w:rsid w:val="00136CBD"/>
    <w:rsid w:val="0013701B"/>
    <w:rsid w:val="00137052"/>
    <w:rsid w:val="00137097"/>
    <w:rsid w:val="0013747F"/>
    <w:rsid w:val="001375FB"/>
    <w:rsid w:val="0013797C"/>
    <w:rsid w:val="00137AB6"/>
    <w:rsid w:val="001406EA"/>
    <w:rsid w:val="00140ADC"/>
    <w:rsid w:val="00140D72"/>
    <w:rsid w:val="00141276"/>
    <w:rsid w:val="00141512"/>
    <w:rsid w:val="00141704"/>
    <w:rsid w:val="00141A6C"/>
    <w:rsid w:val="00141ABD"/>
    <w:rsid w:val="00141FA7"/>
    <w:rsid w:val="0014214B"/>
    <w:rsid w:val="001422DE"/>
    <w:rsid w:val="001423FA"/>
    <w:rsid w:val="001437EE"/>
    <w:rsid w:val="00144008"/>
    <w:rsid w:val="00144B06"/>
    <w:rsid w:val="00144E5F"/>
    <w:rsid w:val="0014523C"/>
    <w:rsid w:val="0014523E"/>
    <w:rsid w:val="001457E9"/>
    <w:rsid w:val="00145F57"/>
    <w:rsid w:val="00146C05"/>
    <w:rsid w:val="00146C7E"/>
    <w:rsid w:val="00147026"/>
    <w:rsid w:val="00147339"/>
    <w:rsid w:val="00147616"/>
    <w:rsid w:val="00147DF3"/>
    <w:rsid w:val="00150DB6"/>
    <w:rsid w:val="00150F95"/>
    <w:rsid w:val="00151157"/>
    <w:rsid w:val="001514B0"/>
    <w:rsid w:val="001515A4"/>
    <w:rsid w:val="001526E6"/>
    <w:rsid w:val="001528EC"/>
    <w:rsid w:val="0015312C"/>
    <w:rsid w:val="00153237"/>
    <w:rsid w:val="00153250"/>
    <w:rsid w:val="00153303"/>
    <w:rsid w:val="001538F5"/>
    <w:rsid w:val="00153968"/>
    <w:rsid w:val="0015494B"/>
    <w:rsid w:val="001549B4"/>
    <w:rsid w:val="00154A21"/>
    <w:rsid w:val="0015511A"/>
    <w:rsid w:val="001552CD"/>
    <w:rsid w:val="00155361"/>
    <w:rsid w:val="00155570"/>
    <w:rsid w:val="00155770"/>
    <w:rsid w:val="001559E5"/>
    <w:rsid w:val="00155AA5"/>
    <w:rsid w:val="00155ADC"/>
    <w:rsid w:val="001561E6"/>
    <w:rsid w:val="00156261"/>
    <w:rsid w:val="00156469"/>
    <w:rsid w:val="001565A0"/>
    <w:rsid w:val="0015666E"/>
    <w:rsid w:val="001566D1"/>
    <w:rsid w:val="00156F13"/>
    <w:rsid w:val="001570F7"/>
    <w:rsid w:val="00157497"/>
    <w:rsid w:val="00157752"/>
    <w:rsid w:val="00157F48"/>
    <w:rsid w:val="001601E4"/>
    <w:rsid w:val="00160629"/>
    <w:rsid w:val="001607BA"/>
    <w:rsid w:val="00160DEA"/>
    <w:rsid w:val="00160E5E"/>
    <w:rsid w:val="00161879"/>
    <w:rsid w:val="00161CF9"/>
    <w:rsid w:val="00162063"/>
    <w:rsid w:val="001625A7"/>
    <w:rsid w:val="001626F0"/>
    <w:rsid w:val="00162899"/>
    <w:rsid w:val="00162A37"/>
    <w:rsid w:val="00162DB2"/>
    <w:rsid w:val="001632EA"/>
    <w:rsid w:val="00163300"/>
    <w:rsid w:val="00163503"/>
    <w:rsid w:val="001637CC"/>
    <w:rsid w:val="00163B01"/>
    <w:rsid w:val="00163FE3"/>
    <w:rsid w:val="0016468C"/>
    <w:rsid w:val="0016479F"/>
    <w:rsid w:val="00164EE3"/>
    <w:rsid w:val="00165437"/>
    <w:rsid w:val="0016550B"/>
    <w:rsid w:val="001657DA"/>
    <w:rsid w:val="0016590B"/>
    <w:rsid w:val="00165A35"/>
    <w:rsid w:val="00165A9D"/>
    <w:rsid w:val="00165FA0"/>
    <w:rsid w:val="001660A6"/>
    <w:rsid w:val="0016646D"/>
    <w:rsid w:val="001670CE"/>
    <w:rsid w:val="00167388"/>
    <w:rsid w:val="0016746B"/>
    <w:rsid w:val="00167BA9"/>
    <w:rsid w:val="00167E90"/>
    <w:rsid w:val="00167F6D"/>
    <w:rsid w:val="001700DA"/>
    <w:rsid w:val="00170195"/>
    <w:rsid w:val="001701F3"/>
    <w:rsid w:val="00170351"/>
    <w:rsid w:val="001703E3"/>
    <w:rsid w:val="00170C83"/>
    <w:rsid w:val="00170E7E"/>
    <w:rsid w:val="001712D5"/>
    <w:rsid w:val="001714E2"/>
    <w:rsid w:val="00171899"/>
    <w:rsid w:val="00171A12"/>
    <w:rsid w:val="00171A7D"/>
    <w:rsid w:val="00171DC0"/>
    <w:rsid w:val="00171DE2"/>
    <w:rsid w:val="00171F3A"/>
    <w:rsid w:val="00172002"/>
    <w:rsid w:val="00172B04"/>
    <w:rsid w:val="00172D5C"/>
    <w:rsid w:val="00172F5A"/>
    <w:rsid w:val="00173B3B"/>
    <w:rsid w:val="00173BE0"/>
    <w:rsid w:val="00173EF7"/>
    <w:rsid w:val="00174397"/>
    <w:rsid w:val="0017491E"/>
    <w:rsid w:val="00174A20"/>
    <w:rsid w:val="00174D40"/>
    <w:rsid w:val="001751AF"/>
    <w:rsid w:val="00175336"/>
    <w:rsid w:val="0017566F"/>
    <w:rsid w:val="00175B0A"/>
    <w:rsid w:val="00176532"/>
    <w:rsid w:val="00176599"/>
    <w:rsid w:val="0017660E"/>
    <w:rsid w:val="00176874"/>
    <w:rsid w:val="001769FF"/>
    <w:rsid w:val="00176B02"/>
    <w:rsid w:val="00176C6D"/>
    <w:rsid w:val="00177136"/>
    <w:rsid w:val="00177329"/>
    <w:rsid w:val="00177610"/>
    <w:rsid w:val="00177AAB"/>
    <w:rsid w:val="00180120"/>
    <w:rsid w:val="001802D8"/>
    <w:rsid w:val="00180879"/>
    <w:rsid w:val="0018198E"/>
    <w:rsid w:val="0018221C"/>
    <w:rsid w:val="001830FD"/>
    <w:rsid w:val="0018315B"/>
    <w:rsid w:val="0018357F"/>
    <w:rsid w:val="00183A5C"/>
    <w:rsid w:val="00183BAA"/>
    <w:rsid w:val="00183D54"/>
    <w:rsid w:val="00184599"/>
    <w:rsid w:val="00184B68"/>
    <w:rsid w:val="00184E74"/>
    <w:rsid w:val="00185300"/>
    <w:rsid w:val="00185370"/>
    <w:rsid w:val="00185425"/>
    <w:rsid w:val="00185816"/>
    <w:rsid w:val="001859E3"/>
    <w:rsid w:val="00185B6F"/>
    <w:rsid w:val="00186413"/>
    <w:rsid w:val="001867CB"/>
    <w:rsid w:val="00186842"/>
    <w:rsid w:val="00186CCF"/>
    <w:rsid w:val="001873A8"/>
    <w:rsid w:val="001873AE"/>
    <w:rsid w:val="00187793"/>
    <w:rsid w:val="00187A26"/>
    <w:rsid w:val="00187F96"/>
    <w:rsid w:val="00187F9D"/>
    <w:rsid w:val="001908E8"/>
    <w:rsid w:val="0019094A"/>
    <w:rsid w:val="001909B0"/>
    <w:rsid w:val="00191212"/>
    <w:rsid w:val="001915DF"/>
    <w:rsid w:val="00192080"/>
    <w:rsid w:val="001922E1"/>
    <w:rsid w:val="001922EB"/>
    <w:rsid w:val="001923B0"/>
    <w:rsid w:val="00192B48"/>
    <w:rsid w:val="0019349F"/>
    <w:rsid w:val="001937EC"/>
    <w:rsid w:val="00193D20"/>
    <w:rsid w:val="001940B9"/>
    <w:rsid w:val="00194126"/>
    <w:rsid w:val="00194194"/>
    <w:rsid w:val="001941A0"/>
    <w:rsid w:val="0019484E"/>
    <w:rsid w:val="0019485E"/>
    <w:rsid w:val="0019536B"/>
    <w:rsid w:val="00195623"/>
    <w:rsid w:val="0019575F"/>
    <w:rsid w:val="001959EB"/>
    <w:rsid w:val="00195B7F"/>
    <w:rsid w:val="00195EB9"/>
    <w:rsid w:val="0019644F"/>
    <w:rsid w:val="00196657"/>
    <w:rsid w:val="0019670E"/>
    <w:rsid w:val="00196846"/>
    <w:rsid w:val="00196C7B"/>
    <w:rsid w:val="00197C26"/>
    <w:rsid w:val="001A0AD3"/>
    <w:rsid w:val="001A0E9B"/>
    <w:rsid w:val="001A1149"/>
    <w:rsid w:val="001A13F9"/>
    <w:rsid w:val="001A16AD"/>
    <w:rsid w:val="001A175E"/>
    <w:rsid w:val="001A19E2"/>
    <w:rsid w:val="001A1A3D"/>
    <w:rsid w:val="001A1CDD"/>
    <w:rsid w:val="001A1F4A"/>
    <w:rsid w:val="001A2166"/>
    <w:rsid w:val="001A2381"/>
    <w:rsid w:val="001A2D5A"/>
    <w:rsid w:val="001A2D5C"/>
    <w:rsid w:val="001A313F"/>
    <w:rsid w:val="001A31D2"/>
    <w:rsid w:val="001A3407"/>
    <w:rsid w:val="001A352C"/>
    <w:rsid w:val="001A3C7D"/>
    <w:rsid w:val="001A3D04"/>
    <w:rsid w:val="001A3D21"/>
    <w:rsid w:val="001A3F7D"/>
    <w:rsid w:val="001A4001"/>
    <w:rsid w:val="001A4E79"/>
    <w:rsid w:val="001A5DFA"/>
    <w:rsid w:val="001A6606"/>
    <w:rsid w:val="001A6900"/>
    <w:rsid w:val="001A6D07"/>
    <w:rsid w:val="001A7310"/>
    <w:rsid w:val="001A7612"/>
    <w:rsid w:val="001A780F"/>
    <w:rsid w:val="001B0196"/>
    <w:rsid w:val="001B02EB"/>
    <w:rsid w:val="001B0842"/>
    <w:rsid w:val="001B1111"/>
    <w:rsid w:val="001B1190"/>
    <w:rsid w:val="001B13D6"/>
    <w:rsid w:val="001B1552"/>
    <w:rsid w:val="001B1637"/>
    <w:rsid w:val="001B1A2C"/>
    <w:rsid w:val="001B28E5"/>
    <w:rsid w:val="001B2CF2"/>
    <w:rsid w:val="001B3276"/>
    <w:rsid w:val="001B36BC"/>
    <w:rsid w:val="001B380E"/>
    <w:rsid w:val="001B3BB1"/>
    <w:rsid w:val="001B3F94"/>
    <w:rsid w:val="001B4120"/>
    <w:rsid w:val="001B4563"/>
    <w:rsid w:val="001B47D4"/>
    <w:rsid w:val="001B48B0"/>
    <w:rsid w:val="001B493D"/>
    <w:rsid w:val="001B4B00"/>
    <w:rsid w:val="001B4BFA"/>
    <w:rsid w:val="001B4CAF"/>
    <w:rsid w:val="001B5853"/>
    <w:rsid w:val="001B6526"/>
    <w:rsid w:val="001B664D"/>
    <w:rsid w:val="001B679E"/>
    <w:rsid w:val="001B6F7F"/>
    <w:rsid w:val="001B7033"/>
    <w:rsid w:val="001B75C6"/>
    <w:rsid w:val="001B793A"/>
    <w:rsid w:val="001B7DC1"/>
    <w:rsid w:val="001C0011"/>
    <w:rsid w:val="001C1719"/>
    <w:rsid w:val="001C17A7"/>
    <w:rsid w:val="001C26D7"/>
    <w:rsid w:val="001C3068"/>
    <w:rsid w:val="001C343C"/>
    <w:rsid w:val="001C34B2"/>
    <w:rsid w:val="001C3697"/>
    <w:rsid w:val="001C36DE"/>
    <w:rsid w:val="001C376D"/>
    <w:rsid w:val="001C37B6"/>
    <w:rsid w:val="001C43D6"/>
    <w:rsid w:val="001C48C0"/>
    <w:rsid w:val="001C4BE0"/>
    <w:rsid w:val="001C57E0"/>
    <w:rsid w:val="001C5805"/>
    <w:rsid w:val="001C5902"/>
    <w:rsid w:val="001C5DCD"/>
    <w:rsid w:val="001C665F"/>
    <w:rsid w:val="001C70AD"/>
    <w:rsid w:val="001C76B5"/>
    <w:rsid w:val="001C7845"/>
    <w:rsid w:val="001C7896"/>
    <w:rsid w:val="001D005F"/>
    <w:rsid w:val="001D08B5"/>
    <w:rsid w:val="001D08FC"/>
    <w:rsid w:val="001D0C74"/>
    <w:rsid w:val="001D11B6"/>
    <w:rsid w:val="001D1343"/>
    <w:rsid w:val="001D1755"/>
    <w:rsid w:val="001D1CFA"/>
    <w:rsid w:val="001D1E17"/>
    <w:rsid w:val="001D2197"/>
    <w:rsid w:val="001D24BE"/>
    <w:rsid w:val="001D2665"/>
    <w:rsid w:val="001D2676"/>
    <w:rsid w:val="001D2F79"/>
    <w:rsid w:val="001D321C"/>
    <w:rsid w:val="001D36DE"/>
    <w:rsid w:val="001D44EE"/>
    <w:rsid w:val="001D4898"/>
    <w:rsid w:val="001D4A6A"/>
    <w:rsid w:val="001D5574"/>
    <w:rsid w:val="001D596E"/>
    <w:rsid w:val="001D600A"/>
    <w:rsid w:val="001D6085"/>
    <w:rsid w:val="001D60FD"/>
    <w:rsid w:val="001D64FE"/>
    <w:rsid w:val="001D6520"/>
    <w:rsid w:val="001D673B"/>
    <w:rsid w:val="001D680A"/>
    <w:rsid w:val="001D6EFE"/>
    <w:rsid w:val="001D7CF2"/>
    <w:rsid w:val="001E002B"/>
    <w:rsid w:val="001E00BA"/>
    <w:rsid w:val="001E04DC"/>
    <w:rsid w:val="001E08AE"/>
    <w:rsid w:val="001E0ECE"/>
    <w:rsid w:val="001E1552"/>
    <w:rsid w:val="001E1AAA"/>
    <w:rsid w:val="001E1BC6"/>
    <w:rsid w:val="001E1F41"/>
    <w:rsid w:val="001E218C"/>
    <w:rsid w:val="001E2C64"/>
    <w:rsid w:val="001E2FF8"/>
    <w:rsid w:val="001E331D"/>
    <w:rsid w:val="001E369F"/>
    <w:rsid w:val="001E38BC"/>
    <w:rsid w:val="001E43BD"/>
    <w:rsid w:val="001E4448"/>
    <w:rsid w:val="001E470B"/>
    <w:rsid w:val="001E4732"/>
    <w:rsid w:val="001E48F5"/>
    <w:rsid w:val="001E4C52"/>
    <w:rsid w:val="001E523E"/>
    <w:rsid w:val="001E5736"/>
    <w:rsid w:val="001E5CC5"/>
    <w:rsid w:val="001E65F1"/>
    <w:rsid w:val="001E661F"/>
    <w:rsid w:val="001E75A4"/>
    <w:rsid w:val="001E765A"/>
    <w:rsid w:val="001E7705"/>
    <w:rsid w:val="001E7FE2"/>
    <w:rsid w:val="001F0480"/>
    <w:rsid w:val="001F05C9"/>
    <w:rsid w:val="001F0778"/>
    <w:rsid w:val="001F0A45"/>
    <w:rsid w:val="001F0A56"/>
    <w:rsid w:val="001F10FF"/>
    <w:rsid w:val="001F13E8"/>
    <w:rsid w:val="001F1822"/>
    <w:rsid w:val="001F22C3"/>
    <w:rsid w:val="001F23BF"/>
    <w:rsid w:val="001F297A"/>
    <w:rsid w:val="001F3168"/>
    <w:rsid w:val="001F31F8"/>
    <w:rsid w:val="001F35C8"/>
    <w:rsid w:val="001F38E2"/>
    <w:rsid w:val="001F3D79"/>
    <w:rsid w:val="001F43D9"/>
    <w:rsid w:val="001F4800"/>
    <w:rsid w:val="001F4960"/>
    <w:rsid w:val="001F4C4D"/>
    <w:rsid w:val="001F4D49"/>
    <w:rsid w:val="001F528B"/>
    <w:rsid w:val="001F577A"/>
    <w:rsid w:val="001F592A"/>
    <w:rsid w:val="001F5AF7"/>
    <w:rsid w:val="001F5CC7"/>
    <w:rsid w:val="001F5D5A"/>
    <w:rsid w:val="001F73B8"/>
    <w:rsid w:val="001F7AB9"/>
    <w:rsid w:val="001F7DE0"/>
    <w:rsid w:val="002001FA"/>
    <w:rsid w:val="00202229"/>
    <w:rsid w:val="0020265B"/>
    <w:rsid w:val="002027DE"/>
    <w:rsid w:val="00202B62"/>
    <w:rsid w:val="00202D31"/>
    <w:rsid w:val="00203592"/>
    <w:rsid w:val="002035F6"/>
    <w:rsid w:val="00203EF6"/>
    <w:rsid w:val="002044A7"/>
    <w:rsid w:val="0020454D"/>
    <w:rsid w:val="00204641"/>
    <w:rsid w:val="00204F2D"/>
    <w:rsid w:val="002056A4"/>
    <w:rsid w:val="0020572E"/>
    <w:rsid w:val="00205C70"/>
    <w:rsid w:val="002063E8"/>
    <w:rsid w:val="00207262"/>
    <w:rsid w:val="00207787"/>
    <w:rsid w:val="0020781F"/>
    <w:rsid w:val="00207F55"/>
    <w:rsid w:val="00210221"/>
    <w:rsid w:val="0021084C"/>
    <w:rsid w:val="00210C5D"/>
    <w:rsid w:val="00211017"/>
    <w:rsid w:val="002118A1"/>
    <w:rsid w:val="00211CD8"/>
    <w:rsid w:val="00211FB1"/>
    <w:rsid w:val="00212692"/>
    <w:rsid w:val="002126E0"/>
    <w:rsid w:val="00212AE3"/>
    <w:rsid w:val="00212C42"/>
    <w:rsid w:val="00213534"/>
    <w:rsid w:val="00213D7A"/>
    <w:rsid w:val="00213FC9"/>
    <w:rsid w:val="002142D1"/>
    <w:rsid w:val="00214672"/>
    <w:rsid w:val="002147DF"/>
    <w:rsid w:val="00214B5F"/>
    <w:rsid w:val="002154D6"/>
    <w:rsid w:val="00215A1F"/>
    <w:rsid w:val="00215AC8"/>
    <w:rsid w:val="002162F0"/>
    <w:rsid w:val="002163E9"/>
    <w:rsid w:val="00216598"/>
    <w:rsid w:val="00216740"/>
    <w:rsid w:val="0021676E"/>
    <w:rsid w:val="002169EA"/>
    <w:rsid w:val="00216B8B"/>
    <w:rsid w:val="00216F79"/>
    <w:rsid w:val="00216F91"/>
    <w:rsid w:val="002170EE"/>
    <w:rsid w:val="00217394"/>
    <w:rsid w:val="0021745F"/>
    <w:rsid w:val="0021763A"/>
    <w:rsid w:val="00217F4C"/>
    <w:rsid w:val="00220725"/>
    <w:rsid w:val="00220C99"/>
    <w:rsid w:val="0022101D"/>
    <w:rsid w:val="00221A40"/>
    <w:rsid w:val="00221C73"/>
    <w:rsid w:val="00221CB8"/>
    <w:rsid w:val="002226A0"/>
    <w:rsid w:val="002228C4"/>
    <w:rsid w:val="00222AB8"/>
    <w:rsid w:val="00222B1F"/>
    <w:rsid w:val="00222BEE"/>
    <w:rsid w:val="00222E4A"/>
    <w:rsid w:val="002236E0"/>
    <w:rsid w:val="002240D3"/>
    <w:rsid w:val="00224141"/>
    <w:rsid w:val="00224F72"/>
    <w:rsid w:val="002256FE"/>
    <w:rsid w:val="00225A41"/>
    <w:rsid w:val="00225AB2"/>
    <w:rsid w:val="00226E71"/>
    <w:rsid w:val="00226F68"/>
    <w:rsid w:val="002274CE"/>
    <w:rsid w:val="0022775C"/>
    <w:rsid w:val="00227D13"/>
    <w:rsid w:val="0023003F"/>
    <w:rsid w:val="002301ED"/>
    <w:rsid w:val="002304A9"/>
    <w:rsid w:val="00231432"/>
    <w:rsid w:val="00231DE5"/>
    <w:rsid w:val="0023230E"/>
    <w:rsid w:val="002323F5"/>
    <w:rsid w:val="00232745"/>
    <w:rsid w:val="00232B9E"/>
    <w:rsid w:val="00232C90"/>
    <w:rsid w:val="0023310C"/>
    <w:rsid w:val="002332A2"/>
    <w:rsid w:val="0023349C"/>
    <w:rsid w:val="00233681"/>
    <w:rsid w:val="00233795"/>
    <w:rsid w:val="00233DE8"/>
    <w:rsid w:val="00234521"/>
    <w:rsid w:val="0023454D"/>
    <w:rsid w:val="002348FF"/>
    <w:rsid w:val="00234B91"/>
    <w:rsid w:val="00234C8E"/>
    <w:rsid w:val="002352A8"/>
    <w:rsid w:val="002357F2"/>
    <w:rsid w:val="0023589C"/>
    <w:rsid w:val="00235AA4"/>
    <w:rsid w:val="00236190"/>
    <w:rsid w:val="0023619F"/>
    <w:rsid w:val="002371DB"/>
    <w:rsid w:val="00237799"/>
    <w:rsid w:val="0023780C"/>
    <w:rsid w:val="002379EB"/>
    <w:rsid w:val="00240570"/>
    <w:rsid w:val="00240657"/>
    <w:rsid w:val="00241283"/>
    <w:rsid w:val="002412A4"/>
    <w:rsid w:val="00241820"/>
    <w:rsid w:val="00242AC7"/>
    <w:rsid w:val="00242F55"/>
    <w:rsid w:val="0024308D"/>
    <w:rsid w:val="002434D1"/>
    <w:rsid w:val="0024353E"/>
    <w:rsid w:val="00243614"/>
    <w:rsid w:val="002448A8"/>
    <w:rsid w:val="00244BE8"/>
    <w:rsid w:val="00245007"/>
    <w:rsid w:val="0024507C"/>
    <w:rsid w:val="002450F4"/>
    <w:rsid w:val="00245ED8"/>
    <w:rsid w:val="0024611B"/>
    <w:rsid w:val="002462CA"/>
    <w:rsid w:val="00246FD0"/>
    <w:rsid w:val="00247146"/>
    <w:rsid w:val="002472E5"/>
    <w:rsid w:val="0024751D"/>
    <w:rsid w:val="002501DA"/>
    <w:rsid w:val="002506A5"/>
    <w:rsid w:val="00250938"/>
    <w:rsid w:val="002509EA"/>
    <w:rsid w:val="00250BD5"/>
    <w:rsid w:val="00250E6F"/>
    <w:rsid w:val="002514A3"/>
    <w:rsid w:val="00251641"/>
    <w:rsid w:val="002518D1"/>
    <w:rsid w:val="002518D5"/>
    <w:rsid w:val="00251B39"/>
    <w:rsid w:val="00252289"/>
    <w:rsid w:val="002526D9"/>
    <w:rsid w:val="0025290F"/>
    <w:rsid w:val="00252C84"/>
    <w:rsid w:val="00253110"/>
    <w:rsid w:val="00253234"/>
    <w:rsid w:val="002535ED"/>
    <w:rsid w:val="002537A8"/>
    <w:rsid w:val="00253A04"/>
    <w:rsid w:val="00253A84"/>
    <w:rsid w:val="00253B64"/>
    <w:rsid w:val="0025463C"/>
    <w:rsid w:val="0025481F"/>
    <w:rsid w:val="00255226"/>
    <w:rsid w:val="00255253"/>
    <w:rsid w:val="0025548F"/>
    <w:rsid w:val="00255AC0"/>
    <w:rsid w:val="00255F9C"/>
    <w:rsid w:val="002564A3"/>
    <w:rsid w:val="00256796"/>
    <w:rsid w:val="00256BC2"/>
    <w:rsid w:val="00256D4A"/>
    <w:rsid w:val="00256E6D"/>
    <w:rsid w:val="00256F17"/>
    <w:rsid w:val="00257D40"/>
    <w:rsid w:val="00257F12"/>
    <w:rsid w:val="002604D6"/>
    <w:rsid w:val="002607B1"/>
    <w:rsid w:val="00260E0A"/>
    <w:rsid w:val="002614A9"/>
    <w:rsid w:val="00261683"/>
    <w:rsid w:val="0026169C"/>
    <w:rsid w:val="002617F9"/>
    <w:rsid w:val="00262177"/>
    <w:rsid w:val="0026218B"/>
    <w:rsid w:val="00262685"/>
    <w:rsid w:val="00262E17"/>
    <w:rsid w:val="00262E54"/>
    <w:rsid w:val="00263021"/>
    <w:rsid w:val="00263559"/>
    <w:rsid w:val="002637D6"/>
    <w:rsid w:val="00263B1F"/>
    <w:rsid w:val="002640DE"/>
    <w:rsid w:val="00264B1F"/>
    <w:rsid w:val="00264E9E"/>
    <w:rsid w:val="00265375"/>
    <w:rsid w:val="002654B2"/>
    <w:rsid w:val="0026598B"/>
    <w:rsid w:val="00265CF8"/>
    <w:rsid w:val="00266002"/>
    <w:rsid w:val="00266165"/>
    <w:rsid w:val="002663E9"/>
    <w:rsid w:val="0026728B"/>
    <w:rsid w:val="00267570"/>
    <w:rsid w:val="0026764E"/>
    <w:rsid w:val="002677C5"/>
    <w:rsid w:val="00267977"/>
    <w:rsid w:val="0027060F"/>
    <w:rsid w:val="0027098D"/>
    <w:rsid w:val="00270A7D"/>
    <w:rsid w:val="00271399"/>
    <w:rsid w:val="002716C3"/>
    <w:rsid w:val="002722B4"/>
    <w:rsid w:val="00272668"/>
    <w:rsid w:val="00272F3C"/>
    <w:rsid w:val="00273936"/>
    <w:rsid w:val="00273A2C"/>
    <w:rsid w:val="00273C38"/>
    <w:rsid w:val="00274A11"/>
    <w:rsid w:val="00274A79"/>
    <w:rsid w:val="00274DF9"/>
    <w:rsid w:val="00274E16"/>
    <w:rsid w:val="00274ECC"/>
    <w:rsid w:val="002754CD"/>
    <w:rsid w:val="002754E8"/>
    <w:rsid w:val="0027574E"/>
    <w:rsid w:val="00275C88"/>
    <w:rsid w:val="00276273"/>
    <w:rsid w:val="00276CFD"/>
    <w:rsid w:val="002772F7"/>
    <w:rsid w:val="002773EA"/>
    <w:rsid w:val="002776FC"/>
    <w:rsid w:val="00277739"/>
    <w:rsid w:val="00277E29"/>
    <w:rsid w:val="0028017A"/>
    <w:rsid w:val="0028029D"/>
    <w:rsid w:val="002805C5"/>
    <w:rsid w:val="00280850"/>
    <w:rsid w:val="00280925"/>
    <w:rsid w:val="00281100"/>
    <w:rsid w:val="00281626"/>
    <w:rsid w:val="0028194C"/>
    <w:rsid w:val="00282AE7"/>
    <w:rsid w:val="00283D28"/>
    <w:rsid w:val="00283E22"/>
    <w:rsid w:val="00283F33"/>
    <w:rsid w:val="002848C7"/>
    <w:rsid w:val="00284998"/>
    <w:rsid w:val="00284BE3"/>
    <w:rsid w:val="00284DD3"/>
    <w:rsid w:val="00284F43"/>
    <w:rsid w:val="00285258"/>
    <w:rsid w:val="002855C8"/>
    <w:rsid w:val="002858EC"/>
    <w:rsid w:val="002859B5"/>
    <w:rsid w:val="002859F4"/>
    <w:rsid w:val="00285F75"/>
    <w:rsid w:val="0028687E"/>
    <w:rsid w:val="00286A16"/>
    <w:rsid w:val="0028740F"/>
    <w:rsid w:val="00287B6E"/>
    <w:rsid w:val="00287C10"/>
    <w:rsid w:val="00287C82"/>
    <w:rsid w:val="00287FB3"/>
    <w:rsid w:val="00290B7C"/>
    <w:rsid w:val="00290E7A"/>
    <w:rsid w:val="00290F43"/>
    <w:rsid w:val="002915CA"/>
    <w:rsid w:val="00291960"/>
    <w:rsid w:val="00291AEC"/>
    <w:rsid w:val="00291ED9"/>
    <w:rsid w:val="002920BF"/>
    <w:rsid w:val="002937A8"/>
    <w:rsid w:val="00293813"/>
    <w:rsid w:val="00293AC4"/>
    <w:rsid w:val="00293D94"/>
    <w:rsid w:val="00294345"/>
    <w:rsid w:val="00294425"/>
    <w:rsid w:val="00294639"/>
    <w:rsid w:val="00294783"/>
    <w:rsid w:val="00295CE0"/>
    <w:rsid w:val="00295E05"/>
    <w:rsid w:val="00296488"/>
    <w:rsid w:val="002965BA"/>
    <w:rsid w:val="00296A36"/>
    <w:rsid w:val="00296FD1"/>
    <w:rsid w:val="0029702B"/>
    <w:rsid w:val="002971C4"/>
    <w:rsid w:val="002971EC"/>
    <w:rsid w:val="0029754A"/>
    <w:rsid w:val="002975FF"/>
    <w:rsid w:val="00297655"/>
    <w:rsid w:val="00297834"/>
    <w:rsid w:val="00297BB6"/>
    <w:rsid w:val="00297D9F"/>
    <w:rsid w:val="00297F02"/>
    <w:rsid w:val="002A0139"/>
    <w:rsid w:val="002A074A"/>
    <w:rsid w:val="002A0DF6"/>
    <w:rsid w:val="002A11A1"/>
    <w:rsid w:val="002A13FD"/>
    <w:rsid w:val="002A1835"/>
    <w:rsid w:val="002A1B86"/>
    <w:rsid w:val="002A2242"/>
    <w:rsid w:val="002A32DF"/>
    <w:rsid w:val="002A3835"/>
    <w:rsid w:val="002A3FAB"/>
    <w:rsid w:val="002A4103"/>
    <w:rsid w:val="002A4531"/>
    <w:rsid w:val="002A4616"/>
    <w:rsid w:val="002A5468"/>
    <w:rsid w:val="002A5BDA"/>
    <w:rsid w:val="002A70D7"/>
    <w:rsid w:val="002A727D"/>
    <w:rsid w:val="002A760D"/>
    <w:rsid w:val="002A7BAC"/>
    <w:rsid w:val="002B02DD"/>
    <w:rsid w:val="002B09A6"/>
    <w:rsid w:val="002B0C2E"/>
    <w:rsid w:val="002B0F69"/>
    <w:rsid w:val="002B1473"/>
    <w:rsid w:val="002B1696"/>
    <w:rsid w:val="002B191D"/>
    <w:rsid w:val="002B1A2F"/>
    <w:rsid w:val="002B1FAD"/>
    <w:rsid w:val="002B2175"/>
    <w:rsid w:val="002B254F"/>
    <w:rsid w:val="002B324A"/>
    <w:rsid w:val="002B3394"/>
    <w:rsid w:val="002B34CD"/>
    <w:rsid w:val="002B410C"/>
    <w:rsid w:val="002B41AB"/>
    <w:rsid w:val="002B4944"/>
    <w:rsid w:val="002B4A9A"/>
    <w:rsid w:val="002B4C3D"/>
    <w:rsid w:val="002B4E67"/>
    <w:rsid w:val="002B4F46"/>
    <w:rsid w:val="002B541B"/>
    <w:rsid w:val="002B5622"/>
    <w:rsid w:val="002B5BDC"/>
    <w:rsid w:val="002B5DA7"/>
    <w:rsid w:val="002B5E9E"/>
    <w:rsid w:val="002B6405"/>
    <w:rsid w:val="002B6650"/>
    <w:rsid w:val="002B66A8"/>
    <w:rsid w:val="002B68DF"/>
    <w:rsid w:val="002B6B7E"/>
    <w:rsid w:val="002B6C84"/>
    <w:rsid w:val="002B725C"/>
    <w:rsid w:val="002B735C"/>
    <w:rsid w:val="002B7873"/>
    <w:rsid w:val="002C04D4"/>
    <w:rsid w:val="002C06C8"/>
    <w:rsid w:val="002C12D8"/>
    <w:rsid w:val="002C1479"/>
    <w:rsid w:val="002C14CD"/>
    <w:rsid w:val="002C21EE"/>
    <w:rsid w:val="002C229F"/>
    <w:rsid w:val="002C264B"/>
    <w:rsid w:val="002C26EB"/>
    <w:rsid w:val="002C2754"/>
    <w:rsid w:val="002C295D"/>
    <w:rsid w:val="002C2961"/>
    <w:rsid w:val="002C2AA2"/>
    <w:rsid w:val="002C2ACF"/>
    <w:rsid w:val="002C2B32"/>
    <w:rsid w:val="002C2C2B"/>
    <w:rsid w:val="002C3302"/>
    <w:rsid w:val="002C331F"/>
    <w:rsid w:val="002C33F0"/>
    <w:rsid w:val="002C3488"/>
    <w:rsid w:val="002C3778"/>
    <w:rsid w:val="002C3C36"/>
    <w:rsid w:val="002C3FAB"/>
    <w:rsid w:val="002C408F"/>
    <w:rsid w:val="002C4221"/>
    <w:rsid w:val="002C483B"/>
    <w:rsid w:val="002C4C28"/>
    <w:rsid w:val="002C4D2C"/>
    <w:rsid w:val="002C4E66"/>
    <w:rsid w:val="002C53E8"/>
    <w:rsid w:val="002C545D"/>
    <w:rsid w:val="002C62DB"/>
    <w:rsid w:val="002C685B"/>
    <w:rsid w:val="002C6C35"/>
    <w:rsid w:val="002C6C7F"/>
    <w:rsid w:val="002C6D66"/>
    <w:rsid w:val="002C6F8F"/>
    <w:rsid w:val="002C764B"/>
    <w:rsid w:val="002C7737"/>
    <w:rsid w:val="002C7936"/>
    <w:rsid w:val="002C795A"/>
    <w:rsid w:val="002C7985"/>
    <w:rsid w:val="002C7AAF"/>
    <w:rsid w:val="002C7B1A"/>
    <w:rsid w:val="002D0121"/>
    <w:rsid w:val="002D064E"/>
    <w:rsid w:val="002D08D9"/>
    <w:rsid w:val="002D0ABC"/>
    <w:rsid w:val="002D0D47"/>
    <w:rsid w:val="002D100F"/>
    <w:rsid w:val="002D1150"/>
    <w:rsid w:val="002D18ED"/>
    <w:rsid w:val="002D1AB3"/>
    <w:rsid w:val="002D284C"/>
    <w:rsid w:val="002D2F32"/>
    <w:rsid w:val="002D323F"/>
    <w:rsid w:val="002D32C6"/>
    <w:rsid w:val="002D349F"/>
    <w:rsid w:val="002D356A"/>
    <w:rsid w:val="002D3A3A"/>
    <w:rsid w:val="002D3B39"/>
    <w:rsid w:val="002D3CAB"/>
    <w:rsid w:val="002D47BF"/>
    <w:rsid w:val="002D4BB6"/>
    <w:rsid w:val="002D4CC5"/>
    <w:rsid w:val="002D4F2F"/>
    <w:rsid w:val="002D6009"/>
    <w:rsid w:val="002D6266"/>
    <w:rsid w:val="002D673D"/>
    <w:rsid w:val="002D6CBD"/>
    <w:rsid w:val="002D6F1F"/>
    <w:rsid w:val="002D6F49"/>
    <w:rsid w:val="002D7027"/>
    <w:rsid w:val="002E05B3"/>
    <w:rsid w:val="002E0C96"/>
    <w:rsid w:val="002E0E22"/>
    <w:rsid w:val="002E1162"/>
    <w:rsid w:val="002E1163"/>
    <w:rsid w:val="002E12CC"/>
    <w:rsid w:val="002E1422"/>
    <w:rsid w:val="002E1590"/>
    <w:rsid w:val="002E1CB0"/>
    <w:rsid w:val="002E1E2A"/>
    <w:rsid w:val="002E2580"/>
    <w:rsid w:val="002E28A3"/>
    <w:rsid w:val="002E2A5C"/>
    <w:rsid w:val="002E4172"/>
    <w:rsid w:val="002E4266"/>
    <w:rsid w:val="002E48F9"/>
    <w:rsid w:val="002E4AA2"/>
    <w:rsid w:val="002E5102"/>
    <w:rsid w:val="002E523E"/>
    <w:rsid w:val="002E600F"/>
    <w:rsid w:val="002E65AD"/>
    <w:rsid w:val="002E660F"/>
    <w:rsid w:val="002E6635"/>
    <w:rsid w:val="002E6900"/>
    <w:rsid w:val="002E6BBF"/>
    <w:rsid w:val="002E70CF"/>
    <w:rsid w:val="002E73B9"/>
    <w:rsid w:val="002E741C"/>
    <w:rsid w:val="002E76D0"/>
    <w:rsid w:val="002E7EF9"/>
    <w:rsid w:val="002E7F96"/>
    <w:rsid w:val="002F0552"/>
    <w:rsid w:val="002F05A8"/>
    <w:rsid w:val="002F0D21"/>
    <w:rsid w:val="002F1131"/>
    <w:rsid w:val="002F1241"/>
    <w:rsid w:val="002F13E4"/>
    <w:rsid w:val="002F1844"/>
    <w:rsid w:val="002F18A2"/>
    <w:rsid w:val="002F1B71"/>
    <w:rsid w:val="002F2184"/>
    <w:rsid w:val="002F2559"/>
    <w:rsid w:val="002F2E05"/>
    <w:rsid w:val="002F2EAA"/>
    <w:rsid w:val="002F2F03"/>
    <w:rsid w:val="002F386D"/>
    <w:rsid w:val="002F3CB0"/>
    <w:rsid w:val="002F430D"/>
    <w:rsid w:val="002F4599"/>
    <w:rsid w:val="002F46E5"/>
    <w:rsid w:val="002F4CFA"/>
    <w:rsid w:val="002F4CFB"/>
    <w:rsid w:val="002F4D6D"/>
    <w:rsid w:val="002F568B"/>
    <w:rsid w:val="002F5B8B"/>
    <w:rsid w:val="002F6214"/>
    <w:rsid w:val="002F6363"/>
    <w:rsid w:val="002F67D5"/>
    <w:rsid w:val="002F6994"/>
    <w:rsid w:val="002F6B82"/>
    <w:rsid w:val="002F6DB7"/>
    <w:rsid w:val="002F764C"/>
    <w:rsid w:val="003001DE"/>
    <w:rsid w:val="003003E3"/>
    <w:rsid w:val="00300A7A"/>
    <w:rsid w:val="00301306"/>
    <w:rsid w:val="003014BF"/>
    <w:rsid w:val="003018F9"/>
    <w:rsid w:val="00301C54"/>
    <w:rsid w:val="00301DAC"/>
    <w:rsid w:val="00301F70"/>
    <w:rsid w:val="00302652"/>
    <w:rsid w:val="0030292D"/>
    <w:rsid w:val="00303579"/>
    <w:rsid w:val="00303852"/>
    <w:rsid w:val="00303F4E"/>
    <w:rsid w:val="003040DE"/>
    <w:rsid w:val="003040EE"/>
    <w:rsid w:val="0030419B"/>
    <w:rsid w:val="003045D6"/>
    <w:rsid w:val="00304A13"/>
    <w:rsid w:val="00304B32"/>
    <w:rsid w:val="00304DEC"/>
    <w:rsid w:val="00305097"/>
    <w:rsid w:val="003052D8"/>
    <w:rsid w:val="00305BFA"/>
    <w:rsid w:val="00305C2F"/>
    <w:rsid w:val="00305D7D"/>
    <w:rsid w:val="0030641B"/>
    <w:rsid w:val="00306458"/>
    <w:rsid w:val="00306A58"/>
    <w:rsid w:val="00306CB5"/>
    <w:rsid w:val="00307007"/>
    <w:rsid w:val="00307C03"/>
    <w:rsid w:val="00307EC3"/>
    <w:rsid w:val="003104CA"/>
    <w:rsid w:val="003108E2"/>
    <w:rsid w:val="00310DFC"/>
    <w:rsid w:val="00311380"/>
    <w:rsid w:val="0031198C"/>
    <w:rsid w:val="00311BD2"/>
    <w:rsid w:val="00311CA6"/>
    <w:rsid w:val="00312074"/>
    <w:rsid w:val="00312764"/>
    <w:rsid w:val="00312884"/>
    <w:rsid w:val="00312A59"/>
    <w:rsid w:val="003131E2"/>
    <w:rsid w:val="00313335"/>
    <w:rsid w:val="003133EE"/>
    <w:rsid w:val="003137F9"/>
    <w:rsid w:val="00313AE6"/>
    <w:rsid w:val="00313F99"/>
    <w:rsid w:val="00314939"/>
    <w:rsid w:val="00314A83"/>
    <w:rsid w:val="00314D32"/>
    <w:rsid w:val="00314D7A"/>
    <w:rsid w:val="00314E73"/>
    <w:rsid w:val="003157D4"/>
    <w:rsid w:val="00315D6F"/>
    <w:rsid w:val="00315EA0"/>
    <w:rsid w:val="00315F20"/>
    <w:rsid w:val="00315F92"/>
    <w:rsid w:val="00316343"/>
    <w:rsid w:val="00316633"/>
    <w:rsid w:val="00316688"/>
    <w:rsid w:val="00316B8E"/>
    <w:rsid w:val="00316C20"/>
    <w:rsid w:val="00316D0D"/>
    <w:rsid w:val="00316F04"/>
    <w:rsid w:val="0031752D"/>
    <w:rsid w:val="00317A95"/>
    <w:rsid w:val="00317D4B"/>
    <w:rsid w:val="00317E3F"/>
    <w:rsid w:val="00317FBA"/>
    <w:rsid w:val="003202BA"/>
    <w:rsid w:val="003205CB"/>
    <w:rsid w:val="00321271"/>
    <w:rsid w:val="00321671"/>
    <w:rsid w:val="00321BB4"/>
    <w:rsid w:val="00322169"/>
    <w:rsid w:val="00322B7E"/>
    <w:rsid w:val="00322D61"/>
    <w:rsid w:val="00323226"/>
    <w:rsid w:val="00323781"/>
    <w:rsid w:val="00323843"/>
    <w:rsid w:val="00323B9D"/>
    <w:rsid w:val="00323CFD"/>
    <w:rsid w:val="0032429A"/>
    <w:rsid w:val="003244C1"/>
    <w:rsid w:val="00324779"/>
    <w:rsid w:val="00324982"/>
    <w:rsid w:val="003250FA"/>
    <w:rsid w:val="00325DF8"/>
    <w:rsid w:val="003269DF"/>
    <w:rsid w:val="00326B46"/>
    <w:rsid w:val="00326FB6"/>
    <w:rsid w:val="003274B3"/>
    <w:rsid w:val="0032765B"/>
    <w:rsid w:val="00327C2B"/>
    <w:rsid w:val="00330185"/>
    <w:rsid w:val="00330E59"/>
    <w:rsid w:val="00331005"/>
    <w:rsid w:val="003315D5"/>
    <w:rsid w:val="003318C0"/>
    <w:rsid w:val="00331DDE"/>
    <w:rsid w:val="00331F65"/>
    <w:rsid w:val="00332293"/>
    <w:rsid w:val="0033235B"/>
    <w:rsid w:val="003326DA"/>
    <w:rsid w:val="003328BB"/>
    <w:rsid w:val="00333501"/>
    <w:rsid w:val="00333711"/>
    <w:rsid w:val="00333763"/>
    <w:rsid w:val="0033413C"/>
    <w:rsid w:val="00334292"/>
    <w:rsid w:val="003344F7"/>
    <w:rsid w:val="003346A5"/>
    <w:rsid w:val="0033478A"/>
    <w:rsid w:val="0033497D"/>
    <w:rsid w:val="00334B29"/>
    <w:rsid w:val="00334CFF"/>
    <w:rsid w:val="00335D5C"/>
    <w:rsid w:val="00336122"/>
    <w:rsid w:val="003366C7"/>
    <w:rsid w:val="00336944"/>
    <w:rsid w:val="00337922"/>
    <w:rsid w:val="00337B22"/>
    <w:rsid w:val="00340222"/>
    <w:rsid w:val="00340463"/>
    <w:rsid w:val="0034055F"/>
    <w:rsid w:val="003408A2"/>
    <w:rsid w:val="00341084"/>
    <w:rsid w:val="0034119B"/>
    <w:rsid w:val="003419B4"/>
    <w:rsid w:val="003419E6"/>
    <w:rsid w:val="00341BC1"/>
    <w:rsid w:val="003422DA"/>
    <w:rsid w:val="003425F5"/>
    <w:rsid w:val="003428BE"/>
    <w:rsid w:val="00342CB8"/>
    <w:rsid w:val="003431F8"/>
    <w:rsid w:val="00343556"/>
    <w:rsid w:val="00343A16"/>
    <w:rsid w:val="00343E70"/>
    <w:rsid w:val="00343F09"/>
    <w:rsid w:val="00344355"/>
    <w:rsid w:val="0034471B"/>
    <w:rsid w:val="00344814"/>
    <w:rsid w:val="00344E23"/>
    <w:rsid w:val="00345076"/>
    <w:rsid w:val="00346794"/>
    <w:rsid w:val="0034701B"/>
    <w:rsid w:val="00347455"/>
    <w:rsid w:val="0034780F"/>
    <w:rsid w:val="00347983"/>
    <w:rsid w:val="00347C36"/>
    <w:rsid w:val="00350D18"/>
    <w:rsid w:val="0035108C"/>
    <w:rsid w:val="003512E6"/>
    <w:rsid w:val="003516B7"/>
    <w:rsid w:val="00351C82"/>
    <w:rsid w:val="00352279"/>
    <w:rsid w:val="00352487"/>
    <w:rsid w:val="0035285B"/>
    <w:rsid w:val="00352A6F"/>
    <w:rsid w:val="00352C08"/>
    <w:rsid w:val="00352CCB"/>
    <w:rsid w:val="00352E64"/>
    <w:rsid w:val="003531C1"/>
    <w:rsid w:val="00353629"/>
    <w:rsid w:val="003538E0"/>
    <w:rsid w:val="003539DA"/>
    <w:rsid w:val="00353C68"/>
    <w:rsid w:val="003541F9"/>
    <w:rsid w:val="00354AD6"/>
    <w:rsid w:val="00354F72"/>
    <w:rsid w:val="00355120"/>
    <w:rsid w:val="0035542D"/>
    <w:rsid w:val="0035624D"/>
    <w:rsid w:val="003567F4"/>
    <w:rsid w:val="0035691E"/>
    <w:rsid w:val="00357183"/>
    <w:rsid w:val="003575B8"/>
    <w:rsid w:val="0035767E"/>
    <w:rsid w:val="003576BE"/>
    <w:rsid w:val="00357783"/>
    <w:rsid w:val="0035781E"/>
    <w:rsid w:val="0036054B"/>
    <w:rsid w:val="0036060F"/>
    <w:rsid w:val="00360757"/>
    <w:rsid w:val="00360D64"/>
    <w:rsid w:val="00360DDA"/>
    <w:rsid w:val="0036153A"/>
    <w:rsid w:val="0036284B"/>
    <w:rsid w:val="003629F0"/>
    <w:rsid w:val="00362A95"/>
    <w:rsid w:val="00362B2B"/>
    <w:rsid w:val="00362F18"/>
    <w:rsid w:val="0036311B"/>
    <w:rsid w:val="003633E1"/>
    <w:rsid w:val="00363CAB"/>
    <w:rsid w:val="00363CC5"/>
    <w:rsid w:val="0036434E"/>
    <w:rsid w:val="003643A0"/>
    <w:rsid w:val="00364757"/>
    <w:rsid w:val="003647CB"/>
    <w:rsid w:val="003649A7"/>
    <w:rsid w:val="00364A6A"/>
    <w:rsid w:val="00364DFC"/>
    <w:rsid w:val="0036501E"/>
    <w:rsid w:val="003653BE"/>
    <w:rsid w:val="00365467"/>
    <w:rsid w:val="00365D08"/>
    <w:rsid w:val="00365D9A"/>
    <w:rsid w:val="00366AC8"/>
    <w:rsid w:val="00366B55"/>
    <w:rsid w:val="00366F5F"/>
    <w:rsid w:val="00367036"/>
    <w:rsid w:val="00367FA8"/>
    <w:rsid w:val="00367FF8"/>
    <w:rsid w:val="0037038D"/>
    <w:rsid w:val="00372285"/>
    <w:rsid w:val="003723D7"/>
    <w:rsid w:val="0037246D"/>
    <w:rsid w:val="003725D3"/>
    <w:rsid w:val="00372745"/>
    <w:rsid w:val="003730A9"/>
    <w:rsid w:val="00373135"/>
    <w:rsid w:val="003733C1"/>
    <w:rsid w:val="00373DEE"/>
    <w:rsid w:val="00373FB3"/>
    <w:rsid w:val="0037404B"/>
    <w:rsid w:val="003741F9"/>
    <w:rsid w:val="00374299"/>
    <w:rsid w:val="0037472A"/>
    <w:rsid w:val="00374BBD"/>
    <w:rsid w:val="00374C74"/>
    <w:rsid w:val="00374E6D"/>
    <w:rsid w:val="00374E6F"/>
    <w:rsid w:val="003759DB"/>
    <w:rsid w:val="00376560"/>
    <w:rsid w:val="00376EE7"/>
    <w:rsid w:val="0037736D"/>
    <w:rsid w:val="00377488"/>
    <w:rsid w:val="003776DF"/>
    <w:rsid w:val="00377830"/>
    <w:rsid w:val="00377C48"/>
    <w:rsid w:val="00377FBF"/>
    <w:rsid w:val="00380214"/>
    <w:rsid w:val="003803C1"/>
    <w:rsid w:val="003804BF"/>
    <w:rsid w:val="00380B32"/>
    <w:rsid w:val="003815A6"/>
    <w:rsid w:val="003815C8"/>
    <w:rsid w:val="003815F6"/>
    <w:rsid w:val="00381EB6"/>
    <w:rsid w:val="00381F89"/>
    <w:rsid w:val="00382ACB"/>
    <w:rsid w:val="00382B22"/>
    <w:rsid w:val="00382D8F"/>
    <w:rsid w:val="003837A6"/>
    <w:rsid w:val="00383899"/>
    <w:rsid w:val="0038398C"/>
    <w:rsid w:val="003839BF"/>
    <w:rsid w:val="0038404C"/>
    <w:rsid w:val="003844C0"/>
    <w:rsid w:val="003846B0"/>
    <w:rsid w:val="00384DB2"/>
    <w:rsid w:val="003853E8"/>
    <w:rsid w:val="003855A2"/>
    <w:rsid w:val="003855AE"/>
    <w:rsid w:val="00385B6E"/>
    <w:rsid w:val="00385C83"/>
    <w:rsid w:val="003860EE"/>
    <w:rsid w:val="003870FB"/>
    <w:rsid w:val="0038712D"/>
    <w:rsid w:val="00387604"/>
    <w:rsid w:val="00387AAC"/>
    <w:rsid w:val="00387AEB"/>
    <w:rsid w:val="0039005C"/>
    <w:rsid w:val="00390283"/>
    <w:rsid w:val="0039082F"/>
    <w:rsid w:val="00390945"/>
    <w:rsid w:val="00390D4C"/>
    <w:rsid w:val="00390F16"/>
    <w:rsid w:val="003912E0"/>
    <w:rsid w:val="003913C9"/>
    <w:rsid w:val="003914FE"/>
    <w:rsid w:val="003915C5"/>
    <w:rsid w:val="0039168C"/>
    <w:rsid w:val="00391951"/>
    <w:rsid w:val="00392185"/>
    <w:rsid w:val="003922FF"/>
    <w:rsid w:val="003934CF"/>
    <w:rsid w:val="00393693"/>
    <w:rsid w:val="00393755"/>
    <w:rsid w:val="00393ADB"/>
    <w:rsid w:val="00394081"/>
    <w:rsid w:val="00394301"/>
    <w:rsid w:val="003948E8"/>
    <w:rsid w:val="00395086"/>
    <w:rsid w:val="0039509C"/>
    <w:rsid w:val="00395308"/>
    <w:rsid w:val="003955B0"/>
    <w:rsid w:val="00395831"/>
    <w:rsid w:val="003968FC"/>
    <w:rsid w:val="003969DE"/>
    <w:rsid w:val="00396F2F"/>
    <w:rsid w:val="003971DB"/>
    <w:rsid w:val="0039753D"/>
    <w:rsid w:val="00397BDB"/>
    <w:rsid w:val="00397C20"/>
    <w:rsid w:val="003A0309"/>
    <w:rsid w:val="003A059E"/>
    <w:rsid w:val="003A1072"/>
    <w:rsid w:val="003A114C"/>
    <w:rsid w:val="003A1B3F"/>
    <w:rsid w:val="003A2089"/>
    <w:rsid w:val="003A267A"/>
    <w:rsid w:val="003A27DB"/>
    <w:rsid w:val="003A378F"/>
    <w:rsid w:val="003A37D1"/>
    <w:rsid w:val="003A3900"/>
    <w:rsid w:val="003A39BE"/>
    <w:rsid w:val="003A3B8A"/>
    <w:rsid w:val="003A3BDF"/>
    <w:rsid w:val="003A3DEA"/>
    <w:rsid w:val="003A3E5D"/>
    <w:rsid w:val="003A3FC4"/>
    <w:rsid w:val="003A4105"/>
    <w:rsid w:val="003A43B0"/>
    <w:rsid w:val="003A4B7A"/>
    <w:rsid w:val="003A4C56"/>
    <w:rsid w:val="003A4E7C"/>
    <w:rsid w:val="003A4EFA"/>
    <w:rsid w:val="003A4FE7"/>
    <w:rsid w:val="003A504F"/>
    <w:rsid w:val="003A50E4"/>
    <w:rsid w:val="003A5F83"/>
    <w:rsid w:val="003A602C"/>
    <w:rsid w:val="003A61CA"/>
    <w:rsid w:val="003A626B"/>
    <w:rsid w:val="003A6772"/>
    <w:rsid w:val="003A707D"/>
    <w:rsid w:val="003A70BE"/>
    <w:rsid w:val="003A7C52"/>
    <w:rsid w:val="003A7E8F"/>
    <w:rsid w:val="003B0032"/>
    <w:rsid w:val="003B0183"/>
    <w:rsid w:val="003B01A0"/>
    <w:rsid w:val="003B01FC"/>
    <w:rsid w:val="003B04F3"/>
    <w:rsid w:val="003B075F"/>
    <w:rsid w:val="003B0908"/>
    <w:rsid w:val="003B1174"/>
    <w:rsid w:val="003B13CC"/>
    <w:rsid w:val="003B1B63"/>
    <w:rsid w:val="003B1E76"/>
    <w:rsid w:val="003B1F97"/>
    <w:rsid w:val="003B25E4"/>
    <w:rsid w:val="003B2E5D"/>
    <w:rsid w:val="003B30D2"/>
    <w:rsid w:val="003B356E"/>
    <w:rsid w:val="003B3789"/>
    <w:rsid w:val="003B3A93"/>
    <w:rsid w:val="003B3C05"/>
    <w:rsid w:val="003B4049"/>
    <w:rsid w:val="003B4305"/>
    <w:rsid w:val="003B446A"/>
    <w:rsid w:val="003B515F"/>
    <w:rsid w:val="003B54F0"/>
    <w:rsid w:val="003B5E34"/>
    <w:rsid w:val="003B6069"/>
    <w:rsid w:val="003C02CB"/>
    <w:rsid w:val="003C0572"/>
    <w:rsid w:val="003C05CF"/>
    <w:rsid w:val="003C0BE8"/>
    <w:rsid w:val="003C0D28"/>
    <w:rsid w:val="003C0E9F"/>
    <w:rsid w:val="003C1088"/>
    <w:rsid w:val="003C13E4"/>
    <w:rsid w:val="003C143C"/>
    <w:rsid w:val="003C15FF"/>
    <w:rsid w:val="003C23C4"/>
    <w:rsid w:val="003C2438"/>
    <w:rsid w:val="003C2553"/>
    <w:rsid w:val="003C268D"/>
    <w:rsid w:val="003C3098"/>
    <w:rsid w:val="003C3A40"/>
    <w:rsid w:val="003C3FCF"/>
    <w:rsid w:val="003C44CC"/>
    <w:rsid w:val="003C4856"/>
    <w:rsid w:val="003C4FAA"/>
    <w:rsid w:val="003C5020"/>
    <w:rsid w:val="003C52EB"/>
    <w:rsid w:val="003C56F9"/>
    <w:rsid w:val="003C5709"/>
    <w:rsid w:val="003C5F1D"/>
    <w:rsid w:val="003C60BE"/>
    <w:rsid w:val="003C6A28"/>
    <w:rsid w:val="003D0746"/>
    <w:rsid w:val="003D0879"/>
    <w:rsid w:val="003D108D"/>
    <w:rsid w:val="003D1671"/>
    <w:rsid w:val="003D1E26"/>
    <w:rsid w:val="003D231C"/>
    <w:rsid w:val="003D3609"/>
    <w:rsid w:val="003D37B8"/>
    <w:rsid w:val="003D393A"/>
    <w:rsid w:val="003D3F52"/>
    <w:rsid w:val="003D3FC2"/>
    <w:rsid w:val="003D3FF4"/>
    <w:rsid w:val="003D5057"/>
    <w:rsid w:val="003D519B"/>
    <w:rsid w:val="003D5721"/>
    <w:rsid w:val="003D5F8E"/>
    <w:rsid w:val="003D5F9F"/>
    <w:rsid w:val="003D6425"/>
    <w:rsid w:val="003D7432"/>
    <w:rsid w:val="003D746D"/>
    <w:rsid w:val="003D7776"/>
    <w:rsid w:val="003D7B66"/>
    <w:rsid w:val="003D7FAE"/>
    <w:rsid w:val="003E04FB"/>
    <w:rsid w:val="003E062D"/>
    <w:rsid w:val="003E073D"/>
    <w:rsid w:val="003E0775"/>
    <w:rsid w:val="003E0F94"/>
    <w:rsid w:val="003E1292"/>
    <w:rsid w:val="003E1A30"/>
    <w:rsid w:val="003E1A7F"/>
    <w:rsid w:val="003E1CF4"/>
    <w:rsid w:val="003E1ED2"/>
    <w:rsid w:val="003E24F5"/>
    <w:rsid w:val="003E25A5"/>
    <w:rsid w:val="003E28BD"/>
    <w:rsid w:val="003E2CC0"/>
    <w:rsid w:val="003E30C2"/>
    <w:rsid w:val="003E35BB"/>
    <w:rsid w:val="003E3763"/>
    <w:rsid w:val="003E50FD"/>
    <w:rsid w:val="003E55B8"/>
    <w:rsid w:val="003E56CB"/>
    <w:rsid w:val="003E5BA8"/>
    <w:rsid w:val="003E5D7D"/>
    <w:rsid w:val="003E5DAC"/>
    <w:rsid w:val="003E5EBF"/>
    <w:rsid w:val="003E64D8"/>
    <w:rsid w:val="003E68AB"/>
    <w:rsid w:val="003E7379"/>
    <w:rsid w:val="003E791C"/>
    <w:rsid w:val="003E7C3D"/>
    <w:rsid w:val="003E7E93"/>
    <w:rsid w:val="003F0137"/>
    <w:rsid w:val="003F0209"/>
    <w:rsid w:val="003F0AF5"/>
    <w:rsid w:val="003F0B49"/>
    <w:rsid w:val="003F0E39"/>
    <w:rsid w:val="003F104B"/>
    <w:rsid w:val="003F1C49"/>
    <w:rsid w:val="003F228A"/>
    <w:rsid w:val="003F32DD"/>
    <w:rsid w:val="003F33B0"/>
    <w:rsid w:val="003F3680"/>
    <w:rsid w:val="003F3E98"/>
    <w:rsid w:val="003F436A"/>
    <w:rsid w:val="003F5078"/>
    <w:rsid w:val="003F54A8"/>
    <w:rsid w:val="003F56A1"/>
    <w:rsid w:val="003F57DC"/>
    <w:rsid w:val="003F5A7D"/>
    <w:rsid w:val="003F5AE5"/>
    <w:rsid w:val="003F65B9"/>
    <w:rsid w:val="003F6CD5"/>
    <w:rsid w:val="003F6E77"/>
    <w:rsid w:val="003F70DE"/>
    <w:rsid w:val="003F7496"/>
    <w:rsid w:val="003F74C0"/>
    <w:rsid w:val="003F7681"/>
    <w:rsid w:val="003F7AF3"/>
    <w:rsid w:val="003F7D43"/>
    <w:rsid w:val="003F7D68"/>
    <w:rsid w:val="00400267"/>
    <w:rsid w:val="004009F5"/>
    <w:rsid w:val="00400BB2"/>
    <w:rsid w:val="00400EC1"/>
    <w:rsid w:val="0040138B"/>
    <w:rsid w:val="00401559"/>
    <w:rsid w:val="004015E4"/>
    <w:rsid w:val="0040209A"/>
    <w:rsid w:val="0040226F"/>
    <w:rsid w:val="0040282C"/>
    <w:rsid w:val="00402DCA"/>
    <w:rsid w:val="004036C5"/>
    <w:rsid w:val="004036EE"/>
    <w:rsid w:val="00403B98"/>
    <w:rsid w:val="00403CFB"/>
    <w:rsid w:val="00403E3B"/>
    <w:rsid w:val="0040427F"/>
    <w:rsid w:val="004042AC"/>
    <w:rsid w:val="0040471D"/>
    <w:rsid w:val="00404E80"/>
    <w:rsid w:val="004051AD"/>
    <w:rsid w:val="004051E8"/>
    <w:rsid w:val="00405588"/>
    <w:rsid w:val="00405C35"/>
    <w:rsid w:val="00405ED8"/>
    <w:rsid w:val="00405F89"/>
    <w:rsid w:val="0040622F"/>
    <w:rsid w:val="00406E38"/>
    <w:rsid w:val="00407898"/>
    <w:rsid w:val="00407AA5"/>
    <w:rsid w:val="00407DB2"/>
    <w:rsid w:val="004102B0"/>
    <w:rsid w:val="00410523"/>
    <w:rsid w:val="004105C3"/>
    <w:rsid w:val="00410DCD"/>
    <w:rsid w:val="004113AF"/>
    <w:rsid w:val="004118E1"/>
    <w:rsid w:val="004123ED"/>
    <w:rsid w:val="0041256D"/>
    <w:rsid w:val="00412B0A"/>
    <w:rsid w:val="00413029"/>
    <w:rsid w:val="00414310"/>
    <w:rsid w:val="00414541"/>
    <w:rsid w:val="00414D7E"/>
    <w:rsid w:val="00415560"/>
    <w:rsid w:val="00415676"/>
    <w:rsid w:val="004157E8"/>
    <w:rsid w:val="00415DF6"/>
    <w:rsid w:val="00416588"/>
    <w:rsid w:val="00416CF7"/>
    <w:rsid w:val="00416CFD"/>
    <w:rsid w:val="00416F83"/>
    <w:rsid w:val="0041738C"/>
    <w:rsid w:val="004177BA"/>
    <w:rsid w:val="004204EA"/>
    <w:rsid w:val="00420564"/>
    <w:rsid w:val="0042075F"/>
    <w:rsid w:val="00420DC5"/>
    <w:rsid w:val="00420E09"/>
    <w:rsid w:val="0042123F"/>
    <w:rsid w:val="0042147B"/>
    <w:rsid w:val="004218CC"/>
    <w:rsid w:val="0042230A"/>
    <w:rsid w:val="004226AB"/>
    <w:rsid w:val="004227AE"/>
    <w:rsid w:val="004233A6"/>
    <w:rsid w:val="004239CB"/>
    <w:rsid w:val="00423D30"/>
    <w:rsid w:val="0042406A"/>
    <w:rsid w:val="0042434A"/>
    <w:rsid w:val="00424D40"/>
    <w:rsid w:val="00424FF3"/>
    <w:rsid w:val="00425FE5"/>
    <w:rsid w:val="0042613B"/>
    <w:rsid w:val="004265DE"/>
    <w:rsid w:val="0042669C"/>
    <w:rsid w:val="00426A51"/>
    <w:rsid w:val="00426C2C"/>
    <w:rsid w:val="00426CE1"/>
    <w:rsid w:val="00426F46"/>
    <w:rsid w:val="00427111"/>
    <w:rsid w:val="00427D67"/>
    <w:rsid w:val="004304A1"/>
    <w:rsid w:val="00431094"/>
    <w:rsid w:val="004312A4"/>
    <w:rsid w:val="004317C8"/>
    <w:rsid w:val="00431DEA"/>
    <w:rsid w:val="0043240B"/>
    <w:rsid w:val="00432BD6"/>
    <w:rsid w:val="00432C05"/>
    <w:rsid w:val="00432EF0"/>
    <w:rsid w:val="0043315B"/>
    <w:rsid w:val="004334EB"/>
    <w:rsid w:val="00433D97"/>
    <w:rsid w:val="00434038"/>
    <w:rsid w:val="004341D0"/>
    <w:rsid w:val="004345AC"/>
    <w:rsid w:val="004345E3"/>
    <w:rsid w:val="00434745"/>
    <w:rsid w:val="004349F1"/>
    <w:rsid w:val="00434AD1"/>
    <w:rsid w:val="00434B6C"/>
    <w:rsid w:val="00434B99"/>
    <w:rsid w:val="00434F9E"/>
    <w:rsid w:val="00434FE1"/>
    <w:rsid w:val="004351F2"/>
    <w:rsid w:val="004353E8"/>
    <w:rsid w:val="00435907"/>
    <w:rsid w:val="00435983"/>
    <w:rsid w:val="00435E9A"/>
    <w:rsid w:val="00435EAE"/>
    <w:rsid w:val="004368BA"/>
    <w:rsid w:val="00437049"/>
    <w:rsid w:val="00437BFA"/>
    <w:rsid w:val="00437F62"/>
    <w:rsid w:val="004404E1"/>
    <w:rsid w:val="00441147"/>
    <w:rsid w:val="00441268"/>
    <w:rsid w:val="00441703"/>
    <w:rsid w:val="004417CA"/>
    <w:rsid w:val="00441A3B"/>
    <w:rsid w:val="00441C10"/>
    <w:rsid w:val="00442A96"/>
    <w:rsid w:val="00442B4A"/>
    <w:rsid w:val="00443244"/>
    <w:rsid w:val="00443486"/>
    <w:rsid w:val="0044369F"/>
    <w:rsid w:val="004437C7"/>
    <w:rsid w:val="00444590"/>
    <w:rsid w:val="00445406"/>
    <w:rsid w:val="00445A46"/>
    <w:rsid w:val="00445B34"/>
    <w:rsid w:val="004460B0"/>
    <w:rsid w:val="00446A6A"/>
    <w:rsid w:val="00446E78"/>
    <w:rsid w:val="0044719C"/>
    <w:rsid w:val="00447DE7"/>
    <w:rsid w:val="00450151"/>
    <w:rsid w:val="004502F8"/>
    <w:rsid w:val="00450679"/>
    <w:rsid w:val="004513A5"/>
    <w:rsid w:val="00451516"/>
    <w:rsid w:val="00451D2F"/>
    <w:rsid w:val="00451D76"/>
    <w:rsid w:val="00451DC3"/>
    <w:rsid w:val="00451DE6"/>
    <w:rsid w:val="00451E42"/>
    <w:rsid w:val="00451FA8"/>
    <w:rsid w:val="00452457"/>
    <w:rsid w:val="004531F8"/>
    <w:rsid w:val="00453A0A"/>
    <w:rsid w:val="00453B7E"/>
    <w:rsid w:val="00453D5C"/>
    <w:rsid w:val="004540A9"/>
    <w:rsid w:val="004542AB"/>
    <w:rsid w:val="004546EC"/>
    <w:rsid w:val="004548D6"/>
    <w:rsid w:val="00454A92"/>
    <w:rsid w:val="00454BC8"/>
    <w:rsid w:val="00454C1A"/>
    <w:rsid w:val="00455A24"/>
    <w:rsid w:val="00457317"/>
    <w:rsid w:val="004579C4"/>
    <w:rsid w:val="00457FF4"/>
    <w:rsid w:val="004600F9"/>
    <w:rsid w:val="0046012D"/>
    <w:rsid w:val="004603C5"/>
    <w:rsid w:val="004605BE"/>
    <w:rsid w:val="00460743"/>
    <w:rsid w:val="00460A64"/>
    <w:rsid w:val="00460AC1"/>
    <w:rsid w:val="00460E2A"/>
    <w:rsid w:val="004614C6"/>
    <w:rsid w:val="00461570"/>
    <w:rsid w:val="00461FDC"/>
    <w:rsid w:val="00462328"/>
    <w:rsid w:val="0046242F"/>
    <w:rsid w:val="004624EF"/>
    <w:rsid w:val="00462555"/>
    <w:rsid w:val="004626AD"/>
    <w:rsid w:val="00462A40"/>
    <w:rsid w:val="00462ADD"/>
    <w:rsid w:val="00462FDD"/>
    <w:rsid w:val="004634FC"/>
    <w:rsid w:val="00463646"/>
    <w:rsid w:val="004636E7"/>
    <w:rsid w:val="00463AC9"/>
    <w:rsid w:val="00463AEE"/>
    <w:rsid w:val="00463C34"/>
    <w:rsid w:val="004643B3"/>
    <w:rsid w:val="004645BF"/>
    <w:rsid w:val="00464A6E"/>
    <w:rsid w:val="004651CE"/>
    <w:rsid w:val="004651E8"/>
    <w:rsid w:val="0046591A"/>
    <w:rsid w:val="00465A8A"/>
    <w:rsid w:val="00465C0F"/>
    <w:rsid w:val="004661FB"/>
    <w:rsid w:val="00466921"/>
    <w:rsid w:val="00467167"/>
    <w:rsid w:val="00467664"/>
    <w:rsid w:val="00467676"/>
    <w:rsid w:val="004676A4"/>
    <w:rsid w:val="004679AF"/>
    <w:rsid w:val="00467F0A"/>
    <w:rsid w:val="004700F9"/>
    <w:rsid w:val="004701CD"/>
    <w:rsid w:val="004709B7"/>
    <w:rsid w:val="00471527"/>
    <w:rsid w:val="00471B17"/>
    <w:rsid w:val="00471EAE"/>
    <w:rsid w:val="00472217"/>
    <w:rsid w:val="004722A5"/>
    <w:rsid w:val="004723F5"/>
    <w:rsid w:val="0047242C"/>
    <w:rsid w:val="00472815"/>
    <w:rsid w:val="00472CD7"/>
    <w:rsid w:val="00472EC5"/>
    <w:rsid w:val="00473033"/>
    <w:rsid w:val="0047324E"/>
    <w:rsid w:val="00473568"/>
    <w:rsid w:val="00473BFD"/>
    <w:rsid w:val="00473DD8"/>
    <w:rsid w:val="00474E53"/>
    <w:rsid w:val="00474F8E"/>
    <w:rsid w:val="0047562E"/>
    <w:rsid w:val="00475D95"/>
    <w:rsid w:val="00475F20"/>
    <w:rsid w:val="004760E0"/>
    <w:rsid w:val="004761E2"/>
    <w:rsid w:val="0047643E"/>
    <w:rsid w:val="00477849"/>
    <w:rsid w:val="004778CB"/>
    <w:rsid w:val="00477B35"/>
    <w:rsid w:val="00480214"/>
    <w:rsid w:val="00480250"/>
    <w:rsid w:val="004812B9"/>
    <w:rsid w:val="00481DEC"/>
    <w:rsid w:val="00481EDB"/>
    <w:rsid w:val="004823BD"/>
    <w:rsid w:val="00482508"/>
    <w:rsid w:val="0048284B"/>
    <w:rsid w:val="0048290E"/>
    <w:rsid w:val="004834C6"/>
    <w:rsid w:val="00483BB6"/>
    <w:rsid w:val="00484538"/>
    <w:rsid w:val="0048466D"/>
    <w:rsid w:val="00485FF3"/>
    <w:rsid w:val="00486132"/>
    <w:rsid w:val="00486F45"/>
    <w:rsid w:val="00487434"/>
    <w:rsid w:val="00491896"/>
    <w:rsid w:val="00492419"/>
    <w:rsid w:val="00492685"/>
    <w:rsid w:val="004927F3"/>
    <w:rsid w:val="00492AF7"/>
    <w:rsid w:val="00492B2F"/>
    <w:rsid w:val="00492B8F"/>
    <w:rsid w:val="00493C34"/>
    <w:rsid w:val="00493CDC"/>
    <w:rsid w:val="00493E7D"/>
    <w:rsid w:val="00493EA2"/>
    <w:rsid w:val="00494079"/>
    <w:rsid w:val="00494564"/>
    <w:rsid w:val="00494D2B"/>
    <w:rsid w:val="004950D4"/>
    <w:rsid w:val="004956E5"/>
    <w:rsid w:val="00495BC9"/>
    <w:rsid w:val="00495F9B"/>
    <w:rsid w:val="004962B3"/>
    <w:rsid w:val="004967E5"/>
    <w:rsid w:val="004968C2"/>
    <w:rsid w:val="00497061"/>
    <w:rsid w:val="0049751C"/>
    <w:rsid w:val="004A044C"/>
    <w:rsid w:val="004A045D"/>
    <w:rsid w:val="004A0F8D"/>
    <w:rsid w:val="004A1A61"/>
    <w:rsid w:val="004A1C0E"/>
    <w:rsid w:val="004A1F47"/>
    <w:rsid w:val="004A22C7"/>
    <w:rsid w:val="004A2D91"/>
    <w:rsid w:val="004A38C9"/>
    <w:rsid w:val="004A4550"/>
    <w:rsid w:val="004A4BDF"/>
    <w:rsid w:val="004A4FBB"/>
    <w:rsid w:val="004A5A4F"/>
    <w:rsid w:val="004A5DF4"/>
    <w:rsid w:val="004A6405"/>
    <w:rsid w:val="004A682C"/>
    <w:rsid w:val="004A6C5F"/>
    <w:rsid w:val="004A6F6F"/>
    <w:rsid w:val="004A7454"/>
    <w:rsid w:val="004A7670"/>
    <w:rsid w:val="004A7EC5"/>
    <w:rsid w:val="004B02E3"/>
    <w:rsid w:val="004B0534"/>
    <w:rsid w:val="004B0915"/>
    <w:rsid w:val="004B0A5B"/>
    <w:rsid w:val="004B0B51"/>
    <w:rsid w:val="004B0CBD"/>
    <w:rsid w:val="004B0EE3"/>
    <w:rsid w:val="004B133A"/>
    <w:rsid w:val="004B162E"/>
    <w:rsid w:val="004B16A9"/>
    <w:rsid w:val="004B1DEF"/>
    <w:rsid w:val="004B2199"/>
    <w:rsid w:val="004B2428"/>
    <w:rsid w:val="004B3738"/>
    <w:rsid w:val="004B3CB2"/>
    <w:rsid w:val="004B545C"/>
    <w:rsid w:val="004B5D56"/>
    <w:rsid w:val="004B5FD3"/>
    <w:rsid w:val="004B60BF"/>
    <w:rsid w:val="004B62FE"/>
    <w:rsid w:val="004B6B22"/>
    <w:rsid w:val="004B6BA8"/>
    <w:rsid w:val="004B6E40"/>
    <w:rsid w:val="004B7125"/>
    <w:rsid w:val="004B71D4"/>
    <w:rsid w:val="004B7233"/>
    <w:rsid w:val="004B7384"/>
    <w:rsid w:val="004B73D3"/>
    <w:rsid w:val="004B7530"/>
    <w:rsid w:val="004B7E7B"/>
    <w:rsid w:val="004B7EB0"/>
    <w:rsid w:val="004C02CF"/>
    <w:rsid w:val="004C0972"/>
    <w:rsid w:val="004C0BD7"/>
    <w:rsid w:val="004C0D2B"/>
    <w:rsid w:val="004C14B3"/>
    <w:rsid w:val="004C3199"/>
    <w:rsid w:val="004C3C74"/>
    <w:rsid w:val="004C3EAC"/>
    <w:rsid w:val="004C4536"/>
    <w:rsid w:val="004C486A"/>
    <w:rsid w:val="004C4AD0"/>
    <w:rsid w:val="004C4EAA"/>
    <w:rsid w:val="004C542A"/>
    <w:rsid w:val="004C5434"/>
    <w:rsid w:val="004C6315"/>
    <w:rsid w:val="004C6C1E"/>
    <w:rsid w:val="004C6D3B"/>
    <w:rsid w:val="004C6D85"/>
    <w:rsid w:val="004C720D"/>
    <w:rsid w:val="004C7485"/>
    <w:rsid w:val="004C75CC"/>
    <w:rsid w:val="004C7BE0"/>
    <w:rsid w:val="004D0160"/>
    <w:rsid w:val="004D03F3"/>
    <w:rsid w:val="004D0415"/>
    <w:rsid w:val="004D08DE"/>
    <w:rsid w:val="004D0DF6"/>
    <w:rsid w:val="004D140B"/>
    <w:rsid w:val="004D1700"/>
    <w:rsid w:val="004D214F"/>
    <w:rsid w:val="004D2811"/>
    <w:rsid w:val="004D3209"/>
    <w:rsid w:val="004D32FC"/>
    <w:rsid w:val="004D37B3"/>
    <w:rsid w:val="004D3AB8"/>
    <w:rsid w:val="004D3B50"/>
    <w:rsid w:val="004D3C39"/>
    <w:rsid w:val="004D4146"/>
    <w:rsid w:val="004D47BD"/>
    <w:rsid w:val="004D4B76"/>
    <w:rsid w:val="004D5129"/>
    <w:rsid w:val="004D5D8C"/>
    <w:rsid w:val="004D5D99"/>
    <w:rsid w:val="004D63D5"/>
    <w:rsid w:val="004D67BA"/>
    <w:rsid w:val="004D6D24"/>
    <w:rsid w:val="004D709D"/>
    <w:rsid w:val="004D753B"/>
    <w:rsid w:val="004D7580"/>
    <w:rsid w:val="004D786F"/>
    <w:rsid w:val="004D7A0A"/>
    <w:rsid w:val="004D7AE3"/>
    <w:rsid w:val="004D7C9A"/>
    <w:rsid w:val="004E0064"/>
    <w:rsid w:val="004E0693"/>
    <w:rsid w:val="004E0720"/>
    <w:rsid w:val="004E08D7"/>
    <w:rsid w:val="004E0D23"/>
    <w:rsid w:val="004E168C"/>
    <w:rsid w:val="004E1CA7"/>
    <w:rsid w:val="004E1D14"/>
    <w:rsid w:val="004E248C"/>
    <w:rsid w:val="004E29AF"/>
    <w:rsid w:val="004E2B0F"/>
    <w:rsid w:val="004E2C62"/>
    <w:rsid w:val="004E2D15"/>
    <w:rsid w:val="004E2E46"/>
    <w:rsid w:val="004E3508"/>
    <w:rsid w:val="004E36AD"/>
    <w:rsid w:val="004E39C4"/>
    <w:rsid w:val="004E3EFF"/>
    <w:rsid w:val="004E40BE"/>
    <w:rsid w:val="004E4CA6"/>
    <w:rsid w:val="004E5696"/>
    <w:rsid w:val="004E5C56"/>
    <w:rsid w:val="004E5C7F"/>
    <w:rsid w:val="004E5D68"/>
    <w:rsid w:val="004E63CE"/>
    <w:rsid w:val="004E67F5"/>
    <w:rsid w:val="004E6B20"/>
    <w:rsid w:val="004E706D"/>
    <w:rsid w:val="004E770A"/>
    <w:rsid w:val="004E7838"/>
    <w:rsid w:val="004E78CE"/>
    <w:rsid w:val="004E7939"/>
    <w:rsid w:val="004E7970"/>
    <w:rsid w:val="004E7BB8"/>
    <w:rsid w:val="004F0614"/>
    <w:rsid w:val="004F06B5"/>
    <w:rsid w:val="004F0732"/>
    <w:rsid w:val="004F0870"/>
    <w:rsid w:val="004F088D"/>
    <w:rsid w:val="004F08B3"/>
    <w:rsid w:val="004F0905"/>
    <w:rsid w:val="004F0F76"/>
    <w:rsid w:val="004F0FC9"/>
    <w:rsid w:val="004F1729"/>
    <w:rsid w:val="004F1CDB"/>
    <w:rsid w:val="004F1D4E"/>
    <w:rsid w:val="004F2241"/>
    <w:rsid w:val="004F26B2"/>
    <w:rsid w:val="004F2739"/>
    <w:rsid w:val="004F2D5E"/>
    <w:rsid w:val="004F2F08"/>
    <w:rsid w:val="004F31F2"/>
    <w:rsid w:val="004F3443"/>
    <w:rsid w:val="004F3C9B"/>
    <w:rsid w:val="004F3FDC"/>
    <w:rsid w:val="004F43C8"/>
    <w:rsid w:val="004F4544"/>
    <w:rsid w:val="004F4638"/>
    <w:rsid w:val="004F49AB"/>
    <w:rsid w:val="004F4DB4"/>
    <w:rsid w:val="004F535E"/>
    <w:rsid w:val="004F53D2"/>
    <w:rsid w:val="004F5F89"/>
    <w:rsid w:val="004F6162"/>
    <w:rsid w:val="004F616D"/>
    <w:rsid w:val="004F651C"/>
    <w:rsid w:val="004F67BD"/>
    <w:rsid w:val="004F6D90"/>
    <w:rsid w:val="004F6DBD"/>
    <w:rsid w:val="004F70FA"/>
    <w:rsid w:val="004F7388"/>
    <w:rsid w:val="004F73F1"/>
    <w:rsid w:val="004F74A3"/>
    <w:rsid w:val="004F77BB"/>
    <w:rsid w:val="00500012"/>
    <w:rsid w:val="00500D87"/>
    <w:rsid w:val="0050106C"/>
    <w:rsid w:val="0050204B"/>
    <w:rsid w:val="005022DE"/>
    <w:rsid w:val="00502456"/>
    <w:rsid w:val="00502589"/>
    <w:rsid w:val="00502C19"/>
    <w:rsid w:val="00503B39"/>
    <w:rsid w:val="00503D27"/>
    <w:rsid w:val="00504051"/>
    <w:rsid w:val="0050405A"/>
    <w:rsid w:val="00504C52"/>
    <w:rsid w:val="00504EE9"/>
    <w:rsid w:val="0050501D"/>
    <w:rsid w:val="005054D8"/>
    <w:rsid w:val="00505667"/>
    <w:rsid w:val="005058C4"/>
    <w:rsid w:val="00506264"/>
    <w:rsid w:val="0050651E"/>
    <w:rsid w:val="00506607"/>
    <w:rsid w:val="005069DE"/>
    <w:rsid w:val="00506B1E"/>
    <w:rsid w:val="00506ED2"/>
    <w:rsid w:val="00510082"/>
    <w:rsid w:val="005103F8"/>
    <w:rsid w:val="005106C6"/>
    <w:rsid w:val="0051094B"/>
    <w:rsid w:val="00511138"/>
    <w:rsid w:val="00511465"/>
    <w:rsid w:val="0051159C"/>
    <w:rsid w:val="00511A29"/>
    <w:rsid w:val="00511E81"/>
    <w:rsid w:val="00511F37"/>
    <w:rsid w:val="005121C5"/>
    <w:rsid w:val="005122A3"/>
    <w:rsid w:val="005123BF"/>
    <w:rsid w:val="00512933"/>
    <w:rsid w:val="00512A95"/>
    <w:rsid w:val="00513364"/>
    <w:rsid w:val="00513AB8"/>
    <w:rsid w:val="00514313"/>
    <w:rsid w:val="00514A8E"/>
    <w:rsid w:val="00514F01"/>
    <w:rsid w:val="00515278"/>
    <w:rsid w:val="00515321"/>
    <w:rsid w:val="00515469"/>
    <w:rsid w:val="00515646"/>
    <w:rsid w:val="00516AE6"/>
    <w:rsid w:val="005173F0"/>
    <w:rsid w:val="0051773B"/>
    <w:rsid w:val="00517F13"/>
    <w:rsid w:val="00520ADE"/>
    <w:rsid w:val="0052124F"/>
    <w:rsid w:val="005213C0"/>
    <w:rsid w:val="00521745"/>
    <w:rsid w:val="00521DC5"/>
    <w:rsid w:val="00522027"/>
    <w:rsid w:val="005221AE"/>
    <w:rsid w:val="00522351"/>
    <w:rsid w:val="005223F5"/>
    <w:rsid w:val="00522A71"/>
    <w:rsid w:val="00523370"/>
    <w:rsid w:val="005235D5"/>
    <w:rsid w:val="0052393A"/>
    <w:rsid w:val="00523A15"/>
    <w:rsid w:val="00523B69"/>
    <w:rsid w:val="00523FDC"/>
    <w:rsid w:val="0052414A"/>
    <w:rsid w:val="0052494B"/>
    <w:rsid w:val="005249BE"/>
    <w:rsid w:val="005249C6"/>
    <w:rsid w:val="00524F26"/>
    <w:rsid w:val="00525241"/>
    <w:rsid w:val="005252B9"/>
    <w:rsid w:val="005257A8"/>
    <w:rsid w:val="00526057"/>
    <w:rsid w:val="00526621"/>
    <w:rsid w:val="005267AE"/>
    <w:rsid w:val="005268F2"/>
    <w:rsid w:val="00526CB0"/>
    <w:rsid w:val="00526D98"/>
    <w:rsid w:val="00527238"/>
    <w:rsid w:val="0052739D"/>
    <w:rsid w:val="005275FE"/>
    <w:rsid w:val="005304EE"/>
    <w:rsid w:val="00530577"/>
    <w:rsid w:val="00530591"/>
    <w:rsid w:val="0053065D"/>
    <w:rsid w:val="005309E0"/>
    <w:rsid w:val="00530E39"/>
    <w:rsid w:val="00531580"/>
    <w:rsid w:val="00531D82"/>
    <w:rsid w:val="0053208E"/>
    <w:rsid w:val="0053217D"/>
    <w:rsid w:val="00532185"/>
    <w:rsid w:val="00532A95"/>
    <w:rsid w:val="00532DC6"/>
    <w:rsid w:val="00533004"/>
    <w:rsid w:val="0053329E"/>
    <w:rsid w:val="005334C1"/>
    <w:rsid w:val="00533642"/>
    <w:rsid w:val="00533F36"/>
    <w:rsid w:val="005346AF"/>
    <w:rsid w:val="00534C53"/>
    <w:rsid w:val="00535608"/>
    <w:rsid w:val="0053570B"/>
    <w:rsid w:val="00535778"/>
    <w:rsid w:val="00535DFA"/>
    <w:rsid w:val="005372D7"/>
    <w:rsid w:val="00537384"/>
    <w:rsid w:val="005373FF"/>
    <w:rsid w:val="005374EB"/>
    <w:rsid w:val="0053765A"/>
    <w:rsid w:val="00537C8C"/>
    <w:rsid w:val="00537DEB"/>
    <w:rsid w:val="005405B3"/>
    <w:rsid w:val="005405F0"/>
    <w:rsid w:val="005408CC"/>
    <w:rsid w:val="00540F12"/>
    <w:rsid w:val="00540F6C"/>
    <w:rsid w:val="00541593"/>
    <w:rsid w:val="0054169C"/>
    <w:rsid w:val="00541E5E"/>
    <w:rsid w:val="0054216A"/>
    <w:rsid w:val="005423CC"/>
    <w:rsid w:val="00542CF3"/>
    <w:rsid w:val="005430EA"/>
    <w:rsid w:val="0054356E"/>
    <w:rsid w:val="0054413E"/>
    <w:rsid w:val="00544651"/>
    <w:rsid w:val="005449A0"/>
    <w:rsid w:val="00544D88"/>
    <w:rsid w:val="0054569E"/>
    <w:rsid w:val="00547163"/>
    <w:rsid w:val="005476F9"/>
    <w:rsid w:val="0054789B"/>
    <w:rsid w:val="00550D2C"/>
    <w:rsid w:val="0055153E"/>
    <w:rsid w:val="00551986"/>
    <w:rsid w:val="00551E0D"/>
    <w:rsid w:val="00551E11"/>
    <w:rsid w:val="00551EDA"/>
    <w:rsid w:val="0055204A"/>
    <w:rsid w:val="00552F4C"/>
    <w:rsid w:val="00552FFF"/>
    <w:rsid w:val="005535EB"/>
    <w:rsid w:val="00553642"/>
    <w:rsid w:val="0055374D"/>
    <w:rsid w:val="005538E8"/>
    <w:rsid w:val="00553B17"/>
    <w:rsid w:val="005543AC"/>
    <w:rsid w:val="0055441B"/>
    <w:rsid w:val="0055493E"/>
    <w:rsid w:val="0055548D"/>
    <w:rsid w:val="00555B1F"/>
    <w:rsid w:val="00556082"/>
    <w:rsid w:val="005564A9"/>
    <w:rsid w:val="005564CF"/>
    <w:rsid w:val="00557394"/>
    <w:rsid w:val="0055740C"/>
    <w:rsid w:val="0055793E"/>
    <w:rsid w:val="00557E24"/>
    <w:rsid w:val="00557E44"/>
    <w:rsid w:val="00557F88"/>
    <w:rsid w:val="0056069A"/>
    <w:rsid w:val="00560760"/>
    <w:rsid w:val="005607B7"/>
    <w:rsid w:val="00561C17"/>
    <w:rsid w:val="00561F3A"/>
    <w:rsid w:val="005623D8"/>
    <w:rsid w:val="005624C1"/>
    <w:rsid w:val="00562555"/>
    <w:rsid w:val="00562BBE"/>
    <w:rsid w:val="00563035"/>
    <w:rsid w:val="005633C1"/>
    <w:rsid w:val="005635A2"/>
    <w:rsid w:val="005636F3"/>
    <w:rsid w:val="00563C2E"/>
    <w:rsid w:val="0056420E"/>
    <w:rsid w:val="00564698"/>
    <w:rsid w:val="005646E9"/>
    <w:rsid w:val="0056473A"/>
    <w:rsid w:val="005648BA"/>
    <w:rsid w:val="00564946"/>
    <w:rsid w:val="00564A9B"/>
    <w:rsid w:val="005652CC"/>
    <w:rsid w:val="005655E0"/>
    <w:rsid w:val="00565A73"/>
    <w:rsid w:val="00565AB2"/>
    <w:rsid w:val="00565E28"/>
    <w:rsid w:val="005665C4"/>
    <w:rsid w:val="005667EE"/>
    <w:rsid w:val="00566A81"/>
    <w:rsid w:val="00566AF9"/>
    <w:rsid w:val="005676C1"/>
    <w:rsid w:val="005679DC"/>
    <w:rsid w:val="00567AEC"/>
    <w:rsid w:val="00570003"/>
    <w:rsid w:val="00570328"/>
    <w:rsid w:val="0057038C"/>
    <w:rsid w:val="0057059C"/>
    <w:rsid w:val="005708D8"/>
    <w:rsid w:val="00571017"/>
    <w:rsid w:val="005713E5"/>
    <w:rsid w:val="00571889"/>
    <w:rsid w:val="00571EB0"/>
    <w:rsid w:val="00571FB1"/>
    <w:rsid w:val="00572203"/>
    <w:rsid w:val="00572C46"/>
    <w:rsid w:val="00573C4D"/>
    <w:rsid w:val="00574394"/>
    <w:rsid w:val="005743E7"/>
    <w:rsid w:val="0057453A"/>
    <w:rsid w:val="005753DE"/>
    <w:rsid w:val="0057547D"/>
    <w:rsid w:val="00575B0C"/>
    <w:rsid w:val="00575DEB"/>
    <w:rsid w:val="00576335"/>
    <w:rsid w:val="005767FB"/>
    <w:rsid w:val="005775F7"/>
    <w:rsid w:val="00577715"/>
    <w:rsid w:val="005778C7"/>
    <w:rsid w:val="005808BF"/>
    <w:rsid w:val="005808FF"/>
    <w:rsid w:val="00580B2B"/>
    <w:rsid w:val="00580E11"/>
    <w:rsid w:val="00580F68"/>
    <w:rsid w:val="00581636"/>
    <w:rsid w:val="0058168A"/>
    <w:rsid w:val="0058221E"/>
    <w:rsid w:val="00582232"/>
    <w:rsid w:val="0058228D"/>
    <w:rsid w:val="005823A6"/>
    <w:rsid w:val="005823DC"/>
    <w:rsid w:val="00582C22"/>
    <w:rsid w:val="00583134"/>
    <w:rsid w:val="005836DD"/>
    <w:rsid w:val="00583880"/>
    <w:rsid w:val="00583C0F"/>
    <w:rsid w:val="0058513E"/>
    <w:rsid w:val="00585760"/>
    <w:rsid w:val="00585A05"/>
    <w:rsid w:val="00585A28"/>
    <w:rsid w:val="00585B0C"/>
    <w:rsid w:val="00585D67"/>
    <w:rsid w:val="00586256"/>
    <w:rsid w:val="00586D92"/>
    <w:rsid w:val="0058786B"/>
    <w:rsid w:val="00587973"/>
    <w:rsid w:val="00587989"/>
    <w:rsid w:val="005879CA"/>
    <w:rsid w:val="00587BEC"/>
    <w:rsid w:val="005905C8"/>
    <w:rsid w:val="005909D8"/>
    <w:rsid w:val="00590CF5"/>
    <w:rsid w:val="00591565"/>
    <w:rsid w:val="0059176F"/>
    <w:rsid w:val="00591959"/>
    <w:rsid w:val="00591E19"/>
    <w:rsid w:val="00592334"/>
    <w:rsid w:val="005923E4"/>
    <w:rsid w:val="00592C3B"/>
    <w:rsid w:val="00592DD0"/>
    <w:rsid w:val="00592E51"/>
    <w:rsid w:val="005930F3"/>
    <w:rsid w:val="00593C8F"/>
    <w:rsid w:val="00593F2F"/>
    <w:rsid w:val="00594349"/>
    <w:rsid w:val="00594530"/>
    <w:rsid w:val="00594544"/>
    <w:rsid w:val="00594F3A"/>
    <w:rsid w:val="005956AF"/>
    <w:rsid w:val="0059577D"/>
    <w:rsid w:val="00595857"/>
    <w:rsid w:val="005959E3"/>
    <w:rsid w:val="00595D00"/>
    <w:rsid w:val="005962AE"/>
    <w:rsid w:val="00596471"/>
    <w:rsid w:val="005969EE"/>
    <w:rsid w:val="00596EB9"/>
    <w:rsid w:val="00596F19"/>
    <w:rsid w:val="005971E6"/>
    <w:rsid w:val="00597A69"/>
    <w:rsid w:val="005A006B"/>
    <w:rsid w:val="005A056E"/>
    <w:rsid w:val="005A0EF6"/>
    <w:rsid w:val="005A0EFF"/>
    <w:rsid w:val="005A1006"/>
    <w:rsid w:val="005A111B"/>
    <w:rsid w:val="005A133A"/>
    <w:rsid w:val="005A135D"/>
    <w:rsid w:val="005A172F"/>
    <w:rsid w:val="005A190C"/>
    <w:rsid w:val="005A1E32"/>
    <w:rsid w:val="005A2110"/>
    <w:rsid w:val="005A215C"/>
    <w:rsid w:val="005A262C"/>
    <w:rsid w:val="005A26BC"/>
    <w:rsid w:val="005A2939"/>
    <w:rsid w:val="005A2B4B"/>
    <w:rsid w:val="005A2B55"/>
    <w:rsid w:val="005A35C0"/>
    <w:rsid w:val="005A3B11"/>
    <w:rsid w:val="005A3DFB"/>
    <w:rsid w:val="005A3E63"/>
    <w:rsid w:val="005A422D"/>
    <w:rsid w:val="005A4804"/>
    <w:rsid w:val="005A4A86"/>
    <w:rsid w:val="005A4B42"/>
    <w:rsid w:val="005A51D7"/>
    <w:rsid w:val="005A53B3"/>
    <w:rsid w:val="005A554A"/>
    <w:rsid w:val="005A56F2"/>
    <w:rsid w:val="005A5D4E"/>
    <w:rsid w:val="005A5E85"/>
    <w:rsid w:val="005A6308"/>
    <w:rsid w:val="005A754A"/>
    <w:rsid w:val="005A7682"/>
    <w:rsid w:val="005A7ADE"/>
    <w:rsid w:val="005A7B9D"/>
    <w:rsid w:val="005B079F"/>
    <w:rsid w:val="005B1267"/>
    <w:rsid w:val="005B1A51"/>
    <w:rsid w:val="005B1AC8"/>
    <w:rsid w:val="005B20BE"/>
    <w:rsid w:val="005B21F3"/>
    <w:rsid w:val="005B2608"/>
    <w:rsid w:val="005B2701"/>
    <w:rsid w:val="005B27B0"/>
    <w:rsid w:val="005B28C5"/>
    <w:rsid w:val="005B2A74"/>
    <w:rsid w:val="005B2D6B"/>
    <w:rsid w:val="005B2D91"/>
    <w:rsid w:val="005B3B93"/>
    <w:rsid w:val="005B3D18"/>
    <w:rsid w:val="005B40C3"/>
    <w:rsid w:val="005B4450"/>
    <w:rsid w:val="005B447D"/>
    <w:rsid w:val="005B48AA"/>
    <w:rsid w:val="005B49DB"/>
    <w:rsid w:val="005B4A36"/>
    <w:rsid w:val="005B4D71"/>
    <w:rsid w:val="005B50A3"/>
    <w:rsid w:val="005B546A"/>
    <w:rsid w:val="005B5D2A"/>
    <w:rsid w:val="005B6361"/>
    <w:rsid w:val="005B675D"/>
    <w:rsid w:val="005B6BAB"/>
    <w:rsid w:val="005B6D92"/>
    <w:rsid w:val="005B6E62"/>
    <w:rsid w:val="005B6ECC"/>
    <w:rsid w:val="005B72CF"/>
    <w:rsid w:val="005B74B4"/>
    <w:rsid w:val="005B764E"/>
    <w:rsid w:val="005B7A0F"/>
    <w:rsid w:val="005B7A31"/>
    <w:rsid w:val="005B7D15"/>
    <w:rsid w:val="005C0102"/>
    <w:rsid w:val="005C0175"/>
    <w:rsid w:val="005C0329"/>
    <w:rsid w:val="005C07F4"/>
    <w:rsid w:val="005C086C"/>
    <w:rsid w:val="005C1395"/>
    <w:rsid w:val="005C26AE"/>
    <w:rsid w:val="005C2DBF"/>
    <w:rsid w:val="005C3B34"/>
    <w:rsid w:val="005C3C6A"/>
    <w:rsid w:val="005C4325"/>
    <w:rsid w:val="005C4455"/>
    <w:rsid w:val="005C48CA"/>
    <w:rsid w:val="005C49AF"/>
    <w:rsid w:val="005C4C35"/>
    <w:rsid w:val="005C5095"/>
    <w:rsid w:val="005C526E"/>
    <w:rsid w:val="005C5282"/>
    <w:rsid w:val="005C575D"/>
    <w:rsid w:val="005C59CC"/>
    <w:rsid w:val="005C5ADB"/>
    <w:rsid w:val="005C5B29"/>
    <w:rsid w:val="005C5C57"/>
    <w:rsid w:val="005C5D02"/>
    <w:rsid w:val="005C5EAB"/>
    <w:rsid w:val="005C63EC"/>
    <w:rsid w:val="005C66A0"/>
    <w:rsid w:val="005C66FF"/>
    <w:rsid w:val="005C70CE"/>
    <w:rsid w:val="005C748E"/>
    <w:rsid w:val="005C79AF"/>
    <w:rsid w:val="005C7DB3"/>
    <w:rsid w:val="005D04E1"/>
    <w:rsid w:val="005D0533"/>
    <w:rsid w:val="005D0943"/>
    <w:rsid w:val="005D0E96"/>
    <w:rsid w:val="005D1042"/>
    <w:rsid w:val="005D174A"/>
    <w:rsid w:val="005D1A40"/>
    <w:rsid w:val="005D1B30"/>
    <w:rsid w:val="005D1F39"/>
    <w:rsid w:val="005D2521"/>
    <w:rsid w:val="005D26E9"/>
    <w:rsid w:val="005D2A56"/>
    <w:rsid w:val="005D2C8E"/>
    <w:rsid w:val="005D3574"/>
    <w:rsid w:val="005D36F1"/>
    <w:rsid w:val="005D387D"/>
    <w:rsid w:val="005D3B93"/>
    <w:rsid w:val="005D3BF0"/>
    <w:rsid w:val="005D444C"/>
    <w:rsid w:val="005D463A"/>
    <w:rsid w:val="005D4C02"/>
    <w:rsid w:val="005D4FC2"/>
    <w:rsid w:val="005D505C"/>
    <w:rsid w:val="005D541C"/>
    <w:rsid w:val="005D60A6"/>
    <w:rsid w:val="005D6399"/>
    <w:rsid w:val="005D6414"/>
    <w:rsid w:val="005D6CA4"/>
    <w:rsid w:val="005D7294"/>
    <w:rsid w:val="005D7A6B"/>
    <w:rsid w:val="005D7EE9"/>
    <w:rsid w:val="005D7F04"/>
    <w:rsid w:val="005E1927"/>
    <w:rsid w:val="005E1B44"/>
    <w:rsid w:val="005E2268"/>
    <w:rsid w:val="005E237B"/>
    <w:rsid w:val="005E23E9"/>
    <w:rsid w:val="005E2A58"/>
    <w:rsid w:val="005E3465"/>
    <w:rsid w:val="005E3988"/>
    <w:rsid w:val="005E3A24"/>
    <w:rsid w:val="005E3A8E"/>
    <w:rsid w:val="005E4124"/>
    <w:rsid w:val="005E4353"/>
    <w:rsid w:val="005E436B"/>
    <w:rsid w:val="005E4707"/>
    <w:rsid w:val="005E47EF"/>
    <w:rsid w:val="005E4A14"/>
    <w:rsid w:val="005E4E57"/>
    <w:rsid w:val="005E5491"/>
    <w:rsid w:val="005E5943"/>
    <w:rsid w:val="005E600D"/>
    <w:rsid w:val="005E670C"/>
    <w:rsid w:val="005E6B8D"/>
    <w:rsid w:val="005E79B0"/>
    <w:rsid w:val="005E7D3D"/>
    <w:rsid w:val="005F0408"/>
    <w:rsid w:val="005F0C00"/>
    <w:rsid w:val="005F17AE"/>
    <w:rsid w:val="005F1A3E"/>
    <w:rsid w:val="005F1FD6"/>
    <w:rsid w:val="005F2926"/>
    <w:rsid w:val="005F2BFA"/>
    <w:rsid w:val="005F2E2A"/>
    <w:rsid w:val="005F3055"/>
    <w:rsid w:val="005F3487"/>
    <w:rsid w:val="005F3B7E"/>
    <w:rsid w:val="005F3D07"/>
    <w:rsid w:val="005F4FC1"/>
    <w:rsid w:val="005F5088"/>
    <w:rsid w:val="005F521B"/>
    <w:rsid w:val="005F521F"/>
    <w:rsid w:val="005F553A"/>
    <w:rsid w:val="005F5AC6"/>
    <w:rsid w:val="005F5D75"/>
    <w:rsid w:val="005F632E"/>
    <w:rsid w:val="005F637D"/>
    <w:rsid w:val="005F6401"/>
    <w:rsid w:val="005F68FA"/>
    <w:rsid w:val="005F6C45"/>
    <w:rsid w:val="005F6E01"/>
    <w:rsid w:val="005F7423"/>
    <w:rsid w:val="005F7552"/>
    <w:rsid w:val="005F7684"/>
    <w:rsid w:val="005F77D0"/>
    <w:rsid w:val="005F7FB1"/>
    <w:rsid w:val="006005F3"/>
    <w:rsid w:val="00600C1E"/>
    <w:rsid w:val="00600F6A"/>
    <w:rsid w:val="00601118"/>
    <w:rsid w:val="00601BA7"/>
    <w:rsid w:val="0060299B"/>
    <w:rsid w:val="00602B4A"/>
    <w:rsid w:val="00602BDF"/>
    <w:rsid w:val="00602DB4"/>
    <w:rsid w:val="00602F22"/>
    <w:rsid w:val="00603BB7"/>
    <w:rsid w:val="006043CF"/>
    <w:rsid w:val="00604AB3"/>
    <w:rsid w:val="0060541F"/>
    <w:rsid w:val="006054CB"/>
    <w:rsid w:val="00605595"/>
    <w:rsid w:val="00605705"/>
    <w:rsid w:val="00605E4D"/>
    <w:rsid w:val="00606F50"/>
    <w:rsid w:val="00606FA0"/>
    <w:rsid w:val="00607FE2"/>
    <w:rsid w:val="0061009E"/>
    <w:rsid w:val="006102F2"/>
    <w:rsid w:val="0061090E"/>
    <w:rsid w:val="00610C84"/>
    <w:rsid w:val="006110A9"/>
    <w:rsid w:val="006110AD"/>
    <w:rsid w:val="006110DA"/>
    <w:rsid w:val="006114F7"/>
    <w:rsid w:val="00611AD3"/>
    <w:rsid w:val="00611F1A"/>
    <w:rsid w:val="006124D3"/>
    <w:rsid w:val="00612514"/>
    <w:rsid w:val="006126CF"/>
    <w:rsid w:val="00612AD8"/>
    <w:rsid w:val="00612C51"/>
    <w:rsid w:val="00612DDE"/>
    <w:rsid w:val="00612F5E"/>
    <w:rsid w:val="00613146"/>
    <w:rsid w:val="00613469"/>
    <w:rsid w:val="00613802"/>
    <w:rsid w:val="00613E91"/>
    <w:rsid w:val="00614295"/>
    <w:rsid w:val="00615177"/>
    <w:rsid w:val="006152F2"/>
    <w:rsid w:val="006155E0"/>
    <w:rsid w:val="006158BA"/>
    <w:rsid w:val="0061590B"/>
    <w:rsid w:val="006159E5"/>
    <w:rsid w:val="00615E0C"/>
    <w:rsid w:val="006162F9"/>
    <w:rsid w:val="0061633B"/>
    <w:rsid w:val="006170EE"/>
    <w:rsid w:val="00617206"/>
    <w:rsid w:val="00617701"/>
    <w:rsid w:val="006177AB"/>
    <w:rsid w:val="00617842"/>
    <w:rsid w:val="006179B2"/>
    <w:rsid w:val="00617F6E"/>
    <w:rsid w:val="00620827"/>
    <w:rsid w:val="00620DE6"/>
    <w:rsid w:val="00620E7C"/>
    <w:rsid w:val="0062138D"/>
    <w:rsid w:val="00621B3B"/>
    <w:rsid w:val="00622BB7"/>
    <w:rsid w:val="00623548"/>
    <w:rsid w:val="006237FB"/>
    <w:rsid w:val="006239F9"/>
    <w:rsid w:val="00623DB0"/>
    <w:rsid w:val="006240E5"/>
    <w:rsid w:val="0062427E"/>
    <w:rsid w:val="006249AB"/>
    <w:rsid w:val="00624AE7"/>
    <w:rsid w:val="00624EC0"/>
    <w:rsid w:val="00624FD2"/>
    <w:rsid w:val="006262FA"/>
    <w:rsid w:val="00626436"/>
    <w:rsid w:val="00626764"/>
    <w:rsid w:val="00626B5B"/>
    <w:rsid w:val="00626CCE"/>
    <w:rsid w:val="00626D37"/>
    <w:rsid w:val="00626EF4"/>
    <w:rsid w:val="006270DB"/>
    <w:rsid w:val="00627430"/>
    <w:rsid w:val="006275A0"/>
    <w:rsid w:val="006279EA"/>
    <w:rsid w:val="00627C09"/>
    <w:rsid w:val="00627F48"/>
    <w:rsid w:val="00630008"/>
    <w:rsid w:val="0063003C"/>
    <w:rsid w:val="00630A46"/>
    <w:rsid w:val="00630B86"/>
    <w:rsid w:val="0063197E"/>
    <w:rsid w:val="00631C7D"/>
    <w:rsid w:val="00631C97"/>
    <w:rsid w:val="00631D0C"/>
    <w:rsid w:val="00632308"/>
    <w:rsid w:val="006324FB"/>
    <w:rsid w:val="00632798"/>
    <w:rsid w:val="00632D39"/>
    <w:rsid w:val="00632D95"/>
    <w:rsid w:val="0063316E"/>
    <w:rsid w:val="00633B2D"/>
    <w:rsid w:val="00633CDD"/>
    <w:rsid w:val="00634956"/>
    <w:rsid w:val="00634FAC"/>
    <w:rsid w:val="0063641E"/>
    <w:rsid w:val="00636A90"/>
    <w:rsid w:val="00636BB7"/>
    <w:rsid w:val="00636D2F"/>
    <w:rsid w:val="00637448"/>
    <w:rsid w:val="00637AFC"/>
    <w:rsid w:val="00637D85"/>
    <w:rsid w:val="006407F5"/>
    <w:rsid w:val="00640A97"/>
    <w:rsid w:val="00640BE8"/>
    <w:rsid w:val="0064102D"/>
    <w:rsid w:val="0064106C"/>
    <w:rsid w:val="00641397"/>
    <w:rsid w:val="0064150F"/>
    <w:rsid w:val="00641794"/>
    <w:rsid w:val="0064187E"/>
    <w:rsid w:val="00641D61"/>
    <w:rsid w:val="006425FD"/>
    <w:rsid w:val="00642AB4"/>
    <w:rsid w:val="00642AF2"/>
    <w:rsid w:val="00642C52"/>
    <w:rsid w:val="00642C57"/>
    <w:rsid w:val="00642D0A"/>
    <w:rsid w:val="0064318A"/>
    <w:rsid w:val="00643659"/>
    <w:rsid w:val="00643AC7"/>
    <w:rsid w:val="00644375"/>
    <w:rsid w:val="006447AF"/>
    <w:rsid w:val="00644967"/>
    <w:rsid w:val="00644B79"/>
    <w:rsid w:val="00645412"/>
    <w:rsid w:val="006454D0"/>
    <w:rsid w:val="0064557B"/>
    <w:rsid w:val="00645A20"/>
    <w:rsid w:val="00645B0E"/>
    <w:rsid w:val="00645C7F"/>
    <w:rsid w:val="00645E25"/>
    <w:rsid w:val="00646156"/>
    <w:rsid w:val="0064640D"/>
    <w:rsid w:val="006465DF"/>
    <w:rsid w:val="0064669E"/>
    <w:rsid w:val="00647C6E"/>
    <w:rsid w:val="00647E4B"/>
    <w:rsid w:val="00647F8F"/>
    <w:rsid w:val="00650173"/>
    <w:rsid w:val="006504D6"/>
    <w:rsid w:val="0065055B"/>
    <w:rsid w:val="00650560"/>
    <w:rsid w:val="006509A6"/>
    <w:rsid w:val="00650B8D"/>
    <w:rsid w:val="00650DE3"/>
    <w:rsid w:val="00650FAC"/>
    <w:rsid w:val="006510AD"/>
    <w:rsid w:val="006511E1"/>
    <w:rsid w:val="00651691"/>
    <w:rsid w:val="006516E6"/>
    <w:rsid w:val="0065189F"/>
    <w:rsid w:val="00651B3E"/>
    <w:rsid w:val="00651C32"/>
    <w:rsid w:val="00651DED"/>
    <w:rsid w:val="00651F75"/>
    <w:rsid w:val="00652175"/>
    <w:rsid w:val="0065289C"/>
    <w:rsid w:val="00652AE5"/>
    <w:rsid w:val="00652F14"/>
    <w:rsid w:val="00653104"/>
    <w:rsid w:val="00653289"/>
    <w:rsid w:val="006533B3"/>
    <w:rsid w:val="0065347A"/>
    <w:rsid w:val="00653B6A"/>
    <w:rsid w:val="006547D6"/>
    <w:rsid w:val="00654E17"/>
    <w:rsid w:val="006551D7"/>
    <w:rsid w:val="00655BA1"/>
    <w:rsid w:val="00655BD7"/>
    <w:rsid w:val="00655E95"/>
    <w:rsid w:val="0065636C"/>
    <w:rsid w:val="00656503"/>
    <w:rsid w:val="006569D3"/>
    <w:rsid w:val="00656BBF"/>
    <w:rsid w:val="006570A4"/>
    <w:rsid w:val="0065711F"/>
    <w:rsid w:val="00657264"/>
    <w:rsid w:val="006579E2"/>
    <w:rsid w:val="00657B2B"/>
    <w:rsid w:val="00657B38"/>
    <w:rsid w:val="00657D01"/>
    <w:rsid w:val="006602C6"/>
    <w:rsid w:val="006612C8"/>
    <w:rsid w:val="00661D61"/>
    <w:rsid w:val="00661E7C"/>
    <w:rsid w:val="00662329"/>
    <w:rsid w:val="006626B9"/>
    <w:rsid w:val="00662EE0"/>
    <w:rsid w:val="006635FB"/>
    <w:rsid w:val="00663ECC"/>
    <w:rsid w:val="006646FC"/>
    <w:rsid w:val="006649EC"/>
    <w:rsid w:val="00664BCB"/>
    <w:rsid w:val="00664D48"/>
    <w:rsid w:val="00664FA1"/>
    <w:rsid w:val="006652E6"/>
    <w:rsid w:val="006658CC"/>
    <w:rsid w:val="0066597B"/>
    <w:rsid w:val="00665B7D"/>
    <w:rsid w:val="00665BC3"/>
    <w:rsid w:val="00665E2D"/>
    <w:rsid w:val="00665F73"/>
    <w:rsid w:val="00666023"/>
    <w:rsid w:val="006662E7"/>
    <w:rsid w:val="00666498"/>
    <w:rsid w:val="0066666E"/>
    <w:rsid w:val="00666B07"/>
    <w:rsid w:val="00666CF3"/>
    <w:rsid w:val="00667B2E"/>
    <w:rsid w:val="0067060A"/>
    <w:rsid w:val="00670C92"/>
    <w:rsid w:val="00670E21"/>
    <w:rsid w:val="00670FD2"/>
    <w:rsid w:val="00671019"/>
    <w:rsid w:val="0067106A"/>
    <w:rsid w:val="00671225"/>
    <w:rsid w:val="006712B9"/>
    <w:rsid w:val="006712CF"/>
    <w:rsid w:val="00671383"/>
    <w:rsid w:val="006718E2"/>
    <w:rsid w:val="00671904"/>
    <w:rsid w:val="00671B4D"/>
    <w:rsid w:val="00671D52"/>
    <w:rsid w:val="0067242D"/>
    <w:rsid w:val="00672485"/>
    <w:rsid w:val="006728CE"/>
    <w:rsid w:val="00672CBA"/>
    <w:rsid w:val="00672D6E"/>
    <w:rsid w:val="006731BC"/>
    <w:rsid w:val="00673F3E"/>
    <w:rsid w:val="00673F8A"/>
    <w:rsid w:val="00674274"/>
    <w:rsid w:val="00674914"/>
    <w:rsid w:val="006758D4"/>
    <w:rsid w:val="00675A0D"/>
    <w:rsid w:val="00675B16"/>
    <w:rsid w:val="006768C9"/>
    <w:rsid w:val="00676A3E"/>
    <w:rsid w:val="00677CD2"/>
    <w:rsid w:val="00680342"/>
    <w:rsid w:val="00680692"/>
    <w:rsid w:val="0068096C"/>
    <w:rsid w:val="00681090"/>
    <w:rsid w:val="00681317"/>
    <w:rsid w:val="0068165C"/>
    <w:rsid w:val="00681CAB"/>
    <w:rsid w:val="00682281"/>
    <w:rsid w:val="006825BD"/>
    <w:rsid w:val="006826E3"/>
    <w:rsid w:val="006835FC"/>
    <w:rsid w:val="00684183"/>
    <w:rsid w:val="00684531"/>
    <w:rsid w:val="00684A67"/>
    <w:rsid w:val="00684AD3"/>
    <w:rsid w:val="00684B85"/>
    <w:rsid w:val="00684BE3"/>
    <w:rsid w:val="00684D44"/>
    <w:rsid w:val="00684E9A"/>
    <w:rsid w:val="0068507B"/>
    <w:rsid w:val="006851EC"/>
    <w:rsid w:val="006859CB"/>
    <w:rsid w:val="0068665F"/>
    <w:rsid w:val="0068672B"/>
    <w:rsid w:val="0068695E"/>
    <w:rsid w:val="00686ABE"/>
    <w:rsid w:val="00686CA0"/>
    <w:rsid w:val="00687835"/>
    <w:rsid w:val="00687A45"/>
    <w:rsid w:val="00687E7D"/>
    <w:rsid w:val="00690427"/>
    <w:rsid w:val="006905F2"/>
    <w:rsid w:val="00690B9B"/>
    <w:rsid w:val="00691742"/>
    <w:rsid w:val="00691D65"/>
    <w:rsid w:val="006920EA"/>
    <w:rsid w:val="006931FC"/>
    <w:rsid w:val="00693377"/>
    <w:rsid w:val="00693733"/>
    <w:rsid w:val="006937F0"/>
    <w:rsid w:val="006939DB"/>
    <w:rsid w:val="00693B76"/>
    <w:rsid w:val="00693BD7"/>
    <w:rsid w:val="00693ED4"/>
    <w:rsid w:val="00694813"/>
    <w:rsid w:val="00694B99"/>
    <w:rsid w:val="00694DD1"/>
    <w:rsid w:val="00695403"/>
    <w:rsid w:val="0069564E"/>
    <w:rsid w:val="006958C7"/>
    <w:rsid w:val="00695BFF"/>
    <w:rsid w:val="00695C05"/>
    <w:rsid w:val="00696825"/>
    <w:rsid w:val="00696C83"/>
    <w:rsid w:val="0069732D"/>
    <w:rsid w:val="00697744"/>
    <w:rsid w:val="0069780C"/>
    <w:rsid w:val="006978A7"/>
    <w:rsid w:val="006979B6"/>
    <w:rsid w:val="00697A01"/>
    <w:rsid w:val="006A03F1"/>
    <w:rsid w:val="006A04AD"/>
    <w:rsid w:val="006A0AE8"/>
    <w:rsid w:val="006A1B7B"/>
    <w:rsid w:val="006A2695"/>
    <w:rsid w:val="006A2B1D"/>
    <w:rsid w:val="006A2FC9"/>
    <w:rsid w:val="006A3529"/>
    <w:rsid w:val="006A39C8"/>
    <w:rsid w:val="006A40A6"/>
    <w:rsid w:val="006A41F1"/>
    <w:rsid w:val="006A47FD"/>
    <w:rsid w:val="006A4987"/>
    <w:rsid w:val="006A4E5D"/>
    <w:rsid w:val="006A4F30"/>
    <w:rsid w:val="006A50BE"/>
    <w:rsid w:val="006A57A0"/>
    <w:rsid w:val="006A6148"/>
    <w:rsid w:val="006A67AA"/>
    <w:rsid w:val="006A6ACD"/>
    <w:rsid w:val="006A6C93"/>
    <w:rsid w:val="006A7520"/>
    <w:rsid w:val="006A78D7"/>
    <w:rsid w:val="006A78E1"/>
    <w:rsid w:val="006A7922"/>
    <w:rsid w:val="006A7F09"/>
    <w:rsid w:val="006A7F87"/>
    <w:rsid w:val="006A7FBF"/>
    <w:rsid w:val="006B04B6"/>
    <w:rsid w:val="006B07B0"/>
    <w:rsid w:val="006B08B9"/>
    <w:rsid w:val="006B1DBB"/>
    <w:rsid w:val="006B223D"/>
    <w:rsid w:val="006B2367"/>
    <w:rsid w:val="006B2B3B"/>
    <w:rsid w:val="006B3338"/>
    <w:rsid w:val="006B3434"/>
    <w:rsid w:val="006B37A6"/>
    <w:rsid w:val="006B37D9"/>
    <w:rsid w:val="006B3A94"/>
    <w:rsid w:val="006B3B20"/>
    <w:rsid w:val="006B3CD7"/>
    <w:rsid w:val="006B408E"/>
    <w:rsid w:val="006B4674"/>
    <w:rsid w:val="006B46A9"/>
    <w:rsid w:val="006B49E1"/>
    <w:rsid w:val="006B5432"/>
    <w:rsid w:val="006B5E8E"/>
    <w:rsid w:val="006B60E1"/>
    <w:rsid w:val="006B72D4"/>
    <w:rsid w:val="006B744D"/>
    <w:rsid w:val="006B74AC"/>
    <w:rsid w:val="006C00CE"/>
    <w:rsid w:val="006C11F5"/>
    <w:rsid w:val="006C1434"/>
    <w:rsid w:val="006C16EE"/>
    <w:rsid w:val="006C1EC5"/>
    <w:rsid w:val="006C27C1"/>
    <w:rsid w:val="006C2941"/>
    <w:rsid w:val="006C2A77"/>
    <w:rsid w:val="006C388E"/>
    <w:rsid w:val="006C3CC1"/>
    <w:rsid w:val="006C431B"/>
    <w:rsid w:val="006C47EC"/>
    <w:rsid w:val="006C4B21"/>
    <w:rsid w:val="006C4DE9"/>
    <w:rsid w:val="006C5427"/>
    <w:rsid w:val="006C5834"/>
    <w:rsid w:val="006C5B98"/>
    <w:rsid w:val="006C5E80"/>
    <w:rsid w:val="006C6054"/>
    <w:rsid w:val="006C6264"/>
    <w:rsid w:val="006C6340"/>
    <w:rsid w:val="006C65AE"/>
    <w:rsid w:val="006C66FB"/>
    <w:rsid w:val="006C675F"/>
    <w:rsid w:val="006C719D"/>
    <w:rsid w:val="006C7783"/>
    <w:rsid w:val="006C7BD1"/>
    <w:rsid w:val="006C7DA1"/>
    <w:rsid w:val="006D0138"/>
    <w:rsid w:val="006D03CF"/>
    <w:rsid w:val="006D04B9"/>
    <w:rsid w:val="006D0DCA"/>
    <w:rsid w:val="006D0EBC"/>
    <w:rsid w:val="006D1C34"/>
    <w:rsid w:val="006D206E"/>
    <w:rsid w:val="006D220A"/>
    <w:rsid w:val="006D250A"/>
    <w:rsid w:val="006D27A4"/>
    <w:rsid w:val="006D34AB"/>
    <w:rsid w:val="006D3741"/>
    <w:rsid w:val="006D3A9E"/>
    <w:rsid w:val="006D3FC5"/>
    <w:rsid w:val="006D42DE"/>
    <w:rsid w:val="006D44B9"/>
    <w:rsid w:val="006D4524"/>
    <w:rsid w:val="006D460E"/>
    <w:rsid w:val="006D4FA7"/>
    <w:rsid w:val="006D5759"/>
    <w:rsid w:val="006D5D3A"/>
    <w:rsid w:val="006D60D4"/>
    <w:rsid w:val="006D629C"/>
    <w:rsid w:val="006D667D"/>
    <w:rsid w:val="006D759F"/>
    <w:rsid w:val="006D75A3"/>
    <w:rsid w:val="006D7CAA"/>
    <w:rsid w:val="006D7D07"/>
    <w:rsid w:val="006D7F6B"/>
    <w:rsid w:val="006E0180"/>
    <w:rsid w:val="006E0534"/>
    <w:rsid w:val="006E082E"/>
    <w:rsid w:val="006E0AA8"/>
    <w:rsid w:val="006E0B1D"/>
    <w:rsid w:val="006E0E38"/>
    <w:rsid w:val="006E11A5"/>
    <w:rsid w:val="006E12D9"/>
    <w:rsid w:val="006E13E5"/>
    <w:rsid w:val="006E1961"/>
    <w:rsid w:val="006E1A16"/>
    <w:rsid w:val="006E1BAA"/>
    <w:rsid w:val="006E1D30"/>
    <w:rsid w:val="006E1D99"/>
    <w:rsid w:val="006E1E94"/>
    <w:rsid w:val="006E21AE"/>
    <w:rsid w:val="006E22B4"/>
    <w:rsid w:val="006E24B1"/>
    <w:rsid w:val="006E2D3A"/>
    <w:rsid w:val="006E2F00"/>
    <w:rsid w:val="006E33FC"/>
    <w:rsid w:val="006E36BB"/>
    <w:rsid w:val="006E46A5"/>
    <w:rsid w:val="006E4C76"/>
    <w:rsid w:val="006E4F3C"/>
    <w:rsid w:val="006E524A"/>
    <w:rsid w:val="006E5E4A"/>
    <w:rsid w:val="006E6612"/>
    <w:rsid w:val="006E6AE7"/>
    <w:rsid w:val="006E6FA7"/>
    <w:rsid w:val="006E715F"/>
    <w:rsid w:val="006E7BB0"/>
    <w:rsid w:val="006E7CA1"/>
    <w:rsid w:val="006F02E8"/>
    <w:rsid w:val="006F05DE"/>
    <w:rsid w:val="006F0F35"/>
    <w:rsid w:val="006F1FF1"/>
    <w:rsid w:val="006F24F7"/>
    <w:rsid w:val="006F25DF"/>
    <w:rsid w:val="006F2832"/>
    <w:rsid w:val="006F286A"/>
    <w:rsid w:val="006F2DEF"/>
    <w:rsid w:val="006F393D"/>
    <w:rsid w:val="006F3AD3"/>
    <w:rsid w:val="006F40C9"/>
    <w:rsid w:val="006F4125"/>
    <w:rsid w:val="006F445B"/>
    <w:rsid w:val="006F4F5E"/>
    <w:rsid w:val="006F4FA5"/>
    <w:rsid w:val="006F5047"/>
    <w:rsid w:val="006F50D2"/>
    <w:rsid w:val="006F5776"/>
    <w:rsid w:val="006F58BB"/>
    <w:rsid w:val="006F5B97"/>
    <w:rsid w:val="006F5F20"/>
    <w:rsid w:val="006F5F98"/>
    <w:rsid w:val="006F63B4"/>
    <w:rsid w:val="006F64DD"/>
    <w:rsid w:val="006F6539"/>
    <w:rsid w:val="006F7A4C"/>
    <w:rsid w:val="006F7BCF"/>
    <w:rsid w:val="006F7C40"/>
    <w:rsid w:val="006F7DDA"/>
    <w:rsid w:val="00700365"/>
    <w:rsid w:val="00700CE3"/>
    <w:rsid w:val="007013C8"/>
    <w:rsid w:val="007023F9"/>
    <w:rsid w:val="007025F7"/>
    <w:rsid w:val="00702980"/>
    <w:rsid w:val="00702B68"/>
    <w:rsid w:val="00703100"/>
    <w:rsid w:val="007034B3"/>
    <w:rsid w:val="00704186"/>
    <w:rsid w:val="00704234"/>
    <w:rsid w:val="0070428F"/>
    <w:rsid w:val="00704444"/>
    <w:rsid w:val="00704546"/>
    <w:rsid w:val="00704A07"/>
    <w:rsid w:val="00704A24"/>
    <w:rsid w:val="00704AB4"/>
    <w:rsid w:val="00705221"/>
    <w:rsid w:val="0070563A"/>
    <w:rsid w:val="00705837"/>
    <w:rsid w:val="00705A67"/>
    <w:rsid w:val="00705D1D"/>
    <w:rsid w:val="00705D9A"/>
    <w:rsid w:val="007064D8"/>
    <w:rsid w:val="00706A49"/>
    <w:rsid w:val="007071A1"/>
    <w:rsid w:val="00707776"/>
    <w:rsid w:val="00707A01"/>
    <w:rsid w:val="00707A18"/>
    <w:rsid w:val="00707EA6"/>
    <w:rsid w:val="00710030"/>
    <w:rsid w:val="007104F6"/>
    <w:rsid w:val="00710613"/>
    <w:rsid w:val="00710D28"/>
    <w:rsid w:val="00711F5D"/>
    <w:rsid w:val="007121BC"/>
    <w:rsid w:val="00712348"/>
    <w:rsid w:val="00712BD5"/>
    <w:rsid w:val="00712C2B"/>
    <w:rsid w:val="00713120"/>
    <w:rsid w:val="00713418"/>
    <w:rsid w:val="00713B06"/>
    <w:rsid w:val="00713D0B"/>
    <w:rsid w:val="00713ED6"/>
    <w:rsid w:val="00714191"/>
    <w:rsid w:val="007145BB"/>
    <w:rsid w:val="00714B9E"/>
    <w:rsid w:val="00714C11"/>
    <w:rsid w:val="00714F5A"/>
    <w:rsid w:val="007157C5"/>
    <w:rsid w:val="00715843"/>
    <w:rsid w:val="0071588F"/>
    <w:rsid w:val="0071669B"/>
    <w:rsid w:val="00716CD6"/>
    <w:rsid w:val="007172C0"/>
    <w:rsid w:val="0071764E"/>
    <w:rsid w:val="00717E67"/>
    <w:rsid w:val="00720056"/>
    <w:rsid w:val="0072052D"/>
    <w:rsid w:val="007208CD"/>
    <w:rsid w:val="00720BC1"/>
    <w:rsid w:val="00720E75"/>
    <w:rsid w:val="00720F4D"/>
    <w:rsid w:val="00721278"/>
    <w:rsid w:val="00721517"/>
    <w:rsid w:val="00721693"/>
    <w:rsid w:val="007217BC"/>
    <w:rsid w:val="00721ABD"/>
    <w:rsid w:val="00721BC7"/>
    <w:rsid w:val="00722959"/>
    <w:rsid w:val="007229CC"/>
    <w:rsid w:val="00723309"/>
    <w:rsid w:val="007233B4"/>
    <w:rsid w:val="007237CA"/>
    <w:rsid w:val="00723BB1"/>
    <w:rsid w:val="00723F45"/>
    <w:rsid w:val="00723F6D"/>
    <w:rsid w:val="007244F1"/>
    <w:rsid w:val="007248A3"/>
    <w:rsid w:val="00724A44"/>
    <w:rsid w:val="00724C55"/>
    <w:rsid w:val="00725722"/>
    <w:rsid w:val="0072582B"/>
    <w:rsid w:val="0072587C"/>
    <w:rsid w:val="00725D8D"/>
    <w:rsid w:val="00726043"/>
    <w:rsid w:val="0072614F"/>
    <w:rsid w:val="0072640A"/>
    <w:rsid w:val="007264B4"/>
    <w:rsid w:val="007267C0"/>
    <w:rsid w:val="00726DD0"/>
    <w:rsid w:val="00726E42"/>
    <w:rsid w:val="007271D0"/>
    <w:rsid w:val="0072740C"/>
    <w:rsid w:val="0072743F"/>
    <w:rsid w:val="007277AF"/>
    <w:rsid w:val="00727A98"/>
    <w:rsid w:val="00727CB0"/>
    <w:rsid w:val="00727FE9"/>
    <w:rsid w:val="0073075E"/>
    <w:rsid w:val="007308FB"/>
    <w:rsid w:val="00730929"/>
    <w:rsid w:val="007317FA"/>
    <w:rsid w:val="007318DE"/>
    <w:rsid w:val="007325F0"/>
    <w:rsid w:val="00732B92"/>
    <w:rsid w:val="007330A0"/>
    <w:rsid w:val="00733951"/>
    <w:rsid w:val="00733CED"/>
    <w:rsid w:val="00734704"/>
    <w:rsid w:val="00734B8F"/>
    <w:rsid w:val="00734DC0"/>
    <w:rsid w:val="0073519F"/>
    <w:rsid w:val="00735548"/>
    <w:rsid w:val="00735733"/>
    <w:rsid w:val="007359BC"/>
    <w:rsid w:val="00735A1A"/>
    <w:rsid w:val="00735BD3"/>
    <w:rsid w:val="0073628E"/>
    <w:rsid w:val="007368C8"/>
    <w:rsid w:val="00736A84"/>
    <w:rsid w:val="00737251"/>
    <w:rsid w:val="0073757E"/>
    <w:rsid w:val="00737E46"/>
    <w:rsid w:val="0074066C"/>
    <w:rsid w:val="00740B9D"/>
    <w:rsid w:val="00740BE8"/>
    <w:rsid w:val="00740C2F"/>
    <w:rsid w:val="0074179D"/>
    <w:rsid w:val="007419B8"/>
    <w:rsid w:val="00741D3D"/>
    <w:rsid w:val="00742022"/>
    <w:rsid w:val="0074230B"/>
    <w:rsid w:val="007428F8"/>
    <w:rsid w:val="007441A3"/>
    <w:rsid w:val="007446DE"/>
    <w:rsid w:val="0074472B"/>
    <w:rsid w:val="007448F1"/>
    <w:rsid w:val="0074490D"/>
    <w:rsid w:val="00745BE8"/>
    <w:rsid w:val="007464E0"/>
    <w:rsid w:val="00747193"/>
    <w:rsid w:val="00747666"/>
    <w:rsid w:val="00747740"/>
    <w:rsid w:val="0074793D"/>
    <w:rsid w:val="00747AD4"/>
    <w:rsid w:val="0075014A"/>
    <w:rsid w:val="007504E3"/>
    <w:rsid w:val="007508F8"/>
    <w:rsid w:val="007510FA"/>
    <w:rsid w:val="00751C58"/>
    <w:rsid w:val="00751CB6"/>
    <w:rsid w:val="00751FD7"/>
    <w:rsid w:val="00752435"/>
    <w:rsid w:val="00752ADE"/>
    <w:rsid w:val="00752C66"/>
    <w:rsid w:val="00752F24"/>
    <w:rsid w:val="00753072"/>
    <w:rsid w:val="00753087"/>
    <w:rsid w:val="00753CAD"/>
    <w:rsid w:val="00753E8B"/>
    <w:rsid w:val="00754136"/>
    <w:rsid w:val="0075452D"/>
    <w:rsid w:val="0075501A"/>
    <w:rsid w:val="00755202"/>
    <w:rsid w:val="007554CB"/>
    <w:rsid w:val="00755AE2"/>
    <w:rsid w:val="00755B28"/>
    <w:rsid w:val="00755BE6"/>
    <w:rsid w:val="0075638A"/>
    <w:rsid w:val="00756A9B"/>
    <w:rsid w:val="00757180"/>
    <w:rsid w:val="007571AC"/>
    <w:rsid w:val="00757646"/>
    <w:rsid w:val="007606ED"/>
    <w:rsid w:val="00760822"/>
    <w:rsid w:val="00760B8B"/>
    <w:rsid w:val="007610D5"/>
    <w:rsid w:val="007611A4"/>
    <w:rsid w:val="00761D7D"/>
    <w:rsid w:val="00761E08"/>
    <w:rsid w:val="00763057"/>
    <w:rsid w:val="00763087"/>
    <w:rsid w:val="00763157"/>
    <w:rsid w:val="0076332D"/>
    <w:rsid w:val="0076395F"/>
    <w:rsid w:val="00763D5C"/>
    <w:rsid w:val="007648B0"/>
    <w:rsid w:val="00765BF9"/>
    <w:rsid w:val="00765C62"/>
    <w:rsid w:val="0076615B"/>
    <w:rsid w:val="0076661E"/>
    <w:rsid w:val="00766718"/>
    <w:rsid w:val="00766910"/>
    <w:rsid w:val="00766AEF"/>
    <w:rsid w:val="00766D5D"/>
    <w:rsid w:val="007671CE"/>
    <w:rsid w:val="00767AC9"/>
    <w:rsid w:val="007703E2"/>
    <w:rsid w:val="0077094F"/>
    <w:rsid w:val="00770B29"/>
    <w:rsid w:val="00770F21"/>
    <w:rsid w:val="00771040"/>
    <w:rsid w:val="0077115D"/>
    <w:rsid w:val="00771330"/>
    <w:rsid w:val="007715C6"/>
    <w:rsid w:val="00771DBD"/>
    <w:rsid w:val="00772005"/>
    <w:rsid w:val="007735F7"/>
    <w:rsid w:val="007737D6"/>
    <w:rsid w:val="007738E6"/>
    <w:rsid w:val="00773CDB"/>
    <w:rsid w:val="00773FDC"/>
    <w:rsid w:val="00774722"/>
    <w:rsid w:val="00774A0D"/>
    <w:rsid w:val="00775046"/>
    <w:rsid w:val="0077536A"/>
    <w:rsid w:val="0077541F"/>
    <w:rsid w:val="0077553F"/>
    <w:rsid w:val="007763B4"/>
    <w:rsid w:val="007765B4"/>
    <w:rsid w:val="007767C1"/>
    <w:rsid w:val="00776B92"/>
    <w:rsid w:val="0077758B"/>
    <w:rsid w:val="00777849"/>
    <w:rsid w:val="00777A8F"/>
    <w:rsid w:val="00777AA3"/>
    <w:rsid w:val="00780245"/>
    <w:rsid w:val="007806C6"/>
    <w:rsid w:val="007809E7"/>
    <w:rsid w:val="00781204"/>
    <w:rsid w:val="007812E5"/>
    <w:rsid w:val="007814C5"/>
    <w:rsid w:val="0078172A"/>
    <w:rsid w:val="007821D5"/>
    <w:rsid w:val="0078292A"/>
    <w:rsid w:val="007834B1"/>
    <w:rsid w:val="00783563"/>
    <w:rsid w:val="0078464B"/>
    <w:rsid w:val="00784AB8"/>
    <w:rsid w:val="007851A7"/>
    <w:rsid w:val="007856FD"/>
    <w:rsid w:val="0078577E"/>
    <w:rsid w:val="00785930"/>
    <w:rsid w:val="00785AA1"/>
    <w:rsid w:val="00785F79"/>
    <w:rsid w:val="00786476"/>
    <w:rsid w:val="00786E48"/>
    <w:rsid w:val="00787067"/>
    <w:rsid w:val="00787E0F"/>
    <w:rsid w:val="00787EF1"/>
    <w:rsid w:val="00787FAB"/>
    <w:rsid w:val="0079009B"/>
    <w:rsid w:val="00790685"/>
    <w:rsid w:val="00790789"/>
    <w:rsid w:val="00790872"/>
    <w:rsid w:val="00790A6F"/>
    <w:rsid w:val="00790C77"/>
    <w:rsid w:val="007917E0"/>
    <w:rsid w:val="007919E8"/>
    <w:rsid w:val="00791E0D"/>
    <w:rsid w:val="00792479"/>
    <w:rsid w:val="00792623"/>
    <w:rsid w:val="0079274F"/>
    <w:rsid w:val="007927E7"/>
    <w:rsid w:val="00792BB4"/>
    <w:rsid w:val="00792BE9"/>
    <w:rsid w:val="00792D38"/>
    <w:rsid w:val="00792F3C"/>
    <w:rsid w:val="00792F7D"/>
    <w:rsid w:val="0079324E"/>
    <w:rsid w:val="0079343B"/>
    <w:rsid w:val="0079347F"/>
    <w:rsid w:val="007936CA"/>
    <w:rsid w:val="007939BF"/>
    <w:rsid w:val="00793BD5"/>
    <w:rsid w:val="00794261"/>
    <w:rsid w:val="0079454F"/>
    <w:rsid w:val="00794B95"/>
    <w:rsid w:val="00794C63"/>
    <w:rsid w:val="00794DEF"/>
    <w:rsid w:val="00795215"/>
    <w:rsid w:val="007953C1"/>
    <w:rsid w:val="0079558E"/>
    <w:rsid w:val="007956D6"/>
    <w:rsid w:val="0079592F"/>
    <w:rsid w:val="00795AE4"/>
    <w:rsid w:val="00795BEC"/>
    <w:rsid w:val="00795D81"/>
    <w:rsid w:val="00795D85"/>
    <w:rsid w:val="00795E39"/>
    <w:rsid w:val="00796150"/>
    <w:rsid w:val="00796D48"/>
    <w:rsid w:val="00796F7D"/>
    <w:rsid w:val="00797639"/>
    <w:rsid w:val="007979B4"/>
    <w:rsid w:val="007A006E"/>
    <w:rsid w:val="007A006F"/>
    <w:rsid w:val="007A0BA0"/>
    <w:rsid w:val="007A0CDE"/>
    <w:rsid w:val="007A0DAB"/>
    <w:rsid w:val="007A104D"/>
    <w:rsid w:val="007A123F"/>
    <w:rsid w:val="007A1342"/>
    <w:rsid w:val="007A1AFE"/>
    <w:rsid w:val="007A1C4A"/>
    <w:rsid w:val="007A203F"/>
    <w:rsid w:val="007A2106"/>
    <w:rsid w:val="007A2BD3"/>
    <w:rsid w:val="007A2D3D"/>
    <w:rsid w:val="007A30EE"/>
    <w:rsid w:val="007A3B35"/>
    <w:rsid w:val="007A3DC6"/>
    <w:rsid w:val="007A40C6"/>
    <w:rsid w:val="007A41FB"/>
    <w:rsid w:val="007A43AA"/>
    <w:rsid w:val="007A490C"/>
    <w:rsid w:val="007A55CF"/>
    <w:rsid w:val="007A57A7"/>
    <w:rsid w:val="007A5C53"/>
    <w:rsid w:val="007A676C"/>
    <w:rsid w:val="007A6A9B"/>
    <w:rsid w:val="007A7045"/>
    <w:rsid w:val="007A7267"/>
    <w:rsid w:val="007B029D"/>
    <w:rsid w:val="007B0494"/>
    <w:rsid w:val="007B0A68"/>
    <w:rsid w:val="007B0ADA"/>
    <w:rsid w:val="007B10BF"/>
    <w:rsid w:val="007B1B74"/>
    <w:rsid w:val="007B2157"/>
    <w:rsid w:val="007B2825"/>
    <w:rsid w:val="007B2A19"/>
    <w:rsid w:val="007B2A21"/>
    <w:rsid w:val="007B303A"/>
    <w:rsid w:val="007B3559"/>
    <w:rsid w:val="007B3958"/>
    <w:rsid w:val="007B3B2F"/>
    <w:rsid w:val="007B3C6F"/>
    <w:rsid w:val="007B41B9"/>
    <w:rsid w:val="007B445A"/>
    <w:rsid w:val="007B44DD"/>
    <w:rsid w:val="007B48C8"/>
    <w:rsid w:val="007B4D19"/>
    <w:rsid w:val="007B4E62"/>
    <w:rsid w:val="007B4F63"/>
    <w:rsid w:val="007B4FCB"/>
    <w:rsid w:val="007B515E"/>
    <w:rsid w:val="007B530A"/>
    <w:rsid w:val="007B54D8"/>
    <w:rsid w:val="007B552C"/>
    <w:rsid w:val="007B5749"/>
    <w:rsid w:val="007B58FB"/>
    <w:rsid w:val="007B5B1B"/>
    <w:rsid w:val="007B6726"/>
    <w:rsid w:val="007B67AD"/>
    <w:rsid w:val="007B68DD"/>
    <w:rsid w:val="007B7936"/>
    <w:rsid w:val="007B7B77"/>
    <w:rsid w:val="007C0F76"/>
    <w:rsid w:val="007C104B"/>
    <w:rsid w:val="007C144C"/>
    <w:rsid w:val="007C1765"/>
    <w:rsid w:val="007C1AD7"/>
    <w:rsid w:val="007C20BC"/>
    <w:rsid w:val="007C29AD"/>
    <w:rsid w:val="007C2AA4"/>
    <w:rsid w:val="007C2D84"/>
    <w:rsid w:val="007C2FD6"/>
    <w:rsid w:val="007C3C74"/>
    <w:rsid w:val="007C3E64"/>
    <w:rsid w:val="007C436A"/>
    <w:rsid w:val="007C58A8"/>
    <w:rsid w:val="007C59EE"/>
    <w:rsid w:val="007C5B18"/>
    <w:rsid w:val="007C5BAA"/>
    <w:rsid w:val="007C5BC2"/>
    <w:rsid w:val="007C5ED2"/>
    <w:rsid w:val="007C6AB0"/>
    <w:rsid w:val="007C6CF0"/>
    <w:rsid w:val="007C6E0C"/>
    <w:rsid w:val="007C6EB5"/>
    <w:rsid w:val="007C71C4"/>
    <w:rsid w:val="007C74E8"/>
    <w:rsid w:val="007C760D"/>
    <w:rsid w:val="007C7B59"/>
    <w:rsid w:val="007C7CFD"/>
    <w:rsid w:val="007C7D6D"/>
    <w:rsid w:val="007D0541"/>
    <w:rsid w:val="007D0A8C"/>
    <w:rsid w:val="007D0FA3"/>
    <w:rsid w:val="007D1361"/>
    <w:rsid w:val="007D19AF"/>
    <w:rsid w:val="007D2510"/>
    <w:rsid w:val="007D2536"/>
    <w:rsid w:val="007D2C98"/>
    <w:rsid w:val="007D2DF1"/>
    <w:rsid w:val="007D311A"/>
    <w:rsid w:val="007D3141"/>
    <w:rsid w:val="007D34BD"/>
    <w:rsid w:val="007D40DB"/>
    <w:rsid w:val="007D43F0"/>
    <w:rsid w:val="007D44F9"/>
    <w:rsid w:val="007D45D3"/>
    <w:rsid w:val="007D477F"/>
    <w:rsid w:val="007D4EE6"/>
    <w:rsid w:val="007D612B"/>
    <w:rsid w:val="007D6A88"/>
    <w:rsid w:val="007D6DC5"/>
    <w:rsid w:val="007D6E09"/>
    <w:rsid w:val="007D700E"/>
    <w:rsid w:val="007D7447"/>
    <w:rsid w:val="007D7466"/>
    <w:rsid w:val="007D75ED"/>
    <w:rsid w:val="007D7688"/>
    <w:rsid w:val="007D7DD8"/>
    <w:rsid w:val="007E08A9"/>
    <w:rsid w:val="007E1413"/>
    <w:rsid w:val="007E16E8"/>
    <w:rsid w:val="007E1D8B"/>
    <w:rsid w:val="007E211A"/>
    <w:rsid w:val="007E257D"/>
    <w:rsid w:val="007E2FC3"/>
    <w:rsid w:val="007E3130"/>
    <w:rsid w:val="007E32AA"/>
    <w:rsid w:val="007E34E2"/>
    <w:rsid w:val="007E3DD1"/>
    <w:rsid w:val="007E3E2B"/>
    <w:rsid w:val="007E3E53"/>
    <w:rsid w:val="007E4022"/>
    <w:rsid w:val="007E4745"/>
    <w:rsid w:val="007E4822"/>
    <w:rsid w:val="007E504E"/>
    <w:rsid w:val="007E51BC"/>
    <w:rsid w:val="007E5288"/>
    <w:rsid w:val="007E5642"/>
    <w:rsid w:val="007E59B4"/>
    <w:rsid w:val="007E5AD5"/>
    <w:rsid w:val="007E651E"/>
    <w:rsid w:val="007E65D8"/>
    <w:rsid w:val="007E7576"/>
    <w:rsid w:val="007E7B42"/>
    <w:rsid w:val="007E7BA0"/>
    <w:rsid w:val="007E7BF4"/>
    <w:rsid w:val="007E7ECB"/>
    <w:rsid w:val="007F04D8"/>
    <w:rsid w:val="007F07DE"/>
    <w:rsid w:val="007F0E1E"/>
    <w:rsid w:val="007F106B"/>
    <w:rsid w:val="007F10D0"/>
    <w:rsid w:val="007F14D3"/>
    <w:rsid w:val="007F154A"/>
    <w:rsid w:val="007F15CC"/>
    <w:rsid w:val="007F1CBF"/>
    <w:rsid w:val="007F21A6"/>
    <w:rsid w:val="007F2D73"/>
    <w:rsid w:val="007F3478"/>
    <w:rsid w:val="007F34C4"/>
    <w:rsid w:val="007F3994"/>
    <w:rsid w:val="007F39E5"/>
    <w:rsid w:val="007F3B44"/>
    <w:rsid w:val="007F3C0C"/>
    <w:rsid w:val="007F3C5F"/>
    <w:rsid w:val="007F46FB"/>
    <w:rsid w:val="007F4741"/>
    <w:rsid w:val="007F4A95"/>
    <w:rsid w:val="007F50AC"/>
    <w:rsid w:val="007F52FF"/>
    <w:rsid w:val="007F53DB"/>
    <w:rsid w:val="007F54E6"/>
    <w:rsid w:val="007F5D90"/>
    <w:rsid w:val="007F5E8C"/>
    <w:rsid w:val="007F654F"/>
    <w:rsid w:val="007F68DE"/>
    <w:rsid w:val="007F6959"/>
    <w:rsid w:val="007F6AD6"/>
    <w:rsid w:val="007F73BD"/>
    <w:rsid w:val="007F744A"/>
    <w:rsid w:val="007F7BB5"/>
    <w:rsid w:val="00800256"/>
    <w:rsid w:val="008009DE"/>
    <w:rsid w:val="0080126B"/>
    <w:rsid w:val="00801310"/>
    <w:rsid w:val="0080148E"/>
    <w:rsid w:val="00802043"/>
    <w:rsid w:val="00802712"/>
    <w:rsid w:val="00802A14"/>
    <w:rsid w:val="00802D7A"/>
    <w:rsid w:val="00802FC5"/>
    <w:rsid w:val="008035B5"/>
    <w:rsid w:val="008035D4"/>
    <w:rsid w:val="00803A02"/>
    <w:rsid w:val="00804297"/>
    <w:rsid w:val="008044B2"/>
    <w:rsid w:val="00804648"/>
    <w:rsid w:val="0080468D"/>
    <w:rsid w:val="008049B3"/>
    <w:rsid w:val="008049DC"/>
    <w:rsid w:val="00804D0F"/>
    <w:rsid w:val="00804F19"/>
    <w:rsid w:val="00805546"/>
    <w:rsid w:val="00805C10"/>
    <w:rsid w:val="00805CFD"/>
    <w:rsid w:val="00805EED"/>
    <w:rsid w:val="00805FDF"/>
    <w:rsid w:val="00806189"/>
    <w:rsid w:val="008061D4"/>
    <w:rsid w:val="008063A5"/>
    <w:rsid w:val="00806646"/>
    <w:rsid w:val="0080667D"/>
    <w:rsid w:val="00806796"/>
    <w:rsid w:val="008069FD"/>
    <w:rsid w:val="0080700D"/>
    <w:rsid w:val="00807B44"/>
    <w:rsid w:val="008100D4"/>
    <w:rsid w:val="00810789"/>
    <w:rsid w:val="0081078D"/>
    <w:rsid w:val="00810A60"/>
    <w:rsid w:val="00810CC0"/>
    <w:rsid w:val="00810E07"/>
    <w:rsid w:val="00810F63"/>
    <w:rsid w:val="00811039"/>
    <w:rsid w:val="00811089"/>
    <w:rsid w:val="00811641"/>
    <w:rsid w:val="0081174A"/>
    <w:rsid w:val="008117D8"/>
    <w:rsid w:val="008117FE"/>
    <w:rsid w:val="00811B21"/>
    <w:rsid w:val="00811D2E"/>
    <w:rsid w:val="00812450"/>
    <w:rsid w:val="008124E6"/>
    <w:rsid w:val="008127EF"/>
    <w:rsid w:val="008129FA"/>
    <w:rsid w:val="00812AFE"/>
    <w:rsid w:val="00812B80"/>
    <w:rsid w:val="00812D08"/>
    <w:rsid w:val="008131CA"/>
    <w:rsid w:val="008139FD"/>
    <w:rsid w:val="00813F1D"/>
    <w:rsid w:val="00814830"/>
    <w:rsid w:val="008149ED"/>
    <w:rsid w:val="00814E9A"/>
    <w:rsid w:val="00814EA1"/>
    <w:rsid w:val="00814EDF"/>
    <w:rsid w:val="00814F2C"/>
    <w:rsid w:val="00815248"/>
    <w:rsid w:val="00815267"/>
    <w:rsid w:val="00815352"/>
    <w:rsid w:val="0081536F"/>
    <w:rsid w:val="00815A9C"/>
    <w:rsid w:val="00815B5D"/>
    <w:rsid w:val="00815D51"/>
    <w:rsid w:val="008161FA"/>
    <w:rsid w:val="008163BB"/>
    <w:rsid w:val="0081690E"/>
    <w:rsid w:val="00816AE8"/>
    <w:rsid w:val="00816B0C"/>
    <w:rsid w:val="00817238"/>
    <w:rsid w:val="008176BD"/>
    <w:rsid w:val="00817B1D"/>
    <w:rsid w:val="00817F9F"/>
    <w:rsid w:val="008200EF"/>
    <w:rsid w:val="00820132"/>
    <w:rsid w:val="00820330"/>
    <w:rsid w:val="00820837"/>
    <w:rsid w:val="00820EAF"/>
    <w:rsid w:val="00820FE8"/>
    <w:rsid w:val="008211F9"/>
    <w:rsid w:val="008215FD"/>
    <w:rsid w:val="00821B6F"/>
    <w:rsid w:val="00821D57"/>
    <w:rsid w:val="00821FBC"/>
    <w:rsid w:val="0082240B"/>
    <w:rsid w:val="00822596"/>
    <w:rsid w:val="00822858"/>
    <w:rsid w:val="0082299E"/>
    <w:rsid w:val="00822D23"/>
    <w:rsid w:val="008231BA"/>
    <w:rsid w:val="008231EC"/>
    <w:rsid w:val="00823BDB"/>
    <w:rsid w:val="00823CCD"/>
    <w:rsid w:val="00823F47"/>
    <w:rsid w:val="00824391"/>
    <w:rsid w:val="00824782"/>
    <w:rsid w:val="00824D18"/>
    <w:rsid w:val="008251A6"/>
    <w:rsid w:val="00825306"/>
    <w:rsid w:val="00825CBA"/>
    <w:rsid w:val="00825D4B"/>
    <w:rsid w:val="00826186"/>
    <w:rsid w:val="008264FD"/>
    <w:rsid w:val="00826646"/>
    <w:rsid w:val="0082738F"/>
    <w:rsid w:val="0082751A"/>
    <w:rsid w:val="00827AAB"/>
    <w:rsid w:val="00827D26"/>
    <w:rsid w:val="00827D49"/>
    <w:rsid w:val="00827D75"/>
    <w:rsid w:val="00831046"/>
    <w:rsid w:val="008315E2"/>
    <w:rsid w:val="00831782"/>
    <w:rsid w:val="00831BE2"/>
    <w:rsid w:val="0083216B"/>
    <w:rsid w:val="008323AE"/>
    <w:rsid w:val="008325EF"/>
    <w:rsid w:val="00832F67"/>
    <w:rsid w:val="0083316E"/>
    <w:rsid w:val="00834BA1"/>
    <w:rsid w:val="00834C5C"/>
    <w:rsid w:val="00835965"/>
    <w:rsid w:val="00835BEA"/>
    <w:rsid w:val="00835DE3"/>
    <w:rsid w:val="00836087"/>
    <w:rsid w:val="008366EA"/>
    <w:rsid w:val="00836AFA"/>
    <w:rsid w:val="00836B08"/>
    <w:rsid w:val="00837039"/>
    <w:rsid w:val="0083717A"/>
    <w:rsid w:val="00837201"/>
    <w:rsid w:val="00837538"/>
    <w:rsid w:val="00837A02"/>
    <w:rsid w:val="00837B77"/>
    <w:rsid w:val="00840134"/>
    <w:rsid w:val="008403DA"/>
    <w:rsid w:val="00840862"/>
    <w:rsid w:val="00840C81"/>
    <w:rsid w:val="00840F45"/>
    <w:rsid w:val="008410F8"/>
    <w:rsid w:val="0084146D"/>
    <w:rsid w:val="008415D5"/>
    <w:rsid w:val="00841C5B"/>
    <w:rsid w:val="00841F7D"/>
    <w:rsid w:val="008425E8"/>
    <w:rsid w:val="00842665"/>
    <w:rsid w:val="00842823"/>
    <w:rsid w:val="00842995"/>
    <w:rsid w:val="00842B9B"/>
    <w:rsid w:val="00842E7A"/>
    <w:rsid w:val="008430DE"/>
    <w:rsid w:val="0084377A"/>
    <w:rsid w:val="008438F2"/>
    <w:rsid w:val="00844073"/>
    <w:rsid w:val="00844414"/>
    <w:rsid w:val="008445DE"/>
    <w:rsid w:val="00844642"/>
    <w:rsid w:val="0084510B"/>
    <w:rsid w:val="008454C1"/>
    <w:rsid w:val="00845A10"/>
    <w:rsid w:val="008460D0"/>
    <w:rsid w:val="008467BA"/>
    <w:rsid w:val="00846F53"/>
    <w:rsid w:val="008470C0"/>
    <w:rsid w:val="008471B8"/>
    <w:rsid w:val="00847440"/>
    <w:rsid w:val="00847AB5"/>
    <w:rsid w:val="00847B99"/>
    <w:rsid w:val="008504CF"/>
    <w:rsid w:val="008506F0"/>
    <w:rsid w:val="00850BB5"/>
    <w:rsid w:val="00850D29"/>
    <w:rsid w:val="00850ED2"/>
    <w:rsid w:val="00851233"/>
    <w:rsid w:val="008517F7"/>
    <w:rsid w:val="00851851"/>
    <w:rsid w:val="00851877"/>
    <w:rsid w:val="00851A7D"/>
    <w:rsid w:val="00851AB7"/>
    <w:rsid w:val="00851DBA"/>
    <w:rsid w:val="00851ED9"/>
    <w:rsid w:val="008524DA"/>
    <w:rsid w:val="00852BF3"/>
    <w:rsid w:val="00852CE9"/>
    <w:rsid w:val="00852F6D"/>
    <w:rsid w:val="008531C6"/>
    <w:rsid w:val="008535BB"/>
    <w:rsid w:val="008538A6"/>
    <w:rsid w:val="00853B1D"/>
    <w:rsid w:val="00853FC6"/>
    <w:rsid w:val="008543B9"/>
    <w:rsid w:val="00854670"/>
    <w:rsid w:val="0085499D"/>
    <w:rsid w:val="00854C38"/>
    <w:rsid w:val="00854DD6"/>
    <w:rsid w:val="00854F25"/>
    <w:rsid w:val="00855C54"/>
    <w:rsid w:val="00855CD5"/>
    <w:rsid w:val="00855F0E"/>
    <w:rsid w:val="008560EB"/>
    <w:rsid w:val="008563B8"/>
    <w:rsid w:val="008566CE"/>
    <w:rsid w:val="008567E1"/>
    <w:rsid w:val="0085687D"/>
    <w:rsid w:val="00856C61"/>
    <w:rsid w:val="00856FB7"/>
    <w:rsid w:val="00857047"/>
    <w:rsid w:val="0085724A"/>
    <w:rsid w:val="008579CB"/>
    <w:rsid w:val="00857A8E"/>
    <w:rsid w:val="00860023"/>
    <w:rsid w:val="0086090F"/>
    <w:rsid w:val="00861098"/>
    <w:rsid w:val="00861387"/>
    <w:rsid w:val="00861FFF"/>
    <w:rsid w:val="00862227"/>
    <w:rsid w:val="00862419"/>
    <w:rsid w:val="00862496"/>
    <w:rsid w:val="00862708"/>
    <w:rsid w:val="008627B0"/>
    <w:rsid w:val="0086355B"/>
    <w:rsid w:val="0086394A"/>
    <w:rsid w:val="008642D9"/>
    <w:rsid w:val="00864CA3"/>
    <w:rsid w:val="00865145"/>
    <w:rsid w:val="008655F9"/>
    <w:rsid w:val="0086582F"/>
    <w:rsid w:val="0086586A"/>
    <w:rsid w:val="00865B80"/>
    <w:rsid w:val="0086604D"/>
    <w:rsid w:val="0086632D"/>
    <w:rsid w:val="00866F4C"/>
    <w:rsid w:val="00867290"/>
    <w:rsid w:val="00867296"/>
    <w:rsid w:val="008678A0"/>
    <w:rsid w:val="008678AB"/>
    <w:rsid w:val="00867E10"/>
    <w:rsid w:val="008700F5"/>
    <w:rsid w:val="00870A82"/>
    <w:rsid w:val="00870CA1"/>
    <w:rsid w:val="00871FF3"/>
    <w:rsid w:val="0087275E"/>
    <w:rsid w:val="008730F8"/>
    <w:rsid w:val="008731C5"/>
    <w:rsid w:val="00873983"/>
    <w:rsid w:val="00873A18"/>
    <w:rsid w:val="00873B7B"/>
    <w:rsid w:val="00873D7C"/>
    <w:rsid w:val="0087466D"/>
    <w:rsid w:val="0087553F"/>
    <w:rsid w:val="00875A00"/>
    <w:rsid w:val="00876891"/>
    <w:rsid w:val="00876D20"/>
    <w:rsid w:val="00876DD3"/>
    <w:rsid w:val="008776C6"/>
    <w:rsid w:val="00877A0C"/>
    <w:rsid w:val="00877D9B"/>
    <w:rsid w:val="00877E35"/>
    <w:rsid w:val="00877EA4"/>
    <w:rsid w:val="00880655"/>
    <w:rsid w:val="00880764"/>
    <w:rsid w:val="00880D0F"/>
    <w:rsid w:val="0088143D"/>
    <w:rsid w:val="0088156B"/>
    <w:rsid w:val="00881CEB"/>
    <w:rsid w:val="00881CEC"/>
    <w:rsid w:val="00882A9A"/>
    <w:rsid w:val="00882EE8"/>
    <w:rsid w:val="00883038"/>
    <w:rsid w:val="00883126"/>
    <w:rsid w:val="008831E9"/>
    <w:rsid w:val="00883B5F"/>
    <w:rsid w:val="00883BF1"/>
    <w:rsid w:val="00883DB9"/>
    <w:rsid w:val="00884570"/>
    <w:rsid w:val="00884E2D"/>
    <w:rsid w:val="00884F4E"/>
    <w:rsid w:val="00885944"/>
    <w:rsid w:val="00885BB7"/>
    <w:rsid w:val="00886851"/>
    <w:rsid w:val="00886999"/>
    <w:rsid w:val="0088699C"/>
    <w:rsid w:val="00886A06"/>
    <w:rsid w:val="00886AC2"/>
    <w:rsid w:val="00886DAC"/>
    <w:rsid w:val="00886EEF"/>
    <w:rsid w:val="008876F0"/>
    <w:rsid w:val="00887A98"/>
    <w:rsid w:val="008906ED"/>
    <w:rsid w:val="0089081C"/>
    <w:rsid w:val="008911E6"/>
    <w:rsid w:val="00891251"/>
    <w:rsid w:val="00892315"/>
    <w:rsid w:val="0089267F"/>
    <w:rsid w:val="00892926"/>
    <w:rsid w:val="00892961"/>
    <w:rsid w:val="00892ACE"/>
    <w:rsid w:val="00892DBD"/>
    <w:rsid w:val="00893971"/>
    <w:rsid w:val="00893E1F"/>
    <w:rsid w:val="00893E72"/>
    <w:rsid w:val="008948A6"/>
    <w:rsid w:val="00894A76"/>
    <w:rsid w:val="00895273"/>
    <w:rsid w:val="008959AF"/>
    <w:rsid w:val="00896637"/>
    <w:rsid w:val="008967B7"/>
    <w:rsid w:val="00896B71"/>
    <w:rsid w:val="00896CDA"/>
    <w:rsid w:val="008975A7"/>
    <w:rsid w:val="008A0481"/>
    <w:rsid w:val="008A0ABE"/>
    <w:rsid w:val="008A0CCD"/>
    <w:rsid w:val="008A0EDF"/>
    <w:rsid w:val="008A0F1A"/>
    <w:rsid w:val="008A16AD"/>
    <w:rsid w:val="008A1758"/>
    <w:rsid w:val="008A1ECB"/>
    <w:rsid w:val="008A237C"/>
    <w:rsid w:val="008A25DF"/>
    <w:rsid w:val="008A2BEF"/>
    <w:rsid w:val="008A2C4F"/>
    <w:rsid w:val="008A38DC"/>
    <w:rsid w:val="008A3EE2"/>
    <w:rsid w:val="008A4BEF"/>
    <w:rsid w:val="008A4F31"/>
    <w:rsid w:val="008A50CB"/>
    <w:rsid w:val="008A54F7"/>
    <w:rsid w:val="008A633B"/>
    <w:rsid w:val="008A6E88"/>
    <w:rsid w:val="008A753D"/>
    <w:rsid w:val="008A7A0D"/>
    <w:rsid w:val="008B02C4"/>
    <w:rsid w:val="008B08BF"/>
    <w:rsid w:val="008B0959"/>
    <w:rsid w:val="008B0A4E"/>
    <w:rsid w:val="008B0C3D"/>
    <w:rsid w:val="008B0F3B"/>
    <w:rsid w:val="008B100D"/>
    <w:rsid w:val="008B1685"/>
    <w:rsid w:val="008B168E"/>
    <w:rsid w:val="008B1A83"/>
    <w:rsid w:val="008B1BB6"/>
    <w:rsid w:val="008B1CB0"/>
    <w:rsid w:val="008B20EF"/>
    <w:rsid w:val="008B2B20"/>
    <w:rsid w:val="008B2CE2"/>
    <w:rsid w:val="008B31A0"/>
    <w:rsid w:val="008B3549"/>
    <w:rsid w:val="008B3AEC"/>
    <w:rsid w:val="008B3D58"/>
    <w:rsid w:val="008B3EF0"/>
    <w:rsid w:val="008B41AC"/>
    <w:rsid w:val="008B4210"/>
    <w:rsid w:val="008B44F6"/>
    <w:rsid w:val="008B4ACC"/>
    <w:rsid w:val="008B4BF6"/>
    <w:rsid w:val="008B5018"/>
    <w:rsid w:val="008B5217"/>
    <w:rsid w:val="008B52DA"/>
    <w:rsid w:val="008B537F"/>
    <w:rsid w:val="008B5805"/>
    <w:rsid w:val="008B5FEA"/>
    <w:rsid w:val="008B6051"/>
    <w:rsid w:val="008B60BD"/>
    <w:rsid w:val="008B6614"/>
    <w:rsid w:val="008B701B"/>
    <w:rsid w:val="008C0B3E"/>
    <w:rsid w:val="008C1004"/>
    <w:rsid w:val="008C1481"/>
    <w:rsid w:val="008C16B3"/>
    <w:rsid w:val="008C1C48"/>
    <w:rsid w:val="008C2058"/>
    <w:rsid w:val="008C22DE"/>
    <w:rsid w:val="008C2B5B"/>
    <w:rsid w:val="008C35AD"/>
    <w:rsid w:val="008C388C"/>
    <w:rsid w:val="008C3984"/>
    <w:rsid w:val="008C3B1A"/>
    <w:rsid w:val="008C4119"/>
    <w:rsid w:val="008C45D6"/>
    <w:rsid w:val="008C5371"/>
    <w:rsid w:val="008C568D"/>
    <w:rsid w:val="008C6204"/>
    <w:rsid w:val="008C6443"/>
    <w:rsid w:val="008C6CAA"/>
    <w:rsid w:val="008C6E68"/>
    <w:rsid w:val="008C70C8"/>
    <w:rsid w:val="008C724E"/>
    <w:rsid w:val="008C738D"/>
    <w:rsid w:val="008C754D"/>
    <w:rsid w:val="008C7C51"/>
    <w:rsid w:val="008C7E85"/>
    <w:rsid w:val="008D036C"/>
    <w:rsid w:val="008D11E2"/>
    <w:rsid w:val="008D2204"/>
    <w:rsid w:val="008D27E7"/>
    <w:rsid w:val="008D2E25"/>
    <w:rsid w:val="008D3728"/>
    <w:rsid w:val="008D384F"/>
    <w:rsid w:val="008D3881"/>
    <w:rsid w:val="008D3EE8"/>
    <w:rsid w:val="008D4496"/>
    <w:rsid w:val="008D44DC"/>
    <w:rsid w:val="008D4EB2"/>
    <w:rsid w:val="008D5227"/>
    <w:rsid w:val="008D54FB"/>
    <w:rsid w:val="008D56F7"/>
    <w:rsid w:val="008D591A"/>
    <w:rsid w:val="008D5931"/>
    <w:rsid w:val="008D5C4E"/>
    <w:rsid w:val="008D5F61"/>
    <w:rsid w:val="008D5F73"/>
    <w:rsid w:val="008D631D"/>
    <w:rsid w:val="008D6471"/>
    <w:rsid w:val="008D6914"/>
    <w:rsid w:val="008D7109"/>
    <w:rsid w:val="008D74FE"/>
    <w:rsid w:val="008D7822"/>
    <w:rsid w:val="008D791D"/>
    <w:rsid w:val="008D7BF3"/>
    <w:rsid w:val="008D7C06"/>
    <w:rsid w:val="008E0258"/>
    <w:rsid w:val="008E078D"/>
    <w:rsid w:val="008E07E9"/>
    <w:rsid w:val="008E08F6"/>
    <w:rsid w:val="008E0F3A"/>
    <w:rsid w:val="008E0FFA"/>
    <w:rsid w:val="008E141D"/>
    <w:rsid w:val="008E15E3"/>
    <w:rsid w:val="008E1FA0"/>
    <w:rsid w:val="008E2069"/>
    <w:rsid w:val="008E2436"/>
    <w:rsid w:val="008E24C3"/>
    <w:rsid w:val="008E2A74"/>
    <w:rsid w:val="008E2FDF"/>
    <w:rsid w:val="008E39A9"/>
    <w:rsid w:val="008E3D7F"/>
    <w:rsid w:val="008E3DA7"/>
    <w:rsid w:val="008E3E7F"/>
    <w:rsid w:val="008E3EB1"/>
    <w:rsid w:val="008E4FC2"/>
    <w:rsid w:val="008E556F"/>
    <w:rsid w:val="008E59C2"/>
    <w:rsid w:val="008E5D29"/>
    <w:rsid w:val="008E5E6E"/>
    <w:rsid w:val="008E6127"/>
    <w:rsid w:val="008E65E7"/>
    <w:rsid w:val="008E67FA"/>
    <w:rsid w:val="008E6E13"/>
    <w:rsid w:val="008E6E51"/>
    <w:rsid w:val="008E7200"/>
    <w:rsid w:val="008E72A7"/>
    <w:rsid w:val="008E7366"/>
    <w:rsid w:val="008E786C"/>
    <w:rsid w:val="008E7CD9"/>
    <w:rsid w:val="008E7ECB"/>
    <w:rsid w:val="008F008D"/>
    <w:rsid w:val="008F047E"/>
    <w:rsid w:val="008F0776"/>
    <w:rsid w:val="008F094C"/>
    <w:rsid w:val="008F09A8"/>
    <w:rsid w:val="008F10D3"/>
    <w:rsid w:val="008F113F"/>
    <w:rsid w:val="008F11D6"/>
    <w:rsid w:val="008F122C"/>
    <w:rsid w:val="008F1323"/>
    <w:rsid w:val="008F15F9"/>
    <w:rsid w:val="008F18C9"/>
    <w:rsid w:val="008F1AAA"/>
    <w:rsid w:val="008F28C0"/>
    <w:rsid w:val="008F29E5"/>
    <w:rsid w:val="008F2E37"/>
    <w:rsid w:val="008F2F7D"/>
    <w:rsid w:val="008F3003"/>
    <w:rsid w:val="008F383C"/>
    <w:rsid w:val="008F3D16"/>
    <w:rsid w:val="008F3E06"/>
    <w:rsid w:val="008F3F93"/>
    <w:rsid w:val="008F42AB"/>
    <w:rsid w:val="008F5D91"/>
    <w:rsid w:val="008F64B3"/>
    <w:rsid w:val="008F66A0"/>
    <w:rsid w:val="008F728A"/>
    <w:rsid w:val="008F7C48"/>
    <w:rsid w:val="008F7E0D"/>
    <w:rsid w:val="009001C3"/>
    <w:rsid w:val="00900238"/>
    <w:rsid w:val="009002B5"/>
    <w:rsid w:val="00900346"/>
    <w:rsid w:val="00901046"/>
    <w:rsid w:val="009014FC"/>
    <w:rsid w:val="00901A21"/>
    <w:rsid w:val="00901D8B"/>
    <w:rsid w:val="009026A5"/>
    <w:rsid w:val="009036CE"/>
    <w:rsid w:val="00903A4F"/>
    <w:rsid w:val="00903B6B"/>
    <w:rsid w:val="00903D5B"/>
    <w:rsid w:val="00903E8D"/>
    <w:rsid w:val="009043DC"/>
    <w:rsid w:val="009044C6"/>
    <w:rsid w:val="00904D0B"/>
    <w:rsid w:val="00905700"/>
    <w:rsid w:val="00905A87"/>
    <w:rsid w:val="00905BA7"/>
    <w:rsid w:val="00905BE8"/>
    <w:rsid w:val="00905EEE"/>
    <w:rsid w:val="00906691"/>
    <w:rsid w:val="00906FB8"/>
    <w:rsid w:val="009070F1"/>
    <w:rsid w:val="009075F8"/>
    <w:rsid w:val="00907D79"/>
    <w:rsid w:val="0091066E"/>
    <w:rsid w:val="009106AF"/>
    <w:rsid w:val="00910777"/>
    <w:rsid w:val="0091097E"/>
    <w:rsid w:val="0091111A"/>
    <w:rsid w:val="00911599"/>
    <w:rsid w:val="009116BA"/>
    <w:rsid w:val="0091184C"/>
    <w:rsid w:val="00911CC9"/>
    <w:rsid w:val="00911EA5"/>
    <w:rsid w:val="009123F6"/>
    <w:rsid w:val="009127A1"/>
    <w:rsid w:val="0091355C"/>
    <w:rsid w:val="009135D0"/>
    <w:rsid w:val="00913935"/>
    <w:rsid w:val="0091436F"/>
    <w:rsid w:val="0091493B"/>
    <w:rsid w:val="009149A0"/>
    <w:rsid w:val="00914A15"/>
    <w:rsid w:val="0091582E"/>
    <w:rsid w:val="00915876"/>
    <w:rsid w:val="00915AED"/>
    <w:rsid w:val="00915E0F"/>
    <w:rsid w:val="00916494"/>
    <w:rsid w:val="0091663A"/>
    <w:rsid w:val="0091675A"/>
    <w:rsid w:val="00916F53"/>
    <w:rsid w:val="00917AA5"/>
    <w:rsid w:val="00917ED8"/>
    <w:rsid w:val="00917FBE"/>
    <w:rsid w:val="00920F2F"/>
    <w:rsid w:val="0092125F"/>
    <w:rsid w:val="00921299"/>
    <w:rsid w:val="00921E10"/>
    <w:rsid w:val="00921F64"/>
    <w:rsid w:val="009226A4"/>
    <w:rsid w:val="00922BFB"/>
    <w:rsid w:val="00922FB8"/>
    <w:rsid w:val="0092303F"/>
    <w:rsid w:val="009232D9"/>
    <w:rsid w:val="00923496"/>
    <w:rsid w:val="0092384A"/>
    <w:rsid w:val="00923F3C"/>
    <w:rsid w:val="0092472B"/>
    <w:rsid w:val="00924B4A"/>
    <w:rsid w:val="00924C63"/>
    <w:rsid w:val="00924E2C"/>
    <w:rsid w:val="00924FCC"/>
    <w:rsid w:val="00924FE3"/>
    <w:rsid w:val="00925006"/>
    <w:rsid w:val="009250CB"/>
    <w:rsid w:val="0092524F"/>
    <w:rsid w:val="00925395"/>
    <w:rsid w:val="00925458"/>
    <w:rsid w:val="00925D58"/>
    <w:rsid w:val="009267CB"/>
    <w:rsid w:val="00927933"/>
    <w:rsid w:val="00927D5B"/>
    <w:rsid w:val="00927ED9"/>
    <w:rsid w:val="00931121"/>
    <w:rsid w:val="009313D6"/>
    <w:rsid w:val="009313E9"/>
    <w:rsid w:val="0093163E"/>
    <w:rsid w:val="00931A40"/>
    <w:rsid w:val="00931F7A"/>
    <w:rsid w:val="0093239C"/>
    <w:rsid w:val="009323AE"/>
    <w:rsid w:val="00932F02"/>
    <w:rsid w:val="00933592"/>
    <w:rsid w:val="00933ACE"/>
    <w:rsid w:val="0093495E"/>
    <w:rsid w:val="00934D25"/>
    <w:rsid w:val="00934D59"/>
    <w:rsid w:val="00934FA1"/>
    <w:rsid w:val="00935593"/>
    <w:rsid w:val="00935CB0"/>
    <w:rsid w:val="009360AD"/>
    <w:rsid w:val="00936179"/>
    <w:rsid w:val="00936D67"/>
    <w:rsid w:val="00937058"/>
    <w:rsid w:val="009378A1"/>
    <w:rsid w:val="00937D04"/>
    <w:rsid w:val="00940BD9"/>
    <w:rsid w:val="00940DEC"/>
    <w:rsid w:val="00941117"/>
    <w:rsid w:val="00941144"/>
    <w:rsid w:val="009418DB"/>
    <w:rsid w:val="00941EEB"/>
    <w:rsid w:val="00941F90"/>
    <w:rsid w:val="009425F0"/>
    <w:rsid w:val="00942734"/>
    <w:rsid w:val="0094286E"/>
    <w:rsid w:val="00942920"/>
    <w:rsid w:val="00942D29"/>
    <w:rsid w:val="00943598"/>
    <w:rsid w:val="009435E2"/>
    <w:rsid w:val="009437B5"/>
    <w:rsid w:val="00943BEB"/>
    <w:rsid w:val="00944057"/>
    <w:rsid w:val="009440DC"/>
    <w:rsid w:val="009441FB"/>
    <w:rsid w:val="00944525"/>
    <w:rsid w:val="0094460C"/>
    <w:rsid w:val="00944C43"/>
    <w:rsid w:val="00945712"/>
    <w:rsid w:val="00945820"/>
    <w:rsid w:val="009458AE"/>
    <w:rsid w:val="00946033"/>
    <w:rsid w:val="0094617A"/>
    <w:rsid w:val="0094668A"/>
    <w:rsid w:val="00946812"/>
    <w:rsid w:val="00946CAE"/>
    <w:rsid w:val="00946CC6"/>
    <w:rsid w:val="009475F5"/>
    <w:rsid w:val="009478C9"/>
    <w:rsid w:val="00950074"/>
    <w:rsid w:val="009503F2"/>
    <w:rsid w:val="009505ED"/>
    <w:rsid w:val="0095067A"/>
    <w:rsid w:val="00950F3C"/>
    <w:rsid w:val="00951021"/>
    <w:rsid w:val="0095129F"/>
    <w:rsid w:val="009515BA"/>
    <w:rsid w:val="0095162F"/>
    <w:rsid w:val="00951815"/>
    <w:rsid w:val="00951B26"/>
    <w:rsid w:val="0095208F"/>
    <w:rsid w:val="00952315"/>
    <w:rsid w:val="009525A2"/>
    <w:rsid w:val="00952DB6"/>
    <w:rsid w:val="00952F8A"/>
    <w:rsid w:val="009530EA"/>
    <w:rsid w:val="0095318A"/>
    <w:rsid w:val="00953CF8"/>
    <w:rsid w:val="0095432D"/>
    <w:rsid w:val="00954666"/>
    <w:rsid w:val="009546DB"/>
    <w:rsid w:val="00954703"/>
    <w:rsid w:val="009547D0"/>
    <w:rsid w:val="00954D71"/>
    <w:rsid w:val="0095502D"/>
    <w:rsid w:val="009550AF"/>
    <w:rsid w:val="009550E4"/>
    <w:rsid w:val="00955486"/>
    <w:rsid w:val="0095580C"/>
    <w:rsid w:val="00956002"/>
    <w:rsid w:val="00956196"/>
    <w:rsid w:val="009563DF"/>
    <w:rsid w:val="009567DA"/>
    <w:rsid w:val="00956997"/>
    <w:rsid w:val="009569F9"/>
    <w:rsid w:val="00956E1C"/>
    <w:rsid w:val="00956F70"/>
    <w:rsid w:val="009570AF"/>
    <w:rsid w:val="00957329"/>
    <w:rsid w:val="009574AC"/>
    <w:rsid w:val="0095753F"/>
    <w:rsid w:val="00957A96"/>
    <w:rsid w:val="00957AC5"/>
    <w:rsid w:val="00957B0D"/>
    <w:rsid w:val="009610DF"/>
    <w:rsid w:val="00961514"/>
    <w:rsid w:val="009615EF"/>
    <w:rsid w:val="00961D95"/>
    <w:rsid w:val="00962622"/>
    <w:rsid w:val="009629D7"/>
    <w:rsid w:val="00962E15"/>
    <w:rsid w:val="00963085"/>
    <w:rsid w:val="009632A9"/>
    <w:rsid w:val="00963693"/>
    <w:rsid w:val="009636D4"/>
    <w:rsid w:val="00963764"/>
    <w:rsid w:val="00963D02"/>
    <w:rsid w:val="00963F5B"/>
    <w:rsid w:val="009644F9"/>
    <w:rsid w:val="00964E6B"/>
    <w:rsid w:val="00964F7C"/>
    <w:rsid w:val="009650E7"/>
    <w:rsid w:val="0096589A"/>
    <w:rsid w:val="00965A3C"/>
    <w:rsid w:val="00965C4B"/>
    <w:rsid w:val="00965E22"/>
    <w:rsid w:val="0096663B"/>
    <w:rsid w:val="0096668C"/>
    <w:rsid w:val="00966ACA"/>
    <w:rsid w:val="00966D6A"/>
    <w:rsid w:val="00967499"/>
    <w:rsid w:val="0096782A"/>
    <w:rsid w:val="009678EB"/>
    <w:rsid w:val="00967A20"/>
    <w:rsid w:val="00967F36"/>
    <w:rsid w:val="0097072A"/>
    <w:rsid w:val="00970E55"/>
    <w:rsid w:val="00970E5F"/>
    <w:rsid w:val="009710B0"/>
    <w:rsid w:val="009718BA"/>
    <w:rsid w:val="00971AC7"/>
    <w:rsid w:val="00972123"/>
    <w:rsid w:val="0097271F"/>
    <w:rsid w:val="00972A3D"/>
    <w:rsid w:val="00972A6C"/>
    <w:rsid w:val="00973520"/>
    <w:rsid w:val="00973685"/>
    <w:rsid w:val="00973743"/>
    <w:rsid w:val="00973CC3"/>
    <w:rsid w:val="00973D31"/>
    <w:rsid w:val="0097405B"/>
    <w:rsid w:val="0097481A"/>
    <w:rsid w:val="00974858"/>
    <w:rsid w:val="00974E4D"/>
    <w:rsid w:val="00975176"/>
    <w:rsid w:val="00975205"/>
    <w:rsid w:val="009752FE"/>
    <w:rsid w:val="009762D2"/>
    <w:rsid w:val="00976A73"/>
    <w:rsid w:val="00976CF6"/>
    <w:rsid w:val="00977856"/>
    <w:rsid w:val="009778F5"/>
    <w:rsid w:val="00977BDA"/>
    <w:rsid w:val="00977C48"/>
    <w:rsid w:val="009809E5"/>
    <w:rsid w:val="009812CF"/>
    <w:rsid w:val="00981478"/>
    <w:rsid w:val="0098197F"/>
    <w:rsid w:val="00982604"/>
    <w:rsid w:val="00982714"/>
    <w:rsid w:val="00982851"/>
    <w:rsid w:val="00982F3F"/>
    <w:rsid w:val="00982F7B"/>
    <w:rsid w:val="00982F85"/>
    <w:rsid w:val="00983114"/>
    <w:rsid w:val="0098311B"/>
    <w:rsid w:val="009832DE"/>
    <w:rsid w:val="009833B6"/>
    <w:rsid w:val="00983787"/>
    <w:rsid w:val="00983F5B"/>
    <w:rsid w:val="00984906"/>
    <w:rsid w:val="009849A5"/>
    <w:rsid w:val="00984C3B"/>
    <w:rsid w:val="00984D2D"/>
    <w:rsid w:val="0098503D"/>
    <w:rsid w:val="00985574"/>
    <w:rsid w:val="0098572D"/>
    <w:rsid w:val="00985C9C"/>
    <w:rsid w:val="00985CF9"/>
    <w:rsid w:val="00985E0D"/>
    <w:rsid w:val="009861DD"/>
    <w:rsid w:val="0098757B"/>
    <w:rsid w:val="009877E5"/>
    <w:rsid w:val="00987A95"/>
    <w:rsid w:val="00987CB5"/>
    <w:rsid w:val="00990221"/>
    <w:rsid w:val="00990C5C"/>
    <w:rsid w:val="00990C69"/>
    <w:rsid w:val="009910B8"/>
    <w:rsid w:val="00991B8E"/>
    <w:rsid w:val="00991BD7"/>
    <w:rsid w:val="00992028"/>
    <w:rsid w:val="0099203D"/>
    <w:rsid w:val="00992665"/>
    <w:rsid w:val="00992AE1"/>
    <w:rsid w:val="00992C44"/>
    <w:rsid w:val="00993670"/>
    <w:rsid w:val="0099368C"/>
    <w:rsid w:val="009942BA"/>
    <w:rsid w:val="0099459F"/>
    <w:rsid w:val="009949A2"/>
    <w:rsid w:val="00994B03"/>
    <w:rsid w:val="00995370"/>
    <w:rsid w:val="00995AF7"/>
    <w:rsid w:val="00995FF2"/>
    <w:rsid w:val="00997337"/>
    <w:rsid w:val="0099739B"/>
    <w:rsid w:val="0099748D"/>
    <w:rsid w:val="00997DF1"/>
    <w:rsid w:val="009A0990"/>
    <w:rsid w:val="009A0B6A"/>
    <w:rsid w:val="009A0BDB"/>
    <w:rsid w:val="009A0E7C"/>
    <w:rsid w:val="009A101F"/>
    <w:rsid w:val="009A1986"/>
    <w:rsid w:val="009A1C1D"/>
    <w:rsid w:val="009A2337"/>
    <w:rsid w:val="009A2935"/>
    <w:rsid w:val="009A3EDD"/>
    <w:rsid w:val="009A4214"/>
    <w:rsid w:val="009A46D0"/>
    <w:rsid w:val="009A4837"/>
    <w:rsid w:val="009A4C21"/>
    <w:rsid w:val="009A5604"/>
    <w:rsid w:val="009A56A1"/>
    <w:rsid w:val="009A56B8"/>
    <w:rsid w:val="009A58FD"/>
    <w:rsid w:val="009A5F80"/>
    <w:rsid w:val="009A61AE"/>
    <w:rsid w:val="009A629B"/>
    <w:rsid w:val="009A6699"/>
    <w:rsid w:val="009A6A2F"/>
    <w:rsid w:val="009A6A4A"/>
    <w:rsid w:val="009A718E"/>
    <w:rsid w:val="009A746D"/>
    <w:rsid w:val="009A7973"/>
    <w:rsid w:val="009A7BF4"/>
    <w:rsid w:val="009A7D86"/>
    <w:rsid w:val="009B059C"/>
    <w:rsid w:val="009B1281"/>
    <w:rsid w:val="009B1866"/>
    <w:rsid w:val="009B1902"/>
    <w:rsid w:val="009B1C0E"/>
    <w:rsid w:val="009B1CC0"/>
    <w:rsid w:val="009B2B9A"/>
    <w:rsid w:val="009B2E74"/>
    <w:rsid w:val="009B2FBC"/>
    <w:rsid w:val="009B3314"/>
    <w:rsid w:val="009B36B9"/>
    <w:rsid w:val="009B38A2"/>
    <w:rsid w:val="009B38AC"/>
    <w:rsid w:val="009B3B3F"/>
    <w:rsid w:val="009B3C50"/>
    <w:rsid w:val="009B4BB1"/>
    <w:rsid w:val="009B5025"/>
    <w:rsid w:val="009B507C"/>
    <w:rsid w:val="009B5366"/>
    <w:rsid w:val="009B5477"/>
    <w:rsid w:val="009B5A92"/>
    <w:rsid w:val="009B66D8"/>
    <w:rsid w:val="009B68E0"/>
    <w:rsid w:val="009B71DB"/>
    <w:rsid w:val="009B7C43"/>
    <w:rsid w:val="009B7D9C"/>
    <w:rsid w:val="009C03C9"/>
    <w:rsid w:val="009C0A1B"/>
    <w:rsid w:val="009C0E65"/>
    <w:rsid w:val="009C1141"/>
    <w:rsid w:val="009C1691"/>
    <w:rsid w:val="009C1E2F"/>
    <w:rsid w:val="009C1E89"/>
    <w:rsid w:val="009C20EF"/>
    <w:rsid w:val="009C219F"/>
    <w:rsid w:val="009C2231"/>
    <w:rsid w:val="009C2423"/>
    <w:rsid w:val="009C25DD"/>
    <w:rsid w:val="009C2751"/>
    <w:rsid w:val="009C2993"/>
    <w:rsid w:val="009C2B38"/>
    <w:rsid w:val="009C2DE4"/>
    <w:rsid w:val="009C329E"/>
    <w:rsid w:val="009C33B5"/>
    <w:rsid w:val="009C3687"/>
    <w:rsid w:val="009C37CD"/>
    <w:rsid w:val="009C3977"/>
    <w:rsid w:val="009C39CB"/>
    <w:rsid w:val="009C3FC1"/>
    <w:rsid w:val="009C4007"/>
    <w:rsid w:val="009C4035"/>
    <w:rsid w:val="009C4096"/>
    <w:rsid w:val="009C414A"/>
    <w:rsid w:val="009C43B7"/>
    <w:rsid w:val="009C5211"/>
    <w:rsid w:val="009C58E6"/>
    <w:rsid w:val="009C626C"/>
    <w:rsid w:val="009C6305"/>
    <w:rsid w:val="009C6B71"/>
    <w:rsid w:val="009C6CEA"/>
    <w:rsid w:val="009C6F22"/>
    <w:rsid w:val="009C702F"/>
    <w:rsid w:val="009C7489"/>
    <w:rsid w:val="009C793A"/>
    <w:rsid w:val="009C7950"/>
    <w:rsid w:val="009D037B"/>
    <w:rsid w:val="009D06B2"/>
    <w:rsid w:val="009D0754"/>
    <w:rsid w:val="009D08BB"/>
    <w:rsid w:val="009D0EBB"/>
    <w:rsid w:val="009D1021"/>
    <w:rsid w:val="009D232C"/>
    <w:rsid w:val="009D2427"/>
    <w:rsid w:val="009D26BE"/>
    <w:rsid w:val="009D288E"/>
    <w:rsid w:val="009D2A53"/>
    <w:rsid w:val="009D2DD5"/>
    <w:rsid w:val="009D3269"/>
    <w:rsid w:val="009D37D1"/>
    <w:rsid w:val="009D383C"/>
    <w:rsid w:val="009D38E6"/>
    <w:rsid w:val="009D38FE"/>
    <w:rsid w:val="009D3B98"/>
    <w:rsid w:val="009D3CED"/>
    <w:rsid w:val="009D3FF0"/>
    <w:rsid w:val="009D483E"/>
    <w:rsid w:val="009D4D2B"/>
    <w:rsid w:val="009D4DFC"/>
    <w:rsid w:val="009D56BB"/>
    <w:rsid w:val="009D5B3A"/>
    <w:rsid w:val="009D5C5F"/>
    <w:rsid w:val="009D6142"/>
    <w:rsid w:val="009D6B8B"/>
    <w:rsid w:val="009D6CC0"/>
    <w:rsid w:val="009D6CFB"/>
    <w:rsid w:val="009D6D14"/>
    <w:rsid w:val="009D7071"/>
    <w:rsid w:val="009D7726"/>
    <w:rsid w:val="009D798E"/>
    <w:rsid w:val="009D7B75"/>
    <w:rsid w:val="009D7C7E"/>
    <w:rsid w:val="009E0E46"/>
    <w:rsid w:val="009E0F0C"/>
    <w:rsid w:val="009E1124"/>
    <w:rsid w:val="009E12CE"/>
    <w:rsid w:val="009E1996"/>
    <w:rsid w:val="009E2D33"/>
    <w:rsid w:val="009E2D91"/>
    <w:rsid w:val="009E2FAB"/>
    <w:rsid w:val="009E2FC9"/>
    <w:rsid w:val="009E3090"/>
    <w:rsid w:val="009E309C"/>
    <w:rsid w:val="009E31F6"/>
    <w:rsid w:val="009E3215"/>
    <w:rsid w:val="009E3939"/>
    <w:rsid w:val="009E3961"/>
    <w:rsid w:val="009E39F4"/>
    <w:rsid w:val="009E3BFD"/>
    <w:rsid w:val="009E3D2B"/>
    <w:rsid w:val="009E403D"/>
    <w:rsid w:val="009E4098"/>
    <w:rsid w:val="009E426B"/>
    <w:rsid w:val="009E4CE2"/>
    <w:rsid w:val="009E4D45"/>
    <w:rsid w:val="009E4ED4"/>
    <w:rsid w:val="009E5079"/>
    <w:rsid w:val="009E579D"/>
    <w:rsid w:val="009E5B8D"/>
    <w:rsid w:val="009E6013"/>
    <w:rsid w:val="009E66B6"/>
    <w:rsid w:val="009E6C47"/>
    <w:rsid w:val="009E7272"/>
    <w:rsid w:val="009E7A6C"/>
    <w:rsid w:val="009E7D0E"/>
    <w:rsid w:val="009E7E46"/>
    <w:rsid w:val="009F017B"/>
    <w:rsid w:val="009F0436"/>
    <w:rsid w:val="009F0445"/>
    <w:rsid w:val="009F0DF4"/>
    <w:rsid w:val="009F0F9D"/>
    <w:rsid w:val="009F103D"/>
    <w:rsid w:val="009F1083"/>
    <w:rsid w:val="009F1205"/>
    <w:rsid w:val="009F1463"/>
    <w:rsid w:val="009F15BC"/>
    <w:rsid w:val="009F18B7"/>
    <w:rsid w:val="009F1BEE"/>
    <w:rsid w:val="009F1FD2"/>
    <w:rsid w:val="009F23D9"/>
    <w:rsid w:val="009F24A8"/>
    <w:rsid w:val="009F2CA6"/>
    <w:rsid w:val="009F2FD3"/>
    <w:rsid w:val="009F3E82"/>
    <w:rsid w:val="009F47AB"/>
    <w:rsid w:val="009F58F7"/>
    <w:rsid w:val="009F6443"/>
    <w:rsid w:val="009F6BAB"/>
    <w:rsid w:val="009F6C16"/>
    <w:rsid w:val="009F6DA6"/>
    <w:rsid w:val="009F6E02"/>
    <w:rsid w:val="009F6E63"/>
    <w:rsid w:val="009F71CE"/>
    <w:rsid w:val="009F7D27"/>
    <w:rsid w:val="00A00278"/>
    <w:rsid w:val="00A006FE"/>
    <w:rsid w:val="00A01067"/>
    <w:rsid w:val="00A012DE"/>
    <w:rsid w:val="00A01424"/>
    <w:rsid w:val="00A015AF"/>
    <w:rsid w:val="00A0169E"/>
    <w:rsid w:val="00A01B9E"/>
    <w:rsid w:val="00A02625"/>
    <w:rsid w:val="00A030AD"/>
    <w:rsid w:val="00A03A67"/>
    <w:rsid w:val="00A03CB2"/>
    <w:rsid w:val="00A03F65"/>
    <w:rsid w:val="00A03F7F"/>
    <w:rsid w:val="00A04449"/>
    <w:rsid w:val="00A045FA"/>
    <w:rsid w:val="00A04AE3"/>
    <w:rsid w:val="00A04C95"/>
    <w:rsid w:val="00A051DF"/>
    <w:rsid w:val="00A05647"/>
    <w:rsid w:val="00A056EE"/>
    <w:rsid w:val="00A057AF"/>
    <w:rsid w:val="00A05CD4"/>
    <w:rsid w:val="00A05D11"/>
    <w:rsid w:val="00A05D53"/>
    <w:rsid w:val="00A05D55"/>
    <w:rsid w:val="00A05FFA"/>
    <w:rsid w:val="00A060EF"/>
    <w:rsid w:val="00A062E5"/>
    <w:rsid w:val="00A063AD"/>
    <w:rsid w:val="00A06459"/>
    <w:rsid w:val="00A065A3"/>
    <w:rsid w:val="00A06AAE"/>
    <w:rsid w:val="00A06F84"/>
    <w:rsid w:val="00A0746B"/>
    <w:rsid w:val="00A07781"/>
    <w:rsid w:val="00A07C6E"/>
    <w:rsid w:val="00A07C7A"/>
    <w:rsid w:val="00A07D6E"/>
    <w:rsid w:val="00A07DBB"/>
    <w:rsid w:val="00A07F50"/>
    <w:rsid w:val="00A10365"/>
    <w:rsid w:val="00A10E39"/>
    <w:rsid w:val="00A1185E"/>
    <w:rsid w:val="00A11C99"/>
    <w:rsid w:val="00A121F9"/>
    <w:rsid w:val="00A1232D"/>
    <w:rsid w:val="00A124B6"/>
    <w:rsid w:val="00A124E0"/>
    <w:rsid w:val="00A129A3"/>
    <w:rsid w:val="00A12B52"/>
    <w:rsid w:val="00A12DBD"/>
    <w:rsid w:val="00A13431"/>
    <w:rsid w:val="00A13C0F"/>
    <w:rsid w:val="00A13DCB"/>
    <w:rsid w:val="00A1459D"/>
    <w:rsid w:val="00A145E6"/>
    <w:rsid w:val="00A14893"/>
    <w:rsid w:val="00A158FE"/>
    <w:rsid w:val="00A15C4D"/>
    <w:rsid w:val="00A161A1"/>
    <w:rsid w:val="00A165E7"/>
    <w:rsid w:val="00A16969"/>
    <w:rsid w:val="00A169B4"/>
    <w:rsid w:val="00A16FE6"/>
    <w:rsid w:val="00A1726E"/>
    <w:rsid w:val="00A17760"/>
    <w:rsid w:val="00A177A4"/>
    <w:rsid w:val="00A177D0"/>
    <w:rsid w:val="00A177E7"/>
    <w:rsid w:val="00A20357"/>
    <w:rsid w:val="00A204CD"/>
    <w:rsid w:val="00A20D28"/>
    <w:rsid w:val="00A212F2"/>
    <w:rsid w:val="00A21353"/>
    <w:rsid w:val="00A214F1"/>
    <w:rsid w:val="00A21B42"/>
    <w:rsid w:val="00A21DB5"/>
    <w:rsid w:val="00A225F2"/>
    <w:rsid w:val="00A22616"/>
    <w:rsid w:val="00A226EF"/>
    <w:rsid w:val="00A22B25"/>
    <w:rsid w:val="00A22BAE"/>
    <w:rsid w:val="00A22F3E"/>
    <w:rsid w:val="00A232E6"/>
    <w:rsid w:val="00A23335"/>
    <w:rsid w:val="00A233E8"/>
    <w:rsid w:val="00A23CBF"/>
    <w:rsid w:val="00A23D92"/>
    <w:rsid w:val="00A2427E"/>
    <w:rsid w:val="00A24984"/>
    <w:rsid w:val="00A24C2A"/>
    <w:rsid w:val="00A257F9"/>
    <w:rsid w:val="00A2587E"/>
    <w:rsid w:val="00A259F6"/>
    <w:rsid w:val="00A25C2D"/>
    <w:rsid w:val="00A26031"/>
    <w:rsid w:val="00A26203"/>
    <w:rsid w:val="00A2621A"/>
    <w:rsid w:val="00A26250"/>
    <w:rsid w:val="00A26CA6"/>
    <w:rsid w:val="00A26E39"/>
    <w:rsid w:val="00A270E3"/>
    <w:rsid w:val="00A273BA"/>
    <w:rsid w:val="00A27C7C"/>
    <w:rsid w:val="00A303A3"/>
    <w:rsid w:val="00A31135"/>
    <w:rsid w:val="00A31877"/>
    <w:rsid w:val="00A31C78"/>
    <w:rsid w:val="00A32111"/>
    <w:rsid w:val="00A321ED"/>
    <w:rsid w:val="00A32B79"/>
    <w:rsid w:val="00A32C83"/>
    <w:rsid w:val="00A32DEC"/>
    <w:rsid w:val="00A32E36"/>
    <w:rsid w:val="00A335FC"/>
    <w:rsid w:val="00A33977"/>
    <w:rsid w:val="00A34482"/>
    <w:rsid w:val="00A34562"/>
    <w:rsid w:val="00A34BBC"/>
    <w:rsid w:val="00A3503D"/>
    <w:rsid w:val="00A35A23"/>
    <w:rsid w:val="00A35A4E"/>
    <w:rsid w:val="00A35A5A"/>
    <w:rsid w:val="00A35EC1"/>
    <w:rsid w:val="00A3611B"/>
    <w:rsid w:val="00A36157"/>
    <w:rsid w:val="00A3685C"/>
    <w:rsid w:val="00A36CD3"/>
    <w:rsid w:val="00A3724E"/>
    <w:rsid w:val="00A373F3"/>
    <w:rsid w:val="00A3753A"/>
    <w:rsid w:val="00A37ADC"/>
    <w:rsid w:val="00A37AE1"/>
    <w:rsid w:val="00A40033"/>
    <w:rsid w:val="00A4010D"/>
    <w:rsid w:val="00A40129"/>
    <w:rsid w:val="00A40190"/>
    <w:rsid w:val="00A412EB"/>
    <w:rsid w:val="00A41438"/>
    <w:rsid w:val="00A4157C"/>
    <w:rsid w:val="00A41AE5"/>
    <w:rsid w:val="00A41B4E"/>
    <w:rsid w:val="00A420E4"/>
    <w:rsid w:val="00A4218D"/>
    <w:rsid w:val="00A424A4"/>
    <w:rsid w:val="00A42AC1"/>
    <w:rsid w:val="00A42D2D"/>
    <w:rsid w:val="00A42E53"/>
    <w:rsid w:val="00A42E6D"/>
    <w:rsid w:val="00A4303D"/>
    <w:rsid w:val="00A43632"/>
    <w:rsid w:val="00A437B0"/>
    <w:rsid w:val="00A43C4A"/>
    <w:rsid w:val="00A43D2C"/>
    <w:rsid w:val="00A445C3"/>
    <w:rsid w:val="00A4489F"/>
    <w:rsid w:val="00A44C3A"/>
    <w:rsid w:val="00A45065"/>
    <w:rsid w:val="00A45091"/>
    <w:rsid w:val="00A45256"/>
    <w:rsid w:val="00A456C4"/>
    <w:rsid w:val="00A45D17"/>
    <w:rsid w:val="00A45E34"/>
    <w:rsid w:val="00A46390"/>
    <w:rsid w:val="00A46528"/>
    <w:rsid w:val="00A469F6"/>
    <w:rsid w:val="00A46E67"/>
    <w:rsid w:val="00A475CB"/>
    <w:rsid w:val="00A47815"/>
    <w:rsid w:val="00A479AB"/>
    <w:rsid w:val="00A47B1A"/>
    <w:rsid w:val="00A47C87"/>
    <w:rsid w:val="00A50032"/>
    <w:rsid w:val="00A50135"/>
    <w:rsid w:val="00A50540"/>
    <w:rsid w:val="00A50986"/>
    <w:rsid w:val="00A509C1"/>
    <w:rsid w:val="00A50F33"/>
    <w:rsid w:val="00A50FA9"/>
    <w:rsid w:val="00A512EA"/>
    <w:rsid w:val="00A512FA"/>
    <w:rsid w:val="00A51C46"/>
    <w:rsid w:val="00A51E66"/>
    <w:rsid w:val="00A51E92"/>
    <w:rsid w:val="00A52075"/>
    <w:rsid w:val="00A5214D"/>
    <w:rsid w:val="00A5265C"/>
    <w:rsid w:val="00A52973"/>
    <w:rsid w:val="00A529D6"/>
    <w:rsid w:val="00A52B53"/>
    <w:rsid w:val="00A52C82"/>
    <w:rsid w:val="00A53844"/>
    <w:rsid w:val="00A54019"/>
    <w:rsid w:val="00A54262"/>
    <w:rsid w:val="00A54398"/>
    <w:rsid w:val="00A54716"/>
    <w:rsid w:val="00A548C7"/>
    <w:rsid w:val="00A54D5B"/>
    <w:rsid w:val="00A56516"/>
    <w:rsid w:val="00A56B29"/>
    <w:rsid w:val="00A574EC"/>
    <w:rsid w:val="00A60500"/>
    <w:rsid w:val="00A60F9D"/>
    <w:rsid w:val="00A61430"/>
    <w:rsid w:val="00A6156D"/>
    <w:rsid w:val="00A615B6"/>
    <w:rsid w:val="00A6193F"/>
    <w:rsid w:val="00A61962"/>
    <w:rsid w:val="00A61B3C"/>
    <w:rsid w:val="00A61B47"/>
    <w:rsid w:val="00A61D4B"/>
    <w:rsid w:val="00A624F9"/>
    <w:rsid w:val="00A626F6"/>
    <w:rsid w:val="00A62857"/>
    <w:rsid w:val="00A629A3"/>
    <w:rsid w:val="00A62D63"/>
    <w:rsid w:val="00A639A6"/>
    <w:rsid w:val="00A63EB7"/>
    <w:rsid w:val="00A64570"/>
    <w:rsid w:val="00A646FD"/>
    <w:rsid w:val="00A64A11"/>
    <w:rsid w:val="00A64D98"/>
    <w:rsid w:val="00A64EEB"/>
    <w:rsid w:val="00A660DC"/>
    <w:rsid w:val="00A66181"/>
    <w:rsid w:val="00A667B4"/>
    <w:rsid w:val="00A669E4"/>
    <w:rsid w:val="00A66C1E"/>
    <w:rsid w:val="00A66EE2"/>
    <w:rsid w:val="00A67240"/>
    <w:rsid w:val="00A67A4E"/>
    <w:rsid w:val="00A67D95"/>
    <w:rsid w:val="00A67F4D"/>
    <w:rsid w:val="00A70360"/>
    <w:rsid w:val="00A706EC"/>
    <w:rsid w:val="00A708EC"/>
    <w:rsid w:val="00A70AAE"/>
    <w:rsid w:val="00A71F36"/>
    <w:rsid w:val="00A72B25"/>
    <w:rsid w:val="00A72B2A"/>
    <w:rsid w:val="00A72CE8"/>
    <w:rsid w:val="00A72E5E"/>
    <w:rsid w:val="00A72EE9"/>
    <w:rsid w:val="00A72FD0"/>
    <w:rsid w:val="00A733A8"/>
    <w:rsid w:val="00A7494E"/>
    <w:rsid w:val="00A74ACA"/>
    <w:rsid w:val="00A75314"/>
    <w:rsid w:val="00A758E4"/>
    <w:rsid w:val="00A75CDA"/>
    <w:rsid w:val="00A75E37"/>
    <w:rsid w:val="00A75EE7"/>
    <w:rsid w:val="00A76144"/>
    <w:rsid w:val="00A76405"/>
    <w:rsid w:val="00A76641"/>
    <w:rsid w:val="00A76B6C"/>
    <w:rsid w:val="00A76D82"/>
    <w:rsid w:val="00A76DB7"/>
    <w:rsid w:val="00A7746E"/>
    <w:rsid w:val="00A776DA"/>
    <w:rsid w:val="00A7788F"/>
    <w:rsid w:val="00A77E54"/>
    <w:rsid w:val="00A8067B"/>
    <w:rsid w:val="00A80B7F"/>
    <w:rsid w:val="00A80DD6"/>
    <w:rsid w:val="00A811B7"/>
    <w:rsid w:val="00A8153F"/>
    <w:rsid w:val="00A81573"/>
    <w:rsid w:val="00A81864"/>
    <w:rsid w:val="00A81B76"/>
    <w:rsid w:val="00A81D92"/>
    <w:rsid w:val="00A81F25"/>
    <w:rsid w:val="00A81FA6"/>
    <w:rsid w:val="00A82781"/>
    <w:rsid w:val="00A83141"/>
    <w:rsid w:val="00A83376"/>
    <w:rsid w:val="00A83AFB"/>
    <w:rsid w:val="00A842E0"/>
    <w:rsid w:val="00A84305"/>
    <w:rsid w:val="00A84722"/>
    <w:rsid w:val="00A84819"/>
    <w:rsid w:val="00A84C00"/>
    <w:rsid w:val="00A84D94"/>
    <w:rsid w:val="00A853F5"/>
    <w:rsid w:val="00A85526"/>
    <w:rsid w:val="00A8565B"/>
    <w:rsid w:val="00A8604B"/>
    <w:rsid w:val="00A86263"/>
    <w:rsid w:val="00A8647B"/>
    <w:rsid w:val="00A8693C"/>
    <w:rsid w:val="00A86F38"/>
    <w:rsid w:val="00A903B1"/>
    <w:rsid w:val="00A90495"/>
    <w:rsid w:val="00A90AE1"/>
    <w:rsid w:val="00A90BFA"/>
    <w:rsid w:val="00A91063"/>
    <w:rsid w:val="00A9113B"/>
    <w:rsid w:val="00A92B13"/>
    <w:rsid w:val="00A936BA"/>
    <w:rsid w:val="00A93AA2"/>
    <w:rsid w:val="00A93F90"/>
    <w:rsid w:val="00A9473F"/>
    <w:rsid w:val="00A95466"/>
    <w:rsid w:val="00A954E1"/>
    <w:rsid w:val="00A9558C"/>
    <w:rsid w:val="00A95973"/>
    <w:rsid w:val="00A96426"/>
    <w:rsid w:val="00A96656"/>
    <w:rsid w:val="00A9678C"/>
    <w:rsid w:val="00A96819"/>
    <w:rsid w:val="00A96AFA"/>
    <w:rsid w:val="00A96C61"/>
    <w:rsid w:val="00A9700B"/>
    <w:rsid w:val="00AA032B"/>
    <w:rsid w:val="00AA08CE"/>
    <w:rsid w:val="00AA0FF5"/>
    <w:rsid w:val="00AA13AF"/>
    <w:rsid w:val="00AA1CE5"/>
    <w:rsid w:val="00AA1E33"/>
    <w:rsid w:val="00AA1F62"/>
    <w:rsid w:val="00AA3006"/>
    <w:rsid w:val="00AA342B"/>
    <w:rsid w:val="00AA34A8"/>
    <w:rsid w:val="00AA3994"/>
    <w:rsid w:val="00AA3A1F"/>
    <w:rsid w:val="00AA3ABF"/>
    <w:rsid w:val="00AA4685"/>
    <w:rsid w:val="00AA46DD"/>
    <w:rsid w:val="00AA4D4E"/>
    <w:rsid w:val="00AA5781"/>
    <w:rsid w:val="00AA5B34"/>
    <w:rsid w:val="00AA6039"/>
    <w:rsid w:val="00AA6137"/>
    <w:rsid w:val="00AA644A"/>
    <w:rsid w:val="00AA69AC"/>
    <w:rsid w:val="00AA6B8E"/>
    <w:rsid w:val="00AA7004"/>
    <w:rsid w:val="00AA71C6"/>
    <w:rsid w:val="00AA74EA"/>
    <w:rsid w:val="00AB005B"/>
    <w:rsid w:val="00AB01F5"/>
    <w:rsid w:val="00AB023A"/>
    <w:rsid w:val="00AB028C"/>
    <w:rsid w:val="00AB0452"/>
    <w:rsid w:val="00AB073F"/>
    <w:rsid w:val="00AB0FCB"/>
    <w:rsid w:val="00AB1122"/>
    <w:rsid w:val="00AB19CE"/>
    <w:rsid w:val="00AB1A21"/>
    <w:rsid w:val="00AB3795"/>
    <w:rsid w:val="00AB38AF"/>
    <w:rsid w:val="00AB3EB1"/>
    <w:rsid w:val="00AB415E"/>
    <w:rsid w:val="00AB44D4"/>
    <w:rsid w:val="00AB483A"/>
    <w:rsid w:val="00AB5090"/>
    <w:rsid w:val="00AB587B"/>
    <w:rsid w:val="00AB60C0"/>
    <w:rsid w:val="00AB654C"/>
    <w:rsid w:val="00AB6B1F"/>
    <w:rsid w:val="00AB6E7E"/>
    <w:rsid w:val="00AB7350"/>
    <w:rsid w:val="00AB7AEE"/>
    <w:rsid w:val="00AB7C04"/>
    <w:rsid w:val="00AC0340"/>
    <w:rsid w:val="00AC0702"/>
    <w:rsid w:val="00AC094F"/>
    <w:rsid w:val="00AC0D20"/>
    <w:rsid w:val="00AC1089"/>
    <w:rsid w:val="00AC1493"/>
    <w:rsid w:val="00AC152F"/>
    <w:rsid w:val="00AC1A76"/>
    <w:rsid w:val="00AC2667"/>
    <w:rsid w:val="00AC2B2F"/>
    <w:rsid w:val="00AC2EA6"/>
    <w:rsid w:val="00AC34AA"/>
    <w:rsid w:val="00AC3619"/>
    <w:rsid w:val="00AC38B6"/>
    <w:rsid w:val="00AC3EC1"/>
    <w:rsid w:val="00AC3FDB"/>
    <w:rsid w:val="00AC4379"/>
    <w:rsid w:val="00AC532C"/>
    <w:rsid w:val="00AC5463"/>
    <w:rsid w:val="00AC574B"/>
    <w:rsid w:val="00AC5BEA"/>
    <w:rsid w:val="00AC5DC1"/>
    <w:rsid w:val="00AC6141"/>
    <w:rsid w:val="00AC72CB"/>
    <w:rsid w:val="00AC7396"/>
    <w:rsid w:val="00AC7E37"/>
    <w:rsid w:val="00AD002F"/>
    <w:rsid w:val="00AD0A96"/>
    <w:rsid w:val="00AD0B13"/>
    <w:rsid w:val="00AD1197"/>
    <w:rsid w:val="00AD151E"/>
    <w:rsid w:val="00AD167E"/>
    <w:rsid w:val="00AD2438"/>
    <w:rsid w:val="00AD2816"/>
    <w:rsid w:val="00AD2874"/>
    <w:rsid w:val="00AD28E9"/>
    <w:rsid w:val="00AD2C1D"/>
    <w:rsid w:val="00AD3CCF"/>
    <w:rsid w:val="00AD40B1"/>
    <w:rsid w:val="00AD40B3"/>
    <w:rsid w:val="00AD461D"/>
    <w:rsid w:val="00AD55DA"/>
    <w:rsid w:val="00AD5632"/>
    <w:rsid w:val="00AD57A1"/>
    <w:rsid w:val="00AD5A6C"/>
    <w:rsid w:val="00AD5CE0"/>
    <w:rsid w:val="00AD5E41"/>
    <w:rsid w:val="00AD60C3"/>
    <w:rsid w:val="00AD6D87"/>
    <w:rsid w:val="00AD70C7"/>
    <w:rsid w:val="00AD72B8"/>
    <w:rsid w:val="00AD7580"/>
    <w:rsid w:val="00AD7F4B"/>
    <w:rsid w:val="00AE0219"/>
    <w:rsid w:val="00AE02B0"/>
    <w:rsid w:val="00AE07B6"/>
    <w:rsid w:val="00AE08E5"/>
    <w:rsid w:val="00AE0958"/>
    <w:rsid w:val="00AE09E9"/>
    <w:rsid w:val="00AE0E21"/>
    <w:rsid w:val="00AE149A"/>
    <w:rsid w:val="00AE1941"/>
    <w:rsid w:val="00AE1994"/>
    <w:rsid w:val="00AE1AE3"/>
    <w:rsid w:val="00AE29B5"/>
    <w:rsid w:val="00AE31D7"/>
    <w:rsid w:val="00AE3420"/>
    <w:rsid w:val="00AE3475"/>
    <w:rsid w:val="00AE368A"/>
    <w:rsid w:val="00AE36F1"/>
    <w:rsid w:val="00AE38E6"/>
    <w:rsid w:val="00AE3A5C"/>
    <w:rsid w:val="00AE3A82"/>
    <w:rsid w:val="00AE43C0"/>
    <w:rsid w:val="00AE4A7E"/>
    <w:rsid w:val="00AE4E09"/>
    <w:rsid w:val="00AE523B"/>
    <w:rsid w:val="00AE54F7"/>
    <w:rsid w:val="00AE5576"/>
    <w:rsid w:val="00AE5C34"/>
    <w:rsid w:val="00AE5E10"/>
    <w:rsid w:val="00AE60B6"/>
    <w:rsid w:val="00AE634D"/>
    <w:rsid w:val="00AE66B5"/>
    <w:rsid w:val="00AE6C38"/>
    <w:rsid w:val="00AE6F4E"/>
    <w:rsid w:val="00AE7C05"/>
    <w:rsid w:val="00AE7D34"/>
    <w:rsid w:val="00AE7E27"/>
    <w:rsid w:val="00AF0350"/>
    <w:rsid w:val="00AF0855"/>
    <w:rsid w:val="00AF0E90"/>
    <w:rsid w:val="00AF14C8"/>
    <w:rsid w:val="00AF1D94"/>
    <w:rsid w:val="00AF1E14"/>
    <w:rsid w:val="00AF20AA"/>
    <w:rsid w:val="00AF274B"/>
    <w:rsid w:val="00AF2775"/>
    <w:rsid w:val="00AF287C"/>
    <w:rsid w:val="00AF28EB"/>
    <w:rsid w:val="00AF2917"/>
    <w:rsid w:val="00AF358C"/>
    <w:rsid w:val="00AF3610"/>
    <w:rsid w:val="00AF363D"/>
    <w:rsid w:val="00AF380E"/>
    <w:rsid w:val="00AF3CDD"/>
    <w:rsid w:val="00AF3D1A"/>
    <w:rsid w:val="00AF3DCC"/>
    <w:rsid w:val="00AF3FEB"/>
    <w:rsid w:val="00AF45C9"/>
    <w:rsid w:val="00AF5526"/>
    <w:rsid w:val="00AF5661"/>
    <w:rsid w:val="00AF5869"/>
    <w:rsid w:val="00AF6E20"/>
    <w:rsid w:val="00AF6E3B"/>
    <w:rsid w:val="00AF6F6C"/>
    <w:rsid w:val="00AF72AB"/>
    <w:rsid w:val="00AF7938"/>
    <w:rsid w:val="00AF7D6C"/>
    <w:rsid w:val="00B0083D"/>
    <w:rsid w:val="00B008ED"/>
    <w:rsid w:val="00B0097D"/>
    <w:rsid w:val="00B00A5D"/>
    <w:rsid w:val="00B010C9"/>
    <w:rsid w:val="00B01284"/>
    <w:rsid w:val="00B01D27"/>
    <w:rsid w:val="00B01D8E"/>
    <w:rsid w:val="00B01DCB"/>
    <w:rsid w:val="00B02623"/>
    <w:rsid w:val="00B028C8"/>
    <w:rsid w:val="00B02A02"/>
    <w:rsid w:val="00B02CB3"/>
    <w:rsid w:val="00B02E20"/>
    <w:rsid w:val="00B03363"/>
    <w:rsid w:val="00B034E7"/>
    <w:rsid w:val="00B03A50"/>
    <w:rsid w:val="00B03B5A"/>
    <w:rsid w:val="00B03F01"/>
    <w:rsid w:val="00B042AB"/>
    <w:rsid w:val="00B042D0"/>
    <w:rsid w:val="00B04B43"/>
    <w:rsid w:val="00B04CEA"/>
    <w:rsid w:val="00B04DB6"/>
    <w:rsid w:val="00B05366"/>
    <w:rsid w:val="00B0575F"/>
    <w:rsid w:val="00B05823"/>
    <w:rsid w:val="00B05D45"/>
    <w:rsid w:val="00B05DD8"/>
    <w:rsid w:val="00B070AD"/>
    <w:rsid w:val="00B07D58"/>
    <w:rsid w:val="00B07E18"/>
    <w:rsid w:val="00B100B3"/>
    <w:rsid w:val="00B1072C"/>
    <w:rsid w:val="00B10B4A"/>
    <w:rsid w:val="00B10BAC"/>
    <w:rsid w:val="00B10D0A"/>
    <w:rsid w:val="00B10F38"/>
    <w:rsid w:val="00B10FF4"/>
    <w:rsid w:val="00B114BC"/>
    <w:rsid w:val="00B11506"/>
    <w:rsid w:val="00B115E5"/>
    <w:rsid w:val="00B118EF"/>
    <w:rsid w:val="00B11999"/>
    <w:rsid w:val="00B128BA"/>
    <w:rsid w:val="00B132FD"/>
    <w:rsid w:val="00B13A23"/>
    <w:rsid w:val="00B13D7F"/>
    <w:rsid w:val="00B14663"/>
    <w:rsid w:val="00B14684"/>
    <w:rsid w:val="00B1470D"/>
    <w:rsid w:val="00B1480E"/>
    <w:rsid w:val="00B14A2B"/>
    <w:rsid w:val="00B14ADA"/>
    <w:rsid w:val="00B1518A"/>
    <w:rsid w:val="00B15442"/>
    <w:rsid w:val="00B16067"/>
    <w:rsid w:val="00B16321"/>
    <w:rsid w:val="00B163E8"/>
    <w:rsid w:val="00B16F43"/>
    <w:rsid w:val="00B179C5"/>
    <w:rsid w:val="00B2005E"/>
    <w:rsid w:val="00B2019C"/>
    <w:rsid w:val="00B2037A"/>
    <w:rsid w:val="00B2054C"/>
    <w:rsid w:val="00B205EF"/>
    <w:rsid w:val="00B20A9C"/>
    <w:rsid w:val="00B20E39"/>
    <w:rsid w:val="00B2125B"/>
    <w:rsid w:val="00B2126C"/>
    <w:rsid w:val="00B21392"/>
    <w:rsid w:val="00B2150B"/>
    <w:rsid w:val="00B21616"/>
    <w:rsid w:val="00B21FBD"/>
    <w:rsid w:val="00B22318"/>
    <w:rsid w:val="00B224E9"/>
    <w:rsid w:val="00B227C5"/>
    <w:rsid w:val="00B22ED5"/>
    <w:rsid w:val="00B236FF"/>
    <w:rsid w:val="00B23A32"/>
    <w:rsid w:val="00B23B36"/>
    <w:rsid w:val="00B23F88"/>
    <w:rsid w:val="00B24118"/>
    <w:rsid w:val="00B2428A"/>
    <w:rsid w:val="00B245F3"/>
    <w:rsid w:val="00B246CC"/>
    <w:rsid w:val="00B24E29"/>
    <w:rsid w:val="00B251E7"/>
    <w:rsid w:val="00B25295"/>
    <w:rsid w:val="00B259F5"/>
    <w:rsid w:val="00B25A0B"/>
    <w:rsid w:val="00B25D26"/>
    <w:rsid w:val="00B25DE4"/>
    <w:rsid w:val="00B25EFD"/>
    <w:rsid w:val="00B26143"/>
    <w:rsid w:val="00B2626A"/>
    <w:rsid w:val="00B263A2"/>
    <w:rsid w:val="00B265F7"/>
    <w:rsid w:val="00B26D65"/>
    <w:rsid w:val="00B26ECF"/>
    <w:rsid w:val="00B2758D"/>
    <w:rsid w:val="00B275C0"/>
    <w:rsid w:val="00B2768E"/>
    <w:rsid w:val="00B27970"/>
    <w:rsid w:val="00B27DC8"/>
    <w:rsid w:val="00B27F56"/>
    <w:rsid w:val="00B30101"/>
    <w:rsid w:val="00B30398"/>
    <w:rsid w:val="00B3058E"/>
    <w:rsid w:val="00B305A1"/>
    <w:rsid w:val="00B30AC9"/>
    <w:rsid w:val="00B30E84"/>
    <w:rsid w:val="00B30F8B"/>
    <w:rsid w:val="00B3178F"/>
    <w:rsid w:val="00B3189A"/>
    <w:rsid w:val="00B32451"/>
    <w:rsid w:val="00B32815"/>
    <w:rsid w:val="00B32A67"/>
    <w:rsid w:val="00B32E5F"/>
    <w:rsid w:val="00B32F4B"/>
    <w:rsid w:val="00B32F82"/>
    <w:rsid w:val="00B33475"/>
    <w:rsid w:val="00B33D9B"/>
    <w:rsid w:val="00B33EF7"/>
    <w:rsid w:val="00B33F7E"/>
    <w:rsid w:val="00B34040"/>
    <w:rsid w:val="00B34263"/>
    <w:rsid w:val="00B343D0"/>
    <w:rsid w:val="00B34678"/>
    <w:rsid w:val="00B34BE7"/>
    <w:rsid w:val="00B34DC4"/>
    <w:rsid w:val="00B35182"/>
    <w:rsid w:val="00B3519A"/>
    <w:rsid w:val="00B35435"/>
    <w:rsid w:val="00B358D3"/>
    <w:rsid w:val="00B35FCB"/>
    <w:rsid w:val="00B36078"/>
    <w:rsid w:val="00B361D0"/>
    <w:rsid w:val="00B36819"/>
    <w:rsid w:val="00B36AC0"/>
    <w:rsid w:val="00B36AEB"/>
    <w:rsid w:val="00B36F28"/>
    <w:rsid w:val="00B36F84"/>
    <w:rsid w:val="00B377B6"/>
    <w:rsid w:val="00B40556"/>
    <w:rsid w:val="00B407EF"/>
    <w:rsid w:val="00B40B8F"/>
    <w:rsid w:val="00B41383"/>
    <w:rsid w:val="00B413D2"/>
    <w:rsid w:val="00B4144E"/>
    <w:rsid w:val="00B416AA"/>
    <w:rsid w:val="00B41BDC"/>
    <w:rsid w:val="00B42139"/>
    <w:rsid w:val="00B422D1"/>
    <w:rsid w:val="00B42375"/>
    <w:rsid w:val="00B42387"/>
    <w:rsid w:val="00B427C3"/>
    <w:rsid w:val="00B42F08"/>
    <w:rsid w:val="00B430C5"/>
    <w:rsid w:val="00B435F9"/>
    <w:rsid w:val="00B43814"/>
    <w:rsid w:val="00B43B4D"/>
    <w:rsid w:val="00B43EA7"/>
    <w:rsid w:val="00B44506"/>
    <w:rsid w:val="00B44541"/>
    <w:rsid w:val="00B4454E"/>
    <w:rsid w:val="00B4468D"/>
    <w:rsid w:val="00B44D39"/>
    <w:rsid w:val="00B452B9"/>
    <w:rsid w:val="00B45448"/>
    <w:rsid w:val="00B4584F"/>
    <w:rsid w:val="00B4610B"/>
    <w:rsid w:val="00B462A8"/>
    <w:rsid w:val="00B46A03"/>
    <w:rsid w:val="00B46DB1"/>
    <w:rsid w:val="00B47189"/>
    <w:rsid w:val="00B47701"/>
    <w:rsid w:val="00B47741"/>
    <w:rsid w:val="00B47BF0"/>
    <w:rsid w:val="00B503F6"/>
    <w:rsid w:val="00B5084F"/>
    <w:rsid w:val="00B50A89"/>
    <w:rsid w:val="00B50D0D"/>
    <w:rsid w:val="00B5171C"/>
    <w:rsid w:val="00B51ADA"/>
    <w:rsid w:val="00B51D39"/>
    <w:rsid w:val="00B52423"/>
    <w:rsid w:val="00B526AE"/>
    <w:rsid w:val="00B52B16"/>
    <w:rsid w:val="00B5303C"/>
    <w:rsid w:val="00B5357C"/>
    <w:rsid w:val="00B53F08"/>
    <w:rsid w:val="00B54026"/>
    <w:rsid w:val="00B542C3"/>
    <w:rsid w:val="00B5450E"/>
    <w:rsid w:val="00B545EA"/>
    <w:rsid w:val="00B5486A"/>
    <w:rsid w:val="00B54A37"/>
    <w:rsid w:val="00B5519C"/>
    <w:rsid w:val="00B55BB3"/>
    <w:rsid w:val="00B56A20"/>
    <w:rsid w:val="00B56A5B"/>
    <w:rsid w:val="00B56D25"/>
    <w:rsid w:val="00B56DDE"/>
    <w:rsid w:val="00B57209"/>
    <w:rsid w:val="00B576FB"/>
    <w:rsid w:val="00B5782B"/>
    <w:rsid w:val="00B579C3"/>
    <w:rsid w:val="00B6024A"/>
    <w:rsid w:val="00B60CA9"/>
    <w:rsid w:val="00B611A9"/>
    <w:rsid w:val="00B6125C"/>
    <w:rsid w:val="00B6132F"/>
    <w:rsid w:val="00B61D3B"/>
    <w:rsid w:val="00B61EA5"/>
    <w:rsid w:val="00B62125"/>
    <w:rsid w:val="00B62261"/>
    <w:rsid w:val="00B62265"/>
    <w:rsid w:val="00B62299"/>
    <w:rsid w:val="00B6260F"/>
    <w:rsid w:val="00B626DC"/>
    <w:rsid w:val="00B6277B"/>
    <w:rsid w:val="00B62919"/>
    <w:rsid w:val="00B62B6D"/>
    <w:rsid w:val="00B62BEE"/>
    <w:rsid w:val="00B63434"/>
    <w:rsid w:val="00B637D9"/>
    <w:rsid w:val="00B63896"/>
    <w:rsid w:val="00B63E62"/>
    <w:rsid w:val="00B6425E"/>
    <w:rsid w:val="00B64328"/>
    <w:rsid w:val="00B643F0"/>
    <w:rsid w:val="00B644DB"/>
    <w:rsid w:val="00B645DF"/>
    <w:rsid w:val="00B64839"/>
    <w:rsid w:val="00B64962"/>
    <w:rsid w:val="00B64F6A"/>
    <w:rsid w:val="00B64F78"/>
    <w:rsid w:val="00B658DA"/>
    <w:rsid w:val="00B65A67"/>
    <w:rsid w:val="00B6600B"/>
    <w:rsid w:val="00B66A94"/>
    <w:rsid w:val="00B676E9"/>
    <w:rsid w:val="00B67AD6"/>
    <w:rsid w:val="00B702F4"/>
    <w:rsid w:val="00B70911"/>
    <w:rsid w:val="00B70980"/>
    <w:rsid w:val="00B70BE8"/>
    <w:rsid w:val="00B70C74"/>
    <w:rsid w:val="00B713DC"/>
    <w:rsid w:val="00B714A2"/>
    <w:rsid w:val="00B71BA3"/>
    <w:rsid w:val="00B71EAB"/>
    <w:rsid w:val="00B725B2"/>
    <w:rsid w:val="00B728EB"/>
    <w:rsid w:val="00B732AF"/>
    <w:rsid w:val="00B734A2"/>
    <w:rsid w:val="00B736A7"/>
    <w:rsid w:val="00B73878"/>
    <w:rsid w:val="00B7393B"/>
    <w:rsid w:val="00B73CC7"/>
    <w:rsid w:val="00B74211"/>
    <w:rsid w:val="00B74B52"/>
    <w:rsid w:val="00B75F5D"/>
    <w:rsid w:val="00B76007"/>
    <w:rsid w:val="00B76012"/>
    <w:rsid w:val="00B765DD"/>
    <w:rsid w:val="00B76750"/>
    <w:rsid w:val="00B76A8C"/>
    <w:rsid w:val="00B77107"/>
    <w:rsid w:val="00B772FF"/>
    <w:rsid w:val="00B77CEA"/>
    <w:rsid w:val="00B80468"/>
    <w:rsid w:val="00B80F38"/>
    <w:rsid w:val="00B810B8"/>
    <w:rsid w:val="00B81320"/>
    <w:rsid w:val="00B81366"/>
    <w:rsid w:val="00B81780"/>
    <w:rsid w:val="00B81A1F"/>
    <w:rsid w:val="00B81CD4"/>
    <w:rsid w:val="00B820C7"/>
    <w:rsid w:val="00B82164"/>
    <w:rsid w:val="00B821EB"/>
    <w:rsid w:val="00B8227B"/>
    <w:rsid w:val="00B828D7"/>
    <w:rsid w:val="00B82A2F"/>
    <w:rsid w:val="00B82D09"/>
    <w:rsid w:val="00B83663"/>
    <w:rsid w:val="00B84193"/>
    <w:rsid w:val="00B842C7"/>
    <w:rsid w:val="00B84A93"/>
    <w:rsid w:val="00B852FB"/>
    <w:rsid w:val="00B86189"/>
    <w:rsid w:val="00B861A5"/>
    <w:rsid w:val="00B862AE"/>
    <w:rsid w:val="00B86881"/>
    <w:rsid w:val="00B86B8F"/>
    <w:rsid w:val="00B870FF"/>
    <w:rsid w:val="00B87B80"/>
    <w:rsid w:val="00B9014F"/>
    <w:rsid w:val="00B9040D"/>
    <w:rsid w:val="00B91024"/>
    <w:rsid w:val="00B9106A"/>
    <w:rsid w:val="00B91191"/>
    <w:rsid w:val="00B913B9"/>
    <w:rsid w:val="00B91C09"/>
    <w:rsid w:val="00B91C94"/>
    <w:rsid w:val="00B92184"/>
    <w:rsid w:val="00B921CC"/>
    <w:rsid w:val="00B92550"/>
    <w:rsid w:val="00B92593"/>
    <w:rsid w:val="00B93355"/>
    <w:rsid w:val="00B941CF"/>
    <w:rsid w:val="00B943A9"/>
    <w:rsid w:val="00B946E0"/>
    <w:rsid w:val="00B94CF3"/>
    <w:rsid w:val="00B94D88"/>
    <w:rsid w:val="00B94D92"/>
    <w:rsid w:val="00B9519A"/>
    <w:rsid w:val="00B9568B"/>
    <w:rsid w:val="00B95866"/>
    <w:rsid w:val="00B9621F"/>
    <w:rsid w:val="00B9681F"/>
    <w:rsid w:val="00B96B85"/>
    <w:rsid w:val="00B96D64"/>
    <w:rsid w:val="00B97364"/>
    <w:rsid w:val="00B97456"/>
    <w:rsid w:val="00BA0805"/>
    <w:rsid w:val="00BA0D53"/>
    <w:rsid w:val="00BA0E2E"/>
    <w:rsid w:val="00BA1700"/>
    <w:rsid w:val="00BA1E0B"/>
    <w:rsid w:val="00BA2279"/>
    <w:rsid w:val="00BA2AEE"/>
    <w:rsid w:val="00BA2F25"/>
    <w:rsid w:val="00BA2F92"/>
    <w:rsid w:val="00BA300C"/>
    <w:rsid w:val="00BA3533"/>
    <w:rsid w:val="00BA357F"/>
    <w:rsid w:val="00BA38E4"/>
    <w:rsid w:val="00BA3ACD"/>
    <w:rsid w:val="00BA4B35"/>
    <w:rsid w:val="00BA4CDA"/>
    <w:rsid w:val="00BA4EEF"/>
    <w:rsid w:val="00BA51E2"/>
    <w:rsid w:val="00BA529D"/>
    <w:rsid w:val="00BA5945"/>
    <w:rsid w:val="00BA5965"/>
    <w:rsid w:val="00BA5B79"/>
    <w:rsid w:val="00BA5BDC"/>
    <w:rsid w:val="00BA5D8D"/>
    <w:rsid w:val="00BA5DC3"/>
    <w:rsid w:val="00BA633E"/>
    <w:rsid w:val="00BA6B42"/>
    <w:rsid w:val="00BA6CEA"/>
    <w:rsid w:val="00BA6D95"/>
    <w:rsid w:val="00BA6ED7"/>
    <w:rsid w:val="00BA76D2"/>
    <w:rsid w:val="00BA77C2"/>
    <w:rsid w:val="00BA7BAD"/>
    <w:rsid w:val="00BB05EF"/>
    <w:rsid w:val="00BB072E"/>
    <w:rsid w:val="00BB099C"/>
    <w:rsid w:val="00BB0E93"/>
    <w:rsid w:val="00BB0FE4"/>
    <w:rsid w:val="00BB0FFB"/>
    <w:rsid w:val="00BB1559"/>
    <w:rsid w:val="00BB1701"/>
    <w:rsid w:val="00BB186F"/>
    <w:rsid w:val="00BB18C0"/>
    <w:rsid w:val="00BB18E1"/>
    <w:rsid w:val="00BB1B21"/>
    <w:rsid w:val="00BB24E3"/>
    <w:rsid w:val="00BB2839"/>
    <w:rsid w:val="00BB2B92"/>
    <w:rsid w:val="00BB305B"/>
    <w:rsid w:val="00BB35F5"/>
    <w:rsid w:val="00BB3827"/>
    <w:rsid w:val="00BB3A35"/>
    <w:rsid w:val="00BB3DE7"/>
    <w:rsid w:val="00BB41CB"/>
    <w:rsid w:val="00BB47B4"/>
    <w:rsid w:val="00BB4A80"/>
    <w:rsid w:val="00BB4B65"/>
    <w:rsid w:val="00BB5401"/>
    <w:rsid w:val="00BB5A60"/>
    <w:rsid w:val="00BB5AFC"/>
    <w:rsid w:val="00BB6865"/>
    <w:rsid w:val="00BB6963"/>
    <w:rsid w:val="00BB69B9"/>
    <w:rsid w:val="00BB758D"/>
    <w:rsid w:val="00BB7D97"/>
    <w:rsid w:val="00BC12D7"/>
    <w:rsid w:val="00BC14BE"/>
    <w:rsid w:val="00BC18E5"/>
    <w:rsid w:val="00BC1E02"/>
    <w:rsid w:val="00BC213B"/>
    <w:rsid w:val="00BC2A37"/>
    <w:rsid w:val="00BC2CD5"/>
    <w:rsid w:val="00BC2D2E"/>
    <w:rsid w:val="00BC3361"/>
    <w:rsid w:val="00BC33B2"/>
    <w:rsid w:val="00BC3463"/>
    <w:rsid w:val="00BC3AA6"/>
    <w:rsid w:val="00BC3D16"/>
    <w:rsid w:val="00BC4700"/>
    <w:rsid w:val="00BC4B7B"/>
    <w:rsid w:val="00BC4E24"/>
    <w:rsid w:val="00BC512F"/>
    <w:rsid w:val="00BC52BC"/>
    <w:rsid w:val="00BC5A80"/>
    <w:rsid w:val="00BC5F51"/>
    <w:rsid w:val="00BC60D9"/>
    <w:rsid w:val="00BC6419"/>
    <w:rsid w:val="00BC655E"/>
    <w:rsid w:val="00BC66AF"/>
    <w:rsid w:val="00BC6894"/>
    <w:rsid w:val="00BC69E6"/>
    <w:rsid w:val="00BC71D1"/>
    <w:rsid w:val="00BC7939"/>
    <w:rsid w:val="00BD034E"/>
    <w:rsid w:val="00BD07F4"/>
    <w:rsid w:val="00BD1209"/>
    <w:rsid w:val="00BD12E6"/>
    <w:rsid w:val="00BD13BF"/>
    <w:rsid w:val="00BD14AC"/>
    <w:rsid w:val="00BD18D4"/>
    <w:rsid w:val="00BD1DBF"/>
    <w:rsid w:val="00BD25FF"/>
    <w:rsid w:val="00BD2709"/>
    <w:rsid w:val="00BD2BB9"/>
    <w:rsid w:val="00BD2F78"/>
    <w:rsid w:val="00BD3730"/>
    <w:rsid w:val="00BD3BCB"/>
    <w:rsid w:val="00BD44B9"/>
    <w:rsid w:val="00BD47BC"/>
    <w:rsid w:val="00BD496F"/>
    <w:rsid w:val="00BD5461"/>
    <w:rsid w:val="00BD58BE"/>
    <w:rsid w:val="00BD5F38"/>
    <w:rsid w:val="00BD5FF2"/>
    <w:rsid w:val="00BD6101"/>
    <w:rsid w:val="00BD635A"/>
    <w:rsid w:val="00BD6B98"/>
    <w:rsid w:val="00BD6E1E"/>
    <w:rsid w:val="00BD6E9F"/>
    <w:rsid w:val="00BD7108"/>
    <w:rsid w:val="00BD7257"/>
    <w:rsid w:val="00BD77F1"/>
    <w:rsid w:val="00BD7AE5"/>
    <w:rsid w:val="00BD7AEF"/>
    <w:rsid w:val="00BD7FC0"/>
    <w:rsid w:val="00BE005A"/>
    <w:rsid w:val="00BE01F2"/>
    <w:rsid w:val="00BE0B23"/>
    <w:rsid w:val="00BE0F57"/>
    <w:rsid w:val="00BE1000"/>
    <w:rsid w:val="00BE19D8"/>
    <w:rsid w:val="00BE1A9C"/>
    <w:rsid w:val="00BE1AB8"/>
    <w:rsid w:val="00BE1CD8"/>
    <w:rsid w:val="00BE2151"/>
    <w:rsid w:val="00BE221C"/>
    <w:rsid w:val="00BE22B4"/>
    <w:rsid w:val="00BE2468"/>
    <w:rsid w:val="00BE2C20"/>
    <w:rsid w:val="00BE3A26"/>
    <w:rsid w:val="00BE3B0B"/>
    <w:rsid w:val="00BE3BB2"/>
    <w:rsid w:val="00BE3CA3"/>
    <w:rsid w:val="00BE5269"/>
    <w:rsid w:val="00BE54A5"/>
    <w:rsid w:val="00BE595F"/>
    <w:rsid w:val="00BE5B1C"/>
    <w:rsid w:val="00BE6097"/>
    <w:rsid w:val="00BE61B0"/>
    <w:rsid w:val="00BE6202"/>
    <w:rsid w:val="00BE6707"/>
    <w:rsid w:val="00BE68AE"/>
    <w:rsid w:val="00BE6C4B"/>
    <w:rsid w:val="00BE6C72"/>
    <w:rsid w:val="00BE6EF6"/>
    <w:rsid w:val="00BE6FDA"/>
    <w:rsid w:val="00BE7254"/>
    <w:rsid w:val="00BE7343"/>
    <w:rsid w:val="00BE7A6E"/>
    <w:rsid w:val="00BE7A96"/>
    <w:rsid w:val="00BE7D0E"/>
    <w:rsid w:val="00BE7D95"/>
    <w:rsid w:val="00BE7E11"/>
    <w:rsid w:val="00BF03ED"/>
    <w:rsid w:val="00BF0697"/>
    <w:rsid w:val="00BF06E7"/>
    <w:rsid w:val="00BF0AAE"/>
    <w:rsid w:val="00BF0B1B"/>
    <w:rsid w:val="00BF1104"/>
    <w:rsid w:val="00BF167E"/>
    <w:rsid w:val="00BF1A48"/>
    <w:rsid w:val="00BF1C4D"/>
    <w:rsid w:val="00BF1E86"/>
    <w:rsid w:val="00BF1EE0"/>
    <w:rsid w:val="00BF27A8"/>
    <w:rsid w:val="00BF28FC"/>
    <w:rsid w:val="00BF30A3"/>
    <w:rsid w:val="00BF427F"/>
    <w:rsid w:val="00BF4388"/>
    <w:rsid w:val="00BF4734"/>
    <w:rsid w:val="00BF4B7E"/>
    <w:rsid w:val="00BF4DF3"/>
    <w:rsid w:val="00BF509C"/>
    <w:rsid w:val="00BF5D58"/>
    <w:rsid w:val="00BF6607"/>
    <w:rsid w:val="00BF6E20"/>
    <w:rsid w:val="00BF6F61"/>
    <w:rsid w:val="00BF7348"/>
    <w:rsid w:val="00BF7685"/>
    <w:rsid w:val="00BF76AF"/>
    <w:rsid w:val="00BF79D1"/>
    <w:rsid w:val="00C002D7"/>
    <w:rsid w:val="00C00832"/>
    <w:rsid w:val="00C0099A"/>
    <w:rsid w:val="00C00E60"/>
    <w:rsid w:val="00C01171"/>
    <w:rsid w:val="00C0133B"/>
    <w:rsid w:val="00C01D5D"/>
    <w:rsid w:val="00C01EA3"/>
    <w:rsid w:val="00C020E5"/>
    <w:rsid w:val="00C02387"/>
    <w:rsid w:val="00C024AB"/>
    <w:rsid w:val="00C02582"/>
    <w:rsid w:val="00C0278F"/>
    <w:rsid w:val="00C02D14"/>
    <w:rsid w:val="00C02F47"/>
    <w:rsid w:val="00C0335C"/>
    <w:rsid w:val="00C03405"/>
    <w:rsid w:val="00C03517"/>
    <w:rsid w:val="00C037FF"/>
    <w:rsid w:val="00C03A84"/>
    <w:rsid w:val="00C03AC0"/>
    <w:rsid w:val="00C03F92"/>
    <w:rsid w:val="00C045DE"/>
    <w:rsid w:val="00C0465B"/>
    <w:rsid w:val="00C04E2D"/>
    <w:rsid w:val="00C04F7F"/>
    <w:rsid w:val="00C04F80"/>
    <w:rsid w:val="00C0521A"/>
    <w:rsid w:val="00C0559C"/>
    <w:rsid w:val="00C05A47"/>
    <w:rsid w:val="00C05D3C"/>
    <w:rsid w:val="00C062BC"/>
    <w:rsid w:val="00C062D3"/>
    <w:rsid w:val="00C06336"/>
    <w:rsid w:val="00C067B5"/>
    <w:rsid w:val="00C067E7"/>
    <w:rsid w:val="00C06F51"/>
    <w:rsid w:val="00C07561"/>
    <w:rsid w:val="00C102E8"/>
    <w:rsid w:val="00C106D0"/>
    <w:rsid w:val="00C111A8"/>
    <w:rsid w:val="00C11556"/>
    <w:rsid w:val="00C12168"/>
    <w:rsid w:val="00C1297F"/>
    <w:rsid w:val="00C12B1E"/>
    <w:rsid w:val="00C12BA7"/>
    <w:rsid w:val="00C12BD4"/>
    <w:rsid w:val="00C12CD8"/>
    <w:rsid w:val="00C13577"/>
    <w:rsid w:val="00C1398C"/>
    <w:rsid w:val="00C13C7C"/>
    <w:rsid w:val="00C13CAE"/>
    <w:rsid w:val="00C13E86"/>
    <w:rsid w:val="00C14110"/>
    <w:rsid w:val="00C143A9"/>
    <w:rsid w:val="00C14ECD"/>
    <w:rsid w:val="00C150FE"/>
    <w:rsid w:val="00C15581"/>
    <w:rsid w:val="00C16637"/>
    <w:rsid w:val="00C16E2D"/>
    <w:rsid w:val="00C1752C"/>
    <w:rsid w:val="00C17621"/>
    <w:rsid w:val="00C17C55"/>
    <w:rsid w:val="00C20045"/>
    <w:rsid w:val="00C21050"/>
    <w:rsid w:val="00C21260"/>
    <w:rsid w:val="00C212AD"/>
    <w:rsid w:val="00C215E1"/>
    <w:rsid w:val="00C21DAE"/>
    <w:rsid w:val="00C21E6A"/>
    <w:rsid w:val="00C22DCD"/>
    <w:rsid w:val="00C22DDA"/>
    <w:rsid w:val="00C237C6"/>
    <w:rsid w:val="00C239D6"/>
    <w:rsid w:val="00C23B3B"/>
    <w:rsid w:val="00C23D4A"/>
    <w:rsid w:val="00C24154"/>
    <w:rsid w:val="00C248BE"/>
    <w:rsid w:val="00C24A2C"/>
    <w:rsid w:val="00C25426"/>
    <w:rsid w:val="00C2702C"/>
    <w:rsid w:val="00C27554"/>
    <w:rsid w:val="00C27E68"/>
    <w:rsid w:val="00C27EEA"/>
    <w:rsid w:val="00C27FA0"/>
    <w:rsid w:val="00C302B2"/>
    <w:rsid w:val="00C30352"/>
    <w:rsid w:val="00C305EF"/>
    <w:rsid w:val="00C31192"/>
    <w:rsid w:val="00C31206"/>
    <w:rsid w:val="00C317C7"/>
    <w:rsid w:val="00C32413"/>
    <w:rsid w:val="00C32AB8"/>
    <w:rsid w:val="00C339B2"/>
    <w:rsid w:val="00C33B94"/>
    <w:rsid w:val="00C33FEB"/>
    <w:rsid w:val="00C3402F"/>
    <w:rsid w:val="00C340CF"/>
    <w:rsid w:val="00C342E1"/>
    <w:rsid w:val="00C344B5"/>
    <w:rsid w:val="00C344C7"/>
    <w:rsid w:val="00C3488F"/>
    <w:rsid w:val="00C34986"/>
    <w:rsid w:val="00C35DB9"/>
    <w:rsid w:val="00C3634F"/>
    <w:rsid w:val="00C3658D"/>
    <w:rsid w:val="00C3659D"/>
    <w:rsid w:val="00C36648"/>
    <w:rsid w:val="00C36820"/>
    <w:rsid w:val="00C368CC"/>
    <w:rsid w:val="00C36E82"/>
    <w:rsid w:val="00C370B2"/>
    <w:rsid w:val="00C373DB"/>
    <w:rsid w:val="00C37B74"/>
    <w:rsid w:val="00C4029C"/>
    <w:rsid w:val="00C412C4"/>
    <w:rsid w:val="00C41454"/>
    <w:rsid w:val="00C4147C"/>
    <w:rsid w:val="00C41759"/>
    <w:rsid w:val="00C41CBE"/>
    <w:rsid w:val="00C428FC"/>
    <w:rsid w:val="00C4297E"/>
    <w:rsid w:val="00C42E39"/>
    <w:rsid w:val="00C42E76"/>
    <w:rsid w:val="00C4314F"/>
    <w:rsid w:val="00C4373F"/>
    <w:rsid w:val="00C43C98"/>
    <w:rsid w:val="00C44123"/>
    <w:rsid w:val="00C4413E"/>
    <w:rsid w:val="00C44AE1"/>
    <w:rsid w:val="00C44C0E"/>
    <w:rsid w:val="00C45018"/>
    <w:rsid w:val="00C451B9"/>
    <w:rsid w:val="00C4571C"/>
    <w:rsid w:val="00C45CCC"/>
    <w:rsid w:val="00C45DCB"/>
    <w:rsid w:val="00C46075"/>
    <w:rsid w:val="00C4645A"/>
    <w:rsid w:val="00C46D9B"/>
    <w:rsid w:val="00C46E18"/>
    <w:rsid w:val="00C4735B"/>
    <w:rsid w:val="00C4736C"/>
    <w:rsid w:val="00C4739C"/>
    <w:rsid w:val="00C47C7A"/>
    <w:rsid w:val="00C47E35"/>
    <w:rsid w:val="00C50D91"/>
    <w:rsid w:val="00C50ED3"/>
    <w:rsid w:val="00C5169F"/>
    <w:rsid w:val="00C51889"/>
    <w:rsid w:val="00C51A24"/>
    <w:rsid w:val="00C52200"/>
    <w:rsid w:val="00C52721"/>
    <w:rsid w:val="00C52906"/>
    <w:rsid w:val="00C52923"/>
    <w:rsid w:val="00C52D25"/>
    <w:rsid w:val="00C52E57"/>
    <w:rsid w:val="00C5300C"/>
    <w:rsid w:val="00C53457"/>
    <w:rsid w:val="00C53512"/>
    <w:rsid w:val="00C536D1"/>
    <w:rsid w:val="00C53A29"/>
    <w:rsid w:val="00C53A84"/>
    <w:rsid w:val="00C53A93"/>
    <w:rsid w:val="00C53AE5"/>
    <w:rsid w:val="00C53B27"/>
    <w:rsid w:val="00C53F26"/>
    <w:rsid w:val="00C543C5"/>
    <w:rsid w:val="00C54436"/>
    <w:rsid w:val="00C54447"/>
    <w:rsid w:val="00C54AB6"/>
    <w:rsid w:val="00C54BD1"/>
    <w:rsid w:val="00C54CA1"/>
    <w:rsid w:val="00C54DD4"/>
    <w:rsid w:val="00C55139"/>
    <w:rsid w:val="00C55298"/>
    <w:rsid w:val="00C552F2"/>
    <w:rsid w:val="00C553F4"/>
    <w:rsid w:val="00C555A0"/>
    <w:rsid w:val="00C55830"/>
    <w:rsid w:val="00C55F7C"/>
    <w:rsid w:val="00C563C2"/>
    <w:rsid w:val="00C574BC"/>
    <w:rsid w:val="00C5790D"/>
    <w:rsid w:val="00C57EFA"/>
    <w:rsid w:val="00C600DB"/>
    <w:rsid w:val="00C603FD"/>
    <w:rsid w:val="00C604D8"/>
    <w:rsid w:val="00C60BAE"/>
    <w:rsid w:val="00C60C18"/>
    <w:rsid w:val="00C60E77"/>
    <w:rsid w:val="00C60EA2"/>
    <w:rsid w:val="00C610A4"/>
    <w:rsid w:val="00C612AA"/>
    <w:rsid w:val="00C61761"/>
    <w:rsid w:val="00C617F7"/>
    <w:rsid w:val="00C61A02"/>
    <w:rsid w:val="00C61BFD"/>
    <w:rsid w:val="00C61D51"/>
    <w:rsid w:val="00C623E7"/>
    <w:rsid w:val="00C62580"/>
    <w:rsid w:val="00C62971"/>
    <w:rsid w:val="00C62CCB"/>
    <w:rsid w:val="00C63290"/>
    <w:rsid w:val="00C636FB"/>
    <w:rsid w:val="00C637D0"/>
    <w:rsid w:val="00C63B09"/>
    <w:rsid w:val="00C63FD9"/>
    <w:rsid w:val="00C64075"/>
    <w:rsid w:val="00C6416F"/>
    <w:rsid w:val="00C641BA"/>
    <w:rsid w:val="00C641DA"/>
    <w:rsid w:val="00C64259"/>
    <w:rsid w:val="00C6480B"/>
    <w:rsid w:val="00C64961"/>
    <w:rsid w:val="00C64970"/>
    <w:rsid w:val="00C64B83"/>
    <w:rsid w:val="00C64BA5"/>
    <w:rsid w:val="00C64BD2"/>
    <w:rsid w:val="00C64FDA"/>
    <w:rsid w:val="00C655ED"/>
    <w:rsid w:val="00C65782"/>
    <w:rsid w:val="00C66450"/>
    <w:rsid w:val="00C664F0"/>
    <w:rsid w:val="00C665D4"/>
    <w:rsid w:val="00C6696F"/>
    <w:rsid w:val="00C669FC"/>
    <w:rsid w:val="00C67849"/>
    <w:rsid w:val="00C6790D"/>
    <w:rsid w:val="00C67BFB"/>
    <w:rsid w:val="00C67E0C"/>
    <w:rsid w:val="00C67E24"/>
    <w:rsid w:val="00C70037"/>
    <w:rsid w:val="00C702E0"/>
    <w:rsid w:val="00C70943"/>
    <w:rsid w:val="00C70D4A"/>
    <w:rsid w:val="00C70D9B"/>
    <w:rsid w:val="00C70FE7"/>
    <w:rsid w:val="00C715FB"/>
    <w:rsid w:val="00C71B51"/>
    <w:rsid w:val="00C729D4"/>
    <w:rsid w:val="00C72AD6"/>
    <w:rsid w:val="00C7347E"/>
    <w:rsid w:val="00C73BB8"/>
    <w:rsid w:val="00C73E6C"/>
    <w:rsid w:val="00C74CD4"/>
    <w:rsid w:val="00C75799"/>
    <w:rsid w:val="00C75864"/>
    <w:rsid w:val="00C758BF"/>
    <w:rsid w:val="00C75AE6"/>
    <w:rsid w:val="00C7621C"/>
    <w:rsid w:val="00C76804"/>
    <w:rsid w:val="00C76C8F"/>
    <w:rsid w:val="00C7739F"/>
    <w:rsid w:val="00C7752A"/>
    <w:rsid w:val="00C80048"/>
    <w:rsid w:val="00C8035F"/>
    <w:rsid w:val="00C80500"/>
    <w:rsid w:val="00C80905"/>
    <w:rsid w:val="00C80B1C"/>
    <w:rsid w:val="00C80C69"/>
    <w:rsid w:val="00C80CEA"/>
    <w:rsid w:val="00C81684"/>
    <w:rsid w:val="00C81A73"/>
    <w:rsid w:val="00C81F77"/>
    <w:rsid w:val="00C820E1"/>
    <w:rsid w:val="00C83755"/>
    <w:rsid w:val="00C84536"/>
    <w:rsid w:val="00C85E1B"/>
    <w:rsid w:val="00C862F1"/>
    <w:rsid w:val="00C86686"/>
    <w:rsid w:val="00C870F1"/>
    <w:rsid w:val="00C872C3"/>
    <w:rsid w:val="00C872CE"/>
    <w:rsid w:val="00C87324"/>
    <w:rsid w:val="00C87998"/>
    <w:rsid w:val="00C87D20"/>
    <w:rsid w:val="00C87E4E"/>
    <w:rsid w:val="00C90DD8"/>
    <w:rsid w:val="00C911C5"/>
    <w:rsid w:val="00C91781"/>
    <w:rsid w:val="00C9191F"/>
    <w:rsid w:val="00C91B6F"/>
    <w:rsid w:val="00C91B88"/>
    <w:rsid w:val="00C91BCC"/>
    <w:rsid w:val="00C925D7"/>
    <w:rsid w:val="00C92872"/>
    <w:rsid w:val="00C92ABB"/>
    <w:rsid w:val="00C92B6F"/>
    <w:rsid w:val="00C930CE"/>
    <w:rsid w:val="00C93113"/>
    <w:rsid w:val="00C931F9"/>
    <w:rsid w:val="00C934D0"/>
    <w:rsid w:val="00C934F4"/>
    <w:rsid w:val="00C93567"/>
    <w:rsid w:val="00C94161"/>
    <w:rsid w:val="00C941B3"/>
    <w:rsid w:val="00C946BE"/>
    <w:rsid w:val="00C9475B"/>
    <w:rsid w:val="00C94D6F"/>
    <w:rsid w:val="00C94E1A"/>
    <w:rsid w:val="00C95B66"/>
    <w:rsid w:val="00C95E73"/>
    <w:rsid w:val="00C96800"/>
    <w:rsid w:val="00C96D9A"/>
    <w:rsid w:val="00C9708F"/>
    <w:rsid w:val="00C976F9"/>
    <w:rsid w:val="00C97D0B"/>
    <w:rsid w:val="00C97D10"/>
    <w:rsid w:val="00CA06E5"/>
    <w:rsid w:val="00CA0BF2"/>
    <w:rsid w:val="00CA1439"/>
    <w:rsid w:val="00CA1DB7"/>
    <w:rsid w:val="00CA20B3"/>
    <w:rsid w:val="00CA23C3"/>
    <w:rsid w:val="00CA2618"/>
    <w:rsid w:val="00CA2C85"/>
    <w:rsid w:val="00CA30B5"/>
    <w:rsid w:val="00CA315D"/>
    <w:rsid w:val="00CA343C"/>
    <w:rsid w:val="00CA346E"/>
    <w:rsid w:val="00CA378A"/>
    <w:rsid w:val="00CA4148"/>
    <w:rsid w:val="00CA4199"/>
    <w:rsid w:val="00CA4328"/>
    <w:rsid w:val="00CA44E4"/>
    <w:rsid w:val="00CA45CD"/>
    <w:rsid w:val="00CA4847"/>
    <w:rsid w:val="00CA4B2D"/>
    <w:rsid w:val="00CA4DFE"/>
    <w:rsid w:val="00CA4EF4"/>
    <w:rsid w:val="00CA4FA8"/>
    <w:rsid w:val="00CA5C59"/>
    <w:rsid w:val="00CA638C"/>
    <w:rsid w:val="00CA69F8"/>
    <w:rsid w:val="00CA7C40"/>
    <w:rsid w:val="00CA7F0E"/>
    <w:rsid w:val="00CB036E"/>
    <w:rsid w:val="00CB05E0"/>
    <w:rsid w:val="00CB0975"/>
    <w:rsid w:val="00CB0BC9"/>
    <w:rsid w:val="00CB0FE3"/>
    <w:rsid w:val="00CB1203"/>
    <w:rsid w:val="00CB1357"/>
    <w:rsid w:val="00CB170E"/>
    <w:rsid w:val="00CB1C7D"/>
    <w:rsid w:val="00CB1CD4"/>
    <w:rsid w:val="00CB2409"/>
    <w:rsid w:val="00CB26F8"/>
    <w:rsid w:val="00CB328C"/>
    <w:rsid w:val="00CB37DB"/>
    <w:rsid w:val="00CB3910"/>
    <w:rsid w:val="00CB3B90"/>
    <w:rsid w:val="00CB42A9"/>
    <w:rsid w:val="00CB4C9D"/>
    <w:rsid w:val="00CB4D52"/>
    <w:rsid w:val="00CB5405"/>
    <w:rsid w:val="00CB57A2"/>
    <w:rsid w:val="00CB5850"/>
    <w:rsid w:val="00CB5EE2"/>
    <w:rsid w:val="00CB63AF"/>
    <w:rsid w:val="00CB645C"/>
    <w:rsid w:val="00CB66B3"/>
    <w:rsid w:val="00CB66E2"/>
    <w:rsid w:val="00CB683A"/>
    <w:rsid w:val="00CB696E"/>
    <w:rsid w:val="00CB6A2E"/>
    <w:rsid w:val="00CB6CB6"/>
    <w:rsid w:val="00CB788F"/>
    <w:rsid w:val="00CB7A99"/>
    <w:rsid w:val="00CC012C"/>
    <w:rsid w:val="00CC0BA6"/>
    <w:rsid w:val="00CC0BD3"/>
    <w:rsid w:val="00CC130C"/>
    <w:rsid w:val="00CC15D8"/>
    <w:rsid w:val="00CC1795"/>
    <w:rsid w:val="00CC1B4D"/>
    <w:rsid w:val="00CC22B6"/>
    <w:rsid w:val="00CC23DF"/>
    <w:rsid w:val="00CC2506"/>
    <w:rsid w:val="00CC2832"/>
    <w:rsid w:val="00CC2A4F"/>
    <w:rsid w:val="00CC2CDF"/>
    <w:rsid w:val="00CC2F0C"/>
    <w:rsid w:val="00CC3929"/>
    <w:rsid w:val="00CC3EC6"/>
    <w:rsid w:val="00CC3FB9"/>
    <w:rsid w:val="00CC4625"/>
    <w:rsid w:val="00CC472C"/>
    <w:rsid w:val="00CC4871"/>
    <w:rsid w:val="00CC4B02"/>
    <w:rsid w:val="00CC5383"/>
    <w:rsid w:val="00CC5514"/>
    <w:rsid w:val="00CC5C77"/>
    <w:rsid w:val="00CC5D0C"/>
    <w:rsid w:val="00CC5E7D"/>
    <w:rsid w:val="00CC5FB5"/>
    <w:rsid w:val="00CC6513"/>
    <w:rsid w:val="00CC66C8"/>
    <w:rsid w:val="00CC6825"/>
    <w:rsid w:val="00CC6F37"/>
    <w:rsid w:val="00CC70BE"/>
    <w:rsid w:val="00CC70F6"/>
    <w:rsid w:val="00CC7242"/>
    <w:rsid w:val="00CC7E97"/>
    <w:rsid w:val="00CD045F"/>
    <w:rsid w:val="00CD0CAC"/>
    <w:rsid w:val="00CD0F69"/>
    <w:rsid w:val="00CD0FE4"/>
    <w:rsid w:val="00CD1C73"/>
    <w:rsid w:val="00CD2B44"/>
    <w:rsid w:val="00CD2C1D"/>
    <w:rsid w:val="00CD2E4D"/>
    <w:rsid w:val="00CD3235"/>
    <w:rsid w:val="00CD3359"/>
    <w:rsid w:val="00CD39CE"/>
    <w:rsid w:val="00CD45CC"/>
    <w:rsid w:val="00CD4C3E"/>
    <w:rsid w:val="00CD55B8"/>
    <w:rsid w:val="00CD5B83"/>
    <w:rsid w:val="00CD60CD"/>
    <w:rsid w:val="00CD65D2"/>
    <w:rsid w:val="00CD68A4"/>
    <w:rsid w:val="00CD714F"/>
    <w:rsid w:val="00CD73AB"/>
    <w:rsid w:val="00CE1079"/>
    <w:rsid w:val="00CE11DE"/>
    <w:rsid w:val="00CE14A6"/>
    <w:rsid w:val="00CE1837"/>
    <w:rsid w:val="00CE199F"/>
    <w:rsid w:val="00CE1D72"/>
    <w:rsid w:val="00CE230C"/>
    <w:rsid w:val="00CE234B"/>
    <w:rsid w:val="00CE2373"/>
    <w:rsid w:val="00CE27AA"/>
    <w:rsid w:val="00CE2AB5"/>
    <w:rsid w:val="00CE2B11"/>
    <w:rsid w:val="00CE2F77"/>
    <w:rsid w:val="00CE32FA"/>
    <w:rsid w:val="00CE3503"/>
    <w:rsid w:val="00CE3562"/>
    <w:rsid w:val="00CE3C48"/>
    <w:rsid w:val="00CE4094"/>
    <w:rsid w:val="00CE42CB"/>
    <w:rsid w:val="00CE499C"/>
    <w:rsid w:val="00CE4CFF"/>
    <w:rsid w:val="00CE50AB"/>
    <w:rsid w:val="00CE5796"/>
    <w:rsid w:val="00CE5E07"/>
    <w:rsid w:val="00CE5E5B"/>
    <w:rsid w:val="00CE5F33"/>
    <w:rsid w:val="00CE62E0"/>
    <w:rsid w:val="00CE640D"/>
    <w:rsid w:val="00CE6B83"/>
    <w:rsid w:val="00CE6EF4"/>
    <w:rsid w:val="00CE7089"/>
    <w:rsid w:val="00CF02E9"/>
    <w:rsid w:val="00CF08C6"/>
    <w:rsid w:val="00CF09AF"/>
    <w:rsid w:val="00CF0AFD"/>
    <w:rsid w:val="00CF1251"/>
    <w:rsid w:val="00CF1454"/>
    <w:rsid w:val="00CF16CB"/>
    <w:rsid w:val="00CF1AFC"/>
    <w:rsid w:val="00CF2176"/>
    <w:rsid w:val="00CF2278"/>
    <w:rsid w:val="00CF25C4"/>
    <w:rsid w:val="00CF28D0"/>
    <w:rsid w:val="00CF33BC"/>
    <w:rsid w:val="00CF34EA"/>
    <w:rsid w:val="00CF39AF"/>
    <w:rsid w:val="00CF3B95"/>
    <w:rsid w:val="00CF3E67"/>
    <w:rsid w:val="00CF3EDA"/>
    <w:rsid w:val="00CF435A"/>
    <w:rsid w:val="00CF44C8"/>
    <w:rsid w:val="00CF4539"/>
    <w:rsid w:val="00CF4D7E"/>
    <w:rsid w:val="00CF4E97"/>
    <w:rsid w:val="00CF51B5"/>
    <w:rsid w:val="00CF5535"/>
    <w:rsid w:val="00CF5809"/>
    <w:rsid w:val="00CF5CC9"/>
    <w:rsid w:val="00CF5F03"/>
    <w:rsid w:val="00CF60D4"/>
    <w:rsid w:val="00CF6120"/>
    <w:rsid w:val="00CF6BA0"/>
    <w:rsid w:val="00CF721B"/>
    <w:rsid w:val="00CF73F1"/>
    <w:rsid w:val="00CF7413"/>
    <w:rsid w:val="00CF772F"/>
    <w:rsid w:val="00D000E8"/>
    <w:rsid w:val="00D00246"/>
    <w:rsid w:val="00D007D3"/>
    <w:rsid w:val="00D01435"/>
    <w:rsid w:val="00D017DD"/>
    <w:rsid w:val="00D01F8A"/>
    <w:rsid w:val="00D01FB5"/>
    <w:rsid w:val="00D02461"/>
    <w:rsid w:val="00D0279E"/>
    <w:rsid w:val="00D029EA"/>
    <w:rsid w:val="00D02F60"/>
    <w:rsid w:val="00D037B4"/>
    <w:rsid w:val="00D03C31"/>
    <w:rsid w:val="00D048C0"/>
    <w:rsid w:val="00D05153"/>
    <w:rsid w:val="00D0534C"/>
    <w:rsid w:val="00D05445"/>
    <w:rsid w:val="00D05A64"/>
    <w:rsid w:val="00D05AB7"/>
    <w:rsid w:val="00D05E8C"/>
    <w:rsid w:val="00D061DC"/>
    <w:rsid w:val="00D0626C"/>
    <w:rsid w:val="00D063F5"/>
    <w:rsid w:val="00D06E38"/>
    <w:rsid w:val="00D076C8"/>
    <w:rsid w:val="00D07A48"/>
    <w:rsid w:val="00D07C0E"/>
    <w:rsid w:val="00D10201"/>
    <w:rsid w:val="00D10379"/>
    <w:rsid w:val="00D103B0"/>
    <w:rsid w:val="00D10ECE"/>
    <w:rsid w:val="00D1141B"/>
    <w:rsid w:val="00D11515"/>
    <w:rsid w:val="00D116B6"/>
    <w:rsid w:val="00D117AE"/>
    <w:rsid w:val="00D117B4"/>
    <w:rsid w:val="00D11CC8"/>
    <w:rsid w:val="00D11F07"/>
    <w:rsid w:val="00D1205D"/>
    <w:rsid w:val="00D121E8"/>
    <w:rsid w:val="00D122E6"/>
    <w:rsid w:val="00D12464"/>
    <w:rsid w:val="00D125B4"/>
    <w:rsid w:val="00D13683"/>
    <w:rsid w:val="00D13CA8"/>
    <w:rsid w:val="00D13CC3"/>
    <w:rsid w:val="00D13FAA"/>
    <w:rsid w:val="00D1403B"/>
    <w:rsid w:val="00D14184"/>
    <w:rsid w:val="00D143B5"/>
    <w:rsid w:val="00D147D2"/>
    <w:rsid w:val="00D148E9"/>
    <w:rsid w:val="00D14D27"/>
    <w:rsid w:val="00D1519B"/>
    <w:rsid w:val="00D15800"/>
    <w:rsid w:val="00D15D22"/>
    <w:rsid w:val="00D16229"/>
    <w:rsid w:val="00D16483"/>
    <w:rsid w:val="00D16979"/>
    <w:rsid w:val="00D16A83"/>
    <w:rsid w:val="00D1782C"/>
    <w:rsid w:val="00D17BD9"/>
    <w:rsid w:val="00D202EB"/>
    <w:rsid w:val="00D204E9"/>
    <w:rsid w:val="00D206EF"/>
    <w:rsid w:val="00D20780"/>
    <w:rsid w:val="00D20B02"/>
    <w:rsid w:val="00D20B1C"/>
    <w:rsid w:val="00D20E48"/>
    <w:rsid w:val="00D21194"/>
    <w:rsid w:val="00D212D2"/>
    <w:rsid w:val="00D213FB"/>
    <w:rsid w:val="00D215B5"/>
    <w:rsid w:val="00D2166A"/>
    <w:rsid w:val="00D21965"/>
    <w:rsid w:val="00D21A71"/>
    <w:rsid w:val="00D21BFF"/>
    <w:rsid w:val="00D21F85"/>
    <w:rsid w:val="00D2224D"/>
    <w:rsid w:val="00D22CD1"/>
    <w:rsid w:val="00D22CEB"/>
    <w:rsid w:val="00D234E5"/>
    <w:rsid w:val="00D24094"/>
    <w:rsid w:val="00D24223"/>
    <w:rsid w:val="00D24A58"/>
    <w:rsid w:val="00D24C54"/>
    <w:rsid w:val="00D24D6A"/>
    <w:rsid w:val="00D24F6B"/>
    <w:rsid w:val="00D2652B"/>
    <w:rsid w:val="00D26BD1"/>
    <w:rsid w:val="00D26E1E"/>
    <w:rsid w:val="00D27018"/>
    <w:rsid w:val="00D27449"/>
    <w:rsid w:val="00D27534"/>
    <w:rsid w:val="00D27661"/>
    <w:rsid w:val="00D27B2E"/>
    <w:rsid w:val="00D27D9D"/>
    <w:rsid w:val="00D27E8F"/>
    <w:rsid w:val="00D27F82"/>
    <w:rsid w:val="00D302EE"/>
    <w:rsid w:val="00D30316"/>
    <w:rsid w:val="00D30850"/>
    <w:rsid w:val="00D30972"/>
    <w:rsid w:val="00D30CF7"/>
    <w:rsid w:val="00D30EAC"/>
    <w:rsid w:val="00D3136E"/>
    <w:rsid w:val="00D3174E"/>
    <w:rsid w:val="00D31EA4"/>
    <w:rsid w:val="00D322AA"/>
    <w:rsid w:val="00D322B5"/>
    <w:rsid w:val="00D326E8"/>
    <w:rsid w:val="00D32B89"/>
    <w:rsid w:val="00D32C4C"/>
    <w:rsid w:val="00D33081"/>
    <w:rsid w:val="00D33A51"/>
    <w:rsid w:val="00D33E22"/>
    <w:rsid w:val="00D3437D"/>
    <w:rsid w:val="00D343D9"/>
    <w:rsid w:val="00D34755"/>
    <w:rsid w:val="00D347AF"/>
    <w:rsid w:val="00D34827"/>
    <w:rsid w:val="00D34EF9"/>
    <w:rsid w:val="00D35150"/>
    <w:rsid w:val="00D355C2"/>
    <w:rsid w:val="00D356BC"/>
    <w:rsid w:val="00D35842"/>
    <w:rsid w:val="00D365F1"/>
    <w:rsid w:val="00D36634"/>
    <w:rsid w:val="00D36AC1"/>
    <w:rsid w:val="00D37DF5"/>
    <w:rsid w:val="00D37EF4"/>
    <w:rsid w:val="00D40349"/>
    <w:rsid w:val="00D409AC"/>
    <w:rsid w:val="00D40C02"/>
    <w:rsid w:val="00D40D34"/>
    <w:rsid w:val="00D415B8"/>
    <w:rsid w:val="00D4174D"/>
    <w:rsid w:val="00D420EF"/>
    <w:rsid w:val="00D42132"/>
    <w:rsid w:val="00D42A31"/>
    <w:rsid w:val="00D430F8"/>
    <w:rsid w:val="00D4342F"/>
    <w:rsid w:val="00D435E7"/>
    <w:rsid w:val="00D44318"/>
    <w:rsid w:val="00D44470"/>
    <w:rsid w:val="00D44D87"/>
    <w:rsid w:val="00D45123"/>
    <w:rsid w:val="00D4520B"/>
    <w:rsid w:val="00D45210"/>
    <w:rsid w:val="00D45662"/>
    <w:rsid w:val="00D46254"/>
    <w:rsid w:val="00D46265"/>
    <w:rsid w:val="00D46F77"/>
    <w:rsid w:val="00D47D35"/>
    <w:rsid w:val="00D47F7D"/>
    <w:rsid w:val="00D47FD8"/>
    <w:rsid w:val="00D47FE6"/>
    <w:rsid w:val="00D50099"/>
    <w:rsid w:val="00D501F9"/>
    <w:rsid w:val="00D50966"/>
    <w:rsid w:val="00D50F1F"/>
    <w:rsid w:val="00D51002"/>
    <w:rsid w:val="00D51540"/>
    <w:rsid w:val="00D515A7"/>
    <w:rsid w:val="00D51B15"/>
    <w:rsid w:val="00D51D97"/>
    <w:rsid w:val="00D51F58"/>
    <w:rsid w:val="00D52029"/>
    <w:rsid w:val="00D522C6"/>
    <w:rsid w:val="00D52563"/>
    <w:rsid w:val="00D5260B"/>
    <w:rsid w:val="00D5318F"/>
    <w:rsid w:val="00D5380A"/>
    <w:rsid w:val="00D5385D"/>
    <w:rsid w:val="00D54750"/>
    <w:rsid w:val="00D54AB0"/>
    <w:rsid w:val="00D54B28"/>
    <w:rsid w:val="00D5514E"/>
    <w:rsid w:val="00D5533C"/>
    <w:rsid w:val="00D557CD"/>
    <w:rsid w:val="00D55947"/>
    <w:rsid w:val="00D567BC"/>
    <w:rsid w:val="00D56A7F"/>
    <w:rsid w:val="00D56D1B"/>
    <w:rsid w:val="00D578D4"/>
    <w:rsid w:val="00D579D4"/>
    <w:rsid w:val="00D6000B"/>
    <w:rsid w:val="00D6040B"/>
    <w:rsid w:val="00D613B9"/>
    <w:rsid w:val="00D61869"/>
    <w:rsid w:val="00D61DA4"/>
    <w:rsid w:val="00D626B8"/>
    <w:rsid w:val="00D62970"/>
    <w:rsid w:val="00D6373D"/>
    <w:rsid w:val="00D642DB"/>
    <w:rsid w:val="00D64524"/>
    <w:rsid w:val="00D64679"/>
    <w:rsid w:val="00D64AD0"/>
    <w:rsid w:val="00D64B2A"/>
    <w:rsid w:val="00D64C8A"/>
    <w:rsid w:val="00D64E9A"/>
    <w:rsid w:val="00D656C9"/>
    <w:rsid w:val="00D65D45"/>
    <w:rsid w:val="00D67064"/>
    <w:rsid w:val="00D6714C"/>
    <w:rsid w:val="00D671BB"/>
    <w:rsid w:val="00D675EC"/>
    <w:rsid w:val="00D67C5B"/>
    <w:rsid w:val="00D67E27"/>
    <w:rsid w:val="00D67E71"/>
    <w:rsid w:val="00D67EC3"/>
    <w:rsid w:val="00D70093"/>
    <w:rsid w:val="00D70393"/>
    <w:rsid w:val="00D71597"/>
    <w:rsid w:val="00D71B99"/>
    <w:rsid w:val="00D71BB8"/>
    <w:rsid w:val="00D71C2B"/>
    <w:rsid w:val="00D727BD"/>
    <w:rsid w:val="00D72C2F"/>
    <w:rsid w:val="00D731EE"/>
    <w:rsid w:val="00D7337E"/>
    <w:rsid w:val="00D7377C"/>
    <w:rsid w:val="00D73952"/>
    <w:rsid w:val="00D74261"/>
    <w:rsid w:val="00D743D4"/>
    <w:rsid w:val="00D7449B"/>
    <w:rsid w:val="00D746F9"/>
    <w:rsid w:val="00D74B91"/>
    <w:rsid w:val="00D74BAA"/>
    <w:rsid w:val="00D74BFF"/>
    <w:rsid w:val="00D74C9B"/>
    <w:rsid w:val="00D74E15"/>
    <w:rsid w:val="00D74FB7"/>
    <w:rsid w:val="00D75DB7"/>
    <w:rsid w:val="00D76267"/>
    <w:rsid w:val="00D76533"/>
    <w:rsid w:val="00D76CEC"/>
    <w:rsid w:val="00D76D2B"/>
    <w:rsid w:val="00D773BC"/>
    <w:rsid w:val="00D77635"/>
    <w:rsid w:val="00D77812"/>
    <w:rsid w:val="00D77959"/>
    <w:rsid w:val="00D77E31"/>
    <w:rsid w:val="00D811B0"/>
    <w:rsid w:val="00D815F4"/>
    <w:rsid w:val="00D81D85"/>
    <w:rsid w:val="00D8226F"/>
    <w:rsid w:val="00D82574"/>
    <w:rsid w:val="00D828CC"/>
    <w:rsid w:val="00D82F66"/>
    <w:rsid w:val="00D831DA"/>
    <w:rsid w:val="00D83B16"/>
    <w:rsid w:val="00D83CB5"/>
    <w:rsid w:val="00D84260"/>
    <w:rsid w:val="00D845A7"/>
    <w:rsid w:val="00D84991"/>
    <w:rsid w:val="00D849D7"/>
    <w:rsid w:val="00D84B29"/>
    <w:rsid w:val="00D84EA8"/>
    <w:rsid w:val="00D84EA9"/>
    <w:rsid w:val="00D84FEF"/>
    <w:rsid w:val="00D852DA"/>
    <w:rsid w:val="00D852E9"/>
    <w:rsid w:val="00D85D38"/>
    <w:rsid w:val="00D86036"/>
    <w:rsid w:val="00D86659"/>
    <w:rsid w:val="00D867F7"/>
    <w:rsid w:val="00D86F53"/>
    <w:rsid w:val="00D8712B"/>
    <w:rsid w:val="00D87B52"/>
    <w:rsid w:val="00D87BCF"/>
    <w:rsid w:val="00D87D50"/>
    <w:rsid w:val="00D87E2A"/>
    <w:rsid w:val="00D87E34"/>
    <w:rsid w:val="00D906D1"/>
    <w:rsid w:val="00D90951"/>
    <w:rsid w:val="00D910F3"/>
    <w:rsid w:val="00D915D4"/>
    <w:rsid w:val="00D91E14"/>
    <w:rsid w:val="00D920B6"/>
    <w:rsid w:val="00D923E5"/>
    <w:rsid w:val="00D924D3"/>
    <w:rsid w:val="00D92C1B"/>
    <w:rsid w:val="00D9318F"/>
    <w:rsid w:val="00D93584"/>
    <w:rsid w:val="00D93755"/>
    <w:rsid w:val="00D93B86"/>
    <w:rsid w:val="00D94C37"/>
    <w:rsid w:val="00D95209"/>
    <w:rsid w:val="00D9585A"/>
    <w:rsid w:val="00D958DF"/>
    <w:rsid w:val="00D95B24"/>
    <w:rsid w:val="00D95C1D"/>
    <w:rsid w:val="00D966A1"/>
    <w:rsid w:val="00D9781A"/>
    <w:rsid w:val="00D978C9"/>
    <w:rsid w:val="00D97D5E"/>
    <w:rsid w:val="00D97D89"/>
    <w:rsid w:val="00DA019B"/>
    <w:rsid w:val="00DA049C"/>
    <w:rsid w:val="00DA0CA6"/>
    <w:rsid w:val="00DA12B9"/>
    <w:rsid w:val="00DA171C"/>
    <w:rsid w:val="00DA1B91"/>
    <w:rsid w:val="00DA2010"/>
    <w:rsid w:val="00DA226B"/>
    <w:rsid w:val="00DA2963"/>
    <w:rsid w:val="00DA2B36"/>
    <w:rsid w:val="00DA39C0"/>
    <w:rsid w:val="00DA3EFC"/>
    <w:rsid w:val="00DA489D"/>
    <w:rsid w:val="00DA4A81"/>
    <w:rsid w:val="00DA52A1"/>
    <w:rsid w:val="00DA54EF"/>
    <w:rsid w:val="00DA5749"/>
    <w:rsid w:val="00DA5925"/>
    <w:rsid w:val="00DA665F"/>
    <w:rsid w:val="00DA6FDF"/>
    <w:rsid w:val="00DA7A1D"/>
    <w:rsid w:val="00DA7A23"/>
    <w:rsid w:val="00DB073E"/>
    <w:rsid w:val="00DB0825"/>
    <w:rsid w:val="00DB12B3"/>
    <w:rsid w:val="00DB1E9C"/>
    <w:rsid w:val="00DB2AAC"/>
    <w:rsid w:val="00DB2CC4"/>
    <w:rsid w:val="00DB354F"/>
    <w:rsid w:val="00DB3B71"/>
    <w:rsid w:val="00DB3C71"/>
    <w:rsid w:val="00DB3CC1"/>
    <w:rsid w:val="00DB4342"/>
    <w:rsid w:val="00DB465F"/>
    <w:rsid w:val="00DB4A42"/>
    <w:rsid w:val="00DB4A47"/>
    <w:rsid w:val="00DB4E70"/>
    <w:rsid w:val="00DB5DE6"/>
    <w:rsid w:val="00DB5F94"/>
    <w:rsid w:val="00DB6A27"/>
    <w:rsid w:val="00DB6CC3"/>
    <w:rsid w:val="00DB6F43"/>
    <w:rsid w:val="00DB7D76"/>
    <w:rsid w:val="00DC05CE"/>
    <w:rsid w:val="00DC08BA"/>
    <w:rsid w:val="00DC0BDB"/>
    <w:rsid w:val="00DC0D78"/>
    <w:rsid w:val="00DC165A"/>
    <w:rsid w:val="00DC16E0"/>
    <w:rsid w:val="00DC1B9B"/>
    <w:rsid w:val="00DC2128"/>
    <w:rsid w:val="00DC315F"/>
    <w:rsid w:val="00DC320D"/>
    <w:rsid w:val="00DC327A"/>
    <w:rsid w:val="00DC3549"/>
    <w:rsid w:val="00DC3AD9"/>
    <w:rsid w:val="00DC4162"/>
    <w:rsid w:val="00DC4635"/>
    <w:rsid w:val="00DC49BC"/>
    <w:rsid w:val="00DC4AD1"/>
    <w:rsid w:val="00DC5420"/>
    <w:rsid w:val="00DC5F40"/>
    <w:rsid w:val="00DC658A"/>
    <w:rsid w:val="00DC73EA"/>
    <w:rsid w:val="00DC781F"/>
    <w:rsid w:val="00DC783B"/>
    <w:rsid w:val="00DC7A58"/>
    <w:rsid w:val="00DC7AED"/>
    <w:rsid w:val="00DC7B49"/>
    <w:rsid w:val="00DC7DA3"/>
    <w:rsid w:val="00DD0314"/>
    <w:rsid w:val="00DD0717"/>
    <w:rsid w:val="00DD0C32"/>
    <w:rsid w:val="00DD11D5"/>
    <w:rsid w:val="00DD1421"/>
    <w:rsid w:val="00DD1F4A"/>
    <w:rsid w:val="00DD209F"/>
    <w:rsid w:val="00DD221B"/>
    <w:rsid w:val="00DD31C7"/>
    <w:rsid w:val="00DD3312"/>
    <w:rsid w:val="00DD3663"/>
    <w:rsid w:val="00DD3B5C"/>
    <w:rsid w:val="00DD40A8"/>
    <w:rsid w:val="00DD4247"/>
    <w:rsid w:val="00DD464F"/>
    <w:rsid w:val="00DD49C1"/>
    <w:rsid w:val="00DD57CB"/>
    <w:rsid w:val="00DD5ACF"/>
    <w:rsid w:val="00DD5C94"/>
    <w:rsid w:val="00DD5DD0"/>
    <w:rsid w:val="00DD5DE4"/>
    <w:rsid w:val="00DD63ED"/>
    <w:rsid w:val="00DD6673"/>
    <w:rsid w:val="00DD6F2C"/>
    <w:rsid w:val="00DD71AC"/>
    <w:rsid w:val="00DD7604"/>
    <w:rsid w:val="00DD79D7"/>
    <w:rsid w:val="00DD7DA1"/>
    <w:rsid w:val="00DE0668"/>
    <w:rsid w:val="00DE06A4"/>
    <w:rsid w:val="00DE10A7"/>
    <w:rsid w:val="00DE1461"/>
    <w:rsid w:val="00DE1BA0"/>
    <w:rsid w:val="00DE1F69"/>
    <w:rsid w:val="00DE2359"/>
    <w:rsid w:val="00DE241D"/>
    <w:rsid w:val="00DE327B"/>
    <w:rsid w:val="00DE3509"/>
    <w:rsid w:val="00DE3B2A"/>
    <w:rsid w:val="00DE4BFF"/>
    <w:rsid w:val="00DE4D64"/>
    <w:rsid w:val="00DE5167"/>
    <w:rsid w:val="00DE5703"/>
    <w:rsid w:val="00DE5D14"/>
    <w:rsid w:val="00DE5D57"/>
    <w:rsid w:val="00DE61A7"/>
    <w:rsid w:val="00DE6E64"/>
    <w:rsid w:val="00DE6F62"/>
    <w:rsid w:val="00DE76CF"/>
    <w:rsid w:val="00DE7A55"/>
    <w:rsid w:val="00DE7BB7"/>
    <w:rsid w:val="00DF01BE"/>
    <w:rsid w:val="00DF033E"/>
    <w:rsid w:val="00DF067C"/>
    <w:rsid w:val="00DF097F"/>
    <w:rsid w:val="00DF1096"/>
    <w:rsid w:val="00DF136F"/>
    <w:rsid w:val="00DF185F"/>
    <w:rsid w:val="00DF1A18"/>
    <w:rsid w:val="00DF1B1F"/>
    <w:rsid w:val="00DF25EF"/>
    <w:rsid w:val="00DF2830"/>
    <w:rsid w:val="00DF2D9D"/>
    <w:rsid w:val="00DF3055"/>
    <w:rsid w:val="00DF3FC9"/>
    <w:rsid w:val="00DF4086"/>
    <w:rsid w:val="00DF40CF"/>
    <w:rsid w:val="00DF413B"/>
    <w:rsid w:val="00DF447E"/>
    <w:rsid w:val="00DF5317"/>
    <w:rsid w:val="00DF595B"/>
    <w:rsid w:val="00DF5DD1"/>
    <w:rsid w:val="00DF5FA3"/>
    <w:rsid w:val="00DF5FE3"/>
    <w:rsid w:val="00DF6036"/>
    <w:rsid w:val="00DF6DF8"/>
    <w:rsid w:val="00DF7827"/>
    <w:rsid w:val="00DF78F6"/>
    <w:rsid w:val="00DF7CFC"/>
    <w:rsid w:val="00E001FC"/>
    <w:rsid w:val="00E0037C"/>
    <w:rsid w:val="00E00711"/>
    <w:rsid w:val="00E007BF"/>
    <w:rsid w:val="00E00987"/>
    <w:rsid w:val="00E009D0"/>
    <w:rsid w:val="00E00D81"/>
    <w:rsid w:val="00E00F04"/>
    <w:rsid w:val="00E017CC"/>
    <w:rsid w:val="00E019B1"/>
    <w:rsid w:val="00E02287"/>
    <w:rsid w:val="00E0231C"/>
    <w:rsid w:val="00E026EC"/>
    <w:rsid w:val="00E028FC"/>
    <w:rsid w:val="00E02CE4"/>
    <w:rsid w:val="00E031ED"/>
    <w:rsid w:val="00E036C7"/>
    <w:rsid w:val="00E03884"/>
    <w:rsid w:val="00E04389"/>
    <w:rsid w:val="00E0442B"/>
    <w:rsid w:val="00E04539"/>
    <w:rsid w:val="00E04F26"/>
    <w:rsid w:val="00E05B90"/>
    <w:rsid w:val="00E05FA1"/>
    <w:rsid w:val="00E06452"/>
    <w:rsid w:val="00E07029"/>
    <w:rsid w:val="00E07125"/>
    <w:rsid w:val="00E072EA"/>
    <w:rsid w:val="00E0760A"/>
    <w:rsid w:val="00E07973"/>
    <w:rsid w:val="00E07A1D"/>
    <w:rsid w:val="00E1030B"/>
    <w:rsid w:val="00E105F1"/>
    <w:rsid w:val="00E108F3"/>
    <w:rsid w:val="00E115E8"/>
    <w:rsid w:val="00E11C41"/>
    <w:rsid w:val="00E12162"/>
    <w:rsid w:val="00E125F2"/>
    <w:rsid w:val="00E12907"/>
    <w:rsid w:val="00E12A34"/>
    <w:rsid w:val="00E130E3"/>
    <w:rsid w:val="00E130E8"/>
    <w:rsid w:val="00E131C4"/>
    <w:rsid w:val="00E13986"/>
    <w:rsid w:val="00E13CA4"/>
    <w:rsid w:val="00E13EF9"/>
    <w:rsid w:val="00E14500"/>
    <w:rsid w:val="00E1505F"/>
    <w:rsid w:val="00E15255"/>
    <w:rsid w:val="00E15327"/>
    <w:rsid w:val="00E157D4"/>
    <w:rsid w:val="00E15ED7"/>
    <w:rsid w:val="00E1637D"/>
    <w:rsid w:val="00E16D2D"/>
    <w:rsid w:val="00E16FC3"/>
    <w:rsid w:val="00E171F2"/>
    <w:rsid w:val="00E1743E"/>
    <w:rsid w:val="00E17481"/>
    <w:rsid w:val="00E17936"/>
    <w:rsid w:val="00E179A3"/>
    <w:rsid w:val="00E20E51"/>
    <w:rsid w:val="00E20F62"/>
    <w:rsid w:val="00E21079"/>
    <w:rsid w:val="00E210CC"/>
    <w:rsid w:val="00E21131"/>
    <w:rsid w:val="00E2123A"/>
    <w:rsid w:val="00E2128A"/>
    <w:rsid w:val="00E215D1"/>
    <w:rsid w:val="00E21A21"/>
    <w:rsid w:val="00E220A4"/>
    <w:rsid w:val="00E2258D"/>
    <w:rsid w:val="00E225E1"/>
    <w:rsid w:val="00E2294E"/>
    <w:rsid w:val="00E22C6C"/>
    <w:rsid w:val="00E22E00"/>
    <w:rsid w:val="00E23039"/>
    <w:rsid w:val="00E23203"/>
    <w:rsid w:val="00E23517"/>
    <w:rsid w:val="00E23566"/>
    <w:rsid w:val="00E23879"/>
    <w:rsid w:val="00E23F7D"/>
    <w:rsid w:val="00E2449D"/>
    <w:rsid w:val="00E244C2"/>
    <w:rsid w:val="00E252AF"/>
    <w:rsid w:val="00E25358"/>
    <w:rsid w:val="00E25DDE"/>
    <w:rsid w:val="00E25E1C"/>
    <w:rsid w:val="00E25F81"/>
    <w:rsid w:val="00E2613B"/>
    <w:rsid w:val="00E26217"/>
    <w:rsid w:val="00E26354"/>
    <w:rsid w:val="00E26B59"/>
    <w:rsid w:val="00E26D20"/>
    <w:rsid w:val="00E26EAA"/>
    <w:rsid w:val="00E274D4"/>
    <w:rsid w:val="00E27951"/>
    <w:rsid w:val="00E27B19"/>
    <w:rsid w:val="00E30249"/>
    <w:rsid w:val="00E302E0"/>
    <w:rsid w:val="00E30628"/>
    <w:rsid w:val="00E31178"/>
    <w:rsid w:val="00E311FA"/>
    <w:rsid w:val="00E318FF"/>
    <w:rsid w:val="00E31ECF"/>
    <w:rsid w:val="00E32196"/>
    <w:rsid w:val="00E321C2"/>
    <w:rsid w:val="00E322C1"/>
    <w:rsid w:val="00E33156"/>
    <w:rsid w:val="00E34275"/>
    <w:rsid w:val="00E344A0"/>
    <w:rsid w:val="00E355C0"/>
    <w:rsid w:val="00E35607"/>
    <w:rsid w:val="00E368AF"/>
    <w:rsid w:val="00E3699F"/>
    <w:rsid w:val="00E36C6C"/>
    <w:rsid w:val="00E37A16"/>
    <w:rsid w:val="00E37B86"/>
    <w:rsid w:val="00E37BA9"/>
    <w:rsid w:val="00E37D49"/>
    <w:rsid w:val="00E4066E"/>
    <w:rsid w:val="00E4072D"/>
    <w:rsid w:val="00E40C9B"/>
    <w:rsid w:val="00E40EC6"/>
    <w:rsid w:val="00E41763"/>
    <w:rsid w:val="00E4176B"/>
    <w:rsid w:val="00E417EA"/>
    <w:rsid w:val="00E41AEF"/>
    <w:rsid w:val="00E41CA3"/>
    <w:rsid w:val="00E423F8"/>
    <w:rsid w:val="00E439C4"/>
    <w:rsid w:val="00E44489"/>
    <w:rsid w:val="00E44F55"/>
    <w:rsid w:val="00E457F8"/>
    <w:rsid w:val="00E45E65"/>
    <w:rsid w:val="00E46064"/>
    <w:rsid w:val="00E4670F"/>
    <w:rsid w:val="00E4723D"/>
    <w:rsid w:val="00E47A37"/>
    <w:rsid w:val="00E47A67"/>
    <w:rsid w:val="00E47E2D"/>
    <w:rsid w:val="00E505CE"/>
    <w:rsid w:val="00E51B7A"/>
    <w:rsid w:val="00E5214A"/>
    <w:rsid w:val="00E52F09"/>
    <w:rsid w:val="00E53C21"/>
    <w:rsid w:val="00E53DFB"/>
    <w:rsid w:val="00E54855"/>
    <w:rsid w:val="00E54939"/>
    <w:rsid w:val="00E54FE7"/>
    <w:rsid w:val="00E56760"/>
    <w:rsid w:val="00E56B72"/>
    <w:rsid w:val="00E57644"/>
    <w:rsid w:val="00E57B49"/>
    <w:rsid w:val="00E57D77"/>
    <w:rsid w:val="00E602E9"/>
    <w:rsid w:val="00E604B5"/>
    <w:rsid w:val="00E60DBA"/>
    <w:rsid w:val="00E60FC8"/>
    <w:rsid w:val="00E61000"/>
    <w:rsid w:val="00E61C40"/>
    <w:rsid w:val="00E623CC"/>
    <w:rsid w:val="00E62C34"/>
    <w:rsid w:val="00E63284"/>
    <w:rsid w:val="00E63823"/>
    <w:rsid w:val="00E6392D"/>
    <w:rsid w:val="00E639D2"/>
    <w:rsid w:val="00E648EC"/>
    <w:rsid w:val="00E64EFF"/>
    <w:rsid w:val="00E652DA"/>
    <w:rsid w:val="00E653B2"/>
    <w:rsid w:val="00E658F5"/>
    <w:rsid w:val="00E65C34"/>
    <w:rsid w:val="00E66C74"/>
    <w:rsid w:val="00E66E67"/>
    <w:rsid w:val="00E67207"/>
    <w:rsid w:val="00E6758E"/>
    <w:rsid w:val="00E7039E"/>
    <w:rsid w:val="00E70F24"/>
    <w:rsid w:val="00E70F34"/>
    <w:rsid w:val="00E7199C"/>
    <w:rsid w:val="00E71FBD"/>
    <w:rsid w:val="00E72339"/>
    <w:rsid w:val="00E72DE0"/>
    <w:rsid w:val="00E735A7"/>
    <w:rsid w:val="00E74417"/>
    <w:rsid w:val="00E7443D"/>
    <w:rsid w:val="00E74916"/>
    <w:rsid w:val="00E7492B"/>
    <w:rsid w:val="00E751B0"/>
    <w:rsid w:val="00E75299"/>
    <w:rsid w:val="00E756CA"/>
    <w:rsid w:val="00E7588D"/>
    <w:rsid w:val="00E75B01"/>
    <w:rsid w:val="00E763F2"/>
    <w:rsid w:val="00E76402"/>
    <w:rsid w:val="00E7652D"/>
    <w:rsid w:val="00E76BF1"/>
    <w:rsid w:val="00E76CCE"/>
    <w:rsid w:val="00E77266"/>
    <w:rsid w:val="00E775A4"/>
    <w:rsid w:val="00E77A35"/>
    <w:rsid w:val="00E77F69"/>
    <w:rsid w:val="00E80060"/>
    <w:rsid w:val="00E806AB"/>
    <w:rsid w:val="00E806B2"/>
    <w:rsid w:val="00E80F23"/>
    <w:rsid w:val="00E8108A"/>
    <w:rsid w:val="00E814D4"/>
    <w:rsid w:val="00E81C0C"/>
    <w:rsid w:val="00E81F66"/>
    <w:rsid w:val="00E81FDF"/>
    <w:rsid w:val="00E82065"/>
    <w:rsid w:val="00E82094"/>
    <w:rsid w:val="00E82263"/>
    <w:rsid w:val="00E822E4"/>
    <w:rsid w:val="00E824FC"/>
    <w:rsid w:val="00E82E81"/>
    <w:rsid w:val="00E83C76"/>
    <w:rsid w:val="00E843B9"/>
    <w:rsid w:val="00E84F77"/>
    <w:rsid w:val="00E84F91"/>
    <w:rsid w:val="00E8580B"/>
    <w:rsid w:val="00E85C42"/>
    <w:rsid w:val="00E85D57"/>
    <w:rsid w:val="00E85EC4"/>
    <w:rsid w:val="00E861E0"/>
    <w:rsid w:val="00E8640E"/>
    <w:rsid w:val="00E8676E"/>
    <w:rsid w:val="00E867B1"/>
    <w:rsid w:val="00E86CF7"/>
    <w:rsid w:val="00E86E32"/>
    <w:rsid w:val="00E86E42"/>
    <w:rsid w:val="00E879F2"/>
    <w:rsid w:val="00E87CCE"/>
    <w:rsid w:val="00E900AF"/>
    <w:rsid w:val="00E903A6"/>
    <w:rsid w:val="00E905E4"/>
    <w:rsid w:val="00E9063C"/>
    <w:rsid w:val="00E90CE7"/>
    <w:rsid w:val="00E90E9E"/>
    <w:rsid w:val="00E91286"/>
    <w:rsid w:val="00E9152B"/>
    <w:rsid w:val="00E915ED"/>
    <w:rsid w:val="00E91758"/>
    <w:rsid w:val="00E91A21"/>
    <w:rsid w:val="00E91AAD"/>
    <w:rsid w:val="00E9218F"/>
    <w:rsid w:val="00E922D6"/>
    <w:rsid w:val="00E92B4A"/>
    <w:rsid w:val="00E93009"/>
    <w:rsid w:val="00E9323B"/>
    <w:rsid w:val="00E93B9E"/>
    <w:rsid w:val="00E9406A"/>
    <w:rsid w:val="00E940D4"/>
    <w:rsid w:val="00E941E2"/>
    <w:rsid w:val="00E9456A"/>
    <w:rsid w:val="00E947AA"/>
    <w:rsid w:val="00E94B7B"/>
    <w:rsid w:val="00E94B9E"/>
    <w:rsid w:val="00E959FB"/>
    <w:rsid w:val="00E95EC0"/>
    <w:rsid w:val="00E96112"/>
    <w:rsid w:val="00E963FA"/>
    <w:rsid w:val="00E96D87"/>
    <w:rsid w:val="00E9704C"/>
    <w:rsid w:val="00E9711E"/>
    <w:rsid w:val="00E97366"/>
    <w:rsid w:val="00E97511"/>
    <w:rsid w:val="00E9786B"/>
    <w:rsid w:val="00E97BF0"/>
    <w:rsid w:val="00EA0943"/>
    <w:rsid w:val="00EA0979"/>
    <w:rsid w:val="00EA0C68"/>
    <w:rsid w:val="00EA0C81"/>
    <w:rsid w:val="00EA0CA4"/>
    <w:rsid w:val="00EA0FBA"/>
    <w:rsid w:val="00EA1215"/>
    <w:rsid w:val="00EA1807"/>
    <w:rsid w:val="00EA18E0"/>
    <w:rsid w:val="00EA1E6B"/>
    <w:rsid w:val="00EA2680"/>
    <w:rsid w:val="00EA274E"/>
    <w:rsid w:val="00EA29C6"/>
    <w:rsid w:val="00EA3208"/>
    <w:rsid w:val="00EA353D"/>
    <w:rsid w:val="00EA437D"/>
    <w:rsid w:val="00EA4762"/>
    <w:rsid w:val="00EA47D7"/>
    <w:rsid w:val="00EA51F2"/>
    <w:rsid w:val="00EA5764"/>
    <w:rsid w:val="00EA57B9"/>
    <w:rsid w:val="00EA5907"/>
    <w:rsid w:val="00EA6FCC"/>
    <w:rsid w:val="00EA701F"/>
    <w:rsid w:val="00EA71F6"/>
    <w:rsid w:val="00EA7F4A"/>
    <w:rsid w:val="00EB0CFE"/>
    <w:rsid w:val="00EB12CC"/>
    <w:rsid w:val="00EB200A"/>
    <w:rsid w:val="00EB3594"/>
    <w:rsid w:val="00EB39E6"/>
    <w:rsid w:val="00EB3CFF"/>
    <w:rsid w:val="00EB47F2"/>
    <w:rsid w:val="00EB4908"/>
    <w:rsid w:val="00EB4988"/>
    <w:rsid w:val="00EB4DB0"/>
    <w:rsid w:val="00EB5187"/>
    <w:rsid w:val="00EB5331"/>
    <w:rsid w:val="00EB5693"/>
    <w:rsid w:val="00EB6352"/>
    <w:rsid w:val="00EB6522"/>
    <w:rsid w:val="00EB6864"/>
    <w:rsid w:val="00EB6AB0"/>
    <w:rsid w:val="00EB6FC1"/>
    <w:rsid w:val="00EB7180"/>
    <w:rsid w:val="00EB76E3"/>
    <w:rsid w:val="00EB7F79"/>
    <w:rsid w:val="00EC01A7"/>
    <w:rsid w:val="00EC02A0"/>
    <w:rsid w:val="00EC047F"/>
    <w:rsid w:val="00EC0E3E"/>
    <w:rsid w:val="00EC0EE6"/>
    <w:rsid w:val="00EC126C"/>
    <w:rsid w:val="00EC13A8"/>
    <w:rsid w:val="00EC141E"/>
    <w:rsid w:val="00EC157C"/>
    <w:rsid w:val="00EC1A50"/>
    <w:rsid w:val="00EC2006"/>
    <w:rsid w:val="00EC2062"/>
    <w:rsid w:val="00EC2064"/>
    <w:rsid w:val="00EC213D"/>
    <w:rsid w:val="00EC264D"/>
    <w:rsid w:val="00EC287F"/>
    <w:rsid w:val="00EC362B"/>
    <w:rsid w:val="00EC3C65"/>
    <w:rsid w:val="00EC4A62"/>
    <w:rsid w:val="00EC4A8A"/>
    <w:rsid w:val="00EC5057"/>
    <w:rsid w:val="00EC5092"/>
    <w:rsid w:val="00EC51E2"/>
    <w:rsid w:val="00EC521D"/>
    <w:rsid w:val="00EC68B8"/>
    <w:rsid w:val="00EC6CA2"/>
    <w:rsid w:val="00EC6D9A"/>
    <w:rsid w:val="00EC6EE6"/>
    <w:rsid w:val="00EC795F"/>
    <w:rsid w:val="00EC798A"/>
    <w:rsid w:val="00EC7B10"/>
    <w:rsid w:val="00ED003B"/>
    <w:rsid w:val="00ED05FB"/>
    <w:rsid w:val="00ED0682"/>
    <w:rsid w:val="00ED0C55"/>
    <w:rsid w:val="00ED10C7"/>
    <w:rsid w:val="00ED1458"/>
    <w:rsid w:val="00ED189A"/>
    <w:rsid w:val="00ED1FDB"/>
    <w:rsid w:val="00ED3401"/>
    <w:rsid w:val="00ED3862"/>
    <w:rsid w:val="00ED39EA"/>
    <w:rsid w:val="00ED4525"/>
    <w:rsid w:val="00ED45EB"/>
    <w:rsid w:val="00ED4FFF"/>
    <w:rsid w:val="00ED562A"/>
    <w:rsid w:val="00ED578A"/>
    <w:rsid w:val="00ED58E5"/>
    <w:rsid w:val="00ED5A3A"/>
    <w:rsid w:val="00ED5A75"/>
    <w:rsid w:val="00ED642E"/>
    <w:rsid w:val="00ED71E2"/>
    <w:rsid w:val="00ED73EF"/>
    <w:rsid w:val="00ED7DE7"/>
    <w:rsid w:val="00EE0B52"/>
    <w:rsid w:val="00EE1004"/>
    <w:rsid w:val="00EE14D7"/>
    <w:rsid w:val="00EE1583"/>
    <w:rsid w:val="00EE23B9"/>
    <w:rsid w:val="00EE2BE8"/>
    <w:rsid w:val="00EE2CBD"/>
    <w:rsid w:val="00EE3A52"/>
    <w:rsid w:val="00EE407C"/>
    <w:rsid w:val="00EE408F"/>
    <w:rsid w:val="00EE48E0"/>
    <w:rsid w:val="00EE48F2"/>
    <w:rsid w:val="00EE4A72"/>
    <w:rsid w:val="00EE4B73"/>
    <w:rsid w:val="00EE4B9B"/>
    <w:rsid w:val="00EE5675"/>
    <w:rsid w:val="00EE56BC"/>
    <w:rsid w:val="00EE5C03"/>
    <w:rsid w:val="00EE647A"/>
    <w:rsid w:val="00EE6719"/>
    <w:rsid w:val="00EE67E0"/>
    <w:rsid w:val="00EE6ED2"/>
    <w:rsid w:val="00EE73AF"/>
    <w:rsid w:val="00EE78DC"/>
    <w:rsid w:val="00EE7B84"/>
    <w:rsid w:val="00EE7B9C"/>
    <w:rsid w:val="00EE7E8A"/>
    <w:rsid w:val="00EF05B7"/>
    <w:rsid w:val="00EF0CB2"/>
    <w:rsid w:val="00EF0D6E"/>
    <w:rsid w:val="00EF10CD"/>
    <w:rsid w:val="00EF1F00"/>
    <w:rsid w:val="00EF2328"/>
    <w:rsid w:val="00EF296F"/>
    <w:rsid w:val="00EF32C6"/>
    <w:rsid w:val="00EF348D"/>
    <w:rsid w:val="00EF3532"/>
    <w:rsid w:val="00EF3599"/>
    <w:rsid w:val="00EF3DF4"/>
    <w:rsid w:val="00EF41AF"/>
    <w:rsid w:val="00EF445B"/>
    <w:rsid w:val="00EF44A4"/>
    <w:rsid w:val="00EF4841"/>
    <w:rsid w:val="00EF5378"/>
    <w:rsid w:val="00EF5410"/>
    <w:rsid w:val="00EF5E75"/>
    <w:rsid w:val="00EF66A4"/>
    <w:rsid w:val="00EF66AE"/>
    <w:rsid w:val="00EF6E7E"/>
    <w:rsid w:val="00EF7063"/>
    <w:rsid w:val="00EF7068"/>
    <w:rsid w:val="00EF795C"/>
    <w:rsid w:val="00EF7D0B"/>
    <w:rsid w:val="00F00323"/>
    <w:rsid w:val="00F009C3"/>
    <w:rsid w:val="00F009E3"/>
    <w:rsid w:val="00F00CDA"/>
    <w:rsid w:val="00F010EE"/>
    <w:rsid w:val="00F0117E"/>
    <w:rsid w:val="00F017BB"/>
    <w:rsid w:val="00F01B38"/>
    <w:rsid w:val="00F01C07"/>
    <w:rsid w:val="00F02994"/>
    <w:rsid w:val="00F02B72"/>
    <w:rsid w:val="00F0332E"/>
    <w:rsid w:val="00F03550"/>
    <w:rsid w:val="00F045F3"/>
    <w:rsid w:val="00F04934"/>
    <w:rsid w:val="00F055E4"/>
    <w:rsid w:val="00F05655"/>
    <w:rsid w:val="00F05B1A"/>
    <w:rsid w:val="00F06827"/>
    <w:rsid w:val="00F0685E"/>
    <w:rsid w:val="00F06991"/>
    <w:rsid w:val="00F06B41"/>
    <w:rsid w:val="00F06CA9"/>
    <w:rsid w:val="00F06DCC"/>
    <w:rsid w:val="00F06F10"/>
    <w:rsid w:val="00F0740D"/>
    <w:rsid w:val="00F07416"/>
    <w:rsid w:val="00F0787E"/>
    <w:rsid w:val="00F078C8"/>
    <w:rsid w:val="00F079BA"/>
    <w:rsid w:val="00F07F21"/>
    <w:rsid w:val="00F100B7"/>
    <w:rsid w:val="00F11294"/>
    <w:rsid w:val="00F112A6"/>
    <w:rsid w:val="00F113FC"/>
    <w:rsid w:val="00F11447"/>
    <w:rsid w:val="00F1185B"/>
    <w:rsid w:val="00F1185F"/>
    <w:rsid w:val="00F11A20"/>
    <w:rsid w:val="00F121AE"/>
    <w:rsid w:val="00F1235D"/>
    <w:rsid w:val="00F12B18"/>
    <w:rsid w:val="00F12DB6"/>
    <w:rsid w:val="00F12FA5"/>
    <w:rsid w:val="00F13809"/>
    <w:rsid w:val="00F14F7F"/>
    <w:rsid w:val="00F15FFD"/>
    <w:rsid w:val="00F16622"/>
    <w:rsid w:val="00F166C1"/>
    <w:rsid w:val="00F16823"/>
    <w:rsid w:val="00F16D33"/>
    <w:rsid w:val="00F16D65"/>
    <w:rsid w:val="00F16F1F"/>
    <w:rsid w:val="00F17518"/>
    <w:rsid w:val="00F17646"/>
    <w:rsid w:val="00F17C67"/>
    <w:rsid w:val="00F17F56"/>
    <w:rsid w:val="00F2027A"/>
    <w:rsid w:val="00F20585"/>
    <w:rsid w:val="00F205DB"/>
    <w:rsid w:val="00F20930"/>
    <w:rsid w:val="00F209F9"/>
    <w:rsid w:val="00F20F5B"/>
    <w:rsid w:val="00F213EB"/>
    <w:rsid w:val="00F21A34"/>
    <w:rsid w:val="00F22057"/>
    <w:rsid w:val="00F22D79"/>
    <w:rsid w:val="00F2336D"/>
    <w:rsid w:val="00F2362C"/>
    <w:rsid w:val="00F24287"/>
    <w:rsid w:val="00F243F3"/>
    <w:rsid w:val="00F24759"/>
    <w:rsid w:val="00F24BB1"/>
    <w:rsid w:val="00F24E2C"/>
    <w:rsid w:val="00F24E82"/>
    <w:rsid w:val="00F252C0"/>
    <w:rsid w:val="00F258F0"/>
    <w:rsid w:val="00F25AA1"/>
    <w:rsid w:val="00F25E32"/>
    <w:rsid w:val="00F268E2"/>
    <w:rsid w:val="00F268E3"/>
    <w:rsid w:val="00F269C7"/>
    <w:rsid w:val="00F26B0D"/>
    <w:rsid w:val="00F272F7"/>
    <w:rsid w:val="00F278BF"/>
    <w:rsid w:val="00F27ABD"/>
    <w:rsid w:val="00F27AE0"/>
    <w:rsid w:val="00F27B87"/>
    <w:rsid w:val="00F27BFE"/>
    <w:rsid w:val="00F27DF7"/>
    <w:rsid w:val="00F27DF8"/>
    <w:rsid w:val="00F30111"/>
    <w:rsid w:val="00F3035B"/>
    <w:rsid w:val="00F307B2"/>
    <w:rsid w:val="00F30B34"/>
    <w:rsid w:val="00F30FD7"/>
    <w:rsid w:val="00F31108"/>
    <w:rsid w:val="00F31807"/>
    <w:rsid w:val="00F318F4"/>
    <w:rsid w:val="00F323C5"/>
    <w:rsid w:val="00F32489"/>
    <w:rsid w:val="00F325BB"/>
    <w:rsid w:val="00F32739"/>
    <w:rsid w:val="00F32AD6"/>
    <w:rsid w:val="00F33006"/>
    <w:rsid w:val="00F335DB"/>
    <w:rsid w:val="00F3378F"/>
    <w:rsid w:val="00F34246"/>
    <w:rsid w:val="00F343B4"/>
    <w:rsid w:val="00F3442B"/>
    <w:rsid w:val="00F34455"/>
    <w:rsid w:val="00F34532"/>
    <w:rsid w:val="00F345B4"/>
    <w:rsid w:val="00F34B6A"/>
    <w:rsid w:val="00F35799"/>
    <w:rsid w:val="00F35DCB"/>
    <w:rsid w:val="00F3650E"/>
    <w:rsid w:val="00F367C3"/>
    <w:rsid w:val="00F368FD"/>
    <w:rsid w:val="00F36B90"/>
    <w:rsid w:val="00F372A4"/>
    <w:rsid w:val="00F374BE"/>
    <w:rsid w:val="00F37A2F"/>
    <w:rsid w:val="00F400BE"/>
    <w:rsid w:val="00F4014C"/>
    <w:rsid w:val="00F40907"/>
    <w:rsid w:val="00F40B79"/>
    <w:rsid w:val="00F40C81"/>
    <w:rsid w:val="00F40DBA"/>
    <w:rsid w:val="00F41979"/>
    <w:rsid w:val="00F41AF2"/>
    <w:rsid w:val="00F41B0D"/>
    <w:rsid w:val="00F41B9C"/>
    <w:rsid w:val="00F428D2"/>
    <w:rsid w:val="00F4297F"/>
    <w:rsid w:val="00F42A90"/>
    <w:rsid w:val="00F430EF"/>
    <w:rsid w:val="00F4316B"/>
    <w:rsid w:val="00F433E3"/>
    <w:rsid w:val="00F43515"/>
    <w:rsid w:val="00F43742"/>
    <w:rsid w:val="00F4393A"/>
    <w:rsid w:val="00F43BC1"/>
    <w:rsid w:val="00F43EEA"/>
    <w:rsid w:val="00F440A2"/>
    <w:rsid w:val="00F446EF"/>
    <w:rsid w:val="00F4471A"/>
    <w:rsid w:val="00F44C90"/>
    <w:rsid w:val="00F45040"/>
    <w:rsid w:val="00F45303"/>
    <w:rsid w:val="00F46342"/>
    <w:rsid w:val="00F46FC8"/>
    <w:rsid w:val="00F47A5E"/>
    <w:rsid w:val="00F47AAB"/>
    <w:rsid w:val="00F47D70"/>
    <w:rsid w:val="00F47FB9"/>
    <w:rsid w:val="00F50DE4"/>
    <w:rsid w:val="00F50FB9"/>
    <w:rsid w:val="00F516BA"/>
    <w:rsid w:val="00F51895"/>
    <w:rsid w:val="00F51F89"/>
    <w:rsid w:val="00F522A6"/>
    <w:rsid w:val="00F5326F"/>
    <w:rsid w:val="00F53E93"/>
    <w:rsid w:val="00F5406C"/>
    <w:rsid w:val="00F5449E"/>
    <w:rsid w:val="00F546F7"/>
    <w:rsid w:val="00F54DB5"/>
    <w:rsid w:val="00F5511B"/>
    <w:rsid w:val="00F55177"/>
    <w:rsid w:val="00F555E6"/>
    <w:rsid w:val="00F556A2"/>
    <w:rsid w:val="00F55B45"/>
    <w:rsid w:val="00F56321"/>
    <w:rsid w:val="00F564E1"/>
    <w:rsid w:val="00F56501"/>
    <w:rsid w:val="00F575F5"/>
    <w:rsid w:val="00F5797F"/>
    <w:rsid w:val="00F57B60"/>
    <w:rsid w:val="00F604B5"/>
    <w:rsid w:val="00F60778"/>
    <w:rsid w:val="00F608F7"/>
    <w:rsid w:val="00F609E0"/>
    <w:rsid w:val="00F60D81"/>
    <w:rsid w:val="00F613B9"/>
    <w:rsid w:val="00F61504"/>
    <w:rsid w:val="00F61D4E"/>
    <w:rsid w:val="00F623BC"/>
    <w:rsid w:val="00F625D6"/>
    <w:rsid w:val="00F62925"/>
    <w:rsid w:val="00F62B37"/>
    <w:rsid w:val="00F62CF9"/>
    <w:rsid w:val="00F64445"/>
    <w:rsid w:val="00F646B8"/>
    <w:rsid w:val="00F64EA9"/>
    <w:rsid w:val="00F64F78"/>
    <w:rsid w:val="00F657F4"/>
    <w:rsid w:val="00F658B9"/>
    <w:rsid w:val="00F65BD3"/>
    <w:rsid w:val="00F65C98"/>
    <w:rsid w:val="00F663B9"/>
    <w:rsid w:val="00F666CD"/>
    <w:rsid w:val="00F66929"/>
    <w:rsid w:val="00F66A7D"/>
    <w:rsid w:val="00F671F3"/>
    <w:rsid w:val="00F6750B"/>
    <w:rsid w:val="00F675ED"/>
    <w:rsid w:val="00F67E47"/>
    <w:rsid w:val="00F7012D"/>
    <w:rsid w:val="00F70843"/>
    <w:rsid w:val="00F70963"/>
    <w:rsid w:val="00F70C0C"/>
    <w:rsid w:val="00F7194F"/>
    <w:rsid w:val="00F71B7A"/>
    <w:rsid w:val="00F72C55"/>
    <w:rsid w:val="00F72E66"/>
    <w:rsid w:val="00F735DB"/>
    <w:rsid w:val="00F73BE4"/>
    <w:rsid w:val="00F73EF8"/>
    <w:rsid w:val="00F74630"/>
    <w:rsid w:val="00F747B7"/>
    <w:rsid w:val="00F74ADA"/>
    <w:rsid w:val="00F74BB1"/>
    <w:rsid w:val="00F7507C"/>
    <w:rsid w:val="00F7517E"/>
    <w:rsid w:val="00F761EE"/>
    <w:rsid w:val="00F763C8"/>
    <w:rsid w:val="00F76927"/>
    <w:rsid w:val="00F76CE5"/>
    <w:rsid w:val="00F76E50"/>
    <w:rsid w:val="00F770AA"/>
    <w:rsid w:val="00F7797B"/>
    <w:rsid w:val="00F77A54"/>
    <w:rsid w:val="00F77EFC"/>
    <w:rsid w:val="00F77FC6"/>
    <w:rsid w:val="00F801E5"/>
    <w:rsid w:val="00F8074C"/>
    <w:rsid w:val="00F80DC6"/>
    <w:rsid w:val="00F80FDC"/>
    <w:rsid w:val="00F81494"/>
    <w:rsid w:val="00F81735"/>
    <w:rsid w:val="00F81D5D"/>
    <w:rsid w:val="00F8298A"/>
    <w:rsid w:val="00F8309E"/>
    <w:rsid w:val="00F8327B"/>
    <w:rsid w:val="00F834C1"/>
    <w:rsid w:val="00F835B5"/>
    <w:rsid w:val="00F83DA8"/>
    <w:rsid w:val="00F83E0F"/>
    <w:rsid w:val="00F84082"/>
    <w:rsid w:val="00F8434F"/>
    <w:rsid w:val="00F845C6"/>
    <w:rsid w:val="00F84AAC"/>
    <w:rsid w:val="00F84B89"/>
    <w:rsid w:val="00F84CBA"/>
    <w:rsid w:val="00F84D2F"/>
    <w:rsid w:val="00F84F8E"/>
    <w:rsid w:val="00F85F89"/>
    <w:rsid w:val="00F860A1"/>
    <w:rsid w:val="00F8622E"/>
    <w:rsid w:val="00F86BA6"/>
    <w:rsid w:val="00F86E64"/>
    <w:rsid w:val="00F87DB3"/>
    <w:rsid w:val="00F90026"/>
    <w:rsid w:val="00F90097"/>
    <w:rsid w:val="00F90A53"/>
    <w:rsid w:val="00F90C1F"/>
    <w:rsid w:val="00F90FFD"/>
    <w:rsid w:val="00F918FC"/>
    <w:rsid w:val="00F91B4F"/>
    <w:rsid w:val="00F91BDD"/>
    <w:rsid w:val="00F93D79"/>
    <w:rsid w:val="00F94733"/>
    <w:rsid w:val="00F94890"/>
    <w:rsid w:val="00F94CE1"/>
    <w:rsid w:val="00F956E8"/>
    <w:rsid w:val="00F957E8"/>
    <w:rsid w:val="00F95A7A"/>
    <w:rsid w:val="00F95DCE"/>
    <w:rsid w:val="00F964EB"/>
    <w:rsid w:val="00F96542"/>
    <w:rsid w:val="00F96829"/>
    <w:rsid w:val="00F969CC"/>
    <w:rsid w:val="00F97433"/>
    <w:rsid w:val="00F97502"/>
    <w:rsid w:val="00F97605"/>
    <w:rsid w:val="00F97B5F"/>
    <w:rsid w:val="00F97D62"/>
    <w:rsid w:val="00FA00BD"/>
    <w:rsid w:val="00FA0522"/>
    <w:rsid w:val="00FA071B"/>
    <w:rsid w:val="00FA07A9"/>
    <w:rsid w:val="00FA0A1B"/>
    <w:rsid w:val="00FA1832"/>
    <w:rsid w:val="00FA1B7A"/>
    <w:rsid w:val="00FA2240"/>
    <w:rsid w:val="00FA2CC2"/>
    <w:rsid w:val="00FA2D8F"/>
    <w:rsid w:val="00FA2ECD"/>
    <w:rsid w:val="00FA33CB"/>
    <w:rsid w:val="00FA38F1"/>
    <w:rsid w:val="00FA4AB5"/>
    <w:rsid w:val="00FA4AFE"/>
    <w:rsid w:val="00FA4FE9"/>
    <w:rsid w:val="00FA508C"/>
    <w:rsid w:val="00FA522F"/>
    <w:rsid w:val="00FA5431"/>
    <w:rsid w:val="00FA5D3A"/>
    <w:rsid w:val="00FA7008"/>
    <w:rsid w:val="00FA7A3D"/>
    <w:rsid w:val="00FA7DB7"/>
    <w:rsid w:val="00FA7E91"/>
    <w:rsid w:val="00FA7F6B"/>
    <w:rsid w:val="00FB00B9"/>
    <w:rsid w:val="00FB03A4"/>
    <w:rsid w:val="00FB06CC"/>
    <w:rsid w:val="00FB0F63"/>
    <w:rsid w:val="00FB23E2"/>
    <w:rsid w:val="00FB2570"/>
    <w:rsid w:val="00FB35AD"/>
    <w:rsid w:val="00FB35DB"/>
    <w:rsid w:val="00FB3731"/>
    <w:rsid w:val="00FB3750"/>
    <w:rsid w:val="00FB3924"/>
    <w:rsid w:val="00FB4310"/>
    <w:rsid w:val="00FB438F"/>
    <w:rsid w:val="00FB452D"/>
    <w:rsid w:val="00FB4648"/>
    <w:rsid w:val="00FB473F"/>
    <w:rsid w:val="00FB4B09"/>
    <w:rsid w:val="00FB4B57"/>
    <w:rsid w:val="00FB4F60"/>
    <w:rsid w:val="00FB57B0"/>
    <w:rsid w:val="00FB591E"/>
    <w:rsid w:val="00FB63EF"/>
    <w:rsid w:val="00FB65E7"/>
    <w:rsid w:val="00FB66C2"/>
    <w:rsid w:val="00FB6A1B"/>
    <w:rsid w:val="00FB6A2B"/>
    <w:rsid w:val="00FB6BB7"/>
    <w:rsid w:val="00FB6CA3"/>
    <w:rsid w:val="00FB6E10"/>
    <w:rsid w:val="00FB6EE4"/>
    <w:rsid w:val="00FB6F2E"/>
    <w:rsid w:val="00FB6F76"/>
    <w:rsid w:val="00FB783D"/>
    <w:rsid w:val="00FB7A3E"/>
    <w:rsid w:val="00FB7BA7"/>
    <w:rsid w:val="00FB7C05"/>
    <w:rsid w:val="00FC0320"/>
    <w:rsid w:val="00FC06BE"/>
    <w:rsid w:val="00FC08C8"/>
    <w:rsid w:val="00FC0B72"/>
    <w:rsid w:val="00FC1156"/>
    <w:rsid w:val="00FC1983"/>
    <w:rsid w:val="00FC23F4"/>
    <w:rsid w:val="00FC2466"/>
    <w:rsid w:val="00FC28E9"/>
    <w:rsid w:val="00FC2C30"/>
    <w:rsid w:val="00FC30DD"/>
    <w:rsid w:val="00FC3276"/>
    <w:rsid w:val="00FC35FA"/>
    <w:rsid w:val="00FC36B2"/>
    <w:rsid w:val="00FC3FBC"/>
    <w:rsid w:val="00FC43AE"/>
    <w:rsid w:val="00FC4725"/>
    <w:rsid w:val="00FC47B5"/>
    <w:rsid w:val="00FC4E0A"/>
    <w:rsid w:val="00FC4FA8"/>
    <w:rsid w:val="00FC5070"/>
    <w:rsid w:val="00FC5084"/>
    <w:rsid w:val="00FC5939"/>
    <w:rsid w:val="00FC594C"/>
    <w:rsid w:val="00FC601B"/>
    <w:rsid w:val="00FC626F"/>
    <w:rsid w:val="00FC67D7"/>
    <w:rsid w:val="00FC6AA2"/>
    <w:rsid w:val="00FC6CA2"/>
    <w:rsid w:val="00FC74E8"/>
    <w:rsid w:val="00FC77F4"/>
    <w:rsid w:val="00FC789D"/>
    <w:rsid w:val="00FC7E3F"/>
    <w:rsid w:val="00FD0609"/>
    <w:rsid w:val="00FD14CD"/>
    <w:rsid w:val="00FD18E1"/>
    <w:rsid w:val="00FD1EF2"/>
    <w:rsid w:val="00FD22EC"/>
    <w:rsid w:val="00FD2456"/>
    <w:rsid w:val="00FD2B42"/>
    <w:rsid w:val="00FD2F2D"/>
    <w:rsid w:val="00FD34A4"/>
    <w:rsid w:val="00FD3CA4"/>
    <w:rsid w:val="00FD4115"/>
    <w:rsid w:val="00FD459E"/>
    <w:rsid w:val="00FD5002"/>
    <w:rsid w:val="00FD5003"/>
    <w:rsid w:val="00FD5054"/>
    <w:rsid w:val="00FD50D9"/>
    <w:rsid w:val="00FD510D"/>
    <w:rsid w:val="00FD59FA"/>
    <w:rsid w:val="00FD5AC0"/>
    <w:rsid w:val="00FD5D30"/>
    <w:rsid w:val="00FD606E"/>
    <w:rsid w:val="00FD6618"/>
    <w:rsid w:val="00FD6C5D"/>
    <w:rsid w:val="00FD70BA"/>
    <w:rsid w:val="00FD7631"/>
    <w:rsid w:val="00FD782E"/>
    <w:rsid w:val="00FD782F"/>
    <w:rsid w:val="00FD79CC"/>
    <w:rsid w:val="00FD7A2B"/>
    <w:rsid w:val="00FD7A46"/>
    <w:rsid w:val="00FD7B6A"/>
    <w:rsid w:val="00FD7F6E"/>
    <w:rsid w:val="00FE0862"/>
    <w:rsid w:val="00FE09B2"/>
    <w:rsid w:val="00FE1105"/>
    <w:rsid w:val="00FE1518"/>
    <w:rsid w:val="00FE205B"/>
    <w:rsid w:val="00FE2419"/>
    <w:rsid w:val="00FE2493"/>
    <w:rsid w:val="00FE2E23"/>
    <w:rsid w:val="00FE3322"/>
    <w:rsid w:val="00FE37E3"/>
    <w:rsid w:val="00FE3A6E"/>
    <w:rsid w:val="00FE3B1D"/>
    <w:rsid w:val="00FE3DEE"/>
    <w:rsid w:val="00FE46E0"/>
    <w:rsid w:val="00FE4F00"/>
    <w:rsid w:val="00FE5673"/>
    <w:rsid w:val="00FE59E2"/>
    <w:rsid w:val="00FE65C1"/>
    <w:rsid w:val="00FE65EC"/>
    <w:rsid w:val="00FE68DB"/>
    <w:rsid w:val="00FE6D4A"/>
    <w:rsid w:val="00FE7AEB"/>
    <w:rsid w:val="00FF0099"/>
    <w:rsid w:val="00FF01A5"/>
    <w:rsid w:val="00FF02C8"/>
    <w:rsid w:val="00FF050E"/>
    <w:rsid w:val="00FF0AD0"/>
    <w:rsid w:val="00FF0C0E"/>
    <w:rsid w:val="00FF1829"/>
    <w:rsid w:val="00FF1CEC"/>
    <w:rsid w:val="00FF1D83"/>
    <w:rsid w:val="00FF2192"/>
    <w:rsid w:val="00FF2236"/>
    <w:rsid w:val="00FF2658"/>
    <w:rsid w:val="00FF2BDE"/>
    <w:rsid w:val="00FF2EF4"/>
    <w:rsid w:val="00FF2FD9"/>
    <w:rsid w:val="00FF3231"/>
    <w:rsid w:val="00FF3768"/>
    <w:rsid w:val="00FF3F27"/>
    <w:rsid w:val="00FF4034"/>
    <w:rsid w:val="00FF429B"/>
    <w:rsid w:val="00FF4AA8"/>
    <w:rsid w:val="00FF4D71"/>
    <w:rsid w:val="00FF51D7"/>
    <w:rsid w:val="00FF538E"/>
    <w:rsid w:val="00FF6025"/>
    <w:rsid w:val="00FF615B"/>
    <w:rsid w:val="00FF6899"/>
    <w:rsid w:val="00FF6B10"/>
    <w:rsid w:val="00FF76CD"/>
    <w:rsid w:val="00FF774A"/>
    <w:rsid w:val="00FF782F"/>
    <w:rsid w:val="00FF7E31"/>
    <w:rsid w:val="00FF7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ddd,#cff,#ccf,#fcc,#ccecff,#cc0,#cfc"/>
    </o:shapedefaults>
    <o:shapelayout v:ext="edit">
      <o:idmap v:ext="edit" data="1"/>
    </o:shapelayout>
  </w:shapeDefaults>
  <w:decimalSymbol w:val="."/>
  <w:listSeparator w:val=";"/>
  <w14:docId w14:val="0C9B4FCD"/>
  <w15:docId w15:val="{EEDA6856-EC46-4D31-89CB-6F60E79C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43F0"/>
    <w:pPr>
      <w:spacing w:after="200" w:line="276" w:lineRule="auto"/>
    </w:pPr>
    <w:rPr>
      <w:sz w:val="24"/>
    </w:rPr>
  </w:style>
  <w:style w:type="paragraph" w:styleId="Heading1">
    <w:name w:val="heading 1"/>
    <w:basedOn w:val="Normal"/>
    <w:next w:val="Normal"/>
    <w:link w:val="Heading1Char"/>
    <w:uiPriority w:val="9"/>
    <w:qFormat/>
    <w:rsid w:val="00696C83"/>
    <w:pPr>
      <w:keepNext/>
      <w:numPr>
        <w:numId w:val="10"/>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uiPriority w:val="9"/>
    <w:qFormat/>
    <w:rsid w:val="008678AB"/>
    <w:pPr>
      <w:keepNext/>
      <w:numPr>
        <w:ilvl w:val="1"/>
        <w:numId w:val="10"/>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10"/>
      </w:numPr>
      <w:spacing w:before="200" w:after="0"/>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unhideWhenUsed/>
    <w:qFormat/>
    <w:rsid w:val="006728CE"/>
    <w:pPr>
      <w:keepNext/>
      <w:keepLines/>
      <w:numPr>
        <w:ilvl w:val="3"/>
        <w:numId w:val="10"/>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unhideWhenUsed/>
    <w:qFormat/>
    <w:rsid w:val="008678AB"/>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678AB"/>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678AB"/>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678AB"/>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78AB"/>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uiPriority w:val="9"/>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uiPriority w:val="9"/>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3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semiHidden/>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f Char"/>
    <w:basedOn w:val="DefaultParagraphFont"/>
    <w:link w:val="Fun1"/>
    <w:uiPriority w:val="99"/>
    <w:qFormat/>
    <w:rsid w:val="006728C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3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Footnote text,Fußn,Fußnotentext Char Char,Reference,Schriftart: 10 pt,Schriftart: 8 pt,Schriftart: 9 pt,Voetnoottekst Char,Voetnoottekst Char1,Voetnoottekst Char2 Char Char,Char1,Char10"/>
    <w:basedOn w:val="Normal"/>
    <w:link w:val="FootnoteTextChar1"/>
    <w:uiPriority w:val="99"/>
    <w:unhideWhenUsed/>
    <w:qFormat/>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Footnote text Char,Fußn Char,Fußnotentext Char Char Char1,Reference Char,Schriftart: 10 pt Char,Schriftart: 8 pt Char,Schriftart: 9 pt Char,Char1 Char"/>
    <w:basedOn w:val="DefaultParagraphFont"/>
    <w:link w:val="FootnoteText"/>
    <w:uiPriority w:val="99"/>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a">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customStyle="1" w:styleId="Mention2">
    <w:name w:val="Mention2"/>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E9218F"/>
    <w:pPr>
      <w:tabs>
        <w:tab w:val="left" w:pos="567"/>
        <w:tab w:val="right" w:leader="dot" w:pos="9628"/>
      </w:tabs>
      <w:spacing w:after="100"/>
    </w:pPr>
  </w:style>
  <w:style w:type="paragraph" w:styleId="TOC2">
    <w:name w:val="toc 2"/>
    <w:basedOn w:val="Normal"/>
    <w:next w:val="Normal"/>
    <w:autoRedefine/>
    <w:uiPriority w:val="39"/>
    <w:unhideWhenUsed/>
    <w:rsid w:val="00E94B7B"/>
    <w:pPr>
      <w:tabs>
        <w:tab w:val="left" w:pos="851"/>
        <w:tab w:val="right" w:leader="dot" w:pos="9628"/>
      </w:tabs>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8"/>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link w:val="2lmenisChar"/>
    <w:rsid w:val="008678AB"/>
  </w:style>
  <w:style w:type="paragraph" w:customStyle="1" w:styleId="3lmenis">
    <w:name w:val="3.līmenis"/>
    <w:basedOn w:val="Normal"/>
    <w:rsid w:val="008678AB"/>
  </w:style>
  <w:style w:type="character" w:customStyle="1" w:styleId="JLSubtitleChar">
    <w:name w:val="JL Subtitle Char"/>
    <w:link w:val="JLSubtitle"/>
    <w:locked/>
    <w:rsid w:val="00C81684"/>
    <w:rPr>
      <w:rFonts w:ascii="Segoe UI" w:eastAsia="Times New Roman" w:hAnsi="Segoe UI"/>
      <w:color w:val="27093C"/>
      <w:sz w:val="24"/>
    </w:rPr>
  </w:style>
  <w:style w:type="paragraph" w:customStyle="1" w:styleId="JLSubtitle">
    <w:name w:val="JL Subtitle"/>
    <w:basedOn w:val="Normal"/>
    <w:link w:val="JLSubtitleChar"/>
    <w:qFormat/>
    <w:rsid w:val="00C81684"/>
    <w:pPr>
      <w:spacing w:before="120" w:after="120" w:line="288" w:lineRule="auto"/>
      <w:jc w:val="center"/>
    </w:pPr>
    <w:rPr>
      <w:rFonts w:ascii="Segoe UI" w:eastAsia="Times New Roman" w:hAnsi="Segoe UI"/>
      <w:color w:val="27093C"/>
    </w:rPr>
  </w:style>
  <w:style w:type="paragraph" w:styleId="TOCHeading">
    <w:name w:val="TOC Heading"/>
    <w:basedOn w:val="Heading1"/>
    <w:next w:val="Normal"/>
    <w:uiPriority w:val="39"/>
    <w:unhideWhenUsed/>
    <w:qFormat/>
    <w:rsid w:val="00B40B8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UnresolvedMention1">
    <w:name w:val="Unresolved Mention1"/>
    <w:basedOn w:val="DefaultParagraphFont"/>
    <w:uiPriority w:val="99"/>
    <w:semiHidden/>
    <w:unhideWhenUsed/>
    <w:rsid w:val="00494D2B"/>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82F3F"/>
    <w:pPr>
      <w:spacing w:after="160" w:line="240" w:lineRule="exact"/>
      <w:jc w:val="both"/>
    </w:pPr>
    <w:rPr>
      <w:sz w:val="28"/>
      <w:vertAlign w:val="superscript"/>
    </w:rPr>
  </w:style>
  <w:style w:type="paragraph" w:styleId="z-TopofForm">
    <w:name w:val="HTML Top of Form"/>
    <w:basedOn w:val="Normal"/>
    <w:next w:val="Normal"/>
    <w:link w:val="z-TopofFormChar"/>
    <w:hidden/>
    <w:uiPriority w:val="99"/>
    <w:semiHidden/>
    <w:unhideWhenUsed/>
    <w:rsid w:val="00F47D70"/>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F47D70"/>
    <w:rPr>
      <w:rFonts w:ascii="Arial" w:eastAsia="Times New Roman" w:hAnsi="Arial" w:cs="Arial"/>
      <w:vanish/>
      <w:sz w:val="16"/>
      <w:szCs w:val="16"/>
      <w:lang w:eastAsia="lv-LV"/>
    </w:rPr>
  </w:style>
  <w:style w:type="character" w:customStyle="1" w:styleId="datepicker-label">
    <w:name w:val="datepicker-label"/>
    <w:basedOn w:val="DefaultParagraphFont"/>
    <w:rsid w:val="00F47D70"/>
  </w:style>
  <w:style w:type="character" w:customStyle="1" w:styleId="details-summary-prefix">
    <w:name w:val="details-summary-prefix"/>
    <w:basedOn w:val="DefaultParagraphFont"/>
    <w:rsid w:val="00F47D70"/>
  </w:style>
  <w:style w:type="paragraph" w:styleId="z-BottomofForm">
    <w:name w:val="HTML Bottom of Form"/>
    <w:basedOn w:val="Normal"/>
    <w:next w:val="Normal"/>
    <w:link w:val="z-BottomofFormChar"/>
    <w:hidden/>
    <w:uiPriority w:val="99"/>
    <w:semiHidden/>
    <w:unhideWhenUsed/>
    <w:rsid w:val="00F47D70"/>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F47D70"/>
    <w:rPr>
      <w:rFonts w:ascii="Arial" w:eastAsia="Times New Roman" w:hAnsi="Arial" w:cs="Arial"/>
      <w:vanish/>
      <w:sz w:val="16"/>
      <w:szCs w:val="16"/>
      <w:lang w:eastAsia="lv-LV"/>
    </w:rPr>
  </w:style>
  <w:style w:type="character" w:customStyle="1" w:styleId="sort">
    <w:name w:val="sort"/>
    <w:basedOn w:val="DefaultParagraphFont"/>
    <w:rsid w:val="00F47D70"/>
  </w:style>
  <w:style w:type="table" w:customStyle="1" w:styleId="GridTable5Dark-Accent61">
    <w:name w:val="Grid Table 5 Dark - Accent 61"/>
    <w:basedOn w:val="TableNormal"/>
    <w:uiPriority w:val="50"/>
    <w:rsid w:val="00595D00"/>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spelle">
    <w:name w:val="spelle"/>
    <w:basedOn w:val="DefaultParagraphFont"/>
    <w:rsid w:val="00CF6BA0"/>
  </w:style>
  <w:style w:type="paragraph" w:styleId="TOC3">
    <w:name w:val="toc 3"/>
    <w:basedOn w:val="Normal"/>
    <w:next w:val="Normal"/>
    <w:autoRedefine/>
    <w:uiPriority w:val="39"/>
    <w:unhideWhenUsed/>
    <w:rsid w:val="001A2166"/>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1A2166"/>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1A2166"/>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1A2166"/>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1A2166"/>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1A2166"/>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1A2166"/>
    <w:pPr>
      <w:spacing w:after="100" w:line="259" w:lineRule="auto"/>
      <w:ind w:left="1760"/>
    </w:pPr>
    <w:rPr>
      <w:rFonts w:asciiTheme="minorHAnsi" w:eastAsiaTheme="minorEastAsia" w:hAnsiTheme="minorHAnsi"/>
      <w:sz w:val="22"/>
      <w:lang w:eastAsia="lv-LV"/>
    </w:rPr>
  </w:style>
  <w:style w:type="character" w:customStyle="1" w:styleId="bdegrey">
    <w:name w:val="bdegrey"/>
    <w:basedOn w:val="DefaultParagraphFont"/>
    <w:rsid w:val="00E7199C"/>
  </w:style>
  <w:style w:type="character" w:customStyle="1" w:styleId="label">
    <w:name w:val="label"/>
    <w:basedOn w:val="DefaultParagraphFont"/>
    <w:rsid w:val="00E7199C"/>
  </w:style>
  <w:style w:type="paragraph" w:customStyle="1" w:styleId="likdat">
    <w:name w:val="lik_dat"/>
    <w:basedOn w:val="Normal"/>
    <w:rsid w:val="001D24BE"/>
    <w:pPr>
      <w:spacing w:before="100" w:beforeAutospacing="1" w:after="100" w:afterAutospacing="1" w:line="240" w:lineRule="auto"/>
    </w:pPr>
    <w:rPr>
      <w:rFonts w:eastAsia="Times New Roman" w:cs="Times New Roman"/>
      <w:szCs w:val="24"/>
      <w:lang w:eastAsia="lv-LV"/>
    </w:rPr>
  </w:style>
  <w:style w:type="character" w:customStyle="1" w:styleId="file-details">
    <w:name w:val="file-details"/>
    <w:basedOn w:val="DefaultParagraphFont"/>
    <w:rsid w:val="00C03AC0"/>
  </w:style>
  <w:style w:type="paragraph" w:customStyle="1" w:styleId="CharCharCharChar">
    <w:name w:val="Char Char Char Char"/>
    <w:aliases w:val="Char2"/>
    <w:basedOn w:val="Normal"/>
    <w:next w:val="Normal"/>
    <w:uiPriority w:val="99"/>
    <w:rsid w:val="00AB6E7E"/>
    <w:pPr>
      <w:spacing w:after="160" w:line="240" w:lineRule="exact"/>
      <w:jc w:val="both"/>
    </w:pPr>
    <w:rPr>
      <w:rFonts w:asciiTheme="minorHAnsi" w:hAnsiTheme="minorHAnsi"/>
      <w:sz w:val="22"/>
      <w:vertAlign w:val="superscript"/>
    </w:rPr>
  </w:style>
  <w:style w:type="character" w:customStyle="1" w:styleId="file">
    <w:name w:val="file"/>
    <w:basedOn w:val="DefaultParagraphFont"/>
    <w:rsid w:val="003C5F1D"/>
  </w:style>
  <w:style w:type="character" w:customStyle="1" w:styleId="normaltextrun">
    <w:name w:val="normaltextrun"/>
    <w:basedOn w:val="DefaultParagraphFont"/>
    <w:rsid w:val="00CC15D8"/>
  </w:style>
  <w:style w:type="character" w:customStyle="1" w:styleId="2lmenisChar">
    <w:name w:val="2.līmenis Char"/>
    <w:basedOn w:val="DefaultParagraphFont"/>
    <w:link w:val="2lmenis"/>
    <w:rsid w:val="00720F4D"/>
    <w:rPr>
      <w:sz w:val="24"/>
    </w:rPr>
  </w:style>
  <w:style w:type="paragraph" w:customStyle="1" w:styleId="xmsonormal">
    <w:name w:val="x_msonormal"/>
    <w:basedOn w:val="Normal"/>
    <w:uiPriority w:val="99"/>
    <w:semiHidden/>
    <w:rsid w:val="00FD3CA4"/>
    <w:pPr>
      <w:spacing w:before="100" w:beforeAutospacing="1" w:after="100" w:afterAutospacing="1" w:line="240" w:lineRule="auto"/>
    </w:pPr>
    <w:rPr>
      <w:rFonts w:ascii="Calibri" w:hAnsi="Calibri" w:cs="Calibri"/>
      <w:sz w:val="22"/>
      <w:lang w:eastAsia="lv-LV"/>
    </w:rPr>
  </w:style>
  <w:style w:type="paragraph" w:customStyle="1" w:styleId="tvhtml">
    <w:name w:val="tv_html"/>
    <w:basedOn w:val="Normal"/>
    <w:rsid w:val="00050107"/>
    <w:pPr>
      <w:spacing w:before="100" w:beforeAutospacing="1" w:after="100" w:afterAutospacing="1" w:line="240" w:lineRule="auto"/>
    </w:pPr>
    <w:rPr>
      <w:rFonts w:eastAsia="Times New Roman" w:cs="Times New Roman"/>
      <w:szCs w:val="24"/>
      <w:lang w:eastAsia="lv-LV"/>
    </w:rPr>
  </w:style>
  <w:style w:type="character" w:customStyle="1" w:styleId="navbar-brand">
    <w:name w:val="navbar-brand"/>
    <w:basedOn w:val="DefaultParagraphFont"/>
    <w:rsid w:val="007E4822"/>
  </w:style>
  <w:style w:type="character" w:styleId="EndnoteReference">
    <w:name w:val="endnote reference"/>
    <w:basedOn w:val="DefaultParagraphFont"/>
    <w:uiPriority w:val="99"/>
    <w:semiHidden/>
    <w:unhideWhenUsed/>
    <w:rsid w:val="0097271F"/>
    <w:rPr>
      <w:vertAlign w:val="superscript"/>
    </w:rPr>
  </w:style>
  <w:style w:type="character" w:customStyle="1" w:styleId="fontsize2">
    <w:name w:val="fontsize2"/>
    <w:basedOn w:val="DefaultParagraphFont"/>
    <w:rsid w:val="00B03F01"/>
  </w:style>
  <w:style w:type="character" w:customStyle="1" w:styleId="txtspecial">
    <w:name w:val="txt_special"/>
    <w:basedOn w:val="DefaultParagraphFont"/>
    <w:rsid w:val="001C34B2"/>
  </w:style>
  <w:style w:type="character" w:styleId="UnresolvedMention">
    <w:name w:val="Unresolved Mention"/>
    <w:basedOn w:val="DefaultParagraphFont"/>
    <w:uiPriority w:val="99"/>
    <w:semiHidden/>
    <w:unhideWhenUsed/>
    <w:rsid w:val="00693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9071">
      <w:bodyDiv w:val="1"/>
      <w:marLeft w:val="0"/>
      <w:marRight w:val="0"/>
      <w:marTop w:val="0"/>
      <w:marBottom w:val="0"/>
      <w:divBdr>
        <w:top w:val="none" w:sz="0" w:space="0" w:color="auto"/>
        <w:left w:val="none" w:sz="0" w:space="0" w:color="auto"/>
        <w:bottom w:val="none" w:sz="0" w:space="0" w:color="auto"/>
        <w:right w:val="none" w:sz="0" w:space="0" w:color="auto"/>
      </w:divBdr>
    </w:div>
    <w:div w:id="9769708">
      <w:bodyDiv w:val="1"/>
      <w:marLeft w:val="0"/>
      <w:marRight w:val="0"/>
      <w:marTop w:val="0"/>
      <w:marBottom w:val="0"/>
      <w:divBdr>
        <w:top w:val="none" w:sz="0" w:space="0" w:color="auto"/>
        <w:left w:val="none" w:sz="0" w:space="0" w:color="auto"/>
        <w:bottom w:val="none" w:sz="0" w:space="0" w:color="auto"/>
        <w:right w:val="none" w:sz="0" w:space="0" w:color="auto"/>
      </w:divBdr>
    </w:div>
    <w:div w:id="32579498">
      <w:bodyDiv w:val="1"/>
      <w:marLeft w:val="0"/>
      <w:marRight w:val="0"/>
      <w:marTop w:val="0"/>
      <w:marBottom w:val="0"/>
      <w:divBdr>
        <w:top w:val="none" w:sz="0" w:space="0" w:color="auto"/>
        <w:left w:val="none" w:sz="0" w:space="0" w:color="auto"/>
        <w:bottom w:val="none" w:sz="0" w:space="0" w:color="auto"/>
        <w:right w:val="none" w:sz="0" w:space="0" w:color="auto"/>
      </w:divBdr>
    </w:div>
    <w:div w:id="45564914">
      <w:bodyDiv w:val="1"/>
      <w:marLeft w:val="0"/>
      <w:marRight w:val="0"/>
      <w:marTop w:val="0"/>
      <w:marBottom w:val="0"/>
      <w:divBdr>
        <w:top w:val="none" w:sz="0" w:space="0" w:color="auto"/>
        <w:left w:val="none" w:sz="0" w:space="0" w:color="auto"/>
        <w:bottom w:val="none" w:sz="0" w:space="0" w:color="auto"/>
        <w:right w:val="none" w:sz="0" w:space="0" w:color="auto"/>
      </w:divBdr>
    </w:div>
    <w:div w:id="55394183">
      <w:bodyDiv w:val="1"/>
      <w:marLeft w:val="0"/>
      <w:marRight w:val="0"/>
      <w:marTop w:val="0"/>
      <w:marBottom w:val="0"/>
      <w:divBdr>
        <w:top w:val="none" w:sz="0" w:space="0" w:color="auto"/>
        <w:left w:val="none" w:sz="0" w:space="0" w:color="auto"/>
        <w:bottom w:val="none" w:sz="0" w:space="0" w:color="auto"/>
        <w:right w:val="none" w:sz="0" w:space="0" w:color="auto"/>
      </w:divBdr>
    </w:div>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1219129">
      <w:bodyDiv w:val="1"/>
      <w:marLeft w:val="0"/>
      <w:marRight w:val="0"/>
      <w:marTop w:val="0"/>
      <w:marBottom w:val="0"/>
      <w:divBdr>
        <w:top w:val="none" w:sz="0" w:space="0" w:color="auto"/>
        <w:left w:val="none" w:sz="0" w:space="0" w:color="auto"/>
        <w:bottom w:val="none" w:sz="0" w:space="0" w:color="auto"/>
        <w:right w:val="none" w:sz="0" w:space="0" w:color="auto"/>
      </w:divBdr>
      <w:divsChild>
        <w:div w:id="620847733">
          <w:marLeft w:val="0"/>
          <w:marRight w:val="0"/>
          <w:marTop w:val="0"/>
          <w:marBottom w:val="0"/>
          <w:divBdr>
            <w:top w:val="none" w:sz="0" w:space="0" w:color="auto"/>
            <w:left w:val="none" w:sz="0" w:space="0" w:color="auto"/>
            <w:bottom w:val="none" w:sz="0" w:space="0" w:color="auto"/>
            <w:right w:val="none" w:sz="0" w:space="0" w:color="auto"/>
          </w:divBdr>
        </w:div>
        <w:div w:id="1272857405">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88890138">
      <w:bodyDiv w:val="1"/>
      <w:marLeft w:val="0"/>
      <w:marRight w:val="0"/>
      <w:marTop w:val="0"/>
      <w:marBottom w:val="0"/>
      <w:divBdr>
        <w:top w:val="none" w:sz="0" w:space="0" w:color="auto"/>
        <w:left w:val="none" w:sz="0" w:space="0" w:color="auto"/>
        <w:bottom w:val="none" w:sz="0" w:space="0" w:color="auto"/>
        <w:right w:val="none" w:sz="0" w:space="0" w:color="auto"/>
      </w:divBdr>
      <w:divsChild>
        <w:div w:id="1791315456">
          <w:marLeft w:val="0"/>
          <w:marRight w:val="0"/>
          <w:marTop w:val="0"/>
          <w:marBottom w:val="0"/>
          <w:divBdr>
            <w:top w:val="none" w:sz="0" w:space="0" w:color="auto"/>
            <w:left w:val="none" w:sz="0" w:space="0" w:color="auto"/>
            <w:bottom w:val="none" w:sz="0" w:space="0" w:color="auto"/>
            <w:right w:val="none" w:sz="0" w:space="0" w:color="auto"/>
          </w:divBdr>
          <w:divsChild>
            <w:div w:id="120459217">
              <w:marLeft w:val="0"/>
              <w:marRight w:val="0"/>
              <w:marTop w:val="0"/>
              <w:marBottom w:val="0"/>
              <w:divBdr>
                <w:top w:val="none" w:sz="0" w:space="0" w:color="auto"/>
                <w:left w:val="none" w:sz="0" w:space="0" w:color="auto"/>
                <w:bottom w:val="none" w:sz="0" w:space="0" w:color="auto"/>
                <w:right w:val="none" w:sz="0" w:space="0" w:color="auto"/>
              </w:divBdr>
            </w:div>
            <w:div w:id="14974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234781">
      <w:bodyDiv w:val="1"/>
      <w:marLeft w:val="0"/>
      <w:marRight w:val="0"/>
      <w:marTop w:val="0"/>
      <w:marBottom w:val="0"/>
      <w:divBdr>
        <w:top w:val="none" w:sz="0" w:space="0" w:color="auto"/>
        <w:left w:val="none" w:sz="0" w:space="0" w:color="auto"/>
        <w:bottom w:val="none" w:sz="0" w:space="0" w:color="auto"/>
        <w:right w:val="none" w:sz="0" w:space="0" w:color="auto"/>
      </w:divBdr>
      <w:divsChild>
        <w:div w:id="350034295">
          <w:marLeft w:val="0"/>
          <w:marRight w:val="0"/>
          <w:marTop w:val="0"/>
          <w:marBottom w:val="0"/>
          <w:divBdr>
            <w:top w:val="none" w:sz="0" w:space="0" w:color="auto"/>
            <w:left w:val="none" w:sz="0" w:space="0" w:color="auto"/>
            <w:bottom w:val="none" w:sz="0" w:space="0" w:color="auto"/>
            <w:right w:val="none" w:sz="0" w:space="0" w:color="auto"/>
          </w:divBdr>
        </w:div>
        <w:div w:id="51198637">
          <w:marLeft w:val="0"/>
          <w:marRight w:val="0"/>
          <w:marTop w:val="0"/>
          <w:marBottom w:val="0"/>
          <w:divBdr>
            <w:top w:val="none" w:sz="0" w:space="0" w:color="auto"/>
            <w:left w:val="none" w:sz="0" w:space="0" w:color="auto"/>
            <w:bottom w:val="none" w:sz="0" w:space="0" w:color="auto"/>
            <w:right w:val="none" w:sz="0" w:space="0" w:color="auto"/>
          </w:divBdr>
        </w:div>
      </w:divsChild>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188690390">
      <w:bodyDiv w:val="1"/>
      <w:marLeft w:val="0"/>
      <w:marRight w:val="0"/>
      <w:marTop w:val="0"/>
      <w:marBottom w:val="0"/>
      <w:divBdr>
        <w:top w:val="none" w:sz="0" w:space="0" w:color="auto"/>
        <w:left w:val="none" w:sz="0" w:space="0" w:color="auto"/>
        <w:bottom w:val="none" w:sz="0" w:space="0" w:color="auto"/>
        <w:right w:val="none" w:sz="0" w:space="0" w:color="auto"/>
      </w:divBdr>
    </w:div>
    <w:div w:id="207257149">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43421349">
      <w:bodyDiv w:val="1"/>
      <w:marLeft w:val="0"/>
      <w:marRight w:val="0"/>
      <w:marTop w:val="0"/>
      <w:marBottom w:val="0"/>
      <w:divBdr>
        <w:top w:val="none" w:sz="0" w:space="0" w:color="auto"/>
        <w:left w:val="none" w:sz="0" w:space="0" w:color="auto"/>
        <w:bottom w:val="none" w:sz="0" w:space="0" w:color="auto"/>
        <w:right w:val="none" w:sz="0" w:space="0" w:color="auto"/>
      </w:divBdr>
      <w:divsChild>
        <w:div w:id="1324234152">
          <w:marLeft w:val="0"/>
          <w:marRight w:val="0"/>
          <w:marTop w:val="0"/>
          <w:marBottom w:val="0"/>
          <w:divBdr>
            <w:top w:val="none" w:sz="0" w:space="0" w:color="auto"/>
            <w:left w:val="none" w:sz="0" w:space="0" w:color="auto"/>
            <w:bottom w:val="none" w:sz="0" w:space="0" w:color="auto"/>
            <w:right w:val="none" w:sz="0" w:space="0" w:color="auto"/>
          </w:divBdr>
        </w:div>
        <w:div w:id="236670251">
          <w:marLeft w:val="0"/>
          <w:marRight w:val="0"/>
          <w:marTop w:val="0"/>
          <w:marBottom w:val="0"/>
          <w:divBdr>
            <w:top w:val="none" w:sz="0" w:space="0" w:color="auto"/>
            <w:left w:val="none" w:sz="0" w:space="0" w:color="auto"/>
            <w:bottom w:val="none" w:sz="0" w:space="0" w:color="auto"/>
            <w:right w:val="none" w:sz="0" w:space="0" w:color="auto"/>
          </w:divBdr>
        </w:div>
        <w:div w:id="416365528">
          <w:marLeft w:val="0"/>
          <w:marRight w:val="0"/>
          <w:marTop w:val="0"/>
          <w:marBottom w:val="0"/>
          <w:divBdr>
            <w:top w:val="none" w:sz="0" w:space="0" w:color="auto"/>
            <w:left w:val="none" w:sz="0" w:space="0" w:color="auto"/>
            <w:bottom w:val="none" w:sz="0" w:space="0" w:color="auto"/>
            <w:right w:val="none" w:sz="0" w:space="0" w:color="auto"/>
          </w:divBdr>
        </w:div>
        <w:div w:id="1419521051">
          <w:marLeft w:val="0"/>
          <w:marRight w:val="0"/>
          <w:marTop w:val="0"/>
          <w:marBottom w:val="0"/>
          <w:divBdr>
            <w:top w:val="none" w:sz="0" w:space="0" w:color="auto"/>
            <w:left w:val="none" w:sz="0" w:space="0" w:color="auto"/>
            <w:bottom w:val="none" w:sz="0" w:space="0" w:color="auto"/>
            <w:right w:val="none" w:sz="0" w:space="0" w:color="auto"/>
          </w:divBdr>
        </w:div>
        <w:div w:id="433091587">
          <w:marLeft w:val="0"/>
          <w:marRight w:val="0"/>
          <w:marTop w:val="0"/>
          <w:marBottom w:val="0"/>
          <w:divBdr>
            <w:top w:val="none" w:sz="0" w:space="0" w:color="auto"/>
            <w:left w:val="none" w:sz="0" w:space="0" w:color="auto"/>
            <w:bottom w:val="none" w:sz="0" w:space="0" w:color="auto"/>
            <w:right w:val="none" w:sz="0" w:space="0" w:color="auto"/>
          </w:divBdr>
        </w:div>
        <w:div w:id="1111634046">
          <w:marLeft w:val="0"/>
          <w:marRight w:val="0"/>
          <w:marTop w:val="0"/>
          <w:marBottom w:val="0"/>
          <w:divBdr>
            <w:top w:val="none" w:sz="0" w:space="0" w:color="auto"/>
            <w:left w:val="none" w:sz="0" w:space="0" w:color="auto"/>
            <w:bottom w:val="none" w:sz="0" w:space="0" w:color="auto"/>
            <w:right w:val="none" w:sz="0" w:space="0" w:color="auto"/>
          </w:divBdr>
        </w:div>
        <w:div w:id="1768498876">
          <w:marLeft w:val="0"/>
          <w:marRight w:val="0"/>
          <w:marTop w:val="0"/>
          <w:marBottom w:val="0"/>
          <w:divBdr>
            <w:top w:val="none" w:sz="0" w:space="0" w:color="auto"/>
            <w:left w:val="none" w:sz="0" w:space="0" w:color="auto"/>
            <w:bottom w:val="none" w:sz="0" w:space="0" w:color="auto"/>
            <w:right w:val="none" w:sz="0" w:space="0" w:color="auto"/>
          </w:divBdr>
        </w:div>
        <w:div w:id="96800107">
          <w:marLeft w:val="0"/>
          <w:marRight w:val="0"/>
          <w:marTop w:val="0"/>
          <w:marBottom w:val="0"/>
          <w:divBdr>
            <w:top w:val="none" w:sz="0" w:space="0" w:color="auto"/>
            <w:left w:val="none" w:sz="0" w:space="0" w:color="auto"/>
            <w:bottom w:val="none" w:sz="0" w:space="0" w:color="auto"/>
            <w:right w:val="none" w:sz="0" w:space="0" w:color="auto"/>
          </w:divBdr>
        </w:div>
        <w:div w:id="1402175023">
          <w:marLeft w:val="0"/>
          <w:marRight w:val="0"/>
          <w:marTop w:val="0"/>
          <w:marBottom w:val="0"/>
          <w:divBdr>
            <w:top w:val="none" w:sz="0" w:space="0" w:color="auto"/>
            <w:left w:val="none" w:sz="0" w:space="0" w:color="auto"/>
            <w:bottom w:val="none" w:sz="0" w:space="0" w:color="auto"/>
            <w:right w:val="none" w:sz="0" w:space="0" w:color="auto"/>
          </w:divBdr>
        </w:div>
        <w:div w:id="2085685933">
          <w:marLeft w:val="0"/>
          <w:marRight w:val="0"/>
          <w:marTop w:val="0"/>
          <w:marBottom w:val="0"/>
          <w:divBdr>
            <w:top w:val="none" w:sz="0" w:space="0" w:color="auto"/>
            <w:left w:val="none" w:sz="0" w:space="0" w:color="auto"/>
            <w:bottom w:val="none" w:sz="0" w:space="0" w:color="auto"/>
            <w:right w:val="none" w:sz="0" w:space="0" w:color="auto"/>
          </w:divBdr>
        </w:div>
      </w:divsChild>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0936747">
      <w:bodyDiv w:val="1"/>
      <w:marLeft w:val="0"/>
      <w:marRight w:val="0"/>
      <w:marTop w:val="0"/>
      <w:marBottom w:val="0"/>
      <w:divBdr>
        <w:top w:val="none" w:sz="0" w:space="0" w:color="auto"/>
        <w:left w:val="none" w:sz="0" w:space="0" w:color="auto"/>
        <w:bottom w:val="none" w:sz="0" w:space="0" w:color="auto"/>
        <w:right w:val="none" w:sz="0" w:space="0" w:color="auto"/>
      </w:divBdr>
    </w:div>
    <w:div w:id="295837783">
      <w:bodyDiv w:val="1"/>
      <w:marLeft w:val="0"/>
      <w:marRight w:val="0"/>
      <w:marTop w:val="0"/>
      <w:marBottom w:val="0"/>
      <w:divBdr>
        <w:top w:val="none" w:sz="0" w:space="0" w:color="auto"/>
        <w:left w:val="none" w:sz="0" w:space="0" w:color="auto"/>
        <w:bottom w:val="none" w:sz="0" w:space="0" w:color="auto"/>
        <w:right w:val="none" w:sz="0" w:space="0" w:color="auto"/>
      </w:divBdr>
      <w:divsChild>
        <w:div w:id="2118593480">
          <w:marLeft w:val="0"/>
          <w:marRight w:val="0"/>
          <w:marTop w:val="0"/>
          <w:marBottom w:val="0"/>
          <w:divBdr>
            <w:top w:val="none" w:sz="0" w:space="0" w:color="auto"/>
            <w:left w:val="none" w:sz="0" w:space="0" w:color="auto"/>
            <w:bottom w:val="none" w:sz="0" w:space="0" w:color="auto"/>
            <w:right w:val="none" w:sz="0" w:space="0" w:color="auto"/>
          </w:divBdr>
        </w:div>
        <w:div w:id="836265321">
          <w:marLeft w:val="0"/>
          <w:marRight w:val="0"/>
          <w:marTop w:val="0"/>
          <w:marBottom w:val="0"/>
          <w:divBdr>
            <w:top w:val="none" w:sz="0" w:space="0" w:color="auto"/>
            <w:left w:val="none" w:sz="0" w:space="0" w:color="auto"/>
            <w:bottom w:val="none" w:sz="0" w:space="0" w:color="auto"/>
            <w:right w:val="none" w:sz="0" w:space="0" w:color="auto"/>
          </w:divBdr>
        </w:div>
        <w:div w:id="567348491">
          <w:marLeft w:val="0"/>
          <w:marRight w:val="0"/>
          <w:marTop w:val="0"/>
          <w:marBottom w:val="0"/>
          <w:divBdr>
            <w:top w:val="none" w:sz="0" w:space="0" w:color="auto"/>
            <w:left w:val="none" w:sz="0" w:space="0" w:color="auto"/>
            <w:bottom w:val="none" w:sz="0" w:space="0" w:color="auto"/>
            <w:right w:val="none" w:sz="0" w:space="0" w:color="auto"/>
          </w:divBdr>
        </w:div>
        <w:div w:id="2035886558">
          <w:marLeft w:val="0"/>
          <w:marRight w:val="0"/>
          <w:marTop w:val="0"/>
          <w:marBottom w:val="0"/>
          <w:divBdr>
            <w:top w:val="none" w:sz="0" w:space="0" w:color="auto"/>
            <w:left w:val="none" w:sz="0" w:space="0" w:color="auto"/>
            <w:bottom w:val="none" w:sz="0" w:space="0" w:color="auto"/>
            <w:right w:val="none" w:sz="0" w:space="0" w:color="auto"/>
          </w:divBdr>
        </w:div>
        <w:div w:id="1171724686">
          <w:marLeft w:val="0"/>
          <w:marRight w:val="0"/>
          <w:marTop w:val="0"/>
          <w:marBottom w:val="0"/>
          <w:divBdr>
            <w:top w:val="none" w:sz="0" w:space="0" w:color="auto"/>
            <w:left w:val="none" w:sz="0" w:space="0" w:color="auto"/>
            <w:bottom w:val="none" w:sz="0" w:space="0" w:color="auto"/>
            <w:right w:val="none" w:sz="0" w:space="0" w:color="auto"/>
          </w:divBdr>
        </w:div>
        <w:div w:id="1505050349">
          <w:marLeft w:val="0"/>
          <w:marRight w:val="0"/>
          <w:marTop w:val="0"/>
          <w:marBottom w:val="0"/>
          <w:divBdr>
            <w:top w:val="none" w:sz="0" w:space="0" w:color="auto"/>
            <w:left w:val="none" w:sz="0" w:space="0" w:color="auto"/>
            <w:bottom w:val="none" w:sz="0" w:space="0" w:color="auto"/>
            <w:right w:val="none" w:sz="0" w:space="0" w:color="auto"/>
          </w:divBdr>
        </w:div>
        <w:div w:id="506749870">
          <w:marLeft w:val="0"/>
          <w:marRight w:val="0"/>
          <w:marTop w:val="0"/>
          <w:marBottom w:val="0"/>
          <w:divBdr>
            <w:top w:val="none" w:sz="0" w:space="0" w:color="auto"/>
            <w:left w:val="none" w:sz="0" w:space="0" w:color="auto"/>
            <w:bottom w:val="none" w:sz="0" w:space="0" w:color="auto"/>
            <w:right w:val="none" w:sz="0" w:space="0" w:color="auto"/>
          </w:divBdr>
        </w:div>
        <w:div w:id="537938685">
          <w:marLeft w:val="0"/>
          <w:marRight w:val="0"/>
          <w:marTop w:val="0"/>
          <w:marBottom w:val="0"/>
          <w:divBdr>
            <w:top w:val="none" w:sz="0" w:space="0" w:color="auto"/>
            <w:left w:val="none" w:sz="0" w:space="0" w:color="auto"/>
            <w:bottom w:val="none" w:sz="0" w:space="0" w:color="auto"/>
            <w:right w:val="none" w:sz="0" w:space="0" w:color="auto"/>
          </w:divBdr>
        </w:div>
        <w:div w:id="1899432010">
          <w:marLeft w:val="0"/>
          <w:marRight w:val="0"/>
          <w:marTop w:val="0"/>
          <w:marBottom w:val="0"/>
          <w:divBdr>
            <w:top w:val="none" w:sz="0" w:space="0" w:color="auto"/>
            <w:left w:val="none" w:sz="0" w:space="0" w:color="auto"/>
            <w:bottom w:val="none" w:sz="0" w:space="0" w:color="auto"/>
            <w:right w:val="none" w:sz="0" w:space="0" w:color="auto"/>
          </w:divBdr>
        </w:div>
        <w:div w:id="6445656">
          <w:marLeft w:val="0"/>
          <w:marRight w:val="0"/>
          <w:marTop w:val="0"/>
          <w:marBottom w:val="0"/>
          <w:divBdr>
            <w:top w:val="none" w:sz="0" w:space="0" w:color="auto"/>
            <w:left w:val="none" w:sz="0" w:space="0" w:color="auto"/>
            <w:bottom w:val="none" w:sz="0" w:space="0" w:color="auto"/>
            <w:right w:val="none" w:sz="0" w:space="0" w:color="auto"/>
          </w:divBdr>
        </w:div>
      </w:divsChild>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10452866">
      <w:bodyDiv w:val="1"/>
      <w:marLeft w:val="0"/>
      <w:marRight w:val="0"/>
      <w:marTop w:val="0"/>
      <w:marBottom w:val="0"/>
      <w:divBdr>
        <w:top w:val="none" w:sz="0" w:space="0" w:color="auto"/>
        <w:left w:val="none" w:sz="0" w:space="0" w:color="auto"/>
        <w:bottom w:val="none" w:sz="0" w:space="0" w:color="auto"/>
        <w:right w:val="none" w:sz="0" w:space="0" w:color="auto"/>
      </w:divBdr>
    </w:div>
    <w:div w:id="325521064">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69427710">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4766">
      <w:bodyDiv w:val="1"/>
      <w:marLeft w:val="0"/>
      <w:marRight w:val="0"/>
      <w:marTop w:val="0"/>
      <w:marBottom w:val="0"/>
      <w:divBdr>
        <w:top w:val="none" w:sz="0" w:space="0" w:color="auto"/>
        <w:left w:val="none" w:sz="0" w:space="0" w:color="auto"/>
        <w:bottom w:val="none" w:sz="0" w:space="0" w:color="auto"/>
        <w:right w:val="none" w:sz="0" w:space="0" w:color="auto"/>
      </w:divBdr>
    </w:div>
    <w:div w:id="388771804">
      <w:bodyDiv w:val="1"/>
      <w:marLeft w:val="0"/>
      <w:marRight w:val="0"/>
      <w:marTop w:val="0"/>
      <w:marBottom w:val="0"/>
      <w:divBdr>
        <w:top w:val="none" w:sz="0" w:space="0" w:color="auto"/>
        <w:left w:val="none" w:sz="0" w:space="0" w:color="auto"/>
        <w:bottom w:val="none" w:sz="0" w:space="0" w:color="auto"/>
        <w:right w:val="none" w:sz="0" w:space="0" w:color="auto"/>
      </w:divBdr>
      <w:divsChild>
        <w:div w:id="1910116293">
          <w:marLeft w:val="547"/>
          <w:marRight w:val="0"/>
          <w:marTop w:val="0"/>
          <w:marBottom w:val="0"/>
          <w:divBdr>
            <w:top w:val="none" w:sz="0" w:space="0" w:color="auto"/>
            <w:left w:val="none" w:sz="0" w:space="0" w:color="auto"/>
            <w:bottom w:val="none" w:sz="0" w:space="0" w:color="auto"/>
            <w:right w:val="none" w:sz="0" w:space="0" w:color="auto"/>
          </w:divBdr>
        </w:div>
      </w:divsChild>
    </w:div>
    <w:div w:id="392387666">
      <w:bodyDiv w:val="1"/>
      <w:marLeft w:val="0"/>
      <w:marRight w:val="0"/>
      <w:marTop w:val="0"/>
      <w:marBottom w:val="0"/>
      <w:divBdr>
        <w:top w:val="none" w:sz="0" w:space="0" w:color="auto"/>
        <w:left w:val="none" w:sz="0" w:space="0" w:color="auto"/>
        <w:bottom w:val="none" w:sz="0" w:space="0" w:color="auto"/>
        <w:right w:val="none" w:sz="0" w:space="0" w:color="auto"/>
      </w:divBdr>
      <w:divsChild>
        <w:div w:id="1395736824">
          <w:marLeft w:val="0"/>
          <w:marRight w:val="0"/>
          <w:marTop w:val="0"/>
          <w:marBottom w:val="0"/>
          <w:divBdr>
            <w:top w:val="none" w:sz="0" w:space="0" w:color="auto"/>
            <w:left w:val="none" w:sz="0" w:space="0" w:color="auto"/>
            <w:bottom w:val="none" w:sz="0" w:space="0" w:color="auto"/>
            <w:right w:val="none" w:sz="0" w:space="0" w:color="auto"/>
          </w:divBdr>
          <w:divsChild>
            <w:div w:id="1032420279">
              <w:marLeft w:val="0"/>
              <w:marRight w:val="0"/>
              <w:marTop w:val="100"/>
              <w:marBottom w:val="100"/>
              <w:divBdr>
                <w:top w:val="none" w:sz="0" w:space="0" w:color="auto"/>
                <w:left w:val="none" w:sz="0" w:space="0" w:color="auto"/>
                <w:bottom w:val="none" w:sz="0" w:space="0" w:color="auto"/>
                <w:right w:val="none" w:sz="0" w:space="0" w:color="auto"/>
              </w:divBdr>
              <w:divsChild>
                <w:div w:id="1970895403">
                  <w:marLeft w:val="0"/>
                  <w:marRight w:val="0"/>
                  <w:marTop w:val="0"/>
                  <w:marBottom w:val="0"/>
                  <w:divBdr>
                    <w:top w:val="none" w:sz="0" w:space="0" w:color="auto"/>
                    <w:left w:val="none" w:sz="0" w:space="0" w:color="auto"/>
                    <w:bottom w:val="none" w:sz="0" w:space="0" w:color="auto"/>
                    <w:right w:val="none" w:sz="0" w:space="0" w:color="auto"/>
                  </w:divBdr>
                </w:div>
                <w:div w:id="15087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465">
      <w:bodyDiv w:val="1"/>
      <w:marLeft w:val="0"/>
      <w:marRight w:val="0"/>
      <w:marTop w:val="0"/>
      <w:marBottom w:val="0"/>
      <w:divBdr>
        <w:top w:val="none" w:sz="0" w:space="0" w:color="auto"/>
        <w:left w:val="none" w:sz="0" w:space="0" w:color="auto"/>
        <w:bottom w:val="none" w:sz="0" w:space="0" w:color="auto"/>
        <w:right w:val="none" w:sz="0" w:space="0" w:color="auto"/>
      </w:divBdr>
    </w:div>
    <w:div w:id="411200189">
      <w:bodyDiv w:val="1"/>
      <w:marLeft w:val="0"/>
      <w:marRight w:val="0"/>
      <w:marTop w:val="0"/>
      <w:marBottom w:val="0"/>
      <w:divBdr>
        <w:top w:val="none" w:sz="0" w:space="0" w:color="auto"/>
        <w:left w:val="none" w:sz="0" w:space="0" w:color="auto"/>
        <w:bottom w:val="none" w:sz="0" w:space="0" w:color="auto"/>
        <w:right w:val="none" w:sz="0" w:space="0" w:color="auto"/>
      </w:divBdr>
    </w:div>
    <w:div w:id="424037381">
      <w:bodyDiv w:val="1"/>
      <w:marLeft w:val="0"/>
      <w:marRight w:val="0"/>
      <w:marTop w:val="0"/>
      <w:marBottom w:val="0"/>
      <w:divBdr>
        <w:top w:val="none" w:sz="0" w:space="0" w:color="auto"/>
        <w:left w:val="none" w:sz="0" w:space="0" w:color="auto"/>
        <w:bottom w:val="none" w:sz="0" w:space="0" w:color="auto"/>
        <w:right w:val="none" w:sz="0" w:space="0" w:color="auto"/>
      </w:divBdr>
    </w:div>
    <w:div w:id="447436512">
      <w:bodyDiv w:val="1"/>
      <w:marLeft w:val="0"/>
      <w:marRight w:val="0"/>
      <w:marTop w:val="0"/>
      <w:marBottom w:val="0"/>
      <w:divBdr>
        <w:top w:val="none" w:sz="0" w:space="0" w:color="auto"/>
        <w:left w:val="none" w:sz="0" w:space="0" w:color="auto"/>
        <w:bottom w:val="none" w:sz="0" w:space="0" w:color="auto"/>
        <w:right w:val="none" w:sz="0" w:space="0" w:color="auto"/>
      </w:divBdr>
    </w:div>
    <w:div w:id="481191717">
      <w:bodyDiv w:val="1"/>
      <w:marLeft w:val="0"/>
      <w:marRight w:val="0"/>
      <w:marTop w:val="0"/>
      <w:marBottom w:val="0"/>
      <w:divBdr>
        <w:top w:val="none" w:sz="0" w:space="0" w:color="auto"/>
        <w:left w:val="none" w:sz="0" w:space="0" w:color="auto"/>
        <w:bottom w:val="none" w:sz="0" w:space="0" w:color="auto"/>
        <w:right w:val="none" w:sz="0" w:space="0" w:color="auto"/>
      </w:divBdr>
    </w:div>
    <w:div w:id="490564594">
      <w:bodyDiv w:val="1"/>
      <w:marLeft w:val="0"/>
      <w:marRight w:val="0"/>
      <w:marTop w:val="0"/>
      <w:marBottom w:val="0"/>
      <w:divBdr>
        <w:top w:val="none" w:sz="0" w:space="0" w:color="auto"/>
        <w:left w:val="none" w:sz="0" w:space="0" w:color="auto"/>
        <w:bottom w:val="none" w:sz="0" w:space="0" w:color="auto"/>
        <w:right w:val="none" w:sz="0" w:space="0" w:color="auto"/>
      </w:divBdr>
    </w:div>
    <w:div w:id="491877588">
      <w:bodyDiv w:val="1"/>
      <w:marLeft w:val="0"/>
      <w:marRight w:val="0"/>
      <w:marTop w:val="0"/>
      <w:marBottom w:val="0"/>
      <w:divBdr>
        <w:top w:val="none" w:sz="0" w:space="0" w:color="auto"/>
        <w:left w:val="none" w:sz="0" w:space="0" w:color="auto"/>
        <w:bottom w:val="none" w:sz="0" w:space="0" w:color="auto"/>
        <w:right w:val="none" w:sz="0" w:space="0" w:color="auto"/>
      </w:divBdr>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9122939">
      <w:bodyDiv w:val="1"/>
      <w:marLeft w:val="0"/>
      <w:marRight w:val="0"/>
      <w:marTop w:val="0"/>
      <w:marBottom w:val="0"/>
      <w:divBdr>
        <w:top w:val="none" w:sz="0" w:space="0" w:color="auto"/>
        <w:left w:val="none" w:sz="0" w:space="0" w:color="auto"/>
        <w:bottom w:val="none" w:sz="0" w:space="0" w:color="auto"/>
        <w:right w:val="none" w:sz="0" w:space="0" w:color="auto"/>
      </w:divBdr>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58978775">
      <w:bodyDiv w:val="1"/>
      <w:marLeft w:val="0"/>
      <w:marRight w:val="0"/>
      <w:marTop w:val="0"/>
      <w:marBottom w:val="0"/>
      <w:divBdr>
        <w:top w:val="none" w:sz="0" w:space="0" w:color="auto"/>
        <w:left w:val="none" w:sz="0" w:space="0" w:color="auto"/>
        <w:bottom w:val="none" w:sz="0" w:space="0" w:color="auto"/>
        <w:right w:val="none" w:sz="0" w:space="0" w:color="auto"/>
      </w:divBdr>
      <w:divsChild>
        <w:div w:id="1237134900">
          <w:marLeft w:val="0"/>
          <w:marRight w:val="0"/>
          <w:marTop w:val="0"/>
          <w:marBottom w:val="0"/>
          <w:divBdr>
            <w:top w:val="none" w:sz="0" w:space="0" w:color="auto"/>
            <w:left w:val="none" w:sz="0" w:space="0" w:color="auto"/>
            <w:bottom w:val="none" w:sz="0" w:space="0" w:color="auto"/>
            <w:right w:val="none" w:sz="0" w:space="0" w:color="auto"/>
          </w:divBdr>
        </w:div>
        <w:div w:id="68698313">
          <w:marLeft w:val="0"/>
          <w:marRight w:val="0"/>
          <w:marTop w:val="0"/>
          <w:marBottom w:val="0"/>
          <w:divBdr>
            <w:top w:val="none" w:sz="0" w:space="0" w:color="auto"/>
            <w:left w:val="none" w:sz="0" w:space="0" w:color="auto"/>
            <w:bottom w:val="none" w:sz="0" w:space="0" w:color="auto"/>
            <w:right w:val="none" w:sz="0" w:space="0" w:color="auto"/>
          </w:divBdr>
        </w:div>
        <w:div w:id="1847671966">
          <w:marLeft w:val="0"/>
          <w:marRight w:val="0"/>
          <w:marTop w:val="0"/>
          <w:marBottom w:val="0"/>
          <w:divBdr>
            <w:top w:val="none" w:sz="0" w:space="0" w:color="auto"/>
            <w:left w:val="none" w:sz="0" w:space="0" w:color="auto"/>
            <w:bottom w:val="none" w:sz="0" w:space="0" w:color="auto"/>
            <w:right w:val="none" w:sz="0" w:space="0" w:color="auto"/>
          </w:divBdr>
        </w:div>
        <w:div w:id="433208936">
          <w:marLeft w:val="0"/>
          <w:marRight w:val="0"/>
          <w:marTop w:val="0"/>
          <w:marBottom w:val="0"/>
          <w:divBdr>
            <w:top w:val="none" w:sz="0" w:space="0" w:color="auto"/>
            <w:left w:val="none" w:sz="0" w:space="0" w:color="auto"/>
            <w:bottom w:val="none" w:sz="0" w:space="0" w:color="auto"/>
            <w:right w:val="none" w:sz="0" w:space="0" w:color="auto"/>
          </w:divBdr>
        </w:div>
        <w:div w:id="840465559">
          <w:marLeft w:val="0"/>
          <w:marRight w:val="0"/>
          <w:marTop w:val="0"/>
          <w:marBottom w:val="0"/>
          <w:divBdr>
            <w:top w:val="none" w:sz="0" w:space="0" w:color="auto"/>
            <w:left w:val="none" w:sz="0" w:space="0" w:color="auto"/>
            <w:bottom w:val="none" w:sz="0" w:space="0" w:color="auto"/>
            <w:right w:val="none" w:sz="0" w:space="0" w:color="auto"/>
          </w:divBdr>
        </w:div>
        <w:div w:id="1276211498">
          <w:marLeft w:val="0"/>
          <w:marRight w:val="0"/>
          <w:marTop w:val="0"/>
          <w:marBottom w:val="0"/>
          <w:divBdr>
            <w:top w:val="none" w:sz="0" w:space="0" w:color="auto"/>
            <w:left w:val="none" w:sz="0" w:space="0" w:color="auto"/>
            <w:bottom w:val="none" w:sz="0" w:space="0" w:color="auto"/>
            <w:right w:val="none" w:sz="0" w:space="0" w:color="auto"/>
          </w:divBdr>
        </w:div>
        <w:div w:id="19597251">
          <w:marLeft w:val="0"/>
          <w:marRight w:val="0"/>
          <w:marTop w:val="0"/>
          <w:marBottom w:val="0"/>
          <w:divBdr>
            <w:top w:val="none" w:sz="0" w:space="0" w:color="auto"/>
            <w:left w:val="none" w:sz="0" w:space="0" w:color="auto"/>
            <w:bottom w:val="none" w:sz="0" w:space="0" w:color="auto"/>
            <w:right w:val="none" w:sz="0" w:space="0" w:color="auto"/>
          </w:divBdr>
        </w:div>
        <w:div w:id="1304504354">
          <w:marLeft w:val="0"/>
          <w:marRight w:val="0"/>
          <w:marTop w:val="0"/>
          <w:marBottom w:val="0"/>
          <w:divBdr>
            <w:top w:val="none" w:sz="0" w:space="0" w:color="auto"/>
            <w:left w:val="none" w:sz="0" w:space="0" w:color="auto"/>
            <w:bottom w:val="none" w:sz="0" w:space="0" w:color="auto"/>
            <w:right w:val="none" w:sz="0" w:space="0" w:color="auto"/>
          </w:divBdr>
        </w:div>
        <w:div w:id="627207380">
          <w:marLeft w:val="0"/>
          <w:marRight w:val="0"/>
          <w:marTop w:val="0"/>
          <w:marBottom w:val="0"/>
          <w:divBdr>
            <w:top w:val="none" w:sz="0" w:space="0" w:color="auto"/>
            <w:left w:val="none" w:sz="0" w:space="0" w:color="auto"/>
            <w:bottom w:val="none" w:sz="0" w:space="0" w:color="auto"/>
            <w:right w:val="none" w:sz="0" w:space="0" w:color="auto"/>
          </w:divBdr>
        </w:div>
        <w:div w:id="928389419">
          <w:marLeft w:val="0"/>
          <w:marRight w:val="0"/>
          <w:marTop w:val="0"/>
          <w:marBottom w:val="0"/>
          <w:divBdr>
            <w:top w:val="none" w:sz="0" w:space="0" w:color="auto"/>
            <w:left w:val="none" w:sz="0" w:space="0" w:color="auto"/>
            <w:bottom w:val="none" w:sz="0" w:space="0" w:color="auto"/>
            <w:right w:val="none" w:sz="0" w:space="0" w:color="auto"/>
          </w:divBdr>
        </w:div>
      </w:divsChild>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03">
      <w:bodyDiv w:val="1"/>
      <w:marLeft w:val="0"/>
      <w:marRight w:val="0"/>
      <w:marTop w:val="0"/>
      <w:marBottom w:val="0"/>
      <w:divBdr>
        <w:top w:val="none" w:sz="0" w:space="0" w:color="auto"/>
        <w:left w:val="none" w:sz="0" w:space="0" w:color="auto"/>
        <w:bottom w:val="none" w:sz="0" w:space="0" w:color="auto"/>
        <w:right w:val="none" w:sz="0" w:space="0" w:color="auto"/>
      </w:divBdr>
    </w:div>
    <w:div w:id="590510371">
      <w:bodyDiv w:val="1"/>
      <w:marLeft w:val="0"/>
      <w:marRight w:val="0"/>
      <w:marTop w:val="0"/>
      <w:marBottom w:val="0"/>
      <w:divBdr>
        <w:top w:val="none" w:sz="0" w:space="0" w:color="auto"/>
        <w:left w:val="none" w:sz="0" w:space="0" w:color="auto"/>
        <w:bottom w:val="none" w:sz="0" w:space="0" w:color="auto"/>
        <w:right w:val="none" w:sz="0" w:space="0" w:color="auto"/>
      </w:divBdr>
      <w:divsChild>
        <w:div w:id="570048030">
          <w:marLeft w:val="0"/>
          <w:marRight w:val="0"/>
          <w:marTop w:val="0"/>
          <w:marBottom w:val="0"/>
          <w:divBdr>
            <w:top w:val="none" w:sz="0" w:space="0" w:color="auto"/>
            <w:left w:val="none" w:sz="0" w:space="0" w:color="auto"/>
            <w:bottom w:val="none" w:sz="0" w:space="0" w:color="auto"/>
            <w:right w:val="none" w:sz="0" w:space="0" w:color="auto"/>
          </w:divBdr>
        </w:div>
        <w:div w:id="634026537">
          <w:marLeft w:val="0"/>
          <w:marRight w:val="0"/>
          <w:marTop w:val="0"/>
          <w:marBottom w:val="0"/>
          <w:divBdr>
            <w:top w:val="none" w:sz="0" w:space="0" w:color="auto"/>
            <w:left w:val="none" w:sz="0" w:space="0" w:color="auto"/>
            <w:bottom w:val="none" w:sz="0" w:space="0" w:color="auto"/>
            <w:right w:val="none" w:sz="0" w:space="0" w:color="auto"/>
          </w:divBdr>
        </w:div>
        <w:div w:id="408887719">
          <w:marLeft w:val="0"/>
          <w:marRight w:val="0"/>
          <w:marTop w:val="0"/>
          <w:marBottom w:val="0"/>
          <w:divBdr>
            <w:top w:val="none" w:sz="0" w:space="0" w:color="auto"/>
            <w:left w:val="none" w:sz="0" w:space="0" w:color="auto"/>
            <w:bottom w:val="none" w:sz="0" w:space="0" w:color="auto"/>
            <w:right w:val="none" w:sz="0" w:space="0" w:color="auto"/>
          </w:divBdr>
        </w:div>
        <w:div w:id="539167640">
          <w:marLeft w:val="0"/>
          <w:marRight w:val="0"/>
          <w:marTop w:val="0"/>
          <w:marBottom w:val="0"/>
          <w:divBdr>
            <w:top w:val="none" w:sz="0" w:space="0" w:color="auto"/>
            <w:left w:val="none" w:sz="0" w:space="0" w:color="auto"/>
            <w:bottom w:val="none" w:sz="0" w:space="0" w:color="auto"/>
            <w:right w:val="none" w:sz="0" w:space="0" w:color="auto"/>
          </w:divBdr>
        </w:div>
        <w:div w:id="1567181351">
          <w:marLeft w:val="0"/>
          <w:marRight w:val="0"/>
          <w:marTop w:val="0"/>
          <w:marBottom w:val="0"/>
          <w:divBdr>
            <w:top w:val="none" w:sz="0" w:space="0" w:color="auto"/>
            <w:left w:val="none" w:sz="0" w:space="0" w:color="auto"/>
            <w:bottom w:val="none" w:sz="0" w:space="0" w:color="auto"/>
            <w:right w:val="none" w:sz="0" w:space="0" w:color="auto"/>
          </w:divBdr>
        </w:div>
        <w:div w:id="1676497164">
          <w:marLeft w:val="0"/>
          <w:marRight w:val="0"/>
          <w:marTop w:val="0"/>
          <w:marBottom w:val="0"/>
          <w:divBdr>
            <w:top w:val="none" w:sz="0" w:space="0" w:color="auto"/>
            <w:left w:val="none" w:sz="0" w:space="0" w:color="auto"/>
            <w:bottom w:val="none" w:sz="0" w:space="0" w:color="auto"/>
            <w:right w:val="none" w:sz="0" w:space="0" w:color="auto"/>
          </w:divBdr>
        </w:div>
        <w:div w:id="1233153304">
          <w:marLeft w:val="0"/>
          <w:marRight w:val="0"/>
          <w:marTop w:val="0"/>
          <w:marBottom w:val="0"/>
          <w:divBdr>
            <w:top w:val="none" w:sz="0" w:space="0" w:color="auto"/>
            <w:left w:val="none" w:sz="0" w:space="0" w:color="auto"/>
            <w:bottom w:val="none" w:sz="0" w:space="0" w:color="auto"/>
            <w:right w:val="none" w:sz="0" w:space="0" w:color="auto"/>
          </w:divBdr>
        </w:div>
        <w:div w:id="1814716756">
          <w:marLeft w:val="0"/>
          <w:marRight w:val="0"/>
          <w:marTop w:val="0"/>
          <w:marBottom w:val="0"/>
          <w:divBdr>
            <w:top w:val="none" w:sz="0" w:space="0" w:color="auto"/>
            <w:left w:val="none" w:sz="0" w:space="0" w:color="auto"/>
            <w:bottom w:val="none" w:sz="0" w:space="0" w:color="auto"/>
            <w:right w:val="none" w:sz="0" w:space="0" w:color="auto"/>
          </w:divBdr>
        </w:div>
        <w:div w:id="79955583">
          <w:marLeft w:val="0"/>
          <w:marRight w:val="0"/>
          <w:marTop w:val="0"/>
          <w:marBottom w:val="0"/>
          <w:divBdr>
            <w:top w:val="none" w:sz="0" w:space="0" w:color="auto"/>
            <w:left w:val="none" w:sz="0" w:space="0" w:color="auto"/>
            <w:bottom w:val="none" w:sz="0" w:space="0" w:color="auto"/>
            <w:right w:val="none" w:sz="0" w:space="0" w:color="auto"/>
          </w:divBdr>
        </w:div>
        <w:div w:id="1163086834">
          <w:marLeft w:val="0"/>
          <w:marRight w:val="0"/>
          <w:marTop w:val="0"/>
          <w:marBottom w:val="0"/>
          <w:divBdr>
            <w:top w:val="none" w:sz="0" w:space="0" w:color="auto"/>
            <w:left w:val="none" w:sz="0" w:space="0" w:color="auto"/>
            <w:bottom w:val="none" w:sz="0" w:space="0" w:color="auto"/>
            <w:right w:val="none" w:sz="0" w:space="0" w:color="auto"/>
          </w:divBdr>
        </w:div>
      </w:divsChild>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07929234">
      <w:bodyDiv w:val="1"/>
      <w:marLeft w:val="0"/>
      <w:marRight w:val="0"/>
      <w:marTop w:val="0"/>
      <w:marBottom w:val="0"/>
      <w:divBdr>
        <w:top w:val="none" w:sz="0" w:space="0" w:color="auto"/>
        <w:left w:val="none" w:sz="0" w:space="0" w:color="auto"/>
        <w:bottom w:val="none" w:sz="0" w:space="0" w:color="auto"/>
        <w:right w:val="none" w:sz="0" w:space="0" w:color="auto"/>
      </w:divBdr>
      <w:divsChild>
        <w:div w:id="1309093380">
          <w:marLeft w:val="0"/>
          <w:marRight w:val="0"/>
          <w:marTop w:val="0"/>
          <w:marBottom w:val="0"/>
          <w:divBdr>
            <w:top w:val="none" w:sz="0" w:space="0" w:color="auto"/>
            <w:left w:val="none" w:sz="0" w:space="0" w:color="auto"/>
            <w:bottom w:val="none" w:sz="0" w:space="0" w:color="auto"/>
            <w:right w:val="none" w:sz="0" w:space="0" w:color="auto"/>
          </w:divBdr>
        </w:div>
        <w:div w:id="2008438989">
          <w:marLeft w:val="0"/>
          <w:marRight w:val="0"/>
          <w:marTop w:val="0"/>
          <w:marBottom w:val="0"/>
          <w:divBdr>
            <w:top w:val="none" w:sz="0" w:space="0" w:color="auto"/>
            <w:left w:val="none" w:sz="0" w:space="0" w:color="auto"/>
            <w:bottom w:val="none" w:sz="0" w:space="0" w:color="auto"/>
            <w:right w:val="none" w:sz="0" w:space="0" w:color="auto"/>
          </w:divBdr>
        </w:div>
        <w:div w:id="1215459218">
          <w:marLeft w:val="0"/>
          <w:marRight w:val="0"/>
          <w:marTop w:val="0"/>
          <w:marBottom w:val="0"/>
          <w:divBdr>
            <w:top w:val="none" w:sz="0" w:space="0" w:color="auto"/>
            <w:left w:val="none" w:sz="0" w:space="0" w:color="auto"/>
            <w:bottom w:val="none" w:sz="0" w:space="0" w:color="auto"/>
            <w:right w:val="none" w:sz="0" w:space="0" w:color="auto"/>
          </w:divBdr>
        </w:div>
        <w:div w:id="1267426221">
          <w:marLeft w:val="0"/>
          <w:marRight w:val="0"/>
          <w:marTop w:val="0"/>
          <w:marBottom w:val="0"/>
          <w:divBdr>
            <w:top w:val="none" w:sz="0" w:space="0" w:color="auto"/>
            <w:left w:val="none" w:sz="0" w:space="0" w:color="auto"/>
            <w:bottom w:val="none" w:sz="0" w:space="0" w:color="auto"/>
            <w:right w:val="none" w:sz="0" w:space="0" w:color="auto"/>
          </w:divBdr>
        </w:div>
        <w:div w:id="255990984">
          <w:marLeft w:val="0"/>
          <w:marRight w:val="0"/>
          <w:marTop w:val="0"/>
          <w:marBottom w:val="0"/>
          <w:divBdr>
            <w:top w:val="none" w:sz="0" w:space="0" w:color="auto"/>
            <w:left w:val="none" w:sz="0" w:space="0" w:color="auto"/>
            <w:bottom w:val="none" w:sz="0" w:space="0" w:color="auto"/>
            <w:right w:val="none" w:sz="0" w:space="0" w:color="auto"/>
          </w:divBdr>
        </w:div>
        <w:div w:id="647904197">
          <w:marLeft w:val="0"/>
          <w:marRight w:val="0"/>
          <w:marTop w:val="0"/>
          <w:marBottom w:val="0"/>
          <w:divBdr>
            <w:top w:val="none" w:sz="0" w:space="0" w:color="auto"/>
            <w:left w:val="none" w:sz="0" w:space="0" w:color="auto"/>
            <w:bottom w:val="none" w:sz="0" w:space="0" w:color="auto"/>
            <w:right w:val="none" w:sz="0" w:space="0" w:color="auto"/>
          </w:divBdr>
        </w:div>
        <w:div w:id="182672148">
          <w:marLeft w:val="0"/>
          <w:marRight w:val="0"/>
          <w:marTop w:val="0"/>
          <w:marBottom w:val="0"/>
          <w:divBdr>
            <w:top w:val="none" w:sz="0" w:space="0" w:color="auto"/>
            <w:left w:val="none" w:sz="0" w:space="0" w:color="auto"/>
            <w:bottom w:val="none" w:sz="0" w:space="0" w:color="auto"/>
            <w:right w:val="none" w:sz="0" w:space="0" w:color="auto"/>
          </w:divBdr>
        </w:div>
        <w:div w:id="865678718">
          <w:marLeft w:val="0"/>
          <w:marRight w:val="0"/>
          <w:marTop w:val="0"/>
          <w:marBottom w:val="0"/>
          <w:divBdr>
            <w:top w:val="none" w:sz="0" w:space="0" w:color="auto"/>
            <w:left w:val="none" w:sz="0" w:space="0" w:color="auto"/>
            <w:bottom w:val="none" w:sz="0" w:space="0" w:color="auto"/>
            <w:right w:val="none" w:sz="0" w:space="0" w:color="auto"/>
          </w:divBdr>
        </w:div>
        <w:div w:id="692878878">
          <w:marLeft w:val="0"/>
          <w:marRight w:val="0"/>
          <w:marTop w:val="0"/>
          <w:marBottom w:val="0"/>
          <w:divBdr>
            <w:top w:val="none" w:sz="0" w:space="0" w:color="auto"/>
            <w:left w:val="none" w:sz="0" w:space="0" w:color="auto"/>
            <w:bottom w:val="none" w:sz="0" w:space="0" w:color="auto"/>
            <w:right w:val="none" w:sz="0" w:space="0" w:color="auto"/>
          </w:divBdr>
        </w:div>
        <w:div w:id="2029869359">
          <w:marLeft w:val="0"/>
          <w:marRight w:val="0"/>
          <w:marTop w:val="0"/>
          <w:marBottom w:val="0"/>
          <w:divBdr>
            <w:top w:val="none" w:sz="0" w:space="0" w:color="auto"/>
            <w:left w:val="none" w:sz="0" w:space="0" w:color="auto"/>
            <w:bottom w:val="none" w:sz="0" w:space="0" w:color="auto"/>
            <w:right w:val="none" w:sz="0" w:space="0" w:color="auto"/>
          </w:divBdr>
        </w:div>
      </w:divsChild>
    </w:div>
    <w:div w:id="620457830">
      <w:bodyDiv w:val="1"/>
      <w:marLeft w:val="0"/>
      <w:marRight w:val="0"/>
      <w:marTop w:val="0"/>
      <w:marBottom w:val="0"/>
      <w:divBdr>
        <w:top w:val="none" w:sz="0" w:space="0" w:color="auto"/>
        <w:left w:val="none" w:sz="0" w:space="0" w:color="auto"/>
        <w:bottom w:val="none" w:sz="0" w:space="0" w:color="auto"/>
        <w:right w:val="none" w:sz="0" w:space="0" w:color="auto"/>
      </w:divBdr>
      <w:divsChild>
        <w:div w:id="276374093">
          <w:marLeft w:val="0"/>
          <w:marRight w:val="0"/>
          <w:marTop w:val="0"/>
          <w:marBottom w:val="0"/>
          <w:divBdr>
            <w:top w:val="none" w:sz="0" w:space="0" w:color="auto"/>
            <w:left w:val="none" w:sz="0" w:space="0" w:color="auto"/>
            <w:bottom w:val="none" w:sz="0" w:space="0" w:color="auto"/>
            <w:right w:val="none" w:sz="0" w:space="0" w:color="auto"/>
          </w:divBdr>
        </w:div>
        <w:div w:id="1855807005">
          <w:marLeft w:val="0"/>
          <w:marRight w:val="0"/>
          <w:marTop w:val="0"/>
          <w:marBottom w:val="0"/>
          <w:divBdr>
            <w:top w:val="none" w:sz="0" w:space="0" w:color="auto"/>
            <w:left w:val="none" w:sz="0" w:space="0" w:color="auto"/>
            <w:bottom w:val="none" w:sz="0" w:space="0" w:color="auto"/>
            <w:right w:val="none" w:sz="0" w:space="0" w:color="auto"/>
          </w:divBdr>
        </w:div>
        <w:div w:id="666442115">
          <w:marLeft w:val="0"/>
          <w:marRight w:val="0"/>
          <w:marTop w:val="0"/>
          <w:marBottom w:val="0"/>
          <w:divBdr>
            <w:top w:val="none" w:sz="0" w:space="0" w:color="auto"/>
            <w:left w:val="none" w:sz="0" w:space="0" w:color="auto"/>
            <w:bottom w:val="none" w:sz="0" w:space="0" w:color="auto"/>
            <w:right w:val="none" w:sz="0" w:space="0" w:color="auto"/>
          </w:divBdr>
        </w:div>
        <w:div w:id="1083067526">
          <w:marLeft w:val="0"/>
          <w:marRight w:val="0"/>
          <w:marTop w:val="0"/>
          <w:marBottom w:val="0"/>
          <w:divBdr>
            <w:top w:val="none" w:sz="0" w:space="0" w:color="auto"/>
            <w:left w:val="none" w:sz="0" w:space="0" w:color="auto"/>
            <w:bottom w:val="none" w:sz="0" w:space="0" w:color="auto"/>
            <w:right w:val="none" w:sz="0" w:space="0" w:color="auto"/>
          </w:divBdr>
        </w:div>
        <w:div w:id="1580627887">
          <w:marLeft w:val="0"/>
          <w:marRight w:val="0"/>
          <w:marTop w:val="0"/>
          <w:marBottom w:val="0"/>
          <w:divBdr>
            <w:top w:val="none" w:sz="0" w:space="0" w:color="auto"/>
            <w:left w:val="none" w:sz="0" w:space="0" w:color="auto"/>
            <w:bottom w:val="none" w:sz="0" w:space="0" w:color="auto"/>
            <w:right w:val="none" w:sz="0" w:space="0" w:color="auto"/>
          </w:divBdr>
        </w:div>
        <w:div w:id="605504634">
          <w:marLeft w:val="0"/>
          <w:marRight w:val="0"/>
          <w:marTop w:val="0"/>
          <w:marBottom w:val="0"/>
          <w:divBdr>
            <w:top w:val="none" w:sz="0" w:space="0" w:color="auto"/>
            <w:left w:val="none" w:sz="0" w:space="0" w:color="auto"/>
            <w:bottom w:val="none" w:sz="0" w:space="0" w:color="auto"/>
            <w:right w:val="none" w:sz="0" w:space="0" w:color="auto"/>
          </w:divBdr>
        </w:div>
        <w:div w:id="582489587">
          <w:marLeft w:val="0"/>
          <w:marRight w:val="0"/>
          <w:marTop w:val="0"/>
          <w:marBottom w:val="0"/>
          <w:divBdr>
            <w:top w:val="none" w:sz="0" w:space="0" w:color="auto"/>
            <w:left w:val="none" w:sz="0" w:space="0" w:color="auto"/>
            <w:bottom w:val="none" w:sz="0" w:space="0" w:color="auto"/>
            <w:right w:val="none" w:sz="0" w:space="0" w:color="auto"/>
          </w:divBdr>
        </w:div>
        <w:div w:id="539514550">
          <w:marLeft w:val="0"/>
          <w:marRight w:val="0"/>
          <w:marTop w:val="0"/>
          <w:marBottom w:val="0"/>
          <w:divBdr>
            <w:top w:val="none" w:sz="0" w:space="0" w:color="auto"/>
            <w:left w:val="none" w:sz="0" w:space="0" w:color="auto"/>
            <w:bottom w:val="none" w:sz="0" w:space="0" w:color="auto"/>
            <w:right w:val="none" w:sz="0" w:space="0" w:color="auto"/>
          </w:divBdr>
        </w:div>
        <w:div w:id="522862832">
          <w:marLeft w:val="0"/>
          <w:marRight w:val="0"/>
          <w:marTop w:val="0"/>
          <w:marBottom w:val="0"/>
          <w:divBdr>
            <w:top w:val="none" w:sz="0" w:space="0" w:color="auto"/>
            <w:left w:val="none" w:sz="0" w:space="0" w:color="auto"/>
            <w:bottom w:val="none" w:sz="0" w:space="0" w:color="auto"/>
            <w:right w:val="none" w:sz="0" w:space="0" w:color="auto"/>
          </w:divBdr>
        </w:div>
        <w:div w:id="1154954249">
          <w:marLeft w:val="0"/>
          <w:marRight w:val="0"/>
          <w:marTop w:val="0"/>
          <w:marBottom w:val="0"/>
          <w:divBdr>
            <w:top w:val="none" w:sz="0" w:space="0" w:color="auto"/>
            <w:left w:val="none" w:sz="0" w:space="0" w:color="auto"/>
            <w:bottom w:val="none" w:sz="0" w:space="0" w:color="auto"/>
            <w:right w:val="none" w:sz="0" w:space="0" w:color="auto"/>
          </w:divBdr>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44624714">
      <w:bodyDiv w:val="1"/>
      <w:marLeft w:val="0"/>
      <w:marRight w:val="0"/>
      <w:marTop w:val="0"/>
      <w:marBottom w:val="0"/>
      <w:divBdr>
        <w:top w:val="none" w:sz="0" w:space="0" w:color="auto"/>
        <w:left w:val="none" w:sz="0" w:space="0" w:color="auto"/>
        <w:bottom w:val="none" w:sz="0" w:space="0" w:color="auto"/>
        <w:right w:val="none" w:sz="0" w:space="0" w:color="auto"/>
      </w:divBdr>
      <w:divsChild>
        <w:div w:id="2006780316">
          <w:marLeft w:val="0"/>
          <w:marRight w:val="0"/>
          <w:marTop w:val="0"/>
          <w:marBottom w:val="0"/>
          <w:divBdr>
            <w:top w:val="none" w:sz="0" w:space="0" w:color="auto"/>
            <w:left w:val="none" w:sz="0" w:space="0" w:color="auto"/>
            <w:bottom w:val="none" w:sz="0" w:space="0" w:color="auto"/>
            <w:right w:val="none" w:sz="0" w:space="0" w:color="auto"/>
          </w:divBdr>
        </w:div>
      </w:divsChild>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744031">
      <w:bodyDiv w:val="1"/>
      <w:marLeft w:val="0"/>
      <w:marRight w:val="0"/>
      <w:marTop w:val="0"/>
      <w:marBottom w:val="0"/>
      <w:divBdr>
        <w:top w:val="none" w:sz="0" w:space="0" w:color="auto"/>
        <w:left w:val="none" w:sz="0" w:space="0" w:color="auto"/>
        <w:bottom w:val="none" w:sz="0" w:space="0" w:color="auto"/>
        <w:right w:val="none" w:sz="0" w:space="0" w:color="auto"/>
      </w:divBdr>
      <w:divsChild>
        <w:div w:id="1252936629">
          <w:marLeft w:val="0"/>
          <w:marRight w:val="0"/>
          <w:marTop w:val="0"/>
          <w:marBottom w:val="0"/>
          <w:divBdr>
            <w:top w:val="none" w:sz="0" w:space="0" w:color="auto"/>
            <w:left w:val="none" w:sz="0" w:space="0" w:color="auto"/>
            <w:bottom w:val="none" w:sz="0" w:space="0" w:color="auto"/>
            <w:right w:val="none" w:sz="0" w:space="0" w:color="auto"/>
          </w:divBdr>
        </w:div>
        <w:div w:id="76442629">
          <w:marLeft w:val="0"/>
          <w:marRight w:val="0"/>
          <w:marTop w:val="0"/>
          <w:marBottom w:val="0"/>
          <w:divBdr>
            <w:top w:val="none" w:sz="0" w:space="0" w:color="auto"/>
            <w:left w:val="none" w:sz="0" w:space="0" w:color="auto"/>
            <w:bottom w:val="none" w:sz="0" w:space="0" w:color="auto"/>
            <w:right w:val="none" w:sz="0" w:space="0" w:color="auto"/>
          </w:divBdr>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407">
      <w:bodyDiv w:val="1"/>
      <w:marLeft w:val="0"/>
      <w:marRight w:val="0"/>
      <w:marTop w:val="0"/>
      <w:marBottom w:val="0"/>
      <w:divBdr>
        <w:top w:val="none" w:sz="0" w:space="0" w:color="auto"/>
        <w:left w:val="none" w:sz="0" w:space="0" w:color="auto"/>
        <w:bottom w:val="none" w:sz="0" w:space="0" w:color="auto"/>
        <w:right w:val="none" w:sz="0" w:space="0" w:color="auto"/>
      </w:divBdr>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4894">
      <w:bodyDiv w:val="1"/>
      <w:marLeft w:val="0"/>
      <w:marRight w:val="0"/>
      <w:marTop w:val="0"/>
      <w:marBottom w:val="0"/>
      <w:divBdr>
        <w:top w:val="none" w:sz="0" w:space="0" w:color="auto"/>
        <w:left w:val="none" w:sz="0" w:space="0" w:color="auto"/>
        <w:bottom w:val="none" w:sz="0" w:space="0" w:color="auto"/>
        <w:right w:val="none" w:sz="0" w:space="0" w:color="auto"/>
      </w:divBdr>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80185">
      <w:bodyDiv w:val="1"/>
      <w:marLeft w:val="0"/>
      <w:marRight w:val="0"/>
      <w:marTop w:val="0"/>
      <w:marBottom w:val="0"/>
      <w:divBdr>
        <w:top w:val="none" w:sz="0" w:space="0" w:color="auto"/>
        <w:left w:val="none" w:sz="0" w:space="0" w:color="auto"/>
        <w:bottom w:val="none" w:sz="0" w:space="0" w:color="auto"/>
        <w:right w:val="none" w:sz="0" w:space="0" w:color="auto"/>
      </w:divBdr>
      <w:divsChild>
        <w:div w:id="601188912">
          <w:marLeft w:val="0"/>
          <w:marRight w:val="0"/>
          <w:marTop w:val="0"/>
          <w:marBottom w:val="0"/>
          <w:divBdr>
            <w:top w:val="none" w:sz="0" w:space="0" w:color="auto"/>
            <w:left w:val="none" w:sz="0" w:space="0" w:color="auto"/>
            <w:bottom w:val="none" w:sz="0" w:space="0" w:color="auto"/>
            <w:right w:val="none" w:sz="0" w:space="0" w:color="auto"/>
          </w:divBdr>
          <w:divsChild>
            <w:div w:id="1271551762">
              <w:marLeft w:val="0"/>
              <w:marRight w:val="0"/>
              <w:marTop w:val="0"/>
              <w:marBottom w:val="0"/>
              <w:divBdr>
                <w:top w:val="none" w:sz="0" w:space="0" w:color="auto"/>
                <w:left w:val="none" w:sz="0" w:space="0" w:color="auto"/>
                <w:bottom w:val="none" w:sz="0" w:space="0" w:color="auto"/>
                <w:right w:val="none" w:sz="0" w:space="0" w:color="auto"/>
              </w:divBdr>
            </w:div>
            <w:div w:id="1606032319">
              <w:marLeft w:val="0"/>
              <w:marRight w:val="0"/>
              <w:marTop w:val="0"/>
              <w:marBottom w:val="0"/>
              <w:divBdr>
                <w:top w:val="none" w:sz="0" w:space="0" w:color="auto"/>
                <w:left w:val="none" w:sz="0" w:space="0" w:color="auto"/>
                <w:bottom w:val="none" w:sz="0" w:space="0" w:color="auto"/>
                <w:right w:val="none" w:sz="0" w:space="0" w:color="auto"/>
              </w:divBdr>
            </w:div>
            <w:div w:id="23756769">
              <w:marLeft w:val="0"/>
              <w:marRight w:val="0"/>
              <w:marTop w:val="0"/>
              <w:marBottom w:val="0"/>
              <w:divBdr>
                <w:top w:val="none" w:sz="0" w:space="0" w:color="auto"/>
                <w:left w:val="none" w:sz="0" w:space="0" w:color="auto"/>
                <w:bottom w:val="none" w:sz="0" w:space="0" w:color="auto"/>
                <w:right w:val="none" w:sz="0" w:space="0" w:color="auto"/>
              </w:divBdr>
            </w:div>
            <w:div w:id="2058553174">
              <w:marLeft w:val="0"/>
              <w:marRight w:val="0"/>
              <w:marTop w:val="0"/>
              <w:marBottom w:val="0"/>
              <w:divBdr>
                <w:top w:val="none" w:sz="0" w:space="0" w:color="auto"/>
                <w:left w:val="none" w:sz="0" w:space="0" w:color="auto"/>
                <w:bottom w:val="none" w:sz="0" w:space="0" w:color="auto"/>
                <w:right w:val="none" w:sz="0" w:space="0" w:color="auto"/>
              </w:divBdr>
            </w:div>
            <w:div w:id="2062751409">
              <w:marLeft w:val="0"/>
              <w:marRight w:val="0"/>
              <w:marTop w:val="0"/>
              <w:marBottom w:val="0"/>
              <w:divBdr>
                <w:top w:val="none" w:sz="0" w:space="0" w:color="auto"/>
                <w:left w:val="none" w:sz="0" w:space="0" w:color="auto"/>
                <w:bottom w:val="none" w:sz="0" w:space="0" w:color="auto"/>
                <w:right w:val="none" w:sz="0" w:space="0" w:color="auto"/>
              </w:divBdr>
            </w:div>
          </w:divsChild>
        </w:div>
        <w:div w:id="1960138055">
          <w:marLeft w:val="0"/>
          <w:marRight w:val="0"/>
          <w:marTop w:val="0"/>
          <w:marBottom w:val="0"/>
          <w:divBdr>
            <w:top w:val="none" w:sz="0" w:space="0" w:color="auto"/>
            <w:left w:val="none" w:sz="0" w:space="0" w:color="auto"/>
            <w:bottom w:val="none" w:sz="0" w:space="0" w:color="auto"/>
            <w:right w:val="none" w:sz="0" w:space="0" w:color="auto"/>
          </w:divBdr>
          <w:divsChild>
            <w:div w:id="994919819">
              <w:marLeft w:val="0"/>
              <w:marRight w:val="0"/>
              <w:marTop w:val="0"/>
              <w:marBottom w:val="0"/>
              <w:divBdr>
                <w:top w:val="none" w:sz="0" w:space="0" w:color="auto"/>
                <w:left w:val="none" w:sz="0" w:space="0" w:color="auto"/>
                <w:bottom w:val="none" w:sz="0" w:space="0" w:color="auto"/>
                <w:right w:val="none" w:sz="0" w:space="0" w:color="auto"/>
              </w:divBdr>
              <w:divsChild>
                <w:div w:id="1232470344">
                  <w:marLeft w:val="0"/>
                  <w:marRight w:val="0"/>
                  <w:marTop w:val="0"/>
                  <w:marBottom w:val="0"/>
                  <w:divBdr>
                    <w:top w:val="none" w:sz="0" w:space="0" w:color="auto"/>
                    <w:left w:val="none" w:sz="0" w:space="0" w:color="auto"/>
                    <w:bottom w:val="none" w:sz="0" w:space="0" w:color="auto"/>
                    <w:right w:val="none" w:sz="0" w:space="0" w:color="auto"/>
                  </w:divBdr>
                  <w:divsChild>
                    <w:div w:id="1934387359">
                      <w:marLeft w:val="0"/>
                      <w:marRight w:val="0"/>
                      <w:marTop w:val="0"/>
                      <w:marBottom w:val="0"/>
                      <w:divBdr>
                        <w:top w:val="none" w:sz="0" w:space="0" w:color="auto"/>
                        <w:left w:val="none" w:sz="0" w:space="0" w:color="auto"/>
                        <w:bottom w:val="none" w:sz="0" w:space="0" w:color="auto"/>
                        <w:right w:val="none" w:sz="0" w:space="0" w:color="auto"/>
                      </w:divBdr>
                      <w:divsChild>
                        <w:div w:id="802697271">
                          <w:marLeft w:val="0"/>
                          <w:marRight w:val="0"/>
                          <w:marTop w:val="0"/>
                          <w:marBottom w:val="0"/>
                          <w:divBdr>
                            <w:top w:val="none" w:sz="0" w:space="0" w:color="auto"/>
                            <w:left w:val="none" w:sz="0" w:space="0" w:color="auto"/>
                            <w:bottom w:val="none" w:sz="0" w:space="0" w:color="auto"/>
                            <w:right w:val="none" w:sz="0" w:space="0" w:color="auto"/>
                          </w:divBdr>
                          <w:divsChild>
                            <w:div w:id="1241211665">
                              <w:marLeft w:val="0"/>
                              <w:marRight w:val="0"/>
                              <w:marTop w:val="0"/>
                              <w:marBottom w:val="0"/>
                              <w:divBdr>
                                <w:top w:val="none" w:sz="0" w:space="0" w:color="auto"/>
                                <w:left w:val="none" w:sz="0" w:space="0" w:color="auto"/>
                                <w:bottom w:val="none" w:sz="0" w:space="0" w:color="auto"/>
                                <w:right w:val="none" w:sz="0" w:space="0" w:color="auto"/>
                              </w:divBdr>
                            </w:div>
                          </w:divsChild>
                        </w:div>
                        <w:div w:id="1407606568">
                          <w:marLeft w:val="0"/>
                          <w:marRight w:val="0"/>
                          <w:marTop w:val="0"/>
                          <w:marBottom w:val="0"/>
                          <w:divBdr>
                            <w:top w:val="none" w:sz="0" w:space="0" w:color="auto"/>
                            <w:left w:val="none" w:sz="0" w:space="0" w:color="auto"/>
                            <w:bottom w:val="none" w:sz="0" w:space="0" w:color="auto"/>
                            <w:right w:val="none" w:sz="0" w:space="0" w:color="auto"/>
                          </w:divBdr>
                          <w:divsChild>
                            <w:div w:id="1397703707">
                              <w:marLeft w:val="0"/>
                              <w:marRight w:val="0"/>
                              <w:marTop w:val="0"/>
                              <w:marBottom w:val="0"/>
                              <w:divBdr>
                                <w:top w:val="none" w:sz="0" w:space="0" w:color="auto"/>
                                <w:left w:val="none" w:sz="0" w:space="0" w:color="auto"/>
                                <w:bottom w:val="none" w:sz="0" w:space="0" w:color="auto"/>
                                <w:right w:val="none" w:sz="0" w:space="0" w:color="auto"/>
                              </w:divBdr>
                            </w:div>
                          </w:divsChild>
                        </w:div>
                        <w:div w:id="124740125">
                          <w:marLeft w:val="0"/>
                          <w:marRight w:val="0"/>
                          <w:marTop w:val="0"/>
                          <w:marBottom w:val="0"/>
                          <w:divBdr>
                            <w:top w:val="none" w:sz="0" w:space="0" w:color="auto"/>
                            <w:left w:val="none" w:sz="0" w:space="0" w:color="auto"/>
                            <w:bottom w:val="none" w:sz="0" w:space="0" w:color="auto"/>
                            <w:right w:val="none" w:sz="0" w:space="0" w:color="auto"/>
                          </w:divBdr>
                          <w:divsChild>
                            <w:div w:id="895897699">
                              <w:marLeft w:val="0"/>
                              <w:marRight w:val="0"/>
                              <w:marTop w:val="0"/>
                              <w:marBottom w:val="0"/>
                              <w:divBdr>
                                <w:top w:val="none" w:sz="0" w:space="0" w:color="auto"/>
                                <w:left w:val="none" w:sz="0" w:space="0" w:color="auto"/>
                                <w:bottom w:val="none" w:sz="0" w:space="0" w:color="auto"/>
                                <w:right w:val="none" w:sz="0" w:space="0" w:color="auto"/>
                              </w:divBdr>
                            </w:div>
                          </w:divsChild>
                        </w:div>
                        <w:div w:id="2090300856">
                          <w:marLeft w:val="0"/>
                          <w:marRight w:val="0"/>
                          <w:marTop w:val="0"/>
                          <w:marBottom w:val="0"/>
                          <w:divBdr>
                            <w:top w:val="none" w:sz="0" w:space="0" w:color="auto"/>
                            <w:left w:val="none" w:sz="0" w:space="0" w:color="auto"/>
                            <w:bottom w:val="none" w:sz="0" w:space="0" w:color="auto"/>
                            <w:right w:val="none" w:sz="0" w:space="0" w:color="auto"/>
                          </w:divBdr>
                          <w:divsChild>
                            <w:div w:id="320935620">
                              <w:marLeft w:val="0"/>
                              <w:marRight w:val="0"/>
                              <w:marTop w:val="0"/>
                              <w:marBottom w:val="0"/>
                              <w:divBdr>
                                <w:top w:val="none" w:sz="0" w:space="0" w:color="auto"/>
                                <w:left w:val="none" w:sz="0" w:space="0" w:color="auto"/>
                                <w:bottom w:val="none" w:sz="0" w:space="0" w:color="auto"/>
                                <w:right w:val="none" w:sz="0" w:space="0" w:color="auto"/>
                              </w:divBdr>
                            </w:div>
                          </w:divsChild>
                        </w:div>
                        <w:div w:id="1826585435">
                          <w:marLeft w:val="0"/>
                          <w:marRight w:val="0"/>
                          <w:marTop w:val="0"/>
                          <w:marBottom w:val="0"/>
                          <w:divBdr>
                            <w:top w:val="none" w:sz="0" w:space="0" w:color="auto"/>
                            <w:left w:val="none" w:sz="0" w:space="0" w:color="auto"/>
                            <w:bottom w:val="none" w:sz="0" w:space="0" w:color="auto"/>
                            <w:right w:val="none" w:sz="0" w:space="0" w:color="auto"/>
                          </w:divBdr>
                          <w:divsChild>
                            <w:div w:id="12351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3391">
                      <w:marLeft w:val="0"/>
                      <w:marRight w:val="0"/>
                      <w:marTop w:val="0"/>
                      <w:marBottom w:val="0"/>
                      <w:divBdr>
                        <w:top w:val="none" w:sz="0" w:space="0" w:color="auto"/>
                        <w:left w:val="none" w:sz="0" w:space="0" w:color="auto"/>
                        <w:bottom w:val="none" w:sz="0" w:space="0" w:color="auto"/>
                        <w:right w:val="none" w:sz="0" w:space="0" w:color="auto"/>
                      </w:divBdr>
                      <w:divsChild>
                        <w:div w:id="1547911013">
                          <w:marLeft w:val="0"/>
                          <w:marRight w:val="0"/>
                          <w:marTop w:val="0"/>
                          <w:marBottom w:val="0"/>
                          <w:divBdr>
                            <w:top w:val="none" w:sz="0" w:space="0" w:color="auto"/>
                            <w:left w:val="none" w:sz="0" w:space="0" w:color="auto"/>
                            <w:bottom w:val="none" w:sz="0" w:space="0" w:color="auto"/>
                            <w:right w:val="none" w:sz="0" w:space="0" w:color="auto"/>
                          </w:divBdr>
                          <w:divsChild>
                            <w:div w:id="1121417677">
                              <w:marLeft w:val="0"/>
                              <w:marRight w:val="0"/>
                              <w:marTop w:val="0"/>
                              <w:marBottom w:val="0"/>
                              <w:divBdr>
                                <w:top w:val="none" w:sz="0" w:space="0" w:color="auto"/>
                                <w:left w:val="none" w:sz="0" w:space="0" w:color="auto"/>
                                <w:bottom w:val="none" w:sz="0" w:space="0" w:color="auto"/>
                                <w:right w:val="none" w:sz="0" w:space="0" w:color="auto"/>
                              </w:divBdr>
                            </w:div>
                          </w:divsChild>
                        </w:div>
                        <w:div w:id="1904100784">
                          <w:marLeft w:val="0"/>
                          <w:marRight w:val="0"/>
                          <w:marTop w:val="0"/>
                          <w:marBottom w:val="0"/>
                          <w:divBdr>
                            <w:top w:val="none" w:sz="0" w:space="0" w:color="auto"/>
                            <w:left w:val="none" w:sz="0" w:space="0" w:color="auto"/>
                            <w:bottom w:val="none" w:sz="0" w:space="0" w:color="auto"/>
                            <w:right w:val="none" w:sz="0" w:space="0" w:color="auto"/>
                          </w:divBdr>
                          <w:divsChild>
                            <w:div w:id="606621845">
                              <w:marLeft w:val="0"/>
                              <w:marRight w:val="0"/>
                              <w:marTop w:val="0"/>
                              <w:marBottom w:val="0"/>
                              <w:divBdr>
                                <w:top w:val="none" w:sz="0" w:space="0" w:color="auto"/>
                                <w:left w:val="none" w:sz="0" w:space="0" w:color="auto"/>
                                <w:bottom w:val="none" w:sz="0" w:space="0" w:color="auto"/>
                                <w:right w:val="none" w:sz="0" w:space="0" w:color="auto"/>
                              </w:divBdr>
                            </w:div>
                          </w:divsChild>
                        </w:div>
                        <w:div w:id="1852376845">
                          <w:marLeft w:val="0"/>
                          <w:marRight w:val="0"/>
                          <w:marTop w:val="0"/>
                          <w:marBottom w:val="0"/>
                          <w:divBdr>
                            <w:top w:val="none" w:sz="0" w:space="0" w:color="auto"/>
                            <w:left w:val="none" w:sz="0" w:space="0" w:color="auto"/>
                            <w:bottom w:val="none" w:sz="0" w:space="0" w:color="auto"/>
                            <w:right w:val="none" w:sz="0" w:space="0" w:color="auto"/>
                          </w:divBdr>
                          <w:divsChild>
                            <w:div w:id="2144033544">
                              <w:marLeft w:val="0"/>
                              <w:marRight w:val="0"/>
                              <w:marTop w:val="0"/>
                              <w:marBottom w:val="0"/>
                              <w:divBdr>
                                <w:top w:val="none" w:sz="0" w:space="0" w:color="auto"/>
                                <w:left w:val="none" w:sz="0" w:space="0" w:color="auto"/>
                                <w:bottom w:val="none" w:sz="0" w:space="0" w:color="auto"/>
                                <w:right w:val="none" w:sz="0" w:space="0" w:color="auto"/>
                              </w:divBdr>
                            </w:div>
                          </w:divsChild>
                        </w:div>
                        <w:div w:id="1451775986">
                          <w:marLeft w:val="0"/>
                          <w:marRight w:val="0"/>
                          <w:marTop w:val="0"/>
                          <w:marBottom w:val="0"/>
                          <w:divBdr>
                            <w:top w:val="none" w:sz="0" w:space="0" w:color="auto"/>
                            <w:left w:val="none" w:sz="0" w:space="0" w:color="auto"/>
                            <w:bottom w:val="none" w:sz="0" w:space="0" w:color="auto"/>
                            <w:right w:val="none" w:sz="0" w:space="0" w:color="auto"/>
                          </w:divBdr>
                          <w:divsChild>
                            <w:div w:id="2088652197">
                              <w:marLeft w:val="0"/>
                              <w:marRight w:val="0"/>
                              <w:marTop w:val="0"/>
                              <w:marBottom w:val="0"/>
                              <w:divBdr>
                                <w:top w:val="none" w:sz="0" w:space="0" w:color="auto"/>
                                <w:left w:val="none" w:sz="0" w:space="0" w:color="auto"/>
                                <w:bottom w:val="none" w:sz="0" w:space="0" w:color="auto"/>
                                <w:right w:val="none" w:sz="0" w:space="0" w:color="auto"/>
                              </w:divBdr>
                            </w:div>
                          </w:divsChild>
                        </w:div>
                        <w:div w:id="1241911149">
                          <w:marLeft w:val="0"/>
                          <w:marRight w:val="0"/>
                          <w:marTop w:val="0"/>
                          <w:marBottom w:val="0"/>
                          <w:divBdr>
                            <w:top w:val="none" w:sz="0" w:space="0" w:color="auto"/>
                            <w:left w:val="none" w:sz="0" w:space="0" w:color="auto"/>
                            <w:bottom w:val="none" w:sz="0" w:space="0" w:color="auto"/>
                            <w:right w:val="none" w:sz="0" w:space="0" w:color="auto"/>
                          </w:divBdr>
                          <w:divsChild>
                            <w:div w:id="663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4400">
      <w:bodyDiv w:val="1"/>
      <w:marLeft w:val="0"/>
      <w:marRight w:val="0"/>
      <w:marTop w:val="0"/>
      <w:marBottom w:val="0"/>
      <w:divBdr>
        <w:top w:val="none" w:sz="0" w:space="0" w:color="auto"/>
        <w:left w:val="none" w:sz="0" w:space="0" w:color="auto"/>
        <w:bottom w:val="none" w:sz="0" w:space="0" w:color="auto"/>
        <w:right w:val="none" w:sz="0" w:space="0" w:color="auto"/>
      </w:divBdr>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47254054">
      <w:bodyDiv w:val="1"/>
      <w:marLeft w:val="0"/>
      <w:marRight w:val="0"/>
      <w:marTop w:val="0"/>
      <w:marBottom w:val="0"/>
      <w:divBdr>
        <w:top w:val="none" w:sz="0" w:space="0" w:color="auto"/>
        <w:left w:val="none" w:sz="0" w:space="0" w:color="auto"/>
        <w:bottom w:val="none" w:sz="0" w:space="0" w:color="auto"/>
        <w:right w:val="none" w:sz="0" w:space="0" w:color="auto"/>
      </w:divBdr>
    </w:div>
    <w:div w:id="850414778">
      <w:bodyDiv w:val="1"/>
      <w:marLeft w:val="0"/>
      <w:marRight w:val="0"/>
      <w:marTop w:val="0"/>
      <w:marBottom w:val="0"/>
      <w:divBdr>
        <w:top w:val="none" w:sz="0" w:space="0" w:color="auto"/>
        <w:left w:val="none" w:sz="0" w:space="0" w:color="auto"/>
        <w:bottom w:val="none" w:sz="0" w:space="0" w:color="auto"/>
        <w:right w:val="none" w:sz="0" w:space="0" w:color="auto"/>
      </w:divBdr>
      <w:divsChild>
        <w:div w:id="748573754">
          <w:marLeft w:val="0"/>
          <w:marRight w:val="0"/>
          <w:marTop w:val="0"/>
          <w:marBottom w:val="0"/>
          <w:divBdr>
            <w:top w:val="none" w:sz="0" w:space="0" w:color="auto"/>
            <w:left w:val="none" w:sz="0" w:space="0" w:color="auto"/>
            <w:bottom w:val="none" w:sz="0" w:space="0" w:color="auto"/>
            <w:right w:val="none" w:sz="0" w:space="0" w:color="auto"/>
          </w:divBdr>
        </w:div>
        <w:div w:id="1257253616">
          <w:marLeft w:val="0"/>
          <w:marRight w:val="0"/>
          <w:marTop w:val="0"/>
          <w:marBottom w:val="0"/>
          <w:divBdr>
            <w:top w:val="none" w:sz="0" w:space="0" w:color="auto"/>
            <w:left w:val="none" w:sz="0" w:space="0" w:color="auto"/>
            <w:bottom w:val="none" w:sz="0" w:space="0" w:color="auto"/>
            <w:right w:val="none" w:sz="0" w:space="0" w:color="auto"/>
          </w:divBdr>
        </w:div>
        <w:div w:id="1122188358">
          <w:marLeft w:val="0"/>
          <w:marRight w:val="0"/>
          <w:marTop w:val="0"/>
          <w:marBottom w:val="0"/>
          <w:divBdr>
            <w:top w:val="none" w:sz="0" w:space="0" w:color="auto"/>
            <w:left w:val="none" w:sz="0" w:space="0" w:color="auto"/>
            <w:bottom w:val="none" w:sz="0" w:space="0" w:color="auto"/>
            <w:right w:val="none" w:sz="0" w:space="0" w:color="auto"/>
          </w:divBdr>
        </w:div>
        <w:div w:id="1473526371">
          <w:marLeft w:val="0"/>
          <w:marRight w:val="0"/>
          <w:marTop w:val="0"/>
          <w:marBottom w:val="0"/>
          <w:divBdr>
            <w:top w:val="none" w:sz="0" w:space="0" w:color="auto"/>
            <w:left w:val="none" w:sz="0" w:space="0" w:color="auto"/>
            <w:bottom w:val="none" w:sz="0" w:space="0" w:color="auto"/>
            <w:right w:val="none" w:sz="0" w:space="0" w:color="auto"/>
          </w:divBdr>
        </w:div>
        <w:div w:id="2045404337">
          <w:marLeft w:val="0"/>
          <w:marRight w:val="0"/>
          <w:marTop w:val="0"/>
          <w:marBottom w:val="0"/>
          <w:divBdr>
            <w:top w:val="none" w:sz="0" w:space="0" w:color="auto"/>
            <w:left w:val="none" w:sz="0" w:space="0" w:color="auto"/>
            <w:bottom w:val="none" w:sz="0" w:space="0" w:color="auto"/>
            <w:right w:val="none" w:sz="0" w:space="0" w:color="auto"/>
          </w:divBdr>
        </w:div>
        <w:div w:id="71708747">
          <w:marLeft w:val="0"/>
          <w:marRight w:val="0"/>
          <w:marTop w:val="0"/>
          <w:marBottom w:val="0"/>
          <w:divBdr>
            <w:top w:val="none" w:sz="0" w:space="0" w:color="auto"/>
            <w:left w:val="none" w:sz="0" w:space="0" w:color="auto"/>
            <w:bottom w:val="none" w:sz="0" w:space="0" w:color="auto"/>
            <w:right w:val="none" w:sz="0" w:space="0" w:color="auto"/>
          </w:divBdr>
        </w:div>
        <w:div w:id="1019546755">
          <w:marLeft w:val="0"/>
          <w:marRight w:val="0"/>
          <w:marTop w:val="0"/>
          <w:marBottom w:val="0"/>
          <w:divBdr>
            <w:top w:val="none" w:sz="0" w:space="0" w:color="auto"/>
            <w:left w:val="none" w:sz="0" w:space="0" w:color="auto"/>
            <w:bottom w:val="none" w:sz="0" w:space="0" w:color="auto"/>
            <w:right w:val="none" w:sz="0" w:space="0" w:color="auto"/>
          </w:divBdr>
        </w:div>
        <w:div w:id="2136171251">
          <w:marLeft w:val="0"/>
          <w:marRight w:val="0"/>
          <w:marTop w:val="0"/>
          <w:marBottom w:val="0"/>
          <w:divBdr>
            <w:top w:val="none" w:sz="0" w:space="0" w:color="auto"/>
            <w:left w:val="none" w:sz="0" w:space="0" w:color="auto"/>
            <w:bottom w:val="none" w:sz="0" w:space="0" w:color="auto"/>
            <w:right w:val="none" w:sz="0" w:space="0" w:color="auto"/>
          </w:divBdr>
        </w:div>
        <w:div w:id="471140917">
          <w:marLeft w:val="0"/>
          <w:marRight w:val="0"/>
          <w:marTop w:val="0"/>
          <w:marBottom w:val="0"/>
          <w:divBdr>
            <w:top w:val="none" w:sz="0" w:space="0" w:color="auto"/>
            <w:left w:val="none" w:sz="0" w:space="0" w:color="auto"/>
            <w:bottom w:val="none" w:sz="0" w:space="0" w:color="auto"/>
            <w:right w:val="none" w:sz="0" w:space="0" w:color="auto"/>
          </w:divBdr>
        </w:div>
        <w:div w:id="510729300">
          <w:marLeft w:val="0"/>
          <w:marRight w:val="0"/>
          <w:marTop w:val="0"/>
          <w:marBottom w:val="0"/>
          <w:divBdr>
            <w:top w:val="none" w:sz="0" w:space="0" w:color="auto"/>
            <w:left w:val="none" w:sz="0" w:space="0" w:color="auto"/>
            <w:bottom w:val="none" w:sz="0" w:space="0" w:color="auto"/>
            <w:right w:val="none" w:sz="0" w:space="0" w:color="auto"/>
          </w:divBdr>
        </w:div>
      </w:divsChild>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4737415">
      <w:bodyDiv w:val="1"/>
      <w:marLeft w:val="0"/>
      <w:marRight w:val="0"/>
      <w:marTop w:val="0"/>
      <w:marBottom w:val="0"/>
      <w:divBdr>
        <w:top w:val="none" w:sz="0" w:space="0" w:color="auto"/>
        <w:left w:val="none" w:sz="0" w:space="0" w:color="auto"/>
        <w:bottom w:val="none" w:sz="0" w:space="0" w:color="auto"/>
        <w:right w:val="none" w:sz="0" w:space="0" w:color="auto"/>
      </w:divBdr>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889465442">
      <w:bodyDiv w:val="1"/>
      <w:marLeft w:val="0"/>
      <w:marRight w:val="0"/>
      <w:marTop w:val="0"/>
      <w:marBottom w:val="0"/>
      <w:divBdr>
        <w:top w:val="none" w:sz="0" w:space="0" w:color="auto"/>
        <w:left w:val="none" w:sz="0" w:space="0" w:color="auto"/>
        <w:bottom w:val="none" w:sz="0" w:space="0" w:color="auto"/>
        <w:right w:val="none" w:sz="0" w:space="0" w:color="auto"/>
      </w:divBdr>
    </w:div>
    <w:div w:id="906838011">
      <w:bodyDiv w:val="1"/>
      <w:marLeft w:val="0"/>
      <w:marRight w:val="0"/>
      <w:marTop w:val="0"/>
      <w:marBottom w:val="0"/>
      <w:divBdr>
        <w:top w:val="none" w:sz="0" w:space="0" w:color="auto"/>
        <w:left w:val="none" w:sz="0" w:space="0" w:color="auto"/>
        <w:bottom w:val="none" w:sz="0" w:space="0" w:color="auto"/>
        <w:right w:val="none" w:sz="0" w:space="0" w:color="auto"/>
      </w:divBdr>
    </w:div>
    <w:div w:id="911624398">
      <w:bodyDiv w:val="1"/>
      <w:marLeft w:val="0"/>
      <w:marRight w:val="0"/>
      <w:marTop w:val="0"/>
      <w:marBottom w:val="0"/>
      <w:divBdr>
        <w:top w:val="none" w:sz="0" w:space="0" w:color="auto"/>
        <w:left w:val="none" w:sz="0" w:space="0" w:color="auto"/>
        <w:bottom w:val="none" w:sz="0" w:space="0" w:color="auto"/>
        <w:right w:val="none" w:sz="0" w:space="0" w:color="auto"/>
      </w:divBdr>
      <w:divsChild>
        <w:div w:id="1859806036">
          <w:marLeft w:val="0"/>
          <w:marRight w:val="0"/>
          <w:marTop w:val="0"/>
          <w:marBottom w:val="225"/>
          <w:divBdr>
            <w:top w:val="none" w:sz="0" w:space="0" w:color="auto"/>
            <w:left w:val="none" w:sz="0" w:space="0" w:color="auto"/>
            <w:bottom w:val="single" w:sz="6" w:space="11" w:color="DADADA"/>
            <w:right w:val="none" w:sz="0" w:space="0" w:color="auto"/>
          </w:divBdr>
        </w:div>
      </w:divsChild>
    </w:div>
    <w:div w:id="942688366">
      <w:bodyDiv w:val="1"/>
      <w:marLeft w:val="0"/>
      <w:marRight w:val="0"/>
      <w:marTop w:val="0"/>
      <w:marBottom w:val="0"/>
      <w:divBdr>
        <w:top w:val="none" w:sz="0" w:space="0" w:color="auto"/>
        <w:left w:val="none" w:sz="0" w:space="0" w:color="auto"/>
        <w:bottom w:val="none" w:sz="0" w:space="0" w:color="auto"/>
        <w:right w:val="none" w:sz="0" w:space="0" w:color="auto"/>
      </w:divBdr>
      <w:divsChild>
        <w:div w:id="1524316714">
          <w:marLeft w:val="0"/>
          <w:marRight w:val="0"/>
          <w:marTop w:val="0"/>
          <w:marBottom w:val="0"/>
          <w:divBdr>
            <w:top w:val="none" w:sz="0" w:space="0" w:color="auto"/>
            <w:left w:val="none" w:sz="0" w:space="0" w:color="auto"/>
            <w:bottom w:val="none" w:sz="0" w:space="0" w:color="auto"/>
            <w:right w:val="none" w:sz="0" w:space="0" w:color="auto"/>
          </w:divBdr>
        </w:div>
        <w:div w:id="85080853">
          <w:marLeft w:val="0"/>
          <w:marRight w:val="0"/>
          <w:marTop w:val="0"/>
          <w:marBottom w:val="0"/>
          <w:divBdr>
            <w:top w:val="none" w:sz="0" w:space="0" w:color="auto"/>
            <w:left w:val="none" w:sz="0" w:space="0" w:color="auto"/>
            <w:bottom w:val="none" w:sz="0" w:space="0" w:color="auto"/>
            <w:right w:val="none" w:sz="0" w:space="0" w:color="auto"/>
          </w:divBdr>
        </w:div>
        <w:div w:id="480926471">
          <w:marLeft w:val="0"/>
          <w:marRight w:val="0"/>
          <w:marTop w:val="0"/>
          <w:marBottom w:val="0"/>
          <w:divBdr>
            <w:top w:val="none" w:sz="0" w:space="0" w:color="auto"/>
            <w:left w:val="none" w:sz="0" w:space="0" w:color="auto"/>
            <w:bottom w:val="none" w:sz="0" w:space="0" w:color="auto"/>
            <w:right w:val="none" w:sz="0" w:space="0" w:color="auto"/>
          </w:divBdr>
        </w:div>
        <w:div w:id="1127308950">
          <w:marLeft w:val="0"/>
          <w:marRight w:val="0"/>
          <w:marTop w:val="0"/>
          <w:marBottom w:val="0"/>
          <w:divBdr>
            <w:top w:val="none" w:sz="0" w:space="0" w:color="auto"/>
            <w:left w:val="none" w:sz="0" w:space="0" w:color="auto"/>
            <w:bottom w:val="none" w:sz="0" w:space="0" w:color="auto"/>
            <w:right w:val="none" w:sz="0" w:space="0" w:color="auto"/>
          </w:divBdr>
        </w:div>
        <w:div w:id="899285040">
          <w:marLeft w:val="0"/>
          <w:marRight w:val="0"/>
          <w:marTop w:val="0"/>
          <w:marBottom w:val="0"/>
          <w:divBdr>
            <w:top w:val="none" w:sz="0" w:space="0" w:color="auto"/>
            <w:left w:val="none" w:sz="0" w:space="0" w:color="auto"/>
            <w:bottom w:val="none" w:sz="0" w:space="0" w:color="auto"/>
            <w:right w:val="none" w:sz="0" w:space="0" w:color="auto"/>
          </w:divBdr>
        </w:div>
        <w:div w:id="879904527">
          <w:marLeft w:val="0"/>
          <w:marRight w:val="0"/>
          <w:marTop w:val="0"/>
          <w:marBottom w:val="0"/>
          <w:divBdr>
            <w:top w:val="none" w:sz="0" w:space="0" w:color="auto"/>
            <w:left w:val="none" w:sz="0" w:space="0" w:color="auto"/>
            <w:bottom w:val="none" w:sz="0" w:space="0" w:color="auto"/>
            <w:right w:val="none" w:sz="0" w:space="0" w:color="auto"/>
          </w:divBdr>
        </w:div>
        <w:div w:id="524751964">
          <w:marLeft w:val="0"/>
          <w:marRight w:val="0"/>
          <w:marTop w:val="0"/>
          <w:marBottom w:val="0"/>
          <w:divBdr>
            <w:top w:val="none" w:sz="0" w:space="0" w:color="auto"/>
            <w:left w:val="none" w:sz="0" w:space="0" w:color="auto"/>
            <w:bottom w:val="none" w:sz="0" w:space="0" w:color="auto"/>
            <w:right w:val="none" w:sz="0" w:space="0" w:color="auto"/>
          </w:divBdr>
        </w:div>
        <w:div w:id="704985020">
          <w:marLeft w:val="0"/>
          <w:marRight w:val="0"/>
          <w:marTop w:val="0"/>
          <w:marBottom w:val="0"/>
          <w:divBdr>
            <w:top w:val="none" w:sz="0" w:space="0" w:color="auto"/>
            <w:left w:val="none" w:sz="0" w:space="0" w:color="auto"/>
            <w:bottom w:val="none" w:sz="0" w:space="0" w:color="auto"/>
            <w:right w:val="none" w:sz="0" w:space="0" w:color="auto"/>
          </w:divBdr>
        </w:div>
        <w:div w:id="1376858096">
          <w:marLeft w:val="0"/>
          <w:marRight w:val="0"/>
          <w:marTop w:val="0"/>
          <w:marBottom w:val="0"/>
          <w:divBdr>
            <w:top w:val="none" w:sz="0" w:space="0" w:color="auto"/>
            <w:left w:val="none" w:sz="0" w:space="0" w:color="auto"/>
            <w:bottom w:val="none" w:sz="0" w:space="0" w:color="auto"/>
            <w:right w:val="none" w:sz="0" w:space="0" w:color="auto"/>
          </w:divBdr>
        </w:div>
        <w:div w:id="390663277">
          <w:marLeft w:val="0"/>
          <w:marRight w:val="0"/>
          <w:marTop w:val="0"/>
          <w:marBottom w:val="0"/>
          <w:divBdr>
            <w:top w:val="none" w:sz="0" w:space="0" w:color="auto"/>
            <w:left w:val="none" w:sz="0" w:space="0" w:color="auto"/>
            <w:bottom w:val="none" w:sz="0" w:space="0" w:color="auto"/>
            <w:right w:val="none" w:sz="0" w:space="0" w:color="auto"/>
          </w:divBdr>
        </w:div>
      </w:divsChild>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74986906">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52734356">
      <w:bodyDiv w:val="1"/>
      <w:marLeft w:val="0"/>
      <w:marRight w:val="0"/>
      <w:marTop w:val="0"/>
      <w:marBottom w:val="0"/>
      <w:divBdr>
        <w:top w:val="none" w:sz="0" w:space="0" w:color="auto"/>
        <w:left w:val="none" w:sz="0" w:space="0" w:color="auto"/>
        <w:bottom w:val="none" w:sz="0" w:space="0" w:color="auto"/>
        <w:right w:val="none" w:sz="0" w:space="0" w:color="auto"/>
      </w:divBdr>
    </w:div>
    <w:div w:id="1058675577">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59465350">
      <w:bodyDiv w:val="1"/>
      <w:marLeft w:val="0"/>
      <w:marRight w:val="0"/>
      <w:marTop w:val="0"/>
      <w:marBottom w:val="0"/>
      <w:divBdr>
        <w:top w:val="none" w:sz="0" w:space="0" w:color="auto"/>
        <w:left w:val="none" w:sz="0" w:space="0" w:color="auto"/>
        <w:bottom w:val="none" w:sz="0" w:space="0" w:color="auto"/>
        <w:right w:val="none" w:sz="0" w:space="0" w:color="auto"/>
      </w:divBdr>
      <w:divsChild>
        <w:div w:id="1995332179">
          <w:marLeft w:val="0"/>
          <w:marRight w:val="0"/>
          <w:marTop w:val="0"/>
          <w:marBottom w:val="0"/>
          <w:divBdr>
            <w:top w:val="none" w:sz="0" w:space="0" w:color="auto"/>
            <w:left w:val="none" w:sz="0" w:space="0" w:color="auto"/>
            <w:bottom w:val="none" w:sz="0" w:space="0" w:color="auto"/>
            <w:right w:val="none" w:sz="0" w:space="0" w:color="auto"/>
          </w:divBdr>
        </w:div>
        <w:div w:id="1117871838">
          <w:marLeft w:val="0"/>
          <w:marRight w:val="0"/>
          <w:marTop w:val="0"/>
          <w:marBottom w:val="0"/>
          <w:divBdr>
            <w:top w:val="none" w:sz="0" w:space="0" w:color="auto"/>
            <w:left w:val="none" w:sz="0" w:space="0" w:color="auto"/>
            <w:bottom w:val="none" w:sz="0" w:space="0" w:color="auto"/>
            <w:right w:val="none" w:sz="0" w:space="0" w:color="auto"/>
          </w:divBdr>
        </w:div>
        <w:div w:id="318269071">
          <w:marLeft w:val="0"/>
          <w:marRight w:val="0"/>
          <w:marTop w:val="0"/>
          <w:marBottom w:val="0"/>
          <w:divBdr>
            <w:top w:val="none" w:sz="0" w:space="0" w:color="auto"/>
            <w:left w:val="none" w:sz="0" w:space="0" w:color="auto"/>
            <w:bottom w:val="none" w:sz="0" w:space="0" w:color="auto"/>
            <w:right w:val="none" w:sz="0" w:space="0" w:color="auto"/>
          </w:divBdr>
        </w:div>
        <w:div w:id="452335669">
          <w:marLeft w:val="0"/>
          <w:marRight w:val="0"/>
          <w:marTop w:val="0"/>
          <w:marBottom w:val="0"/>
          <w:divBdr>
            <w:top w:val="none" w:sz="0" w:space="0" w:color="auto"/>
            <w:left w:val="none" w:sz="0" w:space="0" w:color="auto"/>
            <w:bottom w:val="none" w:sz="0" w:space="0" w:color="auto"/>
            <w:right w:val="none" w:sz="0" w:space="0" w:color="auto"/>
          </w:divBdr>
        </w:div>
        <w:div w:id="1077435970">
          <w:marLeft w:val="0"/>
          <w:marRight w:val="0"/>
          <w:marTop w:val="0"/>
          <w:marBottom w:val="0"/>
          <w:divBdr>
            <w:top w:val="none" w:sz="0" w:space="0" w:color="auto"/>
            <w:left w:val="none" w:sz="0" w:space="0" w:color="auto"/>
            <w:bottom w:val="none" w:sz="0" w:space="0" w:color="auto"/>
            <w:right w:val="none" w:sz="0" w:space="0" w:color="auto"/>
          </w:divBdr>
        </w:div>
        <w:div w:id="534582413">
          <w:marLeft w:val="0"/>
          <w:marRight w:val="0"/>
          <w:marTop w:val="0"/>
          <w:marBottom w:val="0"/>
          <w:divBdr>
            <w:top w:val="none" w:sz="0" w:space="0" w:color="auto"/>
            <w:left w:val="none" w:sz="0" w:space="0" w:color="auto"/>
            <w:bottom w:val="none" w:sz="0" w:space="0" w:color="auto"/>
            <w:right w:val="none" w:sz="0" w:space="0" w:color="auto"/>
          </w:divBdr>
        </w:div>
        <w:div w:id="1694646243">
          <w:marLeft w:val="0"/>
          <w:marRight w:val="0"/>
          <w:marTop w:val="0"/>
          <w:marBottom w:val="0"/>
          <w:divBdr>
            <w:top w:val="none" w:sz="0" w:space="0" w:color="auto"/>
            <w:left w:val="none" w:sz="0" w:space="0" w:color="auto"/>
            <w:bottom w:val="none" w:sz="0" w:space="0" w:color="auto"/>
            <w:right w:val="none" w:sz="0" w:space="0" w:color="auto"/>
          </w:divBdr>
        </w:div>
        <w:div w:id="74784918">
          <w:marLeft w:val="0"/>
          <w:marRight w:val="0"/>
          <w:marTop w:val="0"/>
          <w:marBottom w:val="0"/>
          <w:divBdr>
            <w:top w:val="none" w:sz="0" w:space="0" w:color="auto"/>
            <w:left w:val="none" w:sz="0" w:space="0" w:color="auto"/>
            <w:bottom w:val="none" w:sz="0" w:space="0" w:color="auto"/>
            <w:right w:val="none" w:sz="0" w:space="0" w:color="auto"/>
          </w:divBdr>
        </w:div>
        <w:div w:id="825508739">
          <w:marLeft w:val="0"/>
          <w:marRight w:val="0"/>
          <w:marTop w:val="0"/>
          <w:marBottom w:val="0"/>
          <w:divBdr>
            <w:top w:val="none" w:sz="0" w:space="0" w:color="auto"/>
            <w:left w:val="none" w:sz="0" w:space="0" w:color="auto"/>
            <w:bottom w:val="none" w:sz="0" w:space="0" w:color="auto"/>
            <w:right w:val="none" w:sz="0" w:space="0" w:color="auto"/>
          </w:divBdr>
        </w:div>
        <w:div w:id="135296454">
          <w:marLeft w:val="0"/>
          <w:marRight w:val="0"/>
          <w:marTop w:val="0"/>
          <w:marBottom w:val="0"/>
          <w:divBdr>
            <w:top w:val="none" w:sz="0" w:space="0" w:color="auto"/>
            <w:left w:val="none" w:sz="0" w:space="0" w:color="auto"/>
            <w:bottom w:val="none" w:sz="0" w:space="0" w:color="auto"/>
            <w:right w:val="none" w:sz="0" w:space="0" w:color="auto"/>
          </w:divBdr>
        </w:div>
      </w:divsChild>
    </w:div>
    <w:div w:id="1159880471">
      <w:bodyDiv w:val="1"/>
      <w:marLeft w:val="0"/>
      <w:marRight w:val="0"/>
      <w:marTop w:val="0"/>
      <w:marBottom w:val="0"/>
      <w:divBdr>
        <w:top w:val="none" w:sz="0" w:space="0" w:color="auto"/>
        <w:left w:val="none" w:sz="0" w:space="0" w:color="auto"/>
        <w:bottom w:val="none" w:sz="0" w:space="0" w:color="auto"/>
        <w:right w:val="none" w:sz="0" w:space="0" w:color="auto"/>
      </w:divBdr>
    </w:div>
    <w:div w:id="1177187625">
      <w:bodyDiv w:val="1"/>
      <w:marLeft w:val="0"/>
      <w:marRight w:val="0"/>
      <w:marTop w:val="0"/>
      <w:marBottom w:val="0"/>
      <w:divBdr>
        <w:top w:val="none" w:sz="0" w:space="0" w:color="auto"/>
        <w:left w:val="none" w:sz="0" w:space="0" w:color="auto"/>
        <w:bottom w:val="none" w:sz="0" w:space="0" w:color="auto"/>
        <w:right w:val="none" w:sz="0" w:space="0" w:color="auto"/>
      </w:divBdr>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1941290">
      <w:bodyDiv w:val="1"/>
      <w:marLeft w:val="0"/>
      <w:marRight w:val="0"/>
      <w:marTop w:val="0"/>
      <w:marBottom w:val="0"/>
      <w:divBdr>
        <w:top w:val="none" w:sz="0" w:space="0" w:color="auto"/>
        <w:left w:val="none" w:sz="0" w:space="0" w:color="auto"/>
        <w:bottom w:val="none" w:sz="0" w:space="0" w:color="auto"/>
        <w:right w:val="none" w:sz="0" w:space="0" w:color="auto"/>
      </w:divBdr>
      <w:divsChild>
        <w:div w:id="1214846333">
          <w:marLeft w:val="0"/>
          <w:marRight w:val="0"/>
          <w:marTop w:val="0"/>
          <w:marBottom w:val="0"/>
          <w:divBdr>
            <w:top w:val="none" w:sz="0" w:space="0" w:color="auto"/>
            <w:left w:val="none" w:sz="0" w:space="0" w:color="auto"/>
            <w:bottom w:val="none" w:sz="0" w:space="0" w:color="auto"/>
            <w:right w:val="none" w:sz="0" w:space="0" w:color="auto"/>
          </w:divBdr>
        </w:div>
        <w:div w:id="2079590588">
          <w:marLeft w:val="0"/>
          <w:marRight w:val="0"/>
          <w:marTop w:val="0"/>
          <w:marBottom w:val="0"/>
          <w:divBdr>
            <w:top w:val="none" w:sz="0" w:space="0" w:color="auto"/>
            <w:left w:val="none" w:sz="0" w:space="0" w:color="auto"/>
            <w:bottom w:val="none" w:sz="0" w:space="0" w:color="auto"/>
            <w:right w:val="none" w:sz="0" w:space="0" w:color="auto"/>
          </w:divBdr>
        </w:div>
        <w:div w:id="245236003">
          <w:marLeft w:val="0"/>
          <w:marRight w:val="0"/>
          <w:marTop w:val="0"/>
          <w:marBottom w:val="0"/>
          <w:divBdr>
            <w:top w:val="none" w:sz="0" w:space="0" w:color="auto"/>
            <w:left w:val="none" w:sz="0" w:space="0" w:color="auto"/>
            <w:bottom w:val="none" w:sz="0" w:space="0" w:color="auto"/>
            <w:right w:val="none" w:sz="0" w:space="0" w:color="auto"/>
          </w:divBdr>
        </w:div>
        <w:div w:id="382756024">
          <w:marLeft w:val="0"/>
          <w:marRight w:val="0"/>
          <w:marTop w:val="0"/>
          <w:marBottom w:val="0"/>
          <w:divBdr>
            <w:top w:val="none" w:sz="0" w:space="0" w:color="auto"/>
            <w:left w:val="none" w:sz="0" w:space="0" w:color="auto"/>
            <w:bottom w:val="none" w:sz="0" w:space="0" w:color="auto"/>
            <w:right w:val="none" w:sz="0" w:space="0" w:color="auto"/>
          </w:divBdr>
        </w:div>
        <w:div w:id="392168330">
          <w:marLeft w:val="0"/>
          <w:marRight w:val="0"/>
          <w:marTop w:val="0"/>
          <w:marBottom w:val="0"/>
          <w:divBdr>
            <w:top w:val="none" w:sz="0" w:space="0" w:color="auto"/>
            <w:left w:val="none" w:sz="0" w:space="0" w:color="auto"/>
            <w:bottom w:val="none" w:sz="0" w:space="0" w:color="auto"/>
            <w:right w:val="none" w:sz="0" w:space="0" w:color="auto"/>
          </w:divBdr>
        </w:div>
        <w:div w:id="1137525443">
          <w:marLeft w:val="0"/>
          <w:marRight w:val="0"/>
          <w:marTop w:val="0"/>
          <w:marBottom w:val="0"/>
          <w:divBdr>
            <w:top w:val="none" w:sz="0" w:space="0" w:color="auto"/>
            <w:left w:val="none" w:sz="0" w:space="0" w:color="auto"/>
            <w:bottom w:val="none" w:sz="0" w:space="0" w:color="auto"/>
            <w:right w:val="none" w:sz="0" w:space="0" w:color="auto"/>
          </w:divBdr>
        </w:div>
        <w:div w:id="1534734032">
          <w:marLeft w:val="0"/>
          <w:marRight w:val="0"/>
          <w:marTop w:val="0"/>
          <w:marBottom w:val="0"/>
          <w:divBdr>
            <w:top w:val="none" w:sz="0" w:space="0" w:color="auto"/>
            <w:left w:val="none" w:sz="0" w:space="0" w:color="auto"/>
            <w:bottom w:val="none" w:sz="0" w:space="0" w:color="auto"/>
            <w:right w:val="none" w:sz="0" w:space="0" w:color="auto"/>
          </w:divBdr>
        </w:div>
        <w:div w:id="1692802905">
          <w:marLeft w:val="0"/>
          <w:marRight w:val="0"/>
          <w:marTop w:val="0"/>
          <w:marBottom w:val="0"/>
          <w:divBdr>
            <w:top w:val="none" w:sz="0" w:space="0" w:color="auto"/>
            <w:left w:val="none" w:sz="0" w:space="0" w:color="auto"/>
            <w:bottom w:val="none" w:sz="0" w:space="0" w:color="auto"/>
            <w:right w:val="none" w:sz="0" w:space="0" w:color="auto"/>
          </w:divBdr>
        </w:div>
        <w:div w:id="767850688">
          <w:marLeft w:val="0"/>
          <w:marRight w:val="0"/>
          <w:marTop w:val="0"/>
          <w:marBottom w:val="0"/>
          <w:divBdr>
            <w:top w:val="none" w:sz="0" w:space="0" w:color="auto"/>
            <w:left w:val="none" w:sz="0" w:space="0" w:color="auto"/>
            <w:bottom w:val="none" w:sz="0" w:space="0" w:color="auto"/>
            <w:right w:val="none" w:sz="0" w:space="0" w:color="auto"/>
          </w:divBdr>
        </w:div>
        <w:div w:id="369502514">
          <w:marLeft w:val="0"/>
          <w:marRight w:val="0"/>
          <w:marTop w:val="0"/>
          <w:marBottom w:val="0"/>
          <w:divBdr>
            <w:top w:val="none" w:sz="0" w:space="0" w:color="auto"/>
            <w:left w:val="none" w:sz="0" w:space="0" w:color="auto"/>
            <w:bottom w:val="none" w:sz="0" w:space="0" w:color="auto"/>
            <w:right w:val="none" w:sz="0" w:space="0" w:color="auto"/>
          </w:divBdr>
        </w:div>
      </w:divsChild>
    </w:div>
    <w:div w:id="1205750676">
      <w:bodyDiv w:val="1"/>
      <w:marLeft w:val="0"/>
      <w:marRight w:val="0"/>
      <w:marTop w:val="0"/>
      <w:marBottom w:val="0"/>
      <w:divBdr>
        <w:top w:val="none" w:sz="0" w:space="0" w:color="auto"/>
        <w:left w:val="none" w:sz="0" w:space="0" w:color="auto"/>
        <w:bottom w:val="none" w:sz="0" w:space="0" w:color="auto"/>
        <w:right w:val="none" w:sz="0" w:space="0" w:color="auto"/>
      </w:divBdr>
    </w:div>
    <w:div w:id="1212574939">
      <w:bodyDiv w:val="1"/>
      <w:marLeft w:val="0"/>
      <w:marRight w:val="0"/>
      <w:marTop w:val="0"/>
      <w:marBottom w:val="0"/>
      <w:divBdr>
        <w:top w:val="none" w:sz="0" w:space="0" w:color="auto"/>
        <w:left w:val="none" w:sz="0" w:space="0" w:color="auto"/>
        <w:bottom w:val="none" w:sz="0" w:space="0" w:color="auto"/>
        <w:right w:val="none" w:sz="0" w:space="0" w:color="auto"/>
      </w:divBdr>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256282544">
      <w:bodyDiv w:val="1"/>
      <w:marLeft w:val="0"/>
      <w:marRight w:val="0"/>
      <w:marTop w:val="0"/>
      <w:marBottom w:val="0"/>
      <w:divBdr>
        <w:top w:val="none" w:sz="0" w:space="0" w:color="auto"/>
        <w:left w:val="none" w:sz="0" w:space="0" w:color="auto"/>
        <w:bottom w:val="none" w:sz="0" w:space="0" w:color="auto"/>
        <w:right w:val="none" w:sz="0" w:space="0" w:color="auto"/>
      </w:divBdr>
    </w:div>
    <w:div w:id="1309244520">
      <w:bodyDiv w:val="1"/>
      <w:marLeft w:val="0"/>
      <w:marRight w:val="0"/>
      <w:marTop w:val="0"/>
      <w:marBottom w:val="0"/>
      <w:divBdr>
        <w:top w:val="none" w:sz="0" w:space="0" w:color="auto"/>
        <w:left w:val="none" w:sz="0" w:space="0" w:color="auto"/>
        <w:bottom w:val="none" w:sz="0" w:space="0" w:color="auto"/>
        <w:right w:val="none" w:sz="0" w:space="0" w:color="auto"/>
      </w:divBdr>
    </w:div>
    <w:div w:id="1319382641">
      <w:bodyDiv w:val="1"/>
      <w:marLeft w:val="0"/>
      <w:marRight w:val="0"/>
      <w:marTop w:val="0"/>
      <w:marBottom w:val="0"/>
      <w:divBdr>
        <w:top w:val="none" w:sz="0" w:space="0" w:color="auto"/>
        <w:left w:val="none" w:sz="0" w:space="0" w:color="auto"/>
        <w:bottom w:val="none" w:sz="0" w:space="0" w:color="auto"/>
        <w:right w:val="none" w:sz="0" w:space="0" w:color="auto"/>
      </w:divBdr>
    </w:div>
    <w:div w:id="1326976113">
      <w:bodyDiv w:val="1"/>
      <w:marLeft w:val="0"/>
      <w:marRight w:val="0"/>
      <w:marTop w:val="0"/>
      <w:marBottom w:val="0"/>
      <w:divBdr>
        <w:top w:val="none" w:sz="0" w:space="0" w:color="auto"/>
        <w:left w:val="none" w:sz="0" w:space="0" w:color="auto"/>
        <w:bottom w:val="none" w:sz="0" w:space="0" w:color="auto"/>
        <w:right w:val="none" w:sz="0" w:space="0" w:color="auto"/>
      </w:divBdr>
      <w:divsChild>
        <w:div w:id="345136093">
          <w:marLeft w:val="0"/>
          <w:marRight w:val="0"/>
          <w:marTop w:val="0"/>
          <w:marBottom w:val="0"/>
          <w:divBdr>
            <w:top w:val="none" w:sz="0" w:space="0" w:color="auto"/>
            <w:left w:val="none" w:sz="0" w:space="0" w:color="auto"/>
            <w:bottom w:val="none" w:sz="0" w:space="0" w:color="auto"/>
            <w:right w:val="none" w:sz="0" w:space="0" w:color="auto"/>
          </w:divBdr>
          <w:divsChild>
            <w:div w:id="1191527459">
              <w:marLeft w:val="0"/>
              <w:marRight w:val="0"/>
              <w:marTop w:val="0"/>
              <w:marBottom w:val="0"/>
              <w:divBdr>
                <w:top w:val="none" w:sz="0" w:space="0" w:color="auto"/>
                <w:left w:val="none" w:sz="0" w:space="0" w:color="auto"/>
                <w:bottom w:val="none" w:sz="0" w:space="0" w:color="auto"/>
                <w:right w:val="none" w:sz="0" w:space="0" w:color="auto"/>
              </w:divBdr>
            </w:div>
            <w:div w:id="227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9845">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39844189">
      <w:bodyDiv w:val="1"/>
      <w:marLeft w:val="0"/>
      <w:marRight w:val="0"/>
      <w:marTop w:val="0"/>
      <w:marBottom w:val="0"/>
      <w:divBdr>
        <w:top w:val="none" w:sz="0" w:space="0" w:color="auto"/>
        <w:left w:val="none" w:sz="0" w:space="0" w:color="auto"/>
        <w:bottom w:val="none" w:sz="0" w:space="0" w:color="auto"/>
        <w:right w:val="none" w:sz="0" w:space="0" w:color="auto"/>
      </w:divBdr>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388993589">
      <w:bodyDiv w:val="1"/>
      <w:marLeft w:val="0"/>
      <w:marRight w:val="0"/>
      <w:marTop w:val="0"/>
      <w:marBottom w:val="0"/>
      <w:divBdr>
        <w:top w:val="none" w:sz="0" w:space="0" w:color="auto"/>
        <w:left w:val="none" w:sz="0" w:space="0" w:color="auto"/>
        <w:bottom w:val="none" w:sz="0" w:space="0" w:color="auto"/>
        <w:right w:val="none" w:sz="0" w:space="0" w:color="auto"/>
      </w:divBdr>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11847829">
      <w:bodyDiv w:val="1"/>
      <w:marLeft w:val="0"/>
      <w:marRight w:val="0"/>
      <w:marTop w:val="0"/>
      <w:marBottom w:val="0"/>
      <w:divBdr>
        <w:top w:val="none" w:sz="0" w:space="0" w:color="auto"/>
        <w:left w:val="none" w:sz="0" w:space="0" w:color="auto"/>
        <w:bottom w:val="none" w:sz="0" w:space="0" w:color="auto"/>
        <w:right w:val="none" w:sz="0" w:space="0" w:color="auto"/>
      </w:divBdr>
    </w:div>
    <w:div w:id="1436485121">
      <w:bodyDiv w:val="1"/>
      <w:marLeft w:val="0"/>
      <w:marRight w:val="0"/>
      <w:marTop w:val="0"/>
      <w:marBottom w:val="0"/>
      <w:divBdr>
        <w:top w:val="none" w:sz="0" w:space="0" w:color="auto"/>
        <w:left w:val="none" w:sz="0" w:space="0" w:color="auto"/>
        <w:bottom w:val="none" w:sz="0" w:space="0" w:color="auto"/>
        <w:right w:val="none" w:sz="0" w:space="0" w:color="auto"/>
      </w:divBdr>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65007037">
      <w:bodyDiv w:val="1"/>
      <w:marLeft w:val="0"/>
      <w:marRight w:val="0"/>
      <w:marTop w:val="0"/>
      <w:marBottom w:val="0"/>
      <w:divBdr>
        <w:top w:val="none" w:sz="0" w:space="0" w:color="auto"/>
        <w:left w:val="none" w:sz="0" w:space="0" w:color="auto"/>
        <w:bottom w:val="none" w:sz="0" w:space="0" w:color="auto"/>
        <w:right w:val="none" w:sz="0" w:space="0" w:color="auto"/>
      </w:divBdr>
    </w:div>
    <w:div w:id="1472214104">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494447018">
      <w:bodyDiv w:val="1"/>
      <w:marLeft w:val="0"/>
      <w:marRight w:val="0"/>
      <w:marTop w:val="0"/>
      <w:marBottom w:val="0"/>
      <w:divBdr>
        <w:top w:val="none" w:sz="0" w:space="0" w:color="auto"/>
        <w:left w:val="none" w:sz="0" w:space="0" w:color="auto"/>
        <w:bottom w:val="none" w:sz="0" w:space="0" w:color="auto"/>
        <w:right w:val="none" w:sz="0" w:space="0" w:color="auto"/>
      </w:divBdr>
      <w:divsChild>
        <w:div w:id="373115218">
          <w:marLeft w:val="0"/>
          <w:marRight w:val="0"/>
          <w:marTop w:val="0"/>
          <w:marBottom w:val="0"/>
          <w:divBdr>
            <w:top w:val="none" w:sz="0" w:space="0" w:color="auto"/>
            <w:left w:val="none" w:sz="0" w:space="0" w:color="auto"/>
            <w:bottom w:val="none" w:sz="0" w:space="0" w:color="auto"/>
            <w:right w:val="none" w:sz="0" w:space="0" w:color="auto"/>
          </w:divBdr>
        </w:div>
        <w:div w:id="1963920465">
          <w:marLeft w:val="0"/>
          <w:marRight w:val="0"/>
          <w:marTop w:val="0"/>
          <w:marBottom w:val="0"/>
          <w:divBdr>
            <w:top w:val="none" w:sz="0" w:space="0" w:color="auto"/>
            <w:left w:val="none" w:sz="0" w:space="0" w:color="auto"/>
            <w:bottom w:val="none" w:sz="0" w:space="0" w:color="auto"/>
            <w:right w:val="none" w:sz="0" w:space="0" w:color="auto"/>
          </w:divBdr>
        </w:div>
        <w:div w:id="272369648">
          <w:marLeft w:val="0"/>
          <w:marRight w:val="0"/>
          <w:marTop w:val="0"/>
          <w:marBottom w:val="0"/>
          <w:divBdr>
            <w:top w:val="none" w:sz="0" w:space="0" w:color="auto"/>
            <w:left w:val="none" w:sz="0" w:space="0" w:color="auto"/>
            <w:bottom w:val="none" w:sz="0" w:space="0" w:color="auto"/>
            <w:right w:val="none" w:sz="0" w:space="0" w:color="auto"/>
          </w:divBdr>
        </w:div>
        <w:div w:id="344982507">
          <w:marLeft w:val="0"/>
          <w:marRight w:val="0"/>
          <w:marTop w:val="0"/>
          <w:marBottom w:val="0"/>
          <w:divBdr>
            <w:top w:val="none" w:sz="0" w:space="0" w:color="auto"/>
            <w:left w:val="none" w:sz="0" w:space="0" w:color="auto"/>
            <w:bottom w:val="none" w:sz="0" w:space="0" w:color="auto"/>
            <w:right w:val="none" w:sz="0" w:space="0" w:color="auto"/>
          </w:divBdr>
        </w:div>
        <w:div w:id="1159688711">
          <w:marLeft w:val="0"/>
          <w:marRight w:val="0"/>
          <w:marTop w:val="0"/>
          <w:marBottom w:val="0"/>
          <w:divBdr>
            <w:top w:val="none" w:sz="0" w:space="0" w:color="auto"/>
            <w:left w:val="none" w:sz="0" w:space="0" w:color="auto"/>
            <w:bottom w:val="none" w:sz="0" w:space="0" w:color="auto"/>
            <w:right w:val="none" w:sz="0" w:space="0" w:color="auto"/>
          </w:divBdr>
        </w:div>
        <w:div w:id="498159629">
          <w:marLeft w:val="0"/>
          <w:marRight w:val="0"/>
          <w:marTop w:val="0"/>
          <w:marBottom w:val="0"/>
          <w:divBdr>
            <w:top w:val="none" w:sz="0" w:space="0" w:color="auto"/>
            <w:left w:val="none" w:sz="0" w:space="0" w:color="auto"/>
            <w:bottom w:val="none" w:sz="0" w:space="0" w:color="auto"/>
            <w:right w:val="none" w:sz="0" w:space="0" w:color="auto"/>
          </w:divBdr>
        </w:div>
        <w:div w:id="344786901">
          <w:marLeft w:val="0"/>
          <w:marRight w:val="0"/>
          <w:marTop w:val="0"/>
          <w:marBottom w:val="0"/>
          <w:divBdr>
            <w:top w:val="none" w:sz="0" w:space="0" w:color="auto"/>
            <w:left w:val="none" w:sz="0" w:space="0" w:color="auto"/>
            <w:bottom w:val="none" w:sz="0" w:space="0" w:color="auto"/>
            <w:right w:val="none" w:sz="0" w:space="0" w:color="auto"/>
          </w:divBdr>
        </w:div>
        <w:div w:id="113988382">
          <w:marLeft w:val="0"/>
          <w:marRight w:val="0"/>
          <w:marTop w:val="0"/>
          <w:marBottom w:val="0"/>
          <w:divBdr>
            <w:top w:val="none" w:sz="0" w:space="0" w:color="auto"/>
            <w:left w:val="none" w:sz="0" w:space="0" w:color="auto"/>
            <w:bottom w:val="none" w:sz="0" w:space="0" w:color="auto"/>
            <w:right w:val="none" w:sz="0" w:space="0" w:color="auto"/>
          </w:divBdr>
        </w:div>
        <w:div w:id="1256285279">
          <w:marLeft w:val="0"/>
          <w:marRight w:val="0"/>
          <w:marTop w:val="0"/>
          <w:marBottom w:val="0"/>
          <w:divBdr>
            <w:top w:val="none" w:sz="0" w:space="0" w:color="auto"/>
            <w:left w:val="none" w:sz="0" w:space="0" w:color="auto"/>
            <w:bottom w:val="none" w:sz="0" w:space="0" w:color="auto"/>
            <w:right w:val="none" w:sz="0" w:space="0" w:color="auto"/>
          </w:divBdr>
        </w:div>
        <w:div w:id="645278425">
          <w:marLeft w:val="0"/>
          <w:marRight w:val="0"/>
          <w:marTop w:val="0"/>
          <w:marBottom w:val="0"/>
          <w:divBdr>
            <w:top w:val="none" w:sz="0" w:space="0" w:color="auto"/>
            <w:left w:val="none" w:sz="0" w:space="0" w:color="auto"/>
            <w:bottom w:val="none" w:sz="0" w:space="0" w:color="auto"/>
            <w:right w:val="none" w:sz="0" w:space="0" w:color="auto"/>
          </w:divBdr>
        </w:div>
      </w:divsChild>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551721691">
      <w:bodyDiv w:val="1"/>
      <w:marLeft w:val="0"/>
      <w:marRight w:val="0"/>
      <w:marTop w:val="0"/>
      <w:marBottom w:val="0"/>
      <w:divBdr>
        <w:top w:val="none" w:sz="0" w:space="0" w:color="auto"/>
        <w:left w:val="none" w:sz="0" w:space="0" w:color="auto"/>
        <w:bottom w:val="none" w:sz="0" w:space="0" w:color="auto"/>
        <w:right w:val="none" w:sz="0" w:space="0" w:color="auto"/>
      </w:divBdr>
    </w:div>
    <w:div w:id="1600215516">
      <w:bodyDiv w:val="1"/>
      <w:marLeft w:val="0"/>
      <w:marRight w:val="0"/>
      <w:marTop w:val="0"/>
      <w:marBottom w:val="0"/>
      <w:divBdr>
        <w:top w:val="none" w:sz="0" w:space="0" w:color="auto"/>
        <w:left w:val="none" w:sz="0" w:space="0" w:color="auto"/>
        <w:bottom w:val="none" w:sz="0" w:space="0" w:color="auto"/>
        <w:right w:val="none" w:sz="0" w:space="0" w:color="auto"/>
      </w:divBdr>
    </w:div>
    <w:div w:id="1616594357">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052412">
      <w:bodyDiv w:val="1"/>
      <w:marLeft w:val="0"/>
      <w:marRight w:val="0"/>
      <w:marTop w:val="0"/>
      <w:marBottom w:val="0"/>
      <w:divBdr>
        <w:top w:val="none" w:sz="0" w:space="0" w:color="auto"/>
        <w:left w:val="none" w:sz="0" w:space="0" w:color="auto"/>
        <w:bottom w:val="none" w:sz="0" w:space="0" w:color="auto"/>
        <w:right w:val="none" w:sz="0" w:space="0" w:color="auto"/>
      </w:divBdr>
    </w:div>
    <w:div w:id="1656907465">
      <w:bodyDiv w:val="1"/>
      <w:marLeft w:val="0"/>
      <w:marRight w:val="0"/>
      <w:marTop w:val="0"/>
      <w:marBottom w:val="0"/>
      <w:divBdr>
        <w:top w:val="none" w:sz="0" w:space="0" w:color="auto"/>
        <w:left w:val="none" w:sz="0" w:space="0" w:color="auto"/>
        <w:bottom w:val="none" w:sz="0" w:space="0" w:color="auto"/>
        <w:right w:val="none" w:sz="0" w:space="0" w:color="auto"/>
      </w:divBdr>
    </w:div>
    <w:div w:id="1658802124">
      <w:bodyDiv w:val="1"/>
      <w:marLeft w:val="0"/>
      <w:marRight w:val="0"/>
      <w:marTop w:val="0"/>
      <w:marBottom w:val="0"/>
      <w:divBdr>
        <w:top w:val="none" w:sz="0" w:space="0" w:color="auto"/>
        <w:left w:val="none" w:sz="0" w:space="0" w:color="auto"/>
        <w:bottom w:val="none" w:sz="0" w:space="0" w:color="auto"/>
        <w:right w:val="none" w:sz="0" w:space="0" w:color="auto"/>
      </w:divBdr>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7309843">
      <w:bodyDiv w:val="1"/>
      <w:marLeft w:val="0"/>
      <w:marRight w:val="0"/>
      <w:marTop w:val="0"/>
      <w:marBottom w:val="0"/>
      <w:divBdr>
        <w:top w:val="none" w:sz="0" w:space="0" w:color="auto"/>
        <w:left w:val="none" w:sz="0" w:space="0" w:color="auto"/>
        <w:bottom w:val="none" w:sz="0" w:space="0" w:color="auto"/>
        <w:right w:val="none" w:sz="0" w:space="0" w:color="auto"/>
      </w:divBdr>
    </w:div>
    <w:div w:id="1788618697">
      <w:bodyDiv w:val="1"/>
      <w:marLeft w:val="0"/>
      <w:marRight w:val="0"/>
      <w:marTop w:val="0"/>
      <w:marBottom w:val="0"/>
      <w:divBdr>
        <w:top w:val="none" w:sz="0" w:space="0" w:color="auto"/>
        <w:left w:val="none" w:sz="0" w:space="0" w:color="auto"/>
        <w:bottom w:val="none" w:sz="0" w:space="0" w:color="auto"/>
        <w:right w:val="none" w:sz="0" w:space="0" w:color="auto"/>
      </w:divBdr>
      <w:divsChild>
        <w:div w:id="810828239">
          <w:marLeft w:val="0"/>
          <w:marRight w:val="0"/>
          <w:marTop w:val="480"/>
          <w:marBottom w:val="240"/>
          <w:divBdr>
            <w:top w:val="none" w:sz="0" w:space="0" w:color="auto"/>
            <w:left w:val="none" w:sz="0" w:space="0" w:color="auto"/>
            <w:bottom w:val="none" w:sz="0" w:space="0" w:color="auto"/>
            <w:right w:val="none" w:sz="0" w:space="0" w:color="auto"/>
          </w:divBdr>
        </w:div>
        <w:div w:id="821385005">
          <w:marLeft w:val="0"/>
          <w:marRight w:val="0"/>
          <w:marTop w:val="0"/>
          <w:marBottom w:val="567"/>
          <w:divBdr>
            <w:top w:val="none" w:sz="0" w:space="0" w:color="auto"/>
            <w:left w:val="none" w:sz="0" w:space="0" w:color="auto"/>
            <w:bottom w:val="none" w:sz="0" w:space="0" w:color="auto"/>
            <w:right w:val="none" w:sz="0" w:space="0" w:color="auto"/>
          </w:divBdr>
        </w:div>
      </w:divsChild>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08627183">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9972">
      <w:bodyDiv w:val="1"/>
      <w:marLeft w:val="0"/>
      <w:marRight w:val="0"/>
      <w:marTop w:val="0"/>
      <w:marBottom w:val="0"/>
      <w:divBdr>
        <w:top w:val="none" w:sz="0" w:space="0" w:color="auto"/>
        <w:left w:val="none" w:sz="0" w:space="0" w:color="auto"/>
        <w:bottom w:val="none" w:sz="0" w:space="0" w:color="auto"/>
        <w:right w:val="none" w:sz="0" w:space="0" w:color="auto"/>
      </w:divBdr>
    </w:div>
    <w:div w:id="1860972456">
      <w:bodyDiv w:val="1"/>
      <w:marLeft w:val="0"/>
      <w:marRight w:val="0"/>
      <w:marTop w:val="0"/>
      <w:marBottom w:val="0"/>
      <w:divBdr>
        <w:top w:val="none" w:sz="0" w:space="0" w:color="auto"/>
        <w:left w:val="none" w:sz="0" w:space="0" w:color="auto"/>
        <w:bottom w:val="none" w:sz="0" w:space="0" w:color="auto"/>
        <w:right w:val="none" w:sz="0" w:space="0" w:color="auto"/>
      </w:divBdr>
      <w:divsChild>
        <w:div w:id="541408850">
          <w:marLeft w:val="547"/>
          <w:marRight w:val="0"/>
          <w:marTop w:val="0"/>
          <w:marBottom w:val="0"/>
          <w:divBdr>
            <w:top w:val="none" w:sz="0" w:space="0" w:color="auto"/>
            <w:left w:val="none" w:sz="0" w:space="0" w:color="auto"/>
            <w:bottom w:val="none" w:sz="0" w:space="0" w:color="auto"/>
            <w:right w:val="none" w:sz="0" w:space="0" w:color="auto"/>
          </w:divBdr>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871533641">
      <w:bodyDiv w:val="1"/>
      <w:marLeft w:val="0"/>
      <w:marRight w:val="0"/>
      <w:marTop w:val="0"/>
      <w:marBottom w:val="0"/>
      <w:divBdr>
        <w:top w:val="none" w:sz="0" w:space="0" w:color="auto"/>
        <w:left w:val="none" w:sz="0" w:space="0" w:color="auto"/>
        <w:bottom w:val="none" w:sz="0" w:space="0" w:color="auto"/>
        <w:right w:val="none" w:sz="0" w:space="0" w:color="auto"/>
      </w:divBdr>
      <w:divsChild>
        <w:div w:id="1860045338">
          <w:marLeft w:val="0"/>
          <w:marRight w:val="0"/>
          <w:marTop w:val="0"/>
          <w:marBottom w:val="0"/>
          <w:divBdr>
            <w:top w:val="none" w:sz="0" w:space="0" w:color="auto"/>
            <w:left w:val="none" w:sz="0" w:space="0" w:color="auto"/>
            <w:bottom w:val="none" w:sz="0" w:space="0" w:color="auto"/>
            <w:right w:val="none" w:sz="0" w:space="0" w:color="auto"/>
          </w:divBdr>
        </w:div>
        <w:div w:id="186140777">
          <w:marLeft w:val="0"/>
          <w:marRight w:val="0"/>
          <w:marTop w:val="0"/>
          <w:marBottom w:val="0"/>
          <w:divBdr>
            <w:top w:val="none" w:sz="0" w:space="0" w:color="auto"/>
            <w:left w:val="none" w:sz="0" w:space="0" w:color="auto"/>
            <w:bottom w:val="none" w:sz="0" w:space="0" w:color="auto"/>
            <w:right w:val="none" w:sz="0" w:space="0" w:color="auto"/>
          </w:divBdr>
        </w:div>
        <w:div w:id="36198159">
          <w:marLeft w:val="0"/>
          <w:marRight w:val="0"/>
          <w:marTop w:val="0"/>
          <w:marBottom w:val="0"/>
          <w:divBdr>
            <w:top w:val="none" w:sz="0" w:space="0" w:color="auto"/>
            <w:left w:val="none" w:sz="0" w:space="0" w:color="auto"/>
            <w:bottom w:val="none" w:sz="0" w:space="0" w:color="auto"/>
            <w:right w:val="none" w:sz="0" w:space="0" w:color="auto"/>
          </w:divBdr>
        </w:div>
        <w:div w:id="1908220387">
          <w:marLeft w:val="0"/>
          <w:marRight w:val="0"/>
          <w:marTop w:val="0"/>
          <w:marBottom w:val="0"/>
          <w:divBdr>
            <w:top w:val="none" w:sz="0" w:space="0" w:color="auto"/>
            <w:left w:val="none" w:sz="0" w:space="0" w:color="auto"/>
            <w:bottom w:val="none" w:sz="0" w:space="0" w:color="auto"/>
            <w:right w:val="none" w:sz="0" w:space="0" w:color="auto"/>
          </w:divBdr>
        </w:div>
        <w:div w:id="204031445">
          <w:marLeft w:val="0"/>
          <w:marRight w:val="0"/>
          <w:marTop w:val="0"/>
          <w:marBottom w:val="0"/>
          <w:divBdr>
            <w:top w:val="none" w:sz="0" w:space="0" w:color="auto"/>
            <w:left w:val="none" w:sz="0" w:space="0" w:color="auto"/>
            <w:bottom w:val="none" w:sz="0" w:space="0" w:color="auto"/>
            <w:right w:val="none" w:sz="0" w:space="0" w:color="auto"/>
          </w:divBdr>
        </w:div>
        <w:div w:id="213388947">
          <w:marLeft w:val="0"/>
          <w:marRight w:val="0"/>
          <w:marTop w:val="0"/>
          <w:marBottom w:val="0"/>
          <w:divBdr>
            <w:top w:val="none" w:sz="0" w:space="0" w:color="auto"/>
            <w:left w:val="none" w:sz="0" w:space="0" w:color="auto"/>
            <w:bottom w:val="none" w:sz="0" w:space="0" w:color="auto"/>
            <w:right w:val="none" w:sz="0" w:space="0" w:color="auto"/>
          </w:divBdr>
        </w:div>
        <w:div w:id="999507310">
          <w:marLeft w:val="0"/>
          <w:marRight w:val="0"/>
          <w:marTop w:val="0"/>
          <w:marBottom w:val="0"/>
          <w:divBdr>
            <w:top w:val="none" w:sz="0" w:space="0" w:color="auto"/>
            <w:left w:val="none" w:sz="0" w:space="0" w:color="auto"/>
            <w:bottom w:val="none" w:sz="0" w:space="0" w:color="auto"/>
            <w:right w:val="none" w:sz="0" w:space="0" w:color="auto"/>
          </w:divBdr>
        </w:div>
        <w:div w:id="641738148">
          <w:marLeft w:val="0"/>
          <w:marRight w:val="0"/>
          <w:marTop w:val="0"/>
          <w:marBottom w:val="0"/>
          <w:divBdr>
            <w:top w:val="none" w:sz="0" w:space="0" w:color="auto"/>
            <w:left w:val="none" w:sz="0" w:space="0" w:color="auto"/>
            <w:bottom w:val="none" w:sz="0" w:space="0" w:color="auto"/>
            <w:right w:val="none" w:sz="0" w:space="0" w:color="auto"/>
          </w:divBdr>
        </w:div>
        <w:div w:id="438457158">
          <w:marLeft w:val="0"/>
          <w:marRight w:val="0"/>
          <w:marTop w:val="0"/>
          <w:marBottom w:val="0"/>
          <w:divBdr>
            <w:top w:val="none" w:sz="0" w:space="0" w:color="auto"/>
            <w:left w:val="none" w:sz="0" w:space="0" w:color="auto"/>
            <w:bottom w:val="none" w:sz="0" w:space="0" w:color="auto"/>
            <w:right w:val="none" w:sz="0" w:space="0" w:color="auto"/>
          </w:divBdr>
        </w:div>
        <w:div w:id="1241670338">
          <w:marLeft w:val="0"/>
          <w:marRight w:val="0"/>
          <w:marTop w:val="0"/>
          <w:marBottom w:val="0"/>
          <w:divBdr>
            <w:top w:val="none" w:sz="0" w:space="0" w:color="auto"/>
            <w:left w:val="none" w:sz="0" w:space="0" w:color="auto"/>
            <w:bottom w:val="none" w:sz="0" w:space="0" w:color="auto"/>
            <w:right w:val="none" w:sz="0" w:space="0" w:color="auto"/>
          </w:divBdr>
        </w:div>
      </w:divsChild>
    </w:div>
    <w:div w:id="1884709397">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36159840">
      <w:bodyDiv w:val="1"/>
      <w:marLeft w:val="0"/>
      <w:marRight w:val="0"/>
      <w:marTop w:val="0"/>
      <w:marBottom w:val="0"/>
      <w:divBdr>
        <w:top w:val="none" w:sz="0" w:space="0" w:color="auto"/>
        <w:left w:val="none" w:sz="0" w:space="0" w:color="auto"/>
        <w:bottom w:val="none" w:sz="0" w:space="0" w:color="auto"/>
        <w:right w:val="none" w:sz="0" w:space="0" w:color="auto"/>
      </w:divBdr>
      <w:divsChild>
        <w:div w:id="1742174553">
          <w:marLeft w:val="0"/>
          <w:marRight w:val="0"/>
          <w:marTop w:val="0"/>
          <w:marBottom w:val="0"/>
          <w:divBdr>
            <w:top w:val="none" w:sz="0" w:space="0" w:color="auto"/>
            <w:left w:val="none" w:sz="0" w:space="0" w:color="auto"/>
            <w:bottom w:val="none" w:sz="0" w:space="0" w:color="auto"/>
            <w:right w:val="none" w:sz="0" w:space="0" w:color="auto"/>
          </w:divBdr>
        </w:div>
        <w:div w:id="131169248">
          <w:marLeft w:val="0"/>
          <w:marRight w:val="0"/>
          <w:marTop w:val="0"/>
          <w:marBottom w:val="0"/>
          <w:divBdr>
            <w:top w:val="none" w:sz="0" w:space="0" w:color="auto"/>
            <w:left w:val="none" w:sz="0" w:space="0" w:color="auto"/>
            <w:bottom w:val="none" w:sz="0" w:space="0" w:color="auto"/>
            <w:right w:val="none" w:sz="0" w:space="0" w:color="auto"/>
          </w:divBdr>
        </w:div>
        <w:div w:id="1707021781">
          <w:marLeft w:val="0"/>
          <w:marRight w:val="0"/>
          <w:marTop w:val="0"/>
          <w:marBottom w:val="0"/>
          <w:divBdr>
            <w:top w:val="none" w:sz="0" w:space="0" w:color="auto"/>
            <w:left w:val="none" w:sz="0" w:space="0" w:color="auto"/>
            <w:bottom w:val="none" w:sz="0" w:space="0" w:color="auto"/>
            <w:right w:val="none" w:sz="0" w:space="0" w:color="auto"/>
          </w:divBdr>
        </w:div>
        <w:div w:id="501552254">
          <w:marLeft w:val="0"/>
          <w:marRight w:val="0"/>
          <w:marTop w:val="0"/>
          <w:marBottom w:val="0"/>
          <w:divBdr>
            <w:top w:val="none" w:sz="0" w:space="0" w:color="auto"/>
            <w:left w:val="none" w:sz="0" w:space="0" w:color="auto"/>
            <w:bottom w:val="none" w:sz="0" w:space="0" w:color="auto"/>
            <w:right w:val="none" w:sz="0" w:space="0" w:color="auto"/>
          </w:divBdr>
        </w:div>
        <w:div w:id="1078795172">
          <w:marLeft w:val="0"/>
          <w:marRight w:val="0"/>
          <w:marTop w:val="0"/>
          <w:marBottom w:val="0"/>
          <w:divBdr>
            <w:top w:val="none" w:sz="0" w:space="0" w:color="auto"/>
            <w:left w:val="none" w:sz="0" w:space="0" w:color="auto"/>
            <w:bottom w:val="none" w:sz="0" w:space="0" w:color="auto"/>
            <w:right w:val="none" w:sz="0" w:space="0" w:color="auto"/>
          </w:divBdr>
        </w:div>
        <w:div w:id="1987932311">
          <w:marLeft w:val="0"/>
          <w:marRight w:val="0"/>
          <w:marTop w:val="0"/>
          <w:marBottom w:val="0"/>
          <w:divBdr>
            <w:top w:val="none" w:sz="0" w:space="0" w:color="auto"/>
            <w:left w:val="none" w:sz="0" w:space="0" w:color="auto"/>
            <w:bottom w:val="none" w:sz="0" w:space="0" w:color="auto"/>
            <w:right w:val="none" w:sz="0" w:space="0" w:color="auto"/>
          </w:divBdr>
        </w:div>
        <w:div w:id="1908148307">
          <w:marLeft w:val="0"/>
          <w:marRight w:val="0"/>
          <w:marTop w:val="0"/>
          <w:marBottom w:val="0"/>
          <w:divBdr>
            <w:top w:val="none" w:sz="0" w:space="0" w:color="auto"/>
            <w:left w:val="none" w:sz="0" w:space="0" w:color="auto"/>
            <w:bottom w:val="none" w:sz="0" w:space="0" w:color="auto"/>
            <w:right w:val="none" w:sz="0" w:space="0" w:color="auto"/>
          </w:divBdr>
        </w:div>
        <w:div w:id="1829588712">
          <w:marLeft w:val="0"/>
          <w:marRight w:val="0"/>
          <w:marTop w:val="0"/>
          <w:marBottom w:val="0"/>
          <w:divBdr>
            <w:top w:val="none" w:sz="0" w:space="0" w:color="auto"/>
            <w:left w:val="none" w:sz="0" w:space="0" w:color="auto"/>
            <w:bottom w:val="none" w:sz="0" w:space="0" w:color="auto"/>
            <w:right w:val="none" w:sz="0" w:space="0" w:color="auto"/>
          </w:divBdr>
        </w:div>
        <w:div w:id="894662366">
          <w:marLeft w:val="0"/>
          <w:marRight w:val="0"/>
          <w:marTop w:val="0"/>
          <w:marBottom w:val="0"/>
          <w:divBdr>
            <w:top w:val="none" w:sz="0" w:space="0" w:color="auto"/>
            <w:left w:val="none" w:sz="0" w:space="0" w:color="auto"/>
            <w:bottom w:val="none" w:sz="0" w:space="0" w:color="auto"/>
            <w:right w:val="none" w:sz="0" w:space="0" w:color="auto"/>
          </w:divBdr>
        </w:div>
        <w:div w:id="1450395348">
          <w:marLeft w:val="0"/>
          <w:marRight w:val="0"/>
          <w:marTop w:val="0"/>
          <w:marBottom w:val="0"/>
          <w:divBdr>
            <w:top w:val="none" w:sz="0" w:space="0" w:color="auto"/>
            <w:left w:val="none" w:sz="0" w:space="0" w:color="auto"/>
            <w:bottom w:val="none" w:sz="0" w:space="0" w:color="auto"/>
            <w:right w:val="none" w:sz="0" w:space="0" w:color="auto"/>
          </w:divBdr>
        </w:div>
      </w:divsChild>
    </w:div>
    <w:div w:id="1937441662">
      <w:bodyDiv w:val="1"/>
      <w:marLeft w:val="0"/>
      <w:marRight w:val="0"/>
      <w:marTop w:val="0"/>
      <w:marBottom w:val="0"/>
      <w:divBdr>
        <w:top w:val="none" w:sz="0" w:space="0" w:color="auto"/>
        <w:left w:val="none" w:sz="0" w:space="0" w:color="auto"/>
        <w:bottom w:val="none" w:sz="0" w:space="0" w:color="auto"/>
        <w:right w:val="none" w:sz="0" w:space="0" w:color="auto"/>
      </w:divBdr>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036366">
      <w:bodyDiv w:val="1"/>
      <w:marLeft w:val="0"/>
      <w:marRight w:val="0"/>
      <w:marTop w:val="0"/>
      <w:marBottom w:val="0"/>
      <w:divBdr>
        <w:top w:val="none" w:sz="0" w:space="0" w:color="auto"/>
        <w:left w:val="none" w:sz="0" w:space="0" w:color="auto"/>
        <w:bottom w:val="none" w:sz="0" w:space="0" w:color="auto"/>
        <w:right w:val="none" w:sz="0" w:space="0" w:color="auto"/>
      </w:divBdr>
    </w:div>
    <w:div w:id="1957368904">
      <w:bodyDiv w:val="1"/>
      <w:marLeft w:val="0"/>
      <w:marRight w:val="0"/>
      <w:marTop w:val="0"/>
      <w:marBottom w:val="0"/>
      <w:divBdr>
        <w:top w:val="none" w:sz="0" w:space="0" w:color="auto"/>
        <w:left w:val="none" w:sz="0" w:space="0" w:color="auto"/>
        <w:bottom w:val="none" w:sz="0" w:space="0" w:color="auto"/>
        <w:right w:val="none" w:sz="0" w:space="0" w:color="auto"/>
      </w:divBdr>
    </w:div>
    <w:div w:id="1959877206">
      <w:bodyDiv w:val="1"/>
      <w:marLeft w:val="0"/>
      <w:marRight w:val="0"/>
      <w:marTop w:val="0"/>
      <w:marBottom w:val="0"/>
      <w:divBdr>
        <w:top w:val="none" w:sz="0" w:space="0" w:color="auto"/>
        <w:left w:val="none" w:sz="0" w:space="0" w:color="auto"/>
        <w:bottom w:val="none" w:sz="0" w:space="0" w:color="auto"/>
        <w:right w:val="none" w:sz="0" w:space="0" w:color="auto"/>
      </w:divBdr>
      <w:divsChild>
        <w:div w:id="103697642">
          <w:marLeft w:val="0"/>
          <w:marRight w:val="0"/>
          <w:marTop w:val="0"/>
          <w:marBottom w:val="0"/>
          <w:divBdr>
            <w:top w:val="none" w:sz="0" w:space="0" w:color="auto"/>
            <w:left w:val="none" w:sz="0" w:space="0" w:color="auto"/>
            <w:bottom w:val="none" w:sz="0" w:space="0" w:color="auto"/>
            <w:right w:val="none" w:sz="0" w:space="0" w:color="auto"/>
          </w:divBdr>
        </w:div>
        <w:div w:id="1553805227">
          <w:marLeft w:val="0"/>
          <w:marRight w:val="0"/>
          <w:marTop w:val="0"/>
          <w:marBottom w:val="0"/>
          <w:divBdr>
            <w:top w:val="none" w:sz="0" w:space="0" w:color="auto"/>
            <w:left w:val="none" w:sz="0" w:space="0" w:color="auto"/>
            <w:bottom w:val="none" w:sz="0" w:space="0" w:color="auto"/>
            <w:right w:val="none" w:sz="0" w:space="0" w:color="auto"/>
          </w:divBdr>
        </w:div>
        <w:div w:id="1015228005">
          <w:marLeft w:val="0"/>
          <w:marRight w:val="0"/>
          <w:marTop w:val="0"/>
          <w:marBottom w:val="0"/>
          <w:divBdr>
            <w:top w:val="none" w:sz="0" w:space="0" w:color="auto"/>
            <w:left w:val="none" w:sz="0" w:space="0" w:color="auto"/>
            <w:bottom w:val="none" w:sz="0" w:space="0" w:color="auto"/>
            <w:right w:val="none" w:sz="0" w:space="0" w:color="auto"/>
          </w:divBdr>
        </w:div>
        <w:div w:id="115950581">
          <w:marLeft w:val="0"/>
          <w:marRight w:val="0"/>
          <w:marTop w:val="0"/>
          <w:marBottom w:val="0"/>
          <w:divBdr>
            <w:top w:val="none" w:sz="0" w:space="0" w:color="auto"/>
            <w:left w:val="none" w:sz="0" w:space="0" w:color="auto"/>
            <w:bottom w:val="none" w:sz="0" w:space="0" w:color="auto"/>
            <w:right w:val="none" w:sz="0" w:space="0" w:color="auto"/>
          </w:divBdr>
        </w:div>
        <w:div w:id="728958612">
          <w:marLeft w:val="0"/>
          <w:marRight w:val="0"/>
          <w:marTop w:val="0"/>
          <w:marBottom w:val="0"/>
          <w:divBdr>
            <w:top w:val="none" w:sz="0" w:space="0" w:color="auto"/>
            <w:left w:val="none" w:sz="0" w:space="0" w:color="auto"/>
            <w:bottom w:val="none" w:sz="0" w:space="0" w:color="auto"/>
            <w:right w:val="none" w:sz="0" w:space="0" w:color="auto"/>
          </w:divBdr>
        </w:div>
        <w:div w:id="1799757902">
          <w:marLeft w:val="0"/>
          <w:marRight w:val="0"/>
          <w:marTop w:val="0"/>
          <w:marBottom w:val="0"/>
          <w:divBdr>
            <w:top w:val="none" w:sz="0" w:space="0" w:color="auto"/>
            <w:left w:val="none" w:sz="0" w:space="0" w:color="auto"/>
            <w:bottom w:val="none" w:sz="0" w:space="0" w:color="auto"/>
            <w:right w:val="none" w:sz="0" w:space="0" w:color="auto"/>
          </w:divBdr>
        </w:div>
        <w:div w:id="1619681722">
          <w:marLeft w:val="0"/>
          <w:marRight w:val="0"/>
          <w:marTop w:val="0"/>
          <w:marBottom w:val="0"/>
          <w:divBdr>
            <w:top w:val="none" w:sz="0" w:space="0" w:color="auto"/>
            <w:left w:val="none" w:sz="0" w:space="0" w:color="auto"/>
            <w:bottom w:val="none" w:sz="0" w:space="0" w:color="auto"/>
            <w:right w:val="none" w:sz="0" w:space="0" w:color="auto"/>
          </w:divBdr>
        </w:div>
        <w:div w:id="1195654446">
          <w:marLeft w:val="0"/>
          <w:marRight w:val="0"/>
          <w:marTop w:val="0"/>
          <w:marBottom w:val="0"/>
          <w:divBdr>
            <w:top w:val="none" w:sz="0" w:space="0" w:color="auto"/>
            <w:left w:val="none" w:sz="0" w:space="0" w:color="auto"/>
            <w:bottom w:val="none" w:sz="0" w:space="0" w:color="auto"/>
            <w:right w:val="none" w:sz="0" w:space="0" w:color="auto"/>
          </w:divBdr>
        </w:div>
        <w:div w:id="859396331">
          <w:marLeft w:val="0"/>
          <w:marRight w:val="0"/>
          <w:marTop w:val="0"/>
          <w:marBottom w:val="0"/>
          <w:divBdr>
            <w:top w:val="none" w:sz="0" w:space="0" w:color="auto"/>
            <w:left w:val="none" w:sz="0" w:space="0" w:color="auto"/>
            <w:bottom w:val="none" w:sz="0" w:space="0" w:color="auto"/>
            <w:right w:val="none" w:sz="0" w:space="0" w:color="auto"/>
          </w:divBdr>
        </w:div>
        <w:div w:id="1351879675">
          <w:marLeft w:val="0"/>
          <w:marRight w:val="0"/>
          <w:marTop w:val="0"/>
          <w:marBottom w:val="0"/>
          <w:divBdr>
            <w:top w:val="none" w:sz="0" w:space="0" w:color="auto"/>
            <w:left w:val="none" w:sz="0" w:space="0" w:color="auto"/>
            <w:bottom w:val="none" w:sz="0" w:space="0" w:color="auto"/>
            <w:right w:val="none" w:sz="0" w:space="0" w:color="auto"/>
          </w:divBdr>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1980069857">
      <w:bodyDiv w:val="1"/>
      <w:marLeft w:val="0"/>
      <w:marRight w:val="0"/>
      <w:marTop w:val="0"/>
      <w:marBottom w:val="0"/>
      <w:divBdr>
        <w:top w:val="none" w:sz="0" w:space="0" w:color="auto"/>
        <w:left w:val="none" w:sz="0" w:space="0" w:color="auto"/>
        <w:bottom w:val="none" w:sz="0" w:space="0" w:color="auto"/>
        <w:right w:val="none" w:sz="0" w:space="0" w:color="auto"/>
      </w:divBdr>
      <w:divsChild>
        <w:div w:id="219170276">
          <w:marLeft w:val="0"/>
          <w:marRight w:val="0"/>
          <w:marTop w:val="0"/>
          <w:marBottom w:val="0"/>
          <w:divBdr>
            <w:top w:val="none" w:sz="0" w:space="0" w:color="auto"/>
            <w:left w:val="none" w:sz="0" w:space="0" w:color="auto"/>
            <w:bottom w:val="none" w:sz="0" w:space="0" w:color="auto"/>
            <w:right w:val="none" w:sz="0" w:space="0" w:color="auto"/>
          </w:divBdr>
          <w:divsChild>
            <w:div w:id="806512550">
              <w:marLeft w:val="0"/>
              <w:marRight w:val="0"/>
              <w:marTop w:val="0"/>
              <w:marBottom w:val="0"/>
              <w:divBdr>
                <w:top w:val="none" w:sz="0" w:space="0" w:color="auto"/>
                <w:left w:val="none" w:sz="0" w:space="0" w:color="auto"/>
                <w:bottom w:val="none" w:sz="0" w:space="0" w:color="auto"/>
                <w:right w:val="none" w:sz="0" w:space="0" w:color="auto"/>
              </w:divBdr>
            </w:div>
            <w:div w:id="181021348">
              <w:marLeft w:val="0"/>
              <w:marRight w:val="0"/>
              <w:marTop w:val="0"/>
              <w:marBottom w:val="0"/>
              <w:divBdr>
                <w:top w:val="none" w:sz="0" w:space="0" w:color="auto"/>
                <w:left w:val="none" w:sz="0" w:space="0" w:color="auto"/>
                <w:bottom w:val="none" w:sz="0" w:space="0" w:color="auto"/>
                <w:right w:val="none" w:sz="0" w:space="0" w:color="auto"/>
              </w:divBdr>
              <w:divsChild>
                <w:div w:id="2123069445">
                  <w:marLeft w:val="0"/>
                  <w:marRight w:val="0"/>
                  <w:marTop w:val="0"/>
                  <w:marBottom w:val="0"/>
                  <w:divBdr>
                    <w:top w:val="none" w:sz="0" w:space="0" w:color="auto"/>
                    <w:left w:val="none" w:sz="0" w:space="0" w:color="auto"/>
                    <w:bottom w:val="none" w:sz="0" w:space="0" w:color="auto"/>
                    <w:right w:val="none" w:sz="0" w:space="0" w:color="auto"/>
                  </w:divBdr>
                </w:div>
                <w:div w:id="348679619">
                  <w:marLeft w:val="0"/>
                  <w:marRight w:val="0"/>
                  <w:marTop w:val="0"/>
                  <w:marBottom w:val="0"/>
                  <w:divBdr>
                    <w:top w:val="none" w:sz="0" w:space="0" w:color="auto"/>
                    <w:left w:val="none" w:sz="0" w:space="0" w:color="auto"/>
                    <w:bottom w:val="none" w:sz="0" w:space="0" w:color="auto"/>
                    <w:right w:val="none" w:sz="0" w:space="0" w:color="auto"/>
                  </w:divBdr>
                </w:div>
              </w:divsChild>
            </w:div>
            <w:div w:id="1510370108">
              <w:marLeft w:val="0"/>
              <w:marRight w:val="0"/>
              <w:marTop w:val="0"/>
              <w:marBottom w:val="0"/>
              <w:divBdr>
                <w:top w:val="none" w:sz="0" w:space="0" w:color="auto"/>
                <w:left w:val="none" w:sz="0" w:space="0" w:color="auto"/>
                <w:bottom w:val="none" w:sz="0" w:space="0" w:color="auto"/>
                <w:right w:val="none" w:sz="0" w:space="0" w:color="auto"/>
              </w:divBdr>
            </w:div>
          </w:divsChild>
        </w:div>
        <w:div w:id="468018012">
          <w:marLeft w:val="0"/>
          <w:marRight w:val="0"/>
          <w:marTop w:val="0"/>
          <w:marBottom w:val="0"/>
          <w:divBdr>
            <w:top w:val="none" w:sz="0" w:space="0" w:color="auto"/>
            <w:left w:val="none" w:sz="0" w:space="0" w:color="auto"/>
            <w:bottom w:val="none" w:sz="0" w:space="0" w:color="auto"/>
            <w:right w:val="none" w:sz="0" w:space="0" w:color="auto"/>
          </w:divBdr>
          <w:divsChild>
            <w:div w:id="1500151558">
              <w:marLeft w:val="0"/>
              <w:marRight w:val="0"/>
              <w:marTop w:val="0"/>
              <w:marBottom w:val="0"/>
              <w:divBdr>
                <w:top w:val="none" w:sz="0" w:space="0" w:color="auto"/>
                <w:left w:val="none" w:sz="0" w:space="0" w:color="auto"/>
                <w:bottom w:val="none" w:sz="0" w:space="0" w:color="auto"/>
                <w:right w:val="none" w:sz="0" w:space="0" w:color="auto"/>
              </w:divBdr>
            </w:div>
            <w:div w:id="650527920">
              <w:marLeft w:val="0"/>
              <w:marRight w:val="0"/>
              <w:marTop w:val="0"/>
              <w:marBottom w:val="0"/>
              <w:divBdr>
                <w:top w:val="none" w:sz="0" w:space="0" w:color="auto"/>
                <w:left w:val="none" w:sz="0" w:space="0" w:color="auto"/>
                <w:bottom w:val="none" w:sz="0" w:space="0" w:color="auto"/>
                <w:right w:val="none" w:sz="0" w:space="0" w:color="auto"/>
              </w:divBdr>
            </w:div>
            <w:div w:id="928929921">
              <w:marLeft w:val="0"/>
              <w:marRight w:val="0"/>
              <w:marTop w:val="0"/>
              <w:marBottom w:val="0"/>
              <w:divBdr>
                <w:top w:val="none" w:sz="0" w:space="0" w:color="auto"/>
                <w:left w:val="none" w:sz="0" w:space="0" w:color="auto"/>
                <w:bottom w:val="none" w:sz="0" w:space="0" w:color="auto"/>
                <w:right w:val="none" w:sz="0" w:space="0" w:color="auto"/>
              </w:divBdr>
            </w:div>
            <w:div w:id="2055158213">
              <w:marLeft w:val="0"/>
              <w:marRight w:val="0"/>
              <w:marTop w:val="0"/>
              <w:marBottom w:val="0"/>
              <w:divBdr>
                <w:top w:val="none" w:sz="0" w:space="0" w:color="auto"/>
                <w:left w:val="none" w:sz="0" w:space="0" w:color="auto"/>
                <w:bottom w:val="none" w:sz="0" w:space="0" w:color="auto"/>
                <w:right w:val="none" w:sz="0" w:space="0" w:color="auto"/>
              </w:divBdr>
            </w:div>
            <w:div w:id="1335038531">
              <w:marLeft w:val="0"/>
              <w:marRight w:val="0"/>
              <w:marTop w:val="0"/>
              <w:marBottom w:val="0"/>
              <w:divBdr>
                <w:top w:val="none" w:sz="0" w:space="0" w:color="auto"/>
                <w:left w:val="none" w:sz="0" w:space="0" w:color="auto"/>
                <w:bottom w:val="none" w:sz="0" w:space="0" w:color="auto"/>
                <w:right w:val="none" w:sz="0" w:space="0" w:color="auto"/>
              </w:divBdr>
            </w:div>
          </w:divsChild>
        </w:div>
        <w:div w:id="941375605">
          <w:marLeft w:val="0"/>
          <w:marRight w:val="0"/>
          <w:marTop w:val="0"/>
          <w:marBottom w:val="0"/>
          <w:divBdr>
            <w:top w:val="none" w:sz="0" w:space="0" w:color="auto"/>
            <w:left w:val="none" w:sz="0" w:space="0" w:color="auto"/>
            <w:bottom w:val="none" w:sz="0" w:space="0" w:color="auto"/>
            <w:right w:val="none" w:sz="0" w:space="0" w:color="auto"/>
          </w:divBdr>
          <w:divsChild>
            <w:div w:id="1048145065">
              <w:marLeft w:val="0"/>
              <w:marRight w:val="0"/>
              <w:marTop w:val="0"/>
              <w:marBottom w:val="0"/>
              <w:divBdr>
                <w:top w:val="none" w:sz="0" w:space="0" w:color="auto"/>
                <w:left w:val="none" w:sz="0" w:space="0" w:color="auto"/>
                <w:bottom w:val="none" w:sz="0" w:space="0" w:color="auto"/>
                <w:right w:val="none" w:sz="0" w:space="0" w:color="auto"/>
              </w:divBdr>
              <w:divsChild>
                <w:div w:id="1864396015">
                  <w:marLeft w:val="0"/>
                  <w:marRight w:val="0"/>
                  <w:marTop w:val="0"/>
                  <w:marBottom w:val="0"/>
                  <w:divBdr>
                    <w:top w:val="none" w:sz="0" w:space="0" w:color="auto"/>
                    <w:left w:val="none" w:sz="0" w:space="0" w:color="auto"/>
                    <w:bottom w:val="none" w:sz="0" w:space="0" w:color="auto"/>
                    <w:right w:val="none" w:sz="0" w:space="0" w:color="auto"/>
                  </w:divBdr>
                  <w:divsChild>
                    <w:div w:id="92169487">
                      <w:marLeft w:val="0"/>
                      <w:marRight w:val="0"/>
                      <w:marTop w:val="0"/>
                      <w:marBottom w:val="0"/>
                      <w:divBdr>
                        <w:top w:val="none" w:sz="0" w:space="0" w:color="auto"/>
                        <w:left w:val="none" w:sz="0" w:space="0" w:color="auto"/>
                        <w:bottom w:val="none" w:sz="0" w:space="0" w:color="auto"/>
                        <w:right w:val="none" w:sz="0" w:space="0" w:color="auto"/>
                      </w:divBdr>
                      <w:divsChild>
                        <w:div w:id="1958294791">
                          <w:marLeft w:val="0"/>
                          <w:marRight w:val="0"/>
                          <w:marTop w:val="0"/>
                          <w:marBottom w:val="0"/>
                          <w:divBdr>
                            <w:top w:val="none" w:sz="0" w:space="0" w:color="auto"/>
                            <w:left w:val="none" w:sz="0" w:space="0" w:color="auto"/>
                            <w:bottom w:val="none" w:sz="0" w:space="0" w:color="auto"/>
                            <w:right w:val="none" w:sz="0" w:space="0" w:color="auto"/>
                          </w:divBdr>
                          <w:divsChild>
                            <w:div w:id="1856729229">
                              <w:marLeft w:val="0"/>
                              <w:marRight w:val="0"/>
                              <w:marTop w:val="0"/>
                              <w:marBottom w:val="0"/>
                              <w:divBdr>
                                <w:top w:val="none" w:sz="0" w:space="0" w:color="auto"/>
                                <w:left w:val="none" w:sz="0" w:space="0" w:color="auto"/>
                                <w:bottom w:val="none" w:sz="0" w:space="0" w:color="auto"/>
                                <w:right w:val="none" w:sz="0" w:space="0" w:color="auto"/>
                              </w:divBdr>
                            </w:div>
                          </w:divsChild>
                        </w:div>
                        <w:div w:id="1858739368">
                          <w:marLeft w:val="0"/>
                          <w:marRight w:val="0"/>
                          <w:marTop w:val="0"/>
                          <w:marBottom w:val="0"/>
                          <w:divBdr>
                            <w:top w:val="none" w:sz="0" w:space="0" w:color="auto"/>
                            <w:left w:val="none" w:sz="0" w:space="0" w:color="auto"/>
                            <w:bottom w:val="none" w:sz="0" w:space="0" w:color="auto"/>
                            <w:right w:val="none" w:sz="0" w:space="0" w:color="auto"/>
                          </w:divBdr>
                          <w:divsChild>
                            <w:div w:id="1787695942">
                              <w:marLeft w:val="0"/>
                              <w:marRight w:val="0"/>
                              <w:marTop w:val="0"/>
                              <w:marBottom w:val="0"/>
                              <w:divBdr>
                                <w:top w:val="none" w:sz="0" w:space="0" w:color="auto"/>
                                <w:left w:val="none" w:sz="0" w:space="0" w:color="auto"/>
                                <w:bottom w:val="none" w:sz="0" w:space="0" w:color="auto"/>
                                <w:right w:val="none" w:sz="0" w:space="0" w:color="auto"/>
                              </w:divBdr>
                            </w:div>
                          </w:divsChild>
                        </w:div>
                        <w:div w:id="166558793">
                          <w:marLeft w:val="0"/>
                          <w:marRight w:val="0"/>
                          <w:marTop w:val="0"/>
                          <w:marBottom w:val="0"/>
                          <w:divBdr>
                            <w:top w:val="none" w:sz="0" w:space="0" w:color="auto"/>
                            <w:left w:val="none" w:sz="0" w:space="0" w:color="auto"/>
                            <w:bottom w:val="none" w:sz="0" w:space="0" w:color="auto"/>
                            <w:right w:val="none" w:sz="0" w:space="0" w:color="auto"/>
                          </w:divBdr>
                          <w:divsChild>
                            <w:div w:id="1871185927">
                              <w:marLeft w:val="0"/>
                              <w:marRight w:val="0"/>
                              <w:marTop w:val="0"/>
                              <w:marBottom w:val="0"/>
                              <w:divBdr>
                                <w:top w:val="none" w:sz="0" w:space="0" w:color="auto"/>
                                <w:left w:val="none" w:sz="0" w:space="0" w:color="auto"/>
                                <w:bottom w:val="none" w:sz="0" w:space="0" w:color="auto"/>
                                <w:right w:val="none" w:sz="0" w:space="0" w:color="auto"/>
                              </w:divBdr>
                            </w:div>
                          </w:divsChild>
                        </w:div>
                        <w:div w:id="535697051">
                          <w:marLeft w:val="0"/>
                          <w:marRight w:val="0"/>
                          <w:marTop w:val="0"/>
                          <w:marBottom w:val="0"/>
                          <w:divBdr>
                            <w:top w:val="none" w:sz="0" w:space="0" w:color="auto"/>
                            <w:left w:val="none" w:sz="0" w:space="0" w:color="auto"/>
                            <w:bottom w:val="none" w:sz="0" w:space="0" w:color="auto"/>
                            <w:right w:val="none" w:sz="0" w:space="0" w:color="auto"/>
                          </w:divBdr>
                          <w:divsChild>
                            <w:div w:id="682516037">
                              <w:marLeft w:val="0"/>
                              <w:marRight w:val="0"/>
                              <w:marTop w:val="0"/>
                              <w:marBottom w:val="0"/>
                              <w:divBdr>
                                <w:top w:val="none" w:sz="0" w:space="0" w:color="auto"/>
                                <w:left w:val="none" w:sz="0" w:space="0" w:color="auto"/>
                                <w:bottom w:val="none" w:sz="0" w:space="0" w:color="auto"/>
                                <w:right w:val="none" w:sz="0" w:space="0" w:color="auto"/>
                              </w:divBdr>
                            </w:div>
                          </w:divsChild>
                        </w:div>
                        <w:div w:id="1247959133">
                          <w:marLeft w:val="0"/>
                          <w:marRight w:val="0"/>
                          <w:marTop w:val="0"/>
                          <w:marBottom w:val="0"/>
                          <w:divBdr>
                            <w:top w:val="none" w:sz="0" w:space="0" w:color="auto"/>
                            <w:left w:val="none" w:sz="0" w:space="0" w:color="auto"/>
                            <w:bottom w:val="none" w:sz="0" w:space="0" w:color="auto"/>
                            <w:right w:val="none" w:sz="0" w:space="0" w:color="auto"/>
                          </w:divBdr>
                          <w:divsChild>
                            <w:div w:id="9887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511">
                      <w:marLeft w:val="0"/>
                      <w:marRight w:val="0"/>
                      <w:marTop w:val="0"/>
                      <w:marBottom w:val="0"/>
                      <w:divBdr>
                        <w:top w:val="none" w:sz="0" w:space="0" w:color="auto"/>
                        <w:left w:val="none" w:sz="0" w:space="0" w:color="auto"/>
                        <w:bottom w:val="none" w:sz="0" w:space="0" w:color="auto"/>
                        <w:right w:val="none" w:sz="0" w:space="0" w:color="auto"/>
                      </w:divBdr>
                      <w:divsChild>
                        <w:div w:id="171771798">
                          <w:marLeft w:val="0"/>
                          <w:marRight w:val="0"/>
                          <w:marTop w:val="0"/>
                          <w:marBottom w:val="0"/>
                          <w:divBdr>
                            <w:top w:val="none" w:sz="0" w:space="0" w:color="auto"/>
                            <w:left w:val="none" w:sz="0" w:space="0" w:color="auto"/>
                            <w:bottom w:val="none" w:sz="0" w:space="0" w:color="auto"/>
                            <w:right w:val="none" w:sz="0" w:space="0" w:color="auto"/>
                          </w:divBdr>
                          <w:divsChild>
                            <w:div w:id="524825063">
                              <w:marLeft w:val="0"/>
                              <w:marRight w:val="0"/>
                              <w:marTop w:val="0"/>
                              <w:marBottom w:val="0"/>
                              <w:divBdr>
                                <w:top w:val="none" w:sz="0" w:space="0" w:color="auto"/>
                                <w:left w:val="none" w:sz="0" w:space="0" w:color="auto"/>
                                <w:bottom w:val="none" w:sz="0" w:space="0" w:color="auto"/>
                                <w:right w:val="none" w:sz="0" w:space="0" w:color="auto"/>
                              </w:divBdr>
                            </w:div>
                          </w:divsChild>
                        </w:div>
                        <w:div w:id="1628007096">
                          <w:marLeft w:val="0"/>
                          <w:marRight w:val="0"/>
                          <w:marTop w:val="0"/>
                          <w:marBottom w:val="0"/>
                          <w:divBdr>
                            <w:top w:val="none" w:sz="0" w:space="0" w:color="auto"/>
                            <w:left w:val="none" w:sz="0" w:space="0" w:color="auto"/>
                            <w:bottom w:val="none" w:sz="0" w:space="0" w:color="auto"/>
                            <w:right w:val="none" w:sz="0" w:space="0" w:color="auto"/>
                          </w:divBdr>
                          <w:divsChild>
                            <w:div w:id="223222144">
                              <w:marLeft w:val="0"/>
                              <w:marRight w:val="0"/>
                              <w:marTop w:val="0"/>
                              <w:marBottom w:val="0"/>
                              <w:divBdr>
                                <w:top w:val="none" w:sz="0" w:space="0" w:color="auto"/>
                                <w:left w:val="none" w:sz="0" w:space="0" w:color="auto"/>
                                <w:bottom w:val="none" w:sz="0" w:space="0" w:color="auto"/>
                                <w:right w:val="none" w:sz="0" w:space="0" w:color="auto"/>
                              </w:divBdr>
                            </w:div>
                          </w:divsChild>
                        </w:div>
                        <w:div w:id="10305682">
                          <w:marLeft w:val="0"/>
                          <w:marRight w:val="0"/>
                          <w:marTop w:val="0"/>
                          <w:marBottom w:val="0"/>
                          <w:divBdr>
                            <w:top w:val="none" w:sz="0" w:space="0" w:color="auto"/>
                            <w:left w:val="none" w:sz="0" w:space="0" w:color="auto"/>
                            <w:bottom w:val="none" w:sz="0" w:space="0" w:color="auto"/>
                            <w:right w:val="none" w:sz="0" w:space="0" w:color="auto"/>
                          </w:divBdr>
                          <w:divsChild>
                            <w:div w:id="753625626">
                              <w:marLeft w:val="0"/>
                              <w:marRight w:val="0"/>
                              <w:marTop w:val="0"/>
                              <w:marBottom w:val="0"/>
                              <w:divBdr>
                                <w:top w:val="none" w:sz="0" w:space="0" w:color="auto"/>
                                <w:left w:val="none" w:sz="0" w:space="0" w:color="auto"/>
                                <w:bottom w:val="none" w:sz="0" w:space="0" w:color="auto"/>
                                <w:right w:val="none" w:sz="0" w:space="0" w:color="auto"/>
                              </w:divBdr>
                            </w:div>
                          </w:divsChild>
                        </w:div>
                        <w:div w:id="1891843925">
                          <w:marLeft w:val="0"/>
                          <w:marRight w:val="0"/>
                          <w:marTop w:val="0"/>
                          <w:marBottom w:val="0"/>
                          <w:divBdr>
                            <w:top w:val="none" w:sz="0" w:space="0" w:color="auto"/>
                            <w:left w:val="none" w:sz="0" w:space="0" w:color="auto"/>
                            <w:bottom w:val="none" w:sz="0" w:space="0" w:color="auto"/>
                            <w:right w:val="none" w:sz="0" w:space="0" w:color="auto"/>
                          </w:divBdr>
                          <w:divsChild>
                            <w:div w:id="1198659001">
                              <w:marLeft w:val="0"/>
                              <w:marRight w:val="0"/>
                              <w:marTop w:val="0"/>
                              <w:marBottom w:val="0"/>
                              <w:divBdr>
                                <w:top w:val="none" w:sz="0" w:space="0" w:color="auto"/>
                                <w:left w:val="none" w:sz="0" w:space="0" w:color="auto"/>
                                <w:bottom w:val="none" w:sz="0" w:space="0" w:color="auto"/>
                                <w:right w:val="none" w:sz="0" w:space="0" w:color="auto"/>
                              </w:divBdr>
                            </w:div>
                          </w:divsChild>
                        </w:div>
                        <w:div w:id="1316178454">
                          <w:marLeft w:val="0"/>
                          <w:marRight w:val="0"/>
                          <w:marTop w:val="0"/>
                          <w:marBottom w:val="0"/>
                          <w:divBdr>
                            <w:top w:val="none" w:sz="0" w:space="0" w:color="auto"/>
                            <w:left w:val="none" w:sz="0" w:space="0" w:color="auto"/>
                            <w:bottom w:val="none" w:sz="0" w:space="0" w:color="auto"/>
                            <w:right w:val="none" w:sz="0" w:space="0" w:color="auto"/>
                          </w:divBdr>
                          <w:divsChild>
                            <w:div w:id="70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15">
                      <w:marLeft w:val="0"/>
                      <w:marRight w:val="0"/>
                      <w:marTop w:val="0"/>
                      <w:marBottom w:val="0"/>
                      <w:divBdr>
                        <w:top w:val="none" w:sz="0" w:space="0" w:color="auto"/>
                        <w:left w:val="none" w:sz="0" w:space="0" w:color="auto"/>
                        <w:bottom w:val="none" w:sz="0" w:space="0" w:color="auto"/>
                        <w:right w:val="none" w:sz="0" w:space="0" w:color="auto"/>
                      </w:divBdr>
                      <w:divsChild>
                        <w:div w:id="1238053417">
                          <w:marLeft w:val="0"/>
                          <w:marRight w:val="0"/>
                          <w:marTop w:val="0"/>
                          <w:marBottom w:val="0"/>
                          <w:divBdr>
                            <w:top w:val="none" w:sz="0" w:space="0" w:color="auto"/>
                            <w:left w:val="none" w:sz="0" w:space="0" w:color="auto"/>
                            <w:bottom w:val="none" w:sz="0" w:space="0" w:color="auto"/>
                            <w:right w:val="none" w:sz="0" w:space="0" w:color="auto"/>
                          </w:divBdr>
                          <w:divsChild>
                            <w:div w:id="1462504234">
                              <w:marLeft w:val="0"/>
                              <w:marRight w:val="0"/>
                              <w:marTop w:val="0"/>
                              <w:marBottom w:val="0"/>
                              <w:divBdr>
                                <w:top w:val="none" w:sz="0" w:space="0" w:color="auto"/>
                                <w:left w:val="none" w:sz="0" w:space="0" w:color="auto"/>
                                <w:bottom w:val="none" w:sz="0" w:space="0" w:color="auto"/>
                                <w:right w:val="none" w:sz="0" w:space="0" w:color="auto"/>
                              </w:divBdr>
                            </w:div>
                          </w:divsChild>
                        </w:div>
                        <w:div w:id="102699957">
                          <w:marLeft w:val="0"/>
                          <w:marRight w:val="0"/>
                          <w:marTop w:val="0"/>
                          <w:marBottom w:val="0"/>
                          <w:divBdr>
                            <w:top w:val="none" w:sz="0" w:space="0" w:color="auto"/>
                            <w:left w:val="none" w:sz="0" w:space="0" w:color="auto"/>
                            <w:bottom w:val="none" w:sz="0" w:space="0" w:color="auto"/>
                            <w:right w:val="none" w:sz="0" w:space="0" w:color="auto"/>
                          </w:divBdr>
                          <w:divsChild>
                            <w:div w:id="1566913513">
                              <w:marLeft w:val="0"/>
                              <w:marRight w:val="0"/>
                              <w:marTop w:val="0"/>
                              <w:marBottom w:val="0"/>
                              <w:divBdr>
                                <w:top w:val="none" w:sz="0" w:space="0" w:color="auto"/>
                                <w:left w:val="none" w:sz="0" w:space="0" w:color="auto"/>
                                <w:bottom w:val="none" w:sz="0" w:space="0" w:color="auto"/>
                                <w:right w:val="none" w:sz="0" w:space="0" w:color="auto"/>
                              </w:divBdr>
                            </w:div>
                          </w:divsChild>
                        </w:div>
                        <w:div w:id="667441574">
                          <w:marLeft w:val="0"/>
                          <w:marRight w:val="0"/>
                          <w:marTop w:val="0"/>
                          <w:marBottom w:val="0"/>
                          <w:divBdr>
                            <w:top w:val="none" w:sz="0" w:space="0" w:color="auto"/>
                            <w:left w:val="none" w:sz="0" w:space="0" w:color="auto"/>
                            <w:bottom w:val="none" w:sz="0" w:space="0" w:color="auto"/>
                            <w:right w:val="none" w:sz="0" w:space="0" w:color="auto"/>
                          </w:divBdr>
                          <w:divsChild>
                            <w:div w:id="23753273">
                              <w:marLeft w:val="0"/>
                              <w:marRight w:val="0"/>
                              <w:marTop w:val="0"/>
                              <w:marBottom w:val="0"/>
                              <w:divBdr>
                                <w:top w:val="none" w:sz="0" w:space="0" w:color="auto"/>
                                <w:left w:val="none" w:sz="0" w:space="0" w:color="auto"/>
                                <w:bottom w:val="none" w:sz="0" w:space="0" w:color="auto"/>
                                <w:right w:val="none" w:sz="0" w:space="0" w:color="auto"/>
                              </w:divBdr>
                            </w:div>
                          </w:divsChild>
                        </w:div>
                        <w:div w:id="1226602137">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0"/>
                              <w:marBottom w:val="0"/>
                              <w:divBdr>
                                <w:top w:val="none" w:sz="0" w:space="0" w:color="auto"/>
                                <w:left w:val="none" w:sz="0" w:space="0" w:color="auto"/>
                                <w:bottom w:val="none" w:sz="0" w:space="0" w:color="auto"/>
                                <w:right w:val="none" w:sz="0" w:space="0" w:color="auto"/>
                              </w:divBdr>
                            </w:div>
                          </w:divsChild>
                        </w:div>
                        <w:div w:id="323894972">
                          <w:marLeft w:val="0"/>
                          <w:marRight w:val="0"/>
                          <w:marTop w:val="0"/>
                          <w:marBottom w:val="0"/>
                          <w:divBdr>
                            <w:top w:val="none" w:sz="0" w:space="0" w:color="auto"/>
                            <w:left w:val="none" w:sz="0" w:space="0" w:color="auto"/>
                            <w:bottom w:val="none" w:sz="0" w:space="0" w:color="auto"/>
                            <w:right w:val="none" w:sz="0" w:space="0" w:color="auto"/>
                          </w:divBdr>
                          <w:divsChild>
                            <w:div w:id="21114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779">
                      <w:marLeft w:val="0"/>
                      <w:marRight w:val="0"/>
                      <w:marTop w:val="0"/>
                      <w:marBottom w:val="0"/>
                      <w:divBdr>
                        <w:top w:val="none" w:sz="0" w:space="0" w:color="auto"/>
                        <w:left w:val="none" w:sz="0" w:space="0" w:color="auto"/>
                        <w:bottom w:val="none" w:sz="0" w:space="0" w:color="auto"/>
                        <w:right w:val="none" w:sz="0" w:space="0" w:color="auto"/>
                      </w:divBdr>
                      <w:divsChild>
                        <w:div w:id="183325303">
                          <w:marLeft w:val="0"/>
                          <w:marRight w:val="0"/>
                          <w:marTop w:val="0"/>
                          <w:marBottom w:val="0"/>
                          <w:divBdr>
                            <w:top w:val="none" w:sz="0" w:space="0" w:color="auto"/>
                            <w:left w:val="none" w:sz="0" w:space="0" w:color="auto"/>
                            <w:bottom w:val="none" w:sz="0" w:space="0" w:color="auto"/>
                            <w:right w:val="none" w:sz="0" w:space="0" w:color="auto"/>
                          </w:divBdr>
                          <w:divsChild>
                            <w:div w:id="236978673">
                              <w:marLeft w:val="0"/>
                              <w:marRight w:val="0"/>
                              <w:marTop w:val="0"/>
                              <w:marBottom w:val="0"/>
                              <w:divBdr>
                                <w:top w:val="none" w:sz="0" w:space="0" w:color="auto"/>
                                <w:left w:val="none" w:sz="0" w:space="0" w:color="auto"/>
                                <w:bottom w:val="none" w:sz="0" w:space="0" w:color="auto"/>
                                <w:right w:val="none" w:sz="0" w:space="0" w:color="auto"/>
                              </w:divBdr>
                            </w:div>
                          </w:divsChild>
                        </w:div>
                        <w:div w:id="1500730333">
                          <w:marLeft w:val="0"/>
                          <w:marRight w:val="0"/>
                          <w:marTop w:val="0"/>
                          <w:marBottom w:val="0"/>
                          <w:divBdr>
                            <w:top w:val="none" w:sz="0" w:space="0" w:color="auto"/>
                            <w:left w:val="none" w:sz="0" w:space="0" w:color="auto"/>
                            <w:bottom w:val="none" w:sz="0" w:space="0" w:color="auto"/>
                            <w:right w:val="none" w:sz="0" w:space="0" w:color="auto"/>
                          </w:divBdr>
                          <w:divsChild>
                            <w:div w:id="1366443682">
                              <w:marLeft w:val="0"/>
                              <w:marRight w:val="0"/>
                              <w:marTop w:val="0"/>
                              <w:marBottom w:val="0"/>
                              <w:divBdr>
                                <w:top w:val="none" w:sz="0" w:space="0" w:color="auto"/>
                                <w:left w:val="none" w:sz="0" w:space="0" w:color="auto"/>
                                <w:bottom w:val="none" w:sz="0" w:space="0" w:color="auto"/>
                                <w:right w:val="none" w:sz="0" w:space="0" w:color="auto"/>
                              </w:divBdr>
                            </w:div>
                          </w:divsChild>
                        </w:div>
                        <w:div w:id="165677830">
                          <w:marLeft w:val="0"/>
                          <w:marRight w:val="0"/>
                          <w:marTop w:val="0"/>
                          <w:marBottom w:val="0"/>
                          <w:divBdr>
                            <w:top w:val="none" w:sz="0" w:space="0" w:color="auto"/>
                            <w:left w:val="none" w:sz="0" w:space="0" w:color="auto"/>
                            <w:bottom w:val="none" w:sz="0" w:space="0" w:color="auto"/>
                            <w:right w:val="none" w:sz="0" w:space="0" w:color="auto"/>
                          </w:divBdr>
                          <w:divsChild>
                            <w:div w:id="1441876163">
                              <w:marLeft w:val="0"/>
                              <w:marRight w:val="0"/>
                              <w:marTop w:val="0"/>
                              <w:marBottom w:val="0"/>
                              <w:divBdr>
                                <w:top w:val="none" w:sz="0" w:space="0" w:color="auto"/>
                                <w:left w:val="none" w:sz="0" w:space="0" w:color="auto"/>
                                <w:bottom w:val="none" w:sz="0" w:space="0" w:color="auto"/>
                                <w:right w:val="none" w:sz="0" w:space="0" w:color="auto"/>
                              </w:divBdr>
                            </w:div>
                          </w:divsChild>
                        </w:div>
                        <w:div w:id="2072997809">
                          <w:marLeft w:val="0"/>
                          <w:marRight w:val="0"/>
                          <w:marTop w:val="0"/>
                          <w:marBottom w:val="0"/>
                          <w:divBdr>
                            <w:top w:val="none" w:sz="0" w:space="0" w:color="auto"/>
                            <w:left w:val="none" w:sz="0" w:space="0" w:color="auto"/>
                            <w:bottom w:val="none" w:sz="0" w:space="0" w:color="auto"/>
                            <w:right w:val="none" w:sz="0" w:space="0" w:color="auto"/>
                          </w:divBdr>
                          <w:divsChild>
                            <w:div w:id="1603026865">
                              <w:marLeft w:val="0"/>
                              <w:marRight w:val="0"/>
                              <w:marTop w:val="0"/>
                              <w:marBottom w:val="0"/>
                              <w:divBdr>
                                <w:top w:val="none" w:sz="0" w:space="0" w:color="auto"/>
                                <w:left w:val="none" w:sz="0" w:space="0" w:color="auto"/>
                                <w:bottom w:val="none" w:sz="0" w:space="0" w:color="auto"/>
                                <w:right w:val="none" w:sz="0" w:space="0" w:color="auto"/>
                              </w:divBdr>
                            </w:div>
                          </w:divsChild>
                        </w:div>
                        <w:div w:id="1602183423">
                          <w:marLeft w:val="0"/>
                          <w:marRight w:val="0"/>
                          <w:marTop w:val="0"/>
                          <w:marBottom w:val="0"/>
                          <w:divBdr>
                            <w:top w:val="none" w:sz="0" w:space="0" w:color="auto"/>
                            <w:left w:val="none" w:sz="0" w:space="0" w:color="auto"/>
                            <w:bottom w:val="none" w:sz="0" w:space="0" w:color="auto"/>
                            <w:right w:val="none" w:sz="0" w:space="0" w:color="auto"/>
                          </w:divBdr>
                          <w:divsChild>
                            <w:div w:id="173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018">
                      <w:marLeft w:val="0"/>
                      <w:marRight w:val="0"/>
                      <w:marTop w:val="0"/>
                      <w:marBottom w:val="0"/>
                      <w:divBdr>
                        <w:top w:val="none" w:sz="0" w:space="0" w:color="auto"/>
                        <w:left w:val="none" w:sz="0" w:space="0" w:color="auto"/>
                        <w:bottom w:val="none" w:sz="0" w:space="0" w:color="auto"/>
                        <w:right w:val="none" w:sz="0" w:space="0" w:color="auto"/>
                      </w:divBdr>
                      <w:divsChild>
                        <w:div w:id="804351397">
                          <w:marLeft w:val="0"/>
                          <w:marRight w:val="0"/>
                          <w:marTop w:val="0"/>
                          <w:marBottom w:val="0"/>
                          <w:divBdr>
                            <w:top w:val="none" w:sz="0" w:space="0" w:color="auto"/>
                            <w:left w:val="none" w:sz="0" w:space="0" w:color="auto"/>
                            <w:bottom w:val="none" w:sz="0" w:space="0" w:color="auto"/>
                            <w:right w:val="none" w:sz="0" w:space="0" w:color="auto"/>
                          </w:divBdr>
                          <w:divsChild>
                            <w:div w:id="1669626403">
                              <w:marLeft w:val="0"/>
                              <w:marRight w:val="0"/>
                              <w:marTop w:val="0"/>
                              <w:marBottom w:val="0"/>
                              <w:divBdr>
                                <w:top w:val="none" w:sz="0" w:space="0" w:color="auto"/>
                                <w:left w:val="none" w:sz="0" w:space="0" w:color="auto"/>
                                <w:bottom w:val="none" w:sz="0" w:space="0" w:color="auto"/>
                                <w:right w:val="none" w:sz="0" w:space="0" w:color="auto"/>
                              </w:divBdr>
                            </w:div>
                          </w:divsChild>
                        </w:div>
                        <w:div w:id="1182209386">
                          <w:marLeft w:val="0"/>
                          <w:marRight w:val="0"/>
                          <w:marTop w:val="0"/>
                          <w:marBottom w:val="0"/>
                          <w:divBdr>
                            <w:top w:val="none" w:sz="0" w:space="0" w:color="auto"/>
                            <w:left w:val="none" w:sz="0" w:space="0" w:color="auto"/>
                            <w:bottom w:val="none" w:sz="0" w:space="0" w:color="auto"/>
                            <w:right w:val="none" w:sz="0" w:space="0" w:color="auto"/>
                          </w:divBdr>
                          <w:divsChild>
                            <w:div w:id="1921135735">
                              <w:marLeft w:val="0"/>
                              <w:marRight w:val="0"/>
                              <w:marTop w:val="0"/>
                              <w:marBottom w:val="0"/>
                              <w:divBdr>
                                <w:top w:val="none" w:sz="0" w:space="0" w:color="auto"/>
                                <w:left w:val="none" w:sz="0" w:space="0" w:color="auto"/>
                                <w:bottom w:val="none" w:sz="0" w:space="0" w:color="auto"/>
                                <w:right w:val="none" w:sz="0" w:space="0" w:color="auto"/>
                              </w:divBdr>
                            </w:div>
                          </w:divsChild>
                        </w:div>
                        <w:div w:id="1272317566">
                          <w:marLeft w:val="0"/>
                          <w:marRight w:val="0"/>
                          <w:marTop w:val="0"/>
                          <w:marBottom w:val="0"/>
                          <w:divBdr>
                            <w:top w:val="none" w:sz="0" w:space="0" w:color="auto"/>
                            <w:left w:val="none" w:sz="0" w:space="0" w:color="auto"/>
                            <w:bottom w:val="none" w:sz="0" w:space="0" w:color="auto"/>
                            <w:right w:val="none" w:sz="0" w:space="0" w:color="auto"/>
                          </w:divBdr>
                          <w:divsChild>
                            <w:div w:id="498424316">
                              <w:marLeft w:val="0"/>
                              <w:marRight w:val="0"/>
                              <w:marTop w:val="0"/>
                              <w:marBottom w:val="0"/>
                              <w:divBdr>
                                <w:top w:val="none" w:sz="0" w:space="0" w:color="auto"/>
                                <w:left w:val="none" w:sz="0" w:space="0" w:color="auto"/>
                                <w:bottom w:val="none" w:sz="0" w:space="0" w:color="auto"/>
                                <w:right w:val="none" w:sz="0" w:space="0" w:color="auto"/>
                              </w:divBdr>
                            </w:div>
                          </w:divsChild>
                        </w:div>
                        <w:div w:id="1678774919">
                          <w:marLeft w:val="0"/>
                          <w:marRight w:val="0"/>
                          <w:marTop w:val="0"/>
                          <w:marBottom w:val="0"/>
                          <w:divBdr>
                            <w:top w:val="none" w:sz="0" w:space="0" w:color="auto"/>
                            <w:left w:val="none" w:sz="0" w:space="0" w:color="auto"/>
                            <w:bottom w:val="none" w:sz="0" w:space="0" w:color="auto"/>
                            <w:right w:val="none" w:sz="0" w:space="0" w:color="auto"/>
                          </w:divBdr>
                          <w:divsChild>
                            <w:div w:id="146240296">
                              <w:marLeft w:val="0"/>
                              <w:marRight w:val="0"/>
                              <w:marTop w:val="0"/>
                              <w:marBottom w:val="0"/>
                              <w:divBdr>
                                <w:top w:val="none" w:sz="0" w:space="0" w:color="auto"/>
                                <w:left w:val="none" w:sz="0" w:space="0" w:color="auto"/>
                                <w:bottom w:val="none" w:sz="0" w:space="0" w:color="auto"/>
                                <w:right w:val="none" w:sz="0" w:space="0" w:color="auto"/>
                              </w:divBdr>
                            </w:div>
                          </w:divsChild>
                        </w:div>
                        <w:div w:id="2028748224">
                          <w:marLeft w:val="0"/>
                          <w:marRight w:val="0"/>
                          <w:marTop w:val="0"/>
                          <w:marBottom w:val="0"/>
                          <w:divBdr>
                            <w:top w:val="none" w:sz="0" w:space="0" w:color="auto"/>
                            <w:left w:val="none" w:sz="0" w:space="0" w:color="auto"/>
                            <w:bottom w:val="none" w:sz="0" w:space="0" w:color="auto"/>
                            <w:right w:val="none" w:sz="0" w:space="0" w:color="auto"/>
                          </w:divBdr>
                          <w:divsChild>
                            <w:div w:id="1597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560">
                      <w:marLeft w:val="0"/>
                      <w:marRight w:val="0"/>
                      <w:marTop w:val="0"/>
                      <w:marBottom w:val="0"/>
                      <w:divBdr>
                        <w:top w:val="none" w:sz="0" w:space="0" w:color="auto"/>
                        <w:left w:val="none" w:sz="0" w:space="0" w:color="auto"/>
                        <w:bottom w:val="none" w:sz="0" w:space="0" w:color="auto"/>
                        <w:right w:val="none" w:sz="0" w:space="0" w:color="auto"/>
                      </w:divBdr>
                      <w:divsChild>
                        <w:div w:id="2107000215">
                          <w:marLeft w:val="0"/>
                          <w:marRight w:val="0"/>
                          <w:marTop w:val="0"/>
                          <w:marBottom w:val="0"/>
                          <w:divBdr>
                            <w:top w:val="none" w:sz="0" w:space="0" w:color="auto"/>
                            <w:left w:val="none" w:sz="0" w:space="0" w:color="auto"/>
                            <w:bottom w:val="none" w:sz="0" w:space="0" w:color="auto"/>
                            <w:right w:val="none" w:sz="0" w:space="0" w:color="auto"/>
                          </w:divBdr>
                          <w:divsChild>
                            <w:div w:id="1805077753">
                              <w:marLeft w:val="0"/>
                              <w:marRight w:val="0"/>
                              <w:marTop w:val="0"/>
                              <w:marBottom w:val="0"/>
                              <w:divBdr>
                                <w:top w:val="none" w:sz="0" w:space="0" w:color="auto"/>
                                <w:left w:val="none" w:sz="0" w:space="0" w:color="auto"/>
                                <w:bottom w:val="none" w:sz="0" w:space="0" w:color="auto"/>
                                <w:right w:val="none" w:sz="0" w:space="0" w:color="auto"/>
                              </w:divBdr>
                            </w:div>
                          </w:divsChild>
                        </w:div>
                        <w:div w:id="1586839391">
                          <w:marLeft w:val="0"/>
                          <w:marRight w:val="0"/>
                          <w:marTop w:val="0"/>
                          <w:marBottom w:val="0"/>
                          <w:divBdr>
                            <w:top w:val="none" w:sz="0" w:space="0" w:color="auto"/>
                            <w:left w:val="none" w:sz="0" w:space="0" w:color="auto"/>
                            <w:bottom w:val="none" w:sz="0" w:space="0" w:color="auto"/>
                            <w:right w:val="none" w:sz="0" w:space="0" w:color="auto"/>
                          </w:divBdr>
                          <w:divsChild>
                            <w:div w:id="1576279471">
                              <w:marLeft w:val="0"/>
                              <w:marRight w:val="0"/>
                              <w:marTop w:val="0"/>
                              <w:marBottom w:val="0"/>
                              <w:divBdr>
                                <w:top w:val="none" w:sz="0" w:space="0" w:color="auto"/>
                                <w:left w:val="none" w:sz="0" w:space="0" w:color="auto"/>
                                <w:bottom w:val="none" w:sz="0" w:space="0" w:color="auto"/>
                                <w:right w:val="none" w:sz="0" w:space="0" w:color="auto"/>
                              </w:divBdr>
                            </w:div>
                          </w:divsChild>
                        </w:div>
                        <w:div w:id="1232278374">
                          <w:marLeft w:val="0"/>
                          <w:marRight w:val="0"/>
                          <w:marTop w:val="0"/>
                          <w:marBottom w:val="0"/>
                          <w:divBdr>
                            <w:top w:val="none" w:sz="0" w:space="0" w:color="auto"/>
                            <w:left w:val="none" w:sz="0" w:space="0" w:color="auto"/>
                            <w:bottom w:val="none" w:sz="0" w:space="0" w:color="auto"/>
                            <w:right w:val="none" w:sz="0" w:space="0" w:color="auto"/>
                          </w:divBdr>
                          <w:divsChild>
                            <w:div w:id="1044135769">
                              <w:marLeft w:val="0"/>
                              <w:marRight w:val="0"/>
                              <w:marTop w:val="0"/>
                              <w:marBottom w:val="0"/>
                              <w:divBdr>
                                <w:top w:val="none" w:sz="0" w:space="0" w:color="auto"/>
                                <w:left w:val="none" w:sz="0" w:space="0" w:color="auto"/>
                                <w:bottom w:val="none" w:sz="0" w:space="0" w:color="auto"/>
                                <w:right w:val="none" w:sz="0" w:space="0" w:color="auto"/>
                              </w:divBdr>
                            </w:div>
                          </w:divsChild>
                        </w:div>
                        <w:div w:id="480003315">
                          <w:marLeft w:val="0"/>
                          <w:marRight w:val="0"/>
                          <w:marTop w:val="0"/>
                          <w:marBottom w:val="0"/>
                          <w:divBdr>
                            <w:top w:val="none" w:sz="0" w:space="0" w:color="auto"/>
                            <w:left w:val="none" w:sz="0" w:space="0" w:color="auto"/>
                            <w:bottom w:val="none" w:sz="0" w:space="0" w:color="auto"/>
                            <w:right w:val="none" w:sz="0" w:space="0" w:color="auto"/>
                          </w:divBdr>
                          <w:divsChild>
                            <w:div w:id="1210844578">
                              <w:marLeft w:val="0"/>
                              <w:marRight w:val="0"/>
                              <w:marTop w:val="0"/>
                              <w:marBottom w:val="0"/>
                              <w:divBdr>
                                <w:top w:val="none" w:sz="0" w:space="0" w:color="auto"/>
                                <w:left w:val="none" w:sz="0" w:space="0" w:color="auto"/>
                                <w:bottom w:val="none" w:sz="0" w:space="0" w:color="auto"/>
                                <w:right w:val="none" w:sz="0" w:space="0" w:color="auto"/>
                              </w:divBdr>
                            </w:div>
                          </w:divsChild>
                        </w:div>
                        <w:div w:id="1314144330">
                          <w:marLeft w:val="0"/>
                          <w:marRight w:val="0"/>
                          <w:marTop w:val="0"/>
                          <w:marBottom w:val="0"/>
                          <w:divBdr>
                            <w:top w:val="none" w:sz="0" w:space="0" w:color="auto"/>
                            <w:left w:val="none" w:sz="0" w:space="0" w:color="auto"/>
                            <w:bottom w:val="none" w:sz="0" w:space="0" w:color="auto"/>
                            <w:right w:val="none" w:sz="0" w:space="0" w:color="auto"/>
                          </w:divBdr>
                          <w:divsChild>
                            <w:div w:id="835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282">
                      <w:marLeft w:val="0"/>
                      <w:marRight w:val="0"/>
                      <w:marTop w:val="0"/>
                      <w:marBottom w:val="0"/>
                      <w:divBdr>
                        <w:top w:val="none" w:sz="0" w:space="0" w:color="auto"/>
                        <w:left w:val="none" w:sz="0" w:space="0" w:color="auto"/>
                        <w:bottom w:val="none" w:sz="0" w:space="0" w:color="auto"/>
                        <w:right w:val="none" w:sz="0" w:space="0" w:color="auto"/>
                      </w:divBdr>
                      <w:divsChild>
                        <w:div w:id="967589263">
                          <w:marLeft w:val="0"/>
                          <w:marRight w:val="0"/>
                          <w:marTop w:val="0"/>
                          <w:marBottom w:val="0"/>
                          <w:divBdr>
                            <w:top w:val="none" w:sz="0" w:space="0" w:color="auto"/>
                            <w:left w:val="none" w:sz="0" w:space="0" w:color="auto"/>
                            <w:bottom w:val="none" w:sz="0" w:space="0" w:color="auto"/>
                            <w:right w:val="none" w:sz="0" w:space="0" w:color="auto"/>
                          </w:divBdr>
                          <w:divsChild>
                            <w:div w:id="1838380629">
                              <w:marLeft w:val="0"/>
                              <w:marRight w:val="0"/>
                              <w:marTop w:val="0"/>
                              <w:marBottom w:val="0"/>
                              <w:divBdr>
                                <w:top w:val="none" w:sz="0" w:space="0" w:color="auto"/>
                                <w:left w:val="none" w:sz="0" w:space="0" w:color="auto"/>
                                <w:bottom w:val="none" w:sz="0" w:space="0" w:color="auto"/>
                                <w:right w:val="none" w:sz="0" w:space="0" w:color="auto"/>
                              </w:divBdr>
                            </w:div>
                          </w:divsChild>
                        </w:div>
                        <w:div w:id="825895081">
                          <w:marLeft w:val="0"/>
                          <w:marRight w:val="0"/>
                          <w:marTop w:val="0"/>
                          <w:marBottom w:val="0"/>
                          <w:divBdr>
                            <w:top w:val="none" w:sz="0" w:space="0" w:color="auto"/>
                            <w:left w:val="none" w:sz="0" w:space="0" w:color="auto"/>
                            <w:bottom w:val="none" w:sz="0" w:space="0" w:color="auto"/>
                            <w:right w:val="none" w:sz="0" w:space="0" w:color="auto"/>
                          </w:divBdr>
                          <w:divsChild>
                            <w:div w:id="1066607740">
                              <w:marLeft w:val="0"/>
                              <w:marRight w:val="0"/>
                              <w:marTop w:val="0"/>
                              <w:marBottom w:val="0"/>
                              <w:divBdr>
                                <w:top w:val="none" w:sz="0" w:space="0" w:color="auto"/>
                                <w:left w:val="none" w:sz="0" w:space="0" w:color="auto"/>
                                <w:bottom w:val="none" w:sz="0" w:space="0" w:color="auto"/>
                                <w:right w:val="none" w:sz="0" w:space="0" w:color="auto"/>
                              </w:divBdr>
                            </w:div>
                          </w:divsChild>
                        </w:div>
                        <w:div w:id="165479846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164200186">
                          <w:marLeft w:val="0"/>
                          <w:marRight w:val="0"/>
                          <w:marTop w:val="0"/>
                          <w:marBottom w:val="0"/>
                          <w:divBdr>
                            <w:top w:val="none" w:sz="0" w:space="0" w:color="auto"/>
                            <w:left w:val="none" w:sz="0" w:space="0" w:color="auto"/>
                            <w:bottom w:val="none" w:sz="0" w:space="0" w:color="auto"/>
                            <w:right w:val="none" w:sz="0" w:space="0" w:color="auto"/>
                          </w:divBdr>
                          <w:divsChild>
                            <w:div w:id="1473526663">
                              <w:marLeft w:val="0"/>
                              <w:marRight w:val="0"/>
                              <w:marTop w:val="0"/>
                              <w:marBottom w:val="0"/>
                              <w:divBdr>
                                <w:top w:val="none" w:sz="0" w:space="0" w:color="auto"/>
                                <w:left w:val="none" w:sz="0" w:space="0" w:color="auto"/>
                                <w:bottom w:val="none" w:sz="0" w:space="0" w:color="auto"/>
                                <w:right w:val="none" w:sz="0" w:space="0" w:color="auto"/>
                              </w:divBdr>
                            </w:div>
                          </w:divsChild>
                        </w:div>
                        <w:div w:id="1637486252">
                          <w:marLeft w:val="0"/>
                          <w:marRight w:val="0"/>
                          <w:marTop w:val="0"/>
                          <w:marBottom w:val="0"/>
                          <w:divBdr>
                            <w:top w:val="none" w:sz="0" w:space="0" w:color="auto"/>
                            <w:left w:val="none" w:sz="0" w:space="0" w:color="auto"/>
                            <w:bottom w:val="none" w:sz="0" w:space="0" w:color="auto"/>
                            <w:right w:val="none" w:sz="0" w:space="0" w:color="auto"/>
                          </w:divBdr>
                          <w:divsChild>
                            <w:div w:id="7910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969">
                      <w:marLeft w:val="0"/>
                      <w:marRight w:val="0"/>
                      <w:marTop w:val="0"/>
                      <w:marBottom w:val="0"/>
                      <w:divBdr>
                        <w:top w:val="none" w:sz="0" w:space="0" w:color="auto"/>
                        <w:left w:val="none" w:sz="0" w:space="0" w:color="auto"/>
                        <w:bottom w:val="none" w:sz="0" w:space="0" w:color="auto"/>
                        <w:right w:val="none" w:sz="0" w:space="0" w:color="auto"/>
                      </w:divBdr>
                      <w:divsChild>
                        <w:div w:id="150408641">
                          <w:marLeft w:val="0"/>
                          <w:marRight w:val="0"/>
                          <w:marTop w:val="0"/>
                          <w:marBottom w:val="0"/>
                          <w:divBdr>
                            <w:top w:val="none" w:sz="0" w:space="0" w:color="auto"/>
                            <w:left w:val="none" w:sz="0" w:space="0" w:color="auto"/>
                            <w:bottom w:val="none" w:sz="0" w:space="0" w:color="auto"/>
                            <w:right w:val="none" w:sz="0" w:space="0" w:color="auto"/>
                          </w:divBdr>
                          <w:divsChild>
                            <w:div w:id="1598170882">
                              <w:marLeft w:val="0"/>
                              <w:marRight w:val="0"/>
                              <w:marTop w:val="0"/>
                              <w:marBottom w:val="0"/>
                              <w:divBdr>
                                <w:top w:val="none" w:sz="0" w:space="0" w:color="auto"/>
                                <w:left w:val="none" w:sz="0" w:space="0" w:color="auto"/>
                                <w:bottom w:val="none" w:sz="0" w:space="0" w:color="auto"/>
                                <w:right w:val="none" w:sz="0" w:space="0" w:color="auto"/>
                              </w:divBdr>
                            </w:div>
                          </w:divsChild>
                        </w:div>
                        <w:div w:id="599679522">
                          <w:marLeft w:val="0"/>
                          <w:marRight w:val="0"/>
                          <w:marTop w:val="0"/>
                          <w:marBottom w:val="0"/>
                          <w:divBdr>
                            <w:top w:val="none" w:sz="0" w:space="0" w:color="auto"/>
                            <w:left w:val="none" w:sz="0" w:space="0" w:color="auto"/>
                            <w:bottom w:val="none" w:sz="0" w:space="0" w:color="auto"/>
                            <w:right w:val="none" w:sz="0" w:space="0" w:color="auto"/>
                          </w:divBdr>
                          <w:divsChild>
                            <w:div w:id="593440866">
                              <w:marLeft w:val="0"/>
                              <w:marRight w:val="0"/>
                              <w:marTop w:val="0"/>
                              <w:marBottom w:val="0"/>
                              <w:divBdr>
                                <w:top w:val="none" w:sz="0" w:space="0" w:color="auto"/>
                                <w:left w:val="none" w:sz="0" w:space="0" w:color="auto"/>
                                <w:bottom w:val="none" w:sz="0" w:space="0" w:color="auto"/>
                                <w:right w:val="none" w:sz="0" w:space="0" w:color="auto"/>
                              </w:divBdr>
                            </w:div>
                          </w:divsChild>
                        </w:div>
                        <w:div w:id="902175974">
                          <w:marLeft w:val="0"/>
                          <w:marRight w:val="0"/>
                          <w:marTop w:val="0"/>
                          <w:marBottom w:val="0"/>
                          <w:divBdr>
                            <w:top w:val="none" w:sz="0" w:space="0" w:color="auto"/>
                            <w:left w:val="none" w:sz="0" w:space="0" w:color="auto"/>
                            <w:bottom w:val="none" w:sz="0" w:space="0" w:color="auto"/>
                            <w:right w:val="none" w:sz="0" w:space="0" w:color="auto"/>
                          </w:divBdr>
                          <w:divsChild>
                            <w:div w:id="1483885708">
                              <w:marLeft w:val="0"/>
                              <w:marRight w:val="0"/>
                              <w:marTop w:val="0"/>
                              <w:marBottom w:val="0"/>
                              <w:divBdr>
                                <w:top w:val="none" w:sz="0" w:space="0" w:color="auto"/>
                                <w:left w:val="none" w:sz="0" w:space="0" w:color="auto"/>
                                <w:bottom w:val="none" w:sz="0" w:space="0" w:color="auto"/>
                                <w:right w:val="none" w:sz="0" w:space="0" w:color="auto"/>
                              </w:divBdr>
                            </w:div>
                          </w:divsChild>
                        </w:div>
                        <w:div w:id="1918594487">
                          <w:marLeft w:val="0"/>
                          <w:marRight w:val="0"/>
                          <w:marTop w:val="0"/>
                          <w:marBottom w:val="0"/>
                          <w:divBdr>
                            <w:top w:val="none" w:sz="0" w:space="0" w:color="auto"/>
                            <w:left w:val="none" w:sz="0" w:space="0" w:color="auto"/>
                            <w:bottom w:val="none" w:sz="0" w:space="0" w:color="auto"/>
                            <w:right w:val="none" w:sz="0" w:space="0" w:color="auto"/>
                          </w:divBdr>
                          <w:divsChild>
                            <w:div w:id="993949801">
                              <w:marLeft w:val="0"/>
                              <w:marRight w:val="0"/>
                              <w:marTop w:val="0"/>
                              <w:marBottom w:val="0"/>
                              <w:divBdr>
                                <w:top w:val="none" w:sz="0" w:space="0" w:color="auto"/>
                                <w:left w:val="none" w:sz="0" w:space="0" w:color="auto"/>
                                <w:bottom w:val="none" w:sz="0" w:space="0" w:color="auto"/>
                                <w:right w:val="none" w:sz="0" w:space="0" w:color="auto"/>
                              </w:divBdr>
                            </w:div>
                          </w:divsChild>
                        </w:div>
                        <w:div w:id="1933968492">
                          <w:marLeft w:val="0"/>
                          <w:marRight w:val="0"/>
                          <w:marTop w:val="0"/>
                          <w:marBottom w:val="0"/>
                          <w:divBdr>
                            <w:top w:val="none" w:sz="0" w:space="0" w:color="auto"/>
                            <w:left w:val="none" w:sz="0" w:space="0" w:color="auto"/>
                            <w:bottom w:val="none" w:sz="0" w:space="0" w:color="auto"/>
                            <w:right w:val="none" w:sz="0" w:space="0" w:color="auto"/>
                          </w:divBdr>
                          <w:divsChild>
                            <w:div w:id="482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3453">
                      <w:marLeft w:val="0"/>
                      <w:marRight w:val="0"/>
                      <w:marTop w:val="0"/>
                      <w:marBottom w:val="0"/>
                      <w:divBdr>
                        <w:top w:val="none" w:sz="0" w:space="0" w:color="auto"/>
                        <w:left w:val="none" w:sz="0" w:space="0" w:color="auto"/>
                        <w:bottom w:val="none" w:sz="0" w:space="0" w:color="auto"/>
                        <w:right w:val="none" w:sz="0" w:space="0" w:color="auto"/>
                      </w:divBdr>
                      <w:divsChild>
                        <w:div w:id="1617322612">
                          <w:marLeft w:val="0"/>
                          <w:marRight w:val="0"/>
                          <w:marTop w:val="0"/>
                          <w:marBottom w:val="0"/>
                          <w:divBdr>
                            <w:top w:val="none" w:sz="0" w:space="0" w:color="auto"/>
                            <w:left w:val="none" w:sz="0" w:space="0" w:color="auto"/>
                            <w:bottom w:val="none" w:sz="0" w:space="0" w:color="auto"/>
                            <w:right w:val="none" w:sz="0" w:space="0" w:color="auto"/>
                          </w:divBdr>
                          <w:divsChild>
                            <w:div w:id="1730417588">
                              <w:marLeft w:val="0"/>
                              <w:marRight w:val="0"/>
                              <w:marTop w:val="0"/>
                              <w:marBottom w:val="0"/>
                              <w:divBdr>
                                <w:top w:val="none" w:sz="0" w:space="0" w:color="auto"/>
                                <w:left w:val="none" w:sz="0" w:space="0" w:color="auto"/>
                                <w:bottom w:val="none" w:sz="0" w:space="0" w:color="auto"/>
                                <w:right w:val="none" w:sz="0" w:space="0" w:color="auto"/>
                              </w:divBdr>
                            </w:div>
                          </w:divsChild>
                        </w:div>
                        <w:div w:id="712734635">
                          <w:marLeft w:val="0"/>
                          <w:marRight w:val="0"/>
                          <w:marTop w:val="0"/>
                          <w:marBottom w:val="0"/>
                          <w:divBdr>
                            <w:top w:val="none" w:sz="0" w:space="0" w:color="auto"/>
                            <w:left w:val="none" w:sz="0" w:space="0" w:color="auto"/>
                            <w:bottom w:val="none" w:sz="0" w:space="0" w:color="auto"/>
                            <w:right w:val="none" w:sz="0" w:space="0" w:color="auto"/>
                          </w:divBdr>
                          <w:divsChild>
                            <w:div w:id="590546805">
                              <w:marLeft w:val="0"/>
                              <w:marRight w:val="0"/>
                              <w:marTop w:val="0"/>
                              <w:marBottom w:val="0"/>
                              <w:divBdr>
                                <w:top w:val="none" w:sz="0" w:space="0" w:color="auto"/>
                                <w:left w:val="none" w:sz="0" w:space="0" w:color="auto"/>
                                <w:bottom w:val="none" w:sz="0" w:space="0" w:color="auto"/>
                                <w:right w:val="none" w:sz="0" w:space="0" w:color="auto"/>
                              </w:divBdr>
                            </w:div>
                          </w:divsChild>
                        </w:div>
                        <w:div w:id="1787235029">
                          <w:marLeft w:val="0"/>
                          <w:marRight w:val="0"/>
                          <w:marTop w:val="0"/>
                          <w:marBottom w:val="0"/>
                          <w:divBdr>
                            <w:top w:val="none" w:sz="0" w:space="0" w:color="auto"/>
                            <w:left w:val="none" w:sz="0" w:space="0" w:color="auto"/>
                            <w:bottom w:val="none" w:sz="0" w:space="0" w:color="auto"/>
                            <w:right w:val="none" w:sz="0" w:space="0" w:color="auto"/>
                          </w:divBdr>
                          <w:divsChild>
                            <w:div w:id="59913292">
                              <w:marLeft w:val="0"/>
                              <w:marRight w:val="0"/>
                              <w:marTop w:val="0"/>
                              <w:marBottom w:val="0"/>
                              <w:divBdr>
                                <w:top w:val="none" w:sz="0" w:space="0" w:color="auto"/>
                                <w:left w:val="none" w:sz="0" w:space="0" w:color="auto"/>
                                <w:bottom w:val="none" w:sz="0" w:space="0" w:color="auto"/>
                                <w:right w:val="none" w:sz="0" w:space="0" w:color="auto"/>
                              </w:divBdr>
                            </w:div>
                          </w:divsChild>
                        </w:div>
                        <w:div w:id="164129222">
                          <w:marLeft w:val="0"/>
                          <w:marRight w:val="0"/>
                          <w:marTop w:val="0"/>
                          <w:marBottom w:val="0"/>
                          <w:divBdr>
                            <w:top w:val="none" w:sz="0" w:space="0" w:color="auto"/>
                            <w:left w:val="none" w:sz="0" w:space="0" w:color="auto"/>
                            <w:bottom w:val="none" w:sz="0" w:space="0" w:color="auto"/>
                            <w:right w:val="none" w:sz="0" w:space="0" w:color="auto"/>
                          </w:divBdr>
                          <w:divsChild>
                            <w:div w:id="389040991">
                              <w:marLeft w:val="0"/>
                              <w:marRight w:val="0"/>
                              <w:marTop w:val="0"/>
                              <w:marBottom w:val="0"/>
                              <w:divBdr>
                                <w:top w:val="none" w:sz="0" w:space="0" w:color="auto"/>
                                <w:left w:val="none" w:sz="0" w:space="0" w:color="auto"/>
                                <w:bottom w:val="none" w:sz="0" w:space="0" w:color="auto"/>
                                <w:right w:val="none" w:sz="0" w:space="0" w:color="auto"/>
                              </w:divBdr>
                            </w:div>
                          </w:divsChild>
                        </w:div>
                        <w:div w:id="1987855933">
                          <w:marLeft w:val="0"/>
                          <w:marRight w:val="0"/>
                          <w:marTop w:val="0"/>
                          <w:marBottom w:val="0"/>
                          <w:divBdr>
                            <w:top w:val="none" w:sz="0" w:space="0" w:color="auto"/>
                            <w:left w:val="none" w:sz="0" w:space="0" w:color="auto"/>
                            <w:bottom w:val="none" w:sz="0" w:space="0" w:color="auto"/>
                            <w:right w:val="none" w:sz="0" w:space="0" w:color="auto"/>
                          </w:divBdr>
                          <w:divsChild>
                            <w:div w:id="19252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113">
                      <w:marLeft w:val="0"/>
                      <w:marRight w:val="0"/>
                      <w:marTop w:val="0"/>
                      <w:marBottom w:val="0"/>
                      <w:divBdr>
                        <w:top w:val="none" w:sz="0" w:space="0" w:color="auto"/>
                        <w:left w:val="none" w:sz="0" w:space="0" w:color="auto"/>
                        <w:bottom w:val="none" w:sz="0" w:space="0" w:color="auto"/>
                        <w:right w:val="none" w:sz="0" w:space="0" w:color="auto"/>
                      </w:divBdr>
                      <w:divsChild>
                        <w:div w:id="183902478">
                          <w:marLeft w:val="0"/>
                          <w:marRight w:val="0"/>
                          <w:marTop w:val="0"/>
                          <w:marBottom w:val="0"/>
                          <w:divBdr>
                            <w:top w:val="none" w:sz="0" w:space="0" w:color="auto"/>
                            <w:left w:val="none" w:sz="0" w:space="0" w:color="auto"/>
                            <w:bottom w:val="none" w:sz="0" w:space="0" w:color="auto"/>
                            <w:right w:val="none" w:sz="0" w:space="0" w:color="auto"/>
                          </w:divBdr>
                          <w:divsChild>
                            <w:div w:id="1280063976">
                              <w:marLeft w:val="0"/>
                              <w:marRight w:val="0"/>
                              <w:marTop w:val="0"/>
                              <w:marBottom w:val="0"/>
                              <w:divBdr>
                                <w:top w:val="none" w:sz="0" w:space="0" w:color="auto"/>
                                <w:left w:val="none" w:sz="0" w:space="0" w:color="auto"/>
                                <w:bottom w:val="none" w:sz="0" w:space="0" w:color="auto"/>
                                <w:right w:val="none" w:sz="0" w:space="0" w:color="auto"/>
                              </w:divBdr>
                            </w:div>
                          </w:divsChild>
                        </w:div>
                        <w:div w:id="1913809898">
                          <w:marLeft w:val="0"/>
                          <w:marRight w:val="0"/>
                          <w:marTop w:val="0"/>
                          <w:marBottom w:val="0"/>
                          <w:divBdr>
                            <w:top w:val="none" w:sz="0" w:space="0" w:color="auto"/>
                            <w:left w:val="none" w:sz="0" w:space="0" w:color="auto"/>
                            <w:bottom w:val="none" w:sz="0" w:space="0" w:color="auto"/>
                            <w:right w:val="none" w:sz="0" w:space="0" w:color="auto"/>
                          </w:divBdr>
                          <w:divsChild>
                            <w:div w:id="487795201">
                              <w:marLeft w:val="0"/>
                              <w:marRight w:val="0"/>
                              <w:marTop w:val="0"/>
                              <w:marBottom w:val="0"/>
                              <w:divBdr>
                                <w:top w:val="none" w:sz="0" w:space="0" w:color="auto"/>
                                <w:left w:val="none" w:sz="0" w:space="0" w:color="auto"/>
                                <w:bottom w:val="none" w:sz="0" w:space="0" w:color="auto"/>
                                <w:right w:val="none" w:sz="0" w:space="0" w:color="auto"/>
                              </w:divBdr>
                            </w:div>
                          </w:divsChild>
                        </w:div>
                        <w:div w:id="1703943393">
                          <w:marLeft w:val="0"/>
                          <w:marRight w:val="0"/>
                          <w:marTop w:val="0"/>
                          <w:marBottom w:val="0"/>
                          <w:divBdr>
                            <w:top w:val="none" w:sz="0" w:space="0" w:color="auto"/>
                            <w:left w:val="none" w:sz="0" w:space="0" w:color="auto"/>
                            <w:bottom w:val="none" w:sz="0" w:space="0" w:color="auto"/>
                            <w:right w:val="none" w:sz="0" w:space="0" w:color="auto"/>
                          </w:divBdr>
                          <w:divsChild>
                            <w:div w:id="621838264">
                              <w:marLeft w:val="0"/>
                              <w:marRight w:val="0"/>
                              <w:marTop w:val="0"/>
                              <w:marBottom w:val="0"/>
                              <w:divBdr>
                                <w:top w:val="none" w:sz="0" w:space="0" w:color="auto"/>
                                <w:left w:val="none" w:sz="0" w:space="0" w:color="auto"/>
                                <w:bottom w:val="none" w:sz="0" w:space="0" w:color="auto"/>
                                <w:right w:val="none" w:sz="0" w:space="0" w:color="auto"/>
                              </w:divBdr>
                            </w:div>
                          </w:divsChild>
                        </w:div>
                        <w:div w:id="1555316831">
                          <w:marLeft w:val="0"/>
                          <w:marRight w:val="0"/>
                          <w:marTop w:val="0"/>
                          <w:marBottom w:val="0"/>
                          <w:divBdr>
                            <w:top w:val="none" w:sz="0" w:space="0" w:color="auto"/>
                            <w:left w:val="none" w:sz="0" w:space="0" w:color="auto"/>
                            <w:bottom w:val="none" w:sz="0" w:space="0" w:color="auto"/>
                            <w:right w:val="none" w:sz="0" w:space="0" w:color="auto"/>
                          </w:divBdr>
                          <w:divsChild>
                            <w:div w:id="1660305969">
                              <w:marLeft w:val="0"/>
                              <w:marRight w:val="0"/>
                              <w:marTop w:val="0"/>
                              <w:marBottom w:val="0"/>
                              <w:divBdr>
                                <w:top w:val="none" w:sz="0" w:space="0" w:color="auto"/>
                                <w:left w:val="none" w:sz="0" w:space="0" w:color="auto"/>
                                <w:bottom w:val="none" w:sz="0" w:space="0" w:color="auto"/>
                                <w:right w:val="none" w:sz="0" w:space="0" w:color="auto"/>
                              </w:divBdr>
                            </w:div>
                          </w:divsChild>
                        </w:div>
                        <w:div w:id="959529757">
                          <w:marLeft w:val="0"/>
                          <w:marRight w:val="0"/>
                          <w:marTop w:val="0"/>
                          <w:marBottom w:val="0"/>
                          <w:divBdr>
                            <w:top w:val="none" w:sz="0" w:space="0" w:color="auto"/>
                            <w:left w:val="none" w:sz="0" w:space="0" w:color="auto"/>
                            <w:bottom w:val="none" w:sz="0" w:space="0" w:color="auto"/>
                            <w:right w:val="none" w:sz="0" w:space="0" w:color="auto"/>
                          </w:divBdr>
                          <w:divsChild>
                            <w:div w:id="3157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470422">
      <w:bodyDiv w:val="1"/>
      <w:marLeft w:val="0"/>
      <w:marRight w:val="0"/>
      <w:marTop w:val="0"/>
      <w:marBottom w:val="0"/>
      <w:divBdr>
        <w:top w:val="none" w:sz="0" w:space="0" w:color="auto"/>
        <w:left w:val="none" w:sz="0" w:space="0" w:color="auto"/>
        <w:bottom w:val="none" w:sz="0" w:space="0" w:color="auto"/>
        <w:right w:val="none" w:sz="0" w:space="0" w:color="auto"/>
      </w:divBdr>
      <w:divsChild>
        <w:div w:id="483545827">
          <w:marLeft w:val="0"/>
          <w:marRight w:val="0"/>
          <w:marTop w:val="0"/>
          <w:marBottom w:val="0"/>
          <w:divBdr>
            <w:top w:val="none" w:sz="0" w:space="0" w:color="auto"/>
            <w:left w:val="none" w:sz="0" w:space="0" w:color="auto"/>
            <w:bottom w:val="none" w:sz="0" w:space="0" w:color="auto"/>
            <w:right w:val="none" w:sz="0" w:space="0" w:color="auto"/>
          </w:divBdr>
        </w:div>
        <w:div w:id="1651053761">
          <w:marLeft w:val="0"/>
          <w:marRight w:val="0"/>
          <w:marTop w:val="0"/>
          <w:marBottom w:val="0"/>
          <w:divBdr>
            <w:top w:val="none" w:sz="0" w:space="0" w:color="auto"/>
            <w:left w:val="none" w:sz="0" w:space="0" w:color="auto"/>
            <w:bottom w:val="none" w:sz="0" w:space="0" w:color="auto"/>
            <w:right w:val="none" w:sz="0" w:space="0" w:color="auto"/>
          </w:divBdr>
        </w:div>
        <w:div w:id="1002664127">
          <w:marLeft w:val="0"/>
          <w:marRight w:val="0"/>
          <w:marTop w:val="0"/>
          <w:marBottom w:val="0"/>
          <w:divBdr>
            <w:top w:val="none" w:sz="0" w:space="0" w:color="auto"/>
            <w:left w:val="none" w:sz="0" w:space="0" w:color="auto"/>
            <w:bottom w:val="none" w:sz="0" w:space="0" w:color="auto"/>
            <w:right w:val="none" w:sz="0" w:space="0" w:color="auto"/>
          </w:divBdr>
        </w:div>
        <w:div w:id="1720863592">
          <w:marLeft w:val="0"/>
          <w:marRight w:val="0"/>
          <w:marTop w:val="0"/>
          <w:marBottom w:val="0"/>
          <w:divBdr>
            <w:top w:val="none" w:sz="0" w:space="0" w:color="auto"/>
            <w:left w:val="none" w:sz="0" w:space="0" w:color="auto"/>
            <w:bottom w:val="none" w:sz="0" w:space="0" w:color="auto"/>
            <w:right w:val="none" w:sz="0" w:space="0" w:color="auto"/>
          </w:divBdr>
        </w:div>
        <w:div w:id="1818184012">
          <w:marLeft w:val="0"/>
          <w:marRight w:val="0"/>
          <w:marTop w:val="0"/>
          <w:marBottom w:val="0"/>
          <w:divBdr>
            <w:top w:val="none" w:sz="0" w:space="0" w:color="auto"/>
            <w:left w:val="none" w:sz="0" w:space="0" w:color="auto"/>
            <w:bottom w:val="none" w:sz="0" w:space="0" w:color="auto"/>
            <w:right w:val="none" w:sz="0" w:space="0" w:color="auto"/>
          </w:divBdr>
        </w:div>
        <w:div w:id="94982635">
          <w:marLeft w:val="0"/>
          <w:marRight w:val="0"/>
          <w:marTop w:val="0"/>
          <w:marBottom w:val="0"/>
          <w:divBdr>
            <w:top w:val="none" w:sz="0" w:space="0" w:color="auto"/>
            <w:left w:val="none" w:sz="0" w:space="0" w:color="auto"/>
            <w:bottom w:val="none" w:sz="0" w:space="0" w:color="auto"/>
            <w:right w:val="none" w:sz="0" w:space="0" w:color="auto"/>
          </w:divBdr>
        </w:div>
        <w:div w:id="1271351091">
          <w:marLeft w:val="0"/>
          <w:marRight w:val="0"/>
          <w:marTop w:val="0"/>
          <w:marBottom w:val="0"/>
          <w:divBdr>
            <w:top w:val="none" w:sz="0" w:space="0" w:color="auto"/>
            <w:left w:val="none" w:sz="0" w:space="0" w:color="auto"/>
            <w:bottom w:val="none" w:sz="0" w:space="0" w:color="auto"/>
            <w:right w:val="none" w:sz="0" w:space="0" w:color="auto"/>
          </w:divBdr>
        </w:div>
        <w:div w:id="229853394">
          <w:marLeft w:val="0"/>
          <w:marRight w:val="0"/>
          <w:marTop w:val="0"/>
          <w:marBottom w:val="0"/>
          <w:divBdr>
            <w:top w:val="none" w:sz="0" w:space="0" w:color="auto"/>
            <w:left w:val="none" w:sz="0" w:space="0" w:color="auto"/>
            <w:bottom w:val="none" w:sz="0" w:space="0" w:color="auto"/>
            <w:right w:val="none" w:sz="0" w:space="0" w:color="auto"/>
          </w:divBdr>
        </w:div>
        <w:div w:id="850416679">
          <w:marLeft w:val="0"/>
          <w:marRight w:val="0"/>
          <w:marTop w:val="0"/>
          <w:marBottom w:val="0"/>
          <w:divBdr>
            <w:top w:val="none" w:sz="0" w:space="0" w:color="auto"/>
            <w:left w:val="none" w:sz="0" w:space="0" w:color="auto"/>
            <w:bottom w:val="none" w:sz="0" w:space="0" w:color="auto"/>
            <w:right w:val="none" w:sz="0" w:space="0" w:color="auto"/>
          </w:divBdr>
        </w:div>
        <w:div w:id="2045448750">
          <w:marLeft w:val="0"/>
          <w:marRight w:val="0"/>
          <w:marTop w:val="0"/>
          <w:marBottom w:val="0"/>
          <w:divBdr>
            <w:top w:val="none" w:sz="0" w:space="0" w:color="auto"/>
            <w:left w:val="none" w:sz="0" w:space="0" w:color="auto"/>
            <w:bottom w:val="none" w:sz="0" w:space="0" w:color="auto"/>
            <w:right w:val="none" w:sz="0" w:space="0" w:color="auto"/>
          </w:divBdr>
        </w:div>
      </w:divsChild>
    </w:div>
    <w:div w:id="1999115366">
      <w:bodyDiv w:val="1"/>
      <w:marLeft w:val="0"/>
      <w:marRight w:val="0"/>
      <w:marTop w:val="0"/>
      <w:marBottom w:val="0"/>
      <w:divBdr>
        <w:top w:val="none" w:sz="0" w:space="0" w:color="auto"/>
        <w:left w:val="none" w:sz="0" w:space="0" w:color="auto"/>
        <w:bottom w:val="none" w:sz="0" w:space="0" w:color="auto"/>
        <w:right w:val="none" w:sz="0" w:space="0" w:color="auto"/>
      </w:divBdr>
      <w:divsChild>
        <w:div w:id="1261334097">
          <w:marLeft w:val="0"/>
          <w:marRight w:val="0"/>
          <w:marTop w:val="0"/>
          <w:marBottom w:val="0"/>
          <w:divBdr>
            <w:top w:val="none" w:sz="0" w:space="0" w:color="auto"/>
            <w:left w:val="none" w:sz="0" w:space="0" w:color="auto"/>
            <w:bottom w:val="none" w:sz="0" w:space="0" w:color="auto"/>
            <w:right w:val="none" w:sz="0" w:space="0" w:color="auto"/>
          </w:divBdr>
        </w:div>
        <w:div w:id="1327398336">
          <w:marLeft w:val="0"/>
          <w:marRight w:val="0"/>
          <w:marTop w:val="0"/>
          <w:marBottom w:val="0"/>
          <w:divBdr>
            <w:top w:val="none" w:sz="0" w:space="0" w:color="auto"/>
            <w:left w:val="none" w:sz="0" w:space="0" w:color="auto"/>
            <w:bottom w:val="none" w:sz="0" w:space="0" w:color="auto"/>
            <w:right w:val="none" w:sz="0" w:space="0" w:color="auto"/>
          </w:divBdr>
        </w:div>
        <w:div w:id="1482380968">
          <w:marLeft w:val="0"/>
          <w:marRight w:val="0"/>
          <w:marTop w:val="0"/>
          <w:marBottom w:val="0"/>
          <w:divBdr>
            <w:top w:val="none" w:sz="0" w:space="0" w:color="auto"/>
            <w:left w:val="none" w:sz="0" w:space="0" w:color="auto"/>
            <w:bottom w:val="none" w:sz="0" w:space="0" w:color="auto"/>
            <w:right w:val="none" w:sz="0" w:space="0" w:color="auto"/>
          </w:divBdr>
        </w:div>
        <w:div w:id="401291673">
          <w:marLeft w:val="0"/>
          <w:marRight w:val="0"/>
          <w:marTop w:val="0"/>
          <w:marBottom w:val="0"/>
          <w:divBdr>
            <w:top w:val="none" w:sz="0" w:space="0" w:color="auto"/>
            <w:left w:val="none" w:sz="0" w:space="0" w:color="auto"/>
            <w:bottom w:val="none" w:sz="0" w:space="0" w:color="auto"/>
            <w:right w:val="none" w:sz="0" w:space="0" w:color="auto"/>
          </w:divBdr>
        </w:div>
        <w:div w:id="1224103707">
          <w:marLeft w:val="0"/>
          <w:marRight w:val="0"/>
          <w:marTop w:val="0"/>
          <w:marBottom w:val="0"/>
          <w:divBdr>
            <w:top w:val="none" w:sz="0" w:space="0" w:color="auto"/>
            <w:left w:val="none" w:sz="0" w:space="0" w:color="auto"/>
            <w:bottom w:val="none" w:sz="0" w:space="0" w:color="auto"/>
            <w:right w:val="none" w:sz="0" w:space="0" w:color="auto"/>
          </w:divBdr>
        </w:div>
        <w:div w:id="1517385834">
          <w:marLeft w:val="0"/>
          <w:marRight w:val="0"/>
          <w:marTop w:val="0"/>
          <w:marBottom w:val="0"/>
          <w:divBdr>
            <w:top w:val="none" w:sz="0" w:space="0" w:color="auto"/>
            <w:left w:val="none" w:sz="0" w:space="0" w:color="auto"/>
            <w:bottom w:val="none" w:sz="0" w:space="0" w:color="auto"/>
            <w:right w:val="none" w:sz="0" w:space="0" w:color="auto"/>
          </w:divBdr>
        </w:div>
        <w:div w:id="899554984">
          <w:marLeft w:val="0"/>
          <w:marRight w:val="0"/>
          <w:marTop w:val="0"/>
          <w:marBottom w:val="0"/>
          <w:divBdr>
            <w:top w:val="none" w:sz="0" w:space="0" w:color="auto"/>
            <w:left w:val="none" w:sz="0" w:space="0" w:color="auto"/>
            <w:bottom w:val="none" w:sz="0" w:space="0" w:color="auto"/>
            <w:right w:val="none" w:sz="0" w:space="0" w:color="auto"/>
          </w:divBdr>
        </w:div>
        <w:div w:id="638075929">
          <w:marLeft w:val="0"/>
          <w:marRight w:val="0"/>
          <w:marTop w:val="0"/>
          <w:marBottom w:val="0"/>
          <w:divBdr>
            <w:top w:val="none" w:sz="0" w:space="0" w:color="auto"/>
            <w:left w:val="none" w:sz="0" w:space="0" w:color="auto"/>
            <w:bottom w:val="none" w:sz="0" w:space="0" w:color="auto"/>
            <w:right w:val="none" w:sz="0" w:space="0" w:color="auto"/>
          </w:divBdr>
        </w:div>
        <w:div w:id="371148044">
          <w:marLeft w:val="0"/>
          <w:marRight w:val="0"/>
          <w:marTop w:val="0"/>
          <w:marBottom w:val="0"/>
          <w:divBdr>
            <w:top w:val="none" w:sz="0" w:space="0" w:color="auto"/>
            <w:left w:val="none" w:sz="0" w:space="0" w:color="auto"/>
            <w:bottom w:val="none" w:sz="0" w:space="0" w:color="auto"/>
            <w:right w:val="none" w:sz="0" w:space="0" w:color="auto"/>
          </w:divBdr>
        </w:div>
        <w:div w:id="210122142">
          <w:marLeft w:val="0"/>
          <w:marRight w:val="0"/>
          <w:marTop w:val="0"/>
          <w:marBottom w:val="0"/>
          <w:divBdr>
            <w:top w:val="none" w:sz="0" w:space="0" w:color="auto"/>
            <w:left w:val="none" w:sz="0" w:space="0" w:color="auto"/>
            <w:bottom w:val="none" w:sz="0" w:space="0" w:color="auto"/>
            <w:right w:val="none" w:sz="0" w:space="0" w:color="auto"/>
          </w:divBdr>
        </w:div>
      </w:divsChild>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7096">
      <w:bodyDiv w:val="1"/>
      <w:marLeft w:val="0"/>
      <w:marRight w:val="0"/>
      <w:marTop w:val="0"/>
      <w:marBottom w:val="0"/>
      <w:divBdr>
        <w:top w:val="none" w:sz="0" w:space="0" w:color="auto"/>
        <w:left w:val="none" w:sz="0" w:space="0" w:color="auto"/>
        <w:bottom w:val="none" w:sz="0" w:space="0" w:color="auto"/>
        <w:right w:val="none" w:sz="0" w:space="0" w:color="auto"/>
      </w:divBdr>
      <w:divsChild>
        <w:div w:id="1499423511">
          <w:marLeft w:val="0"/>
          <w:marRight w:val="0"/>
          <w:marTop w:val="0"/>
          <w:marBottom w:val="0"/>
          <w:divBdr>
            <w:top w:val="none" w:sz="0" w:space="0" w:color="auto"/>
            <w:left w:val="none" w:sz="0" w:space="0" w:color="auto"/>
            <w:bottom w:val="none" w:sz="0" w:space="0" w:color="auto"/>
            <w:right w:val="none" w:sz="0" w:space="0" w:color="auto"/>
          </w:divBdr>
        </w:div>
        <w:div w:id="371617081">
          <w:marLeft w:val="0"/>
          <w:marRight w:val="0"/>
          <w:marTop w:val="0"/>
          <w:marBottom w:val="0"/>
          <w:divBdr>
            <w:top w:val="none" w:sz="0" w:space="0" w:color="auto"/>
            <w:left w:val="none" w:sz="0" w:space="0" w:color="auto"/>
            <w:bottom w:val="none" w:sz="0" w:space="0" w:color="auto"/>
            <w:right w:val="none" w:sz="0" w:space="0" w:color="auto"/>
          </w:divBdr>
        </w:div>
        <w:div w:id="1355888196">
          <w:marLeft w:val="0"/>
          <w:marRight w:val="0"/>
          <w:marTop w:val="0"/>
          <w:marBottom w:val="0"/>
          <w:divBdr>
            <w:top w:val="none" w:sz="0" w:space="0" w:color="auto"/>
            <w:left w:val="none" w:sz="0" w:space="0" w:color="auto"/>
            <w:bottom w:val="none" w:sz="0" w:space="0" w:color="auto"/>
            <w:right w:val="none" w:sz="0" w:space="0" w:color="auto"/>
          </w:divBdr>
        </w:div>
        <w:div w:id="2021731929">
          <w:marLeft w:val="0"/>
          <w:marRight w:val="0"/>
          <w:marTop w:val="0"/>
          <w:marBottom w:val="0"/>
          <w:divBdr>
            <w:top w:val="none" w:sz="0" w:space="0" w:color="auto"/>
            <w:left w:val="none" w:sz="0" w:space="0" w:color="auto"/>
            <w:bottom w:val="none" w:sz="0" w:space="0" w:color="auto"/>
            <w:right w:val="none" w:sz="0" w:space="0" w:color="auto"/>
          </w:divBdr>
        </w:div>
        <w:div w:id="435752908">
          <w:marLeft w:val="0"/>
          <w:marRight w:val="0"/>
          <w:marTop w:val="0"/>
          <w:marBottom w:val="0"/>
          <w:divBdr>
            <w:top w:val="none" w:sz="0" w:space="0" w:color="auto"/>
            <w:left w:val="none" w:sz="0" w:space="0" w:color="auto"/>
            <w:bottom w:val="none" w:sz="0" w:space="0" w:color="auto"/>
            <w:right w:val="none" w:sz="0" w:space="0" w:color="auto"/>
          </w:divBdr>
        </w:div>
        <w:div w:id="550457368">
          <w:marLeft w:val="0"/>
          <w:marRight w:val="0"/>
          <w:marTop w:val="0"/>
          <w:marBottom w:val="0"/>
          <w:divBdr>
            <w:top w:val="none" w:sz="0" w:space="0" w:color="auto"/>
            <w:left w:val="none" w:sz="0" w:space="0" w:color="auto"/>
            <w:bottom w:val="none" w:sz="0" w:space="0" w:color="auto"/>
            <w:right w:val="none" w:sz="0" w:space="0" w:color="auto"/>
          </w:divBdr>
        </w:div>
        <w:div w:id="1062798910">
          <w:marLeft w:val="0"/>
          <w:marRight w:val="0"/>
          <w:marTop w:val="0"/>
          <w:marBottom w:val="0"/>
          <w:divBdr>
            <w:top w:val="none" w:sz="0" w:space="0" w:color="auto"/>
            <w:left w:val="none" w:sz="0" w:space="0" w:color="auto"/>
            <w:bottom w:val="none" w:sz="0" w:space="0" w:color="auto"/>
            <w:right w:val="none" w:sz="0" w:space="0" w:color="auto"/>
          </w:divBdr>
        </w:div>
        <w:div w:id="2119525499">
          <w:marLeft w:val="0"/>
          <w:marRight w:val="0"/>
          <w:marTop w:val="0"/>
          <w:marBottom w:val="0"/>
          <w:divBdr>
            <w:top w:val="none" w:sz="0" w:space="0" w:color="auto"/>
            <w:left w:val="none" w:sz="0" w:space="0" w:color="auto"/>
            <w:bottom w:val="none" w:sz="0" w:space="0" w:color="auto"/>
            <w:right w:val="none" w:sz="0" w:space="0" w:color="auto"/>
          </w:divBdr>
        </w:div>
        <w:div w:id="1830751461">
          <w:marLeft w:val="0"/>
          <w:marRight w:val="0"/>
          <w:marTop w:val="0"/>
          <w:marBottom w:val="0"/>
          <w:divBdr>
            <w:top w:val="none" w:sz="0" w:space="0" w:color="auto"/>
            <w:left w:val="none" w:sz="0" w:space="0" w:color="auto"/>
            <w:bottom w:val="none" w:sz="0" w:space="0" w:color="auto"/>
            <w:right w:val="none" w:sz="0" w:space="0" w:color="auto"/>
          </w:divBdr>
        </w:div>
        <w:div w:id="1274166475">
          <w:marLeft w:val="0"/>
          <w:marRight w:val="0"/>
          <w:marTop w:val="0"/>
          <w:marBottom w:val="0"/>
          <w:divBdr>
            <w:top w:val="none" w:sz="0" w:space="0" w:color="auto"/>
            <w:left w:val="none" w:sz="0" w:space="0" w:color="auto"/>
            <w:bottom w:val="none" w:sz="0" w:space="0" w:color="auto"/>
            <w:right w:val="none" w:sz="0" w:space="0" w:color="auto"/>
          </w:divBdr>
        </w:div>
      </w:divsChild>
    </w:div>
    <w:div w:id="2027512250">
      <w:bodyDiv w:val="1"/>
      <w:marLeft w:val="0"/>
      <w:marRight w:val="0"/>
      <w:marTop w:val="0"/>
      <w:marBottom w:val="0"/>
      <w:divBdr>
        <w:top w:val="none" w:sz="0" w:space="0" w:color="auto"/>
        <w:left w:val="none" w:sz="0" w:space="0" w:color="auto"/>
        <w:bottom w:val="none" w:sz="0" w:space="0" w:color="auto"/>
        <w:right w:val="none" w:sz="0" w:space="0" w:color="auto"/>
      </w:divBdr>
      <w:divsChild>
        <w:div w:id="92668863">
          <w:marLeft w:val="0"/>
          <w:marRight w:val="0"/>
          <w:marTop w:val="0"/>
          <w:marBottom w:val="0"/>
          <w:divBdr>
            <w:top w:val="none" w:sz="0" w:space="0" w:color="auto"/>
            <w:left w:val="none" w:sz="0" w:space="0" w:color="auto"/>
            <w:bottom w:val="none" w:sz="0" w:space="0" w:color="auto"/>
            <w:right w:val="none" w:sz="0" w:space="0" w:color="auto"/>
          </w:divBdr>
        </w:div>
        <w:div w:id="917590397">
          <w:marLeft w:val="0"/>
          <w:marRight w:val="0"/>
          <w:marTop w:val="0"/>
          <w:marBottom w:val="0"/>
          <w:divBdr>
            <w:top w:val="none" w:sz="0" w:space="0" w:color="auto"/>
            <w:left w:val="none" w:sz="0" w:space="0" w:color="auto"/>
            <w:bottom w:val="none" w:sz="0" w:space="0" w:color="auto"/>
            <w:right w:val="none" w:sz="0" w:space="0" w:color="auto"/>
          </w:divBdr>
        </w:div>
        <w:div w:id="1091121161">
          <w:marLeft w:val="0"/>
          <w:marRight w:val="0"/>
          <w:marTop w:val="0"/>
          <w:marBottom w:val="0"/>
          <w:divBdr>
            <w:top w:val="none" w:sz="0" w:space="0" w:color="auto"/>
            <w:left w:val="none" w:sz="0" w:space="0" w:color="auto"/>
            <w:bottom w:val="none" w:sz="0" w:space="0" w:color="auto"/>
            <w:right w:val="none" w:sz="0" w:space="0" w:color="auto"/>
          </w:divBdr>
        </w:div>
        <w:div w:id="1730691661">
          <w:marLeft w:val="0"/>
          <w:marRight w:val="0"/>
          <w:marTop w:val="0"/>
          <w:marBottom w:val="0"/>
          <w:divBdr>
            <w:top w:val="none" w:sz="0" w:space="0" w:color="auto"/>
            <w:left w:val="none" w:sz="0" w:space="0" w:color="auto"/>
            <w:bottom w:val="none" w:sz="0" w:space="0" w:color="auto"/>
            <w:right w:val="none" w:sz="0" w:space="0" w:color="auto"/>
          </w:divBdr>
        </w:div>
        <w:div w:id="850880079">
          <w:marLeft w:val="0"/>
          <w:marRight w:val="0"/>
          <w:marTop w:val="0"/>
          <w:marBottom w:val="0"/>
          <w:divBdr>
            <w:top w:val="none" w:sz="0" w:space="0" w:color="auto"/>
            <w:left w:val="none" w:sz="0" w:space="0" w:color="auto"/>
            <w:bottom w:val="none" w:sz="0" w:space="0" w:color="auto"/>
            <w:right w:val="none" w:sz="0" w:space="0" w:color="auto"/>
          </w:divBdr>
        </w:div>
        <w:div w:id="2140611791">
          <w:marLeft w:val="0"/>
          <w:marRight w:val="0"/>
          <w:marTop w:val="0"/>
          <w:marBottom w:val="0"/>
          <w:divBdr>
            <w:top w:val="none" w:sz="0" w:space="0" w:color="auto"/>
            <w:left w:val="none" w:sz="0" w:space="0" w:color="auto"/>
            <w:bottom w:val="none" w:sz="0" w:space="0" w:color="auto"/>
            <w:right w:val="none" w:sz="0" w:space="0" w:color="auto"/>
          </w:divBdr>
        </w:div>
        <w:div w:id="544369417">
          <w:marLeft w:val="0"/>
          <w:marRight w:val="0"/>
          <w:marTop w:val="0"/>
          <w:marBottom w:val="0"/>
          <w:divBdr>
            <w:top w:val="none" w:sz="0" w:space="0" w:color="auto"/>
            <w:left w:val="none" w:sz="0" w:space="0" w:color="auto"/>
            <w:bottom w:val="none" w:sz="0" w:space="0" w:color="auto"/>
            <w:right w:val="none" w:sz="0" w:space="0" w:color="auto"/>
          </w:divBdr>
        </w:div>
        <w:div w:id="1535314663">
          <w:marLeft w:val="0"/>
          <w:marRight w:val="0"/>
          <w:marTop w:val="0"/>
          <w:marBottom w:val="0"/>
          <w:divBdr>
            <w:top w:val="none" w:sz="0" w:space="0" w:color="auto"/>
            <w:left w:val="none" w:sz="0" w:space="0" w:color="auto"/>
            <w:bottom w:val="none" w:sz="0" w:space="0" w:color="auto"/>
            <w:right w:val="none" w:sz="0" w:space="0" w:color="auto"/>
          </w:divBdr>
        </w:div>
        <w:div w:id="950089366">
          <w:marLeft w:val="0"/>
          <w:marRight w:val="0"/>
          <w:marTop w:val="0"/>
          <w:marBottom w:val="0"/>
          <w:divBdr>
            <w:top w:val="none" w:sz="0" w:space="0" w:color="auto"/>
            <w:left w:val="none" w:sz="0" w:space="0" w:color="auto"/>
            <w:bottom w:val="none" w:sz="0" w:space="0" w:color="auto"/>
            <w:right w:val="none" w:sz="0" w:space="0" w:color="auto"/>
          </w:divBdr>
        </w:div>
        <w:div w:id="952204255">
          <w:marLeft w:val="0"/>
          <w:marRight w:val="0"/>
          <w:marTop w:val="0"/>
          <w:marBottom w:val="0"/>
          <w:divBdr>
            <w:top w:val="none" w:sz="0" w:space="0" w:color="auto"/>
            <w:left w:val="none" w:sz="0" w:space="0" w:color="auto"/>
            <w:bottom w:val="none" w:sz="0" w:space="0" w:color="auto"/>
            <w:right w:val="none" w:sz="0" w:space="0" w:color="auto"/>
          </w:divBdr>
        </w:div>
      </w:divsChild>
    </w:div>
    <w:div w:id="2089574520">
      <w:bodyDiv w:val="1"/>
      <w:marLeft w:val="0"/>
      <w:marRight w:val="0"/>
      <w:marTop w:val="0"/>
      <w:marBottom w:val="0"/>
      <w:divBdr>
        <w:top w:val="none" w:sz="0" w:space="0" w:color="auto"/>
        <w:left w:val="none" w:sz="0" w:space="0" w:color="auto"/>
        <w:bottom w:val="none" w:sz="0" w:space="0" w:color="auto"/>
        <w:right w:val="none" w:sz="0" w:space="0" w:color="auto"/>
      </w:divBdr>
    </w:div>
    <w:div w:id="2095780006">
      <w:bodyDiv w:val="1"/>
      <w:marLeft w:val="0"/>
      <w:marRight w:val="0"/>
      <w:marTop w:val="0"/>
      <w:marBottom w:val="0"/>
      <w:divBdr>
        <w:top w:val="none" w:sz="0" w:space="0" w:color="auto"/>
        <w:left w:val="none" w:sz="0" w:space="0" w:color="auto"/>
        <w:bottom w:val="none" w:sz="0" w:space="0" w:color="auto"/>
        <w:right w:val="none" w:sz="0" w:space="0" w:color="auto"/>
      </w:divBdr>
    </w:div>
    <w:div w:id="2100250421">
      <w:bodyDiv w:val="1"/>
      <w:marLeft w:val="0"/>
      <w:marRight w:val="0"/>
      <w:marTop w:val="0"/>
      <w:marBottom w:val="0"/>
      <w:divBdr>
        <w:top w:val="none" w:sz="0" w:space="0" w:color="auto"/>
        <w:left w:val="none" w:sz="0" w:space="0" w:color="auto"/>
        <w:bottom w:val="none" w:sz="0" w:space="0" w:color="auto"/>
        <w:right w:val="none" w:sz="0" w:space="0" w:color="auto"/>
      </w:divBdr>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24839111">
      <w:bodyDiv w:val="1"/>
      <w:marLeft w:val="0"/>
      <w:marRight w:val="0"/>
      <w:marTop w:val="0"/>
      <w:marBottom w:val="0"/>
      <w:divBdr>
        <w:top w:val="none" w:sz="0" w:space="0" w:color="auto"/>
        <w:left w:val="none" w:sz="0" w:space="0" w:color="auto"/>
        <w:bottom w:val="none" w:sz="0" w:space="0" w:color="auto"/>
        <w:right w:val="none" w:sz="0" w:space="0" w:color="auto"/>
      </w:divBdr>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15278-covid-19-infekcijas-izplatibas-parvaldibas-likums" TargetMode="External"/><Relationship Id="rId21" Type="http://schemas.openxmlformats.org/officeDocument/2006/relationships/header" Target="header1.xml"/><Relationship Id="rId42" Type="http://schemas.openxmlformats.org/officeDocument/2006/relationships/chart" Target="charts/chart4.xml"/><Relationship Id="rId63" Type="http://schemas.openxmlformats.org/officeDocument/2006/relationships/hyperlink" Target="https://www.izm.gov.lv/lv/viedas-specializacijas-strategijas" TargetMode="External"/><Relationship Id="rId84" Type="http://schemas.openxmlformats.org/officeDocument/2006/relationships/hyperlink" Target="https://www.em.gov.lv/lv/transporta-energijas-likums" TargetMode="External"/><Relationship Id="rId138" Type="http://schemas.openxmlformats.org/officeDocument/2006/relationships/hyperlink" Target="https://www.izm.gov.lv/images/zinatne/IZM_%20Viedas_Specializ_strategija_2013.pdf" TargetMode="External"/><Relationship Id="rId159" Type="http://schemas.openxmlformats.org/officeDocument/2006/relationships/hyperlink" Target="https://www.esfondi.lv/finansu-un-raditaju-plani-to-izpilde" TargetMode="External"/><Relationship Id="rId170" Type="http://schemas.openxmlformats.org/officeDocument/2006/relationships/hyperlink" Target="http://petijumi.mk.gov.lv/node/3286" TargetMode="External"/><Relationship Id="rId107" Type="http://schemas.openxmlformats.org/officeDocument/2006/relationships/hyperlink" Target="http://petijumi.mk.gov.lv/" TargetMode="External"/><Relationship Id="rId11" Type="http://schemas.openxmlformats.org/officeDocument/2006/relationships/image" Target="media/image3.png"/><Relationship Id="rId32" Type="http://schemas.openxmlformats.org/officeDocument/2006/relationships/hyperlink" Target="http://www.latvenergo.lv/" TargetMode="External"/><Relationship Id="rId53" Type="http://schemas.openxmlformats.org/officeDocument/2006/relationships/hyperlink" Target="https://likumi.lv/ta/id/315287-covid-19-infekcijas-izplatibas-seku-parvaresanas-likums" TargetMode="External"/><Relationship Id="rId74" Type="http://schemas.openxmlformats.org/officeDocument/2006/relationships/hyperlink" Target="https://likumi.lv/ta/id/317312-grozijumi-jaunuznemumu-darbibas-atbalsta-likuma" TargetMode="External"/><Relationship Id="rId128" Type="http://schemas.openxmlformats.org/officeDocument/2006/relationships/hyperlink" Target="http://tap.mk.gov.lv/mk/tap/?pid=40491531" TargetMode="External"/><Relationship Id="rId149" Type="http://schemas.openxmlformats.org/officeDocument/2006/relationships/hyperlink" Target="http://polsis.mk.gov.lv/documents/4823" TargetMode="External"/><Relationship Id="rId5" Type="http://schemas.openxmlformats.org/officeDocument/2006/relationships/numbering" Target="numbering.xml"/><Relationship Id="rId95" Type="http://schemas.openxmlformats.org/officeDocument/2006/relationships/hyperlink" Target="https://likumi.lv/ta/id/322615-grozijumi-ministru-kabineta-2017-gada-9-maija-noteikumos-nr-253-atsevisku-inzenierbuvju-buvnoteikumi-" TargetMode="External"/><Relationship Id="rId160" Type="http://schemas.openxmlformats.org/officeDocument/2006/relationships/hyperlink" Target="http://petijumi.mk.gov.lv/node/3555" TargetMode="External"/><Relationship Id="rId181" Type="http://schemas.openxmlformats.org/officeDocument/2006/relationships/hyperlink" Target="http://petijumi.mk.gov.lv/sites/default/files/title_file/EM_2019_petijums_10.docx" TargetMode="External"/><Relationship Id="rId22" Type="http://schemas.openxmlformats.org/officeDocument/2006/relationships/footer" Target="footer2.xml"/><Relationship Id="rId43" Type="http://schemas.openxmlformats.org/officeDocument/2006/relationships/chart" Target="charts/chart5.xml"/><Relationship Id="rId64" Type="http://schemas.openxmlformats.org/officeDocument/2006/relationships/hyperlink" Target="https://likumi.lv/ta/id/321037-par-nacionalas-industrialas-politikas-pamatnostadnem-2021-2027-gadam" TargetMode="External"/><Relationship Id="rId118" Type="http://schemas.openxmlformats.org/officeDocument/2006/relationships/hyperlink" Target="http://www.em.gov.lv" TargetMode="External"/><Relationship Id="rId139" Type="http://schemas.openxmlformats.org/officeDocument/2006/relationships/hyperlink" Target="https://likumi.lv/ta/id/321037-par-nacionalas-industrialas-politikas-pamatnostadnem-2021-2027-gadam" TargetMode="External"/><Relationship Id="rId85" Type="http://schemas.openxmlformats.org/officeDocument/2006/relationships/hyperlink" Target="https://likumi.lv/ta/id/313815-grozijums-ministru-kabineta-2000-gada-26-septembra-noteikumos-nr-332-noteikumi-par-benzina-un-dizeldegvielas-atbilstibas-novert..." TargetMode="External"/><Relationship Id="rId150" Type="http://schemas.openxmlformats.org/officeDocument/2006/relationships/hyperlink" Target="https://likumi.lv/ta/id/267332-par-latvijas-turisma-attistibas-pamatnostadnem-2014-2020-gadam" TargetMode="External"/><Relationship Id="rId171" Type="http://schemas.openxmlformats.org/officeDocument/2006/relationships/hyperlink" Target="http://petijumi.mk.gov.lv/sites/default/files/title_file/F_Gala_zinojums_EM_LV.docx" TargetMode="External"/><Relationship Id="rId12" Type="http://schemas.openxmlformats.org/officeDocument/2006/relationships/hyperlink" Target="file:///C:\Users\VilnisJ\Desktop\Publiskais\EM_PP_par_2020_gadu.docx" TargetMode="External"/><Relationship Id="rId33" Type="http://schemas.openxmlformats.org/officeDocument/2006/relationships/hyperlink" Target="https://www.lvs.lv/" TargetMode="External"/><Relationship Id="rId108" Type="http://schemas.openxmlformats.org/officeDocument/2006/relationships/hyperlink" Target="http://petijumi.mk.gov.lv/node/3286" TargetMode="External"/><Relationship Id="rId129" Type="http://schemas.openxmlformats.org/officeDocument/2006/relationships/hyperlink" Target="http://polsis.mk.gov.lv/documents/4294" TargetMode="External"/><Relationship Id="rId54" Type="http://schemas.openxmlformats.org/officeDocument/2006/relationships/hyperlink" Target="https://likumi.lv/ta/id/316611-par-finansu-lidzeklu-pieskirsanu-no-valsts-budzeta-programmas-lidzekli-neparedzetiem-gadijumiem" TargetMode="External"/><Relationship Id="rId75" Type="http://schemas.openxmlformats.org/officeDocument/2006/relationships/hyperlink" Target="https://likumi.lv/ta/id/282302-darbibas-programmas-izaugsme-un-nodarbinatiba-1-2-1-specifiska-atbalsta-merka-palielinat-privata-sektora-investicijas-p-a-1-2-1" TargetMode="External"/><Relationship Id="rId96" Type="http://schemas.openxmlformats.org/officeDocument/2006/relationships/hyperlink" Target="http://tap.mk.gov.lv/mk/tap/?pid=40492243" TargetMode="External"/><Relationship Id="rId140" Type="http://schemas.openxmlformats.org/officeDocument/2006/relationships/hyperlink" Target="http://polsis.mk.gov.lv/api/file/file8915.doc" TargetMode="External"/><Relationship Id="rId161" Type="http://schemas.openxmlformats.org/officeDocument/2006/relationships/hyperlink" Target="mailto:Inese.Rostoka@em.gov.lv"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image" Target="media/image4.png"/><Relationship Id="rId119" Type="http://schemas.openxmlformats.org/officeDocument/2006/relationships/hyperlink" Target="https://www.em.gov.lv/sites/em/files/content/em_strategija_2020_2022.docx" TargetMode="External"/><Relationship Id="rId44" Type="http://schemas.openxmlformats.org/officeDocument/2006/relationships/chart" Target="charts/chart6.xml"/><Relationship Id="rId60" Type="http://schemas.openxmlformats.org/officeDocument/2006/relationships/hyperlink" Target="https://likumi.lv/ta/id/281433-darbibas-programmas-izaugsme-un-nodarbinatiba-3-2-1-specifiska-atbalsta-merka-palielinat-augstas-pievienotas-vertibas" TargetMode="External"/><Relationship Id="rId65" Type="http://schemas.openxmlformats.org/officeDocument/2006/relationships/hyperlink" Target="https://likumi.lv/ta/id/307037-par-uznemejdarbibas-vides-pilnveidosanas-pasakumu-planu-2019-2022-gadam" TargetMode="External"/><Relationship Id="rId81" Type="http://schemas.openxmlformats.org/officeDocument/2006/relationships/hyperlink" Target="https://likumi.lv/ta/id/312482-grozijumi-elektroenergijas-tirgus-likuma" TargetMode="External"/><Relationship Id="rId86" Type="http://schemas.openxmlformats.org/officeDocument/2006/relationships/hyperlink" Target="https://likumi.lv/ta/id/281323-darbibas-programmas-izaugsme-un-nodarbinatiba-4-2-1-specifiska-atbalsta-merka-veicinat-energoefektivitates-paaugstinasanu" TargetMode="External"/><Relationship Id="rId130" Type="http://schemas.openxmlformats.org/officeDocument/2006/relationships/hyperlink" Target="https://www.em.gov.lv/files/buvnieciba/BS_17.05.2017.pdf" TargetMode="External"/><Relationship Id="rId135" Type="http://schemas.openxmlformats.org/officeDocument/2006/relationships/hyperlink" Target="https://likumi.lv/ta/id/317922-par-konceptualo-zinojumu-kompleksi-pasakumi-obligata-iepirkuma-komponentes-problematikas-risinasanai-un-elektroenergijas" TargetMode="External"/><Relationship Id="rId151" Type="http://schemas.openxmlformats.org/officeDocument/2006/relationships/hyperlink" Target="http://tap.mk.gov.lv/mk/tap/?pid=40487380" TargetMode="External"/><Relationship Id="rId156" Type="http://schemas.openxmlformats.org/officeDocument/2006/relationships/hyperlink" Target="https://appsso.eurostat.ec.europa.eu/nui/show.do?dataset=htec_si_exp4&amp;lang=en" TargetMode="External"/><Relationship Id="rId177" Type="http://schemas.openxmlformats.org/officeDocument/2006/relationships/hyperlink" Target="http://petijumi.mk.gov.lv/sites/default/files/title_file/Energetik_att_pamatnost_monitor_zin_PETIJUMS.doc" TargetMode="External"/><Relationship Id="rId172" Type="http://schemas.openxmlformats.org/officeDocument/2006/relationships/hyperlink" Target="http://petijumi.mk.gov.lv/node/3288" TargetMode="External"/><Relationship Id="rId13" Type="http://schemas.openxmlformats.org/officeDocument/2006/relationships/hyperlink" Target="file:///C:\Users\VilnisJ\Desktop\Publiskais\EM_PP_par_2020_gadu.docx" TargetMode="External"/><Relationship Id="rId18" Type="http://schemas.openxmlformats.org/officeDocument/2006/relationships/hyperlink" Target="file:///C:\Users\VilnisJ\Desktop\Publiskais\EM_PP_par_2020_gadu.docx" TargetMode="External"/><Relationship Id="rId39" Type="http://schemas.openxmlformats.org/officeDocument/2006/relationships/chart" Target="charts/chart1.xml"/><Relationship Id="rId109" Type="http://schemas.openxmlformats.org/officeDocument/2006/relationships/hyperlink" Target="http://petijumi.mk.gov.lv/node/3291" TargetMode="External"/><Relationship Id="rId34" Type="http://schemas.openxmlformats.org/officeDocument/2006/relationships/hyperlink" Target="http://www.lnmc.lv/" TargetMode="External"/><Relationship Id="rId50" Type="http://schemas.openxmlformats.org/officeDocument/2006/relationships/image" Target="media/image5.png"/><Relationship Id="rId55" Type="http://schemas.openxmlformats.org/officeDocument/2006/relationships/hyperlink" Target="https://likumi.lv/ta/id/316279-covid-19-skarto-turisma-nozares-saimnieciskas-darbibas-veiceju-atbalsta-pieskirsanas-kartiba" TargetMode="External"/><Relationship Id="rId76" Type="http://schemas.openxmlformats.org/officeDocument/2006/relationships/hyperlink" Target="https://likumi.lv/ta/id/286262-darbibas-programmas-izaugsme-un-nodarbinatiba-1-2-1-specifiska-atbalsta-merka-palielinat-privata-sektora-investicijas" TargetMode="External"/><Relationship Id="rId97" Type="http://schemas.openxmlformats.org/officeDocument/2006/relationships/hyperlink" Target="https://likumi.lv/ta/id/324221-buvju-tehniskas-apsekosanas-buvnormativs-lbn-405-21" TargetMode="External"/><Relationship Id="rId104" Type="http://schemas.openxmlformats.org/officeDocument/2006/relationships/hyperlink" Target="http://tap.mk.gov.lv/lv/mk/tap/?pid=40492923" TargetMode="External"/><Relationship Id="rId120" Type="http://schemas.openxmlformats.org/officeDocument/2006/relationships/hyperlink" Target="https://likumi.lv/ta/id/315304-epidemiologiskas-drosibas-pasakumi-covid-19-infekcijas-izplatibas-ierobezosanai" TargetMode="External"/><Relationship Id="rId125" Type="http://schemas.openxmlformats.org/officeDocument/2006/relationships/hyperlink" Target="http://polsis.mk.gov.lv/documents/4391" TargetMode="External"/><Relationship Id="rId141" Type="http://schemas.openxmlformats.org/officeDocument/2006/relationships/hyperlink" Target="https://likumi.lv/ta/id/263464-par-zinatnes-tehnologijas-attistibas-un-inovacijas-pamatnostadnem-2014-2020-gadam" TargetMode="External"/><Relationship Id="rId146" Type="http://schemas.openxmlformats.org/officeDocument/2006/relationships/hyperlink" Target="https://likumi.lv/ta/id/312539-par-ricibas-planu-publisko-iepirkumu-sistemas-uzlabosanai" TargetMode="External"/><Relationship Id="rId167" Type="http://schemas.openxmlformats.org/officeDocument/2006/relationships/hyperlink" Target="mailto:Edgars.Ozolins-Ozols@em.gov.lv" TargetMode="External"/><Relationship Id="rId7" Type="http://schemas.openxmlformats.org/officeDocument/2006/relationships/settings" Target="settings.xml"/><Relationship Id="rId71" Type="http://schemas.openxmlformats.org/officeDocument/2006/relationships/hyperlink" Target="https://www.latvija.lv/lv/DzivesSituacijas/prasibas-produktiem" TargetMode="External"/><Relationship Id="rId92" Type="http://schemas.openxmlformats.org/officeDocument/2006/relationships/hyperlink" Target="https://likumi.lv/ta/id/318428-grozijumi-ministru-kabineta-2014-gada-19-augusta-noteikumos-nr-499-noteikumi-par-buvinspektoriem" TargetMode="External"/><Relationship Id="rId162" Type="http://schemas.openxmlformats.org/officeDocument/2006/relationships/hyperlink" Target="http://petijumi.mk.gov.lv/node/3292"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bvkb.gov.lv/" TargetMode="External"/><Relationship Id="rId24" Type="http://schemas.openxmlformats.org/officeDocument/2006/relationships/hyperlink" Target="https://likumi.lv/ta/id/317511-ekonomikas-ministrijas-nolikums" TargetMode="External"/><Relationship Id="rId40" Type="http://schemas.openxmlformats.org/officeDocument/2006/relationships/chart" Target="charts/chart2.xml"/><Relationship Id="rId45" Type="http://schemas.openxmlformats.org/officeDocument/2006/relationships/hyperlink" Target="https://likumi.lv/ta/id/307037-par-uznemejdarbibas-vides-pilnveidosanas-pasakumu-planu-2019-2022-gadam" TargetMode="External"/><Relationship Id="rId66" Type="http://schemas.openxmlformats.org/officeDocument/2006/relationships/hyperlink" Target="http://tap.mk.gov.lv/mk/tap/?pid=40492242" TargetMode="External"/><Relationship Id="rId87" Type="http://schemas.openxmlformats.org/officeDocument/2006/relationships/hyperlink" Target="https://likumi.lv/ta/id/310544-darbibas-programmas-izaugsme-un-nodarbinatiba-4-1-1-specifiska-atbalsta-merka-veicinat-efektivu-energoresursu-izmantosanu-energ" TargetMode="External"/><Relationship Id="rId110" Type="http://schemas.openxmlformats.org/officeDocument/2006/relationships/hyperlink" Target="https://likumi.lv/ta/id/301891-par-valsts-petijumu-programmu-energetika" TargetMode="External"/><Relationship Id="rId115" Type="http://schemas.openxmlformats.org/officeDocument/2006/relationships/hyperlink" Target="https://www.izm.gov.lv/lv/vpp-covid-19-seku-mazinasanai" TargetMode="External"/><Relationship Id="rId131" Type="http://schemas.openxmlformats.org/officeDocument/2006/relationships/hyperlink" Target="https://www.em.gov.lv/lv/nozares_politika/buvnieciba/buvniecibas_strategija/" TargetMode="External"/><Relationship Id="rId136" Type="http://schemas.openxmlformats.org/officeDocument/2006/relationships/hyperlink" Target="https://www.izm.gov.lv/images/zinatne/Ekosist_kopsavilkums_RIS3.pdf" TargetMode="External"/><Relationship Id="rId157" Type="http://schemas.openxmlformats.org/officeDocument/2006/relationships/hyperlink" Target="https://appsso.eurostat.ec.europa.eu/nui/submitViewTableAction.do" TargetMode="External"/><Relationship Id="rId178" Type="http://schemas.openxmlformats.org/officeDocument/2006/relationships/hyperlink" Target="http://petijumi.mk.gov.lv/node/3293" TargetMode="External"/><Relationship Id="rId61" Type="http://schemas.openxmlformats.org/officeDocument/2006/relationships/hyperlink" Target="https://likumi.lv/ta/id/277601-darbibas-programmas-izaugsme-un-nodarbinatiba-1-2-2-specifiska-atbalsta-merka-veicinat-inovaciju-ieviesanu-komersantos" TargetMode="External"/><Relationship Id="rId82" Type="http://schemas.openxmlformats.org/officeDocument/2006/relationships/hyperlink" Target="https://likumi.lv/ta/id/317922-par-konceptualo-zinojumu-kompleksi-pasakumi-obligata-iepirkuma-komponentes-problematikas-risinasanai-un-elektroenergijas" TargetMode="External"/><Relationship Id="rId152" Type="http://schemas.openxmlformats.org/officeDocument/2006/relationships/hyperlink" Target="https://likumi.lv/ta/id/319472-par-ricibas-planu-pasakumiem-dzivojama-fonda-tehniska-stavokla-pilnveidosanai-ekspluatacijas-laika" TargetMode="External"/><Relationship Id="rId173" Type="http://schemas.openxmlformats.org/officeDocument/2006/relationships/hyperlink" Target="http://petijumi.mk.gov.lv/sites/default/files/title_file/F_Agr%C4%ABn%C4%81%20br%C4%ABdin%C4%81%C5%A1ana_public%C4%93%C5%A1anai.docx" TargetMode="External"/><Relationship Id="rId19" Type="http://schemas.openxmlformats.org/officeDocument/2006/relationships/hyperlink" Target="file:///C:\Users\VilnisJ\Desktop\Publiskais\EM_PP_par_2020_gadu.docx" TargetMode="External"/><Relationship Id="rId14" Type="http://schemas.openxmlformats.org/officeDocument/2006/relationships/hyperlink" Target="file:///C:\Users\VilnisJ\Desktop\Publiskais\EM_PP_par_2020_gadu.docx" TargetMode="External"/><Relationship Id="rId30" Type="http://schemas.openxmlformats.org/officeDocument/2006/relationships/hyperlink" Target="http://www.latak.gov.lv/" TargetMode="External"/><Relationship Id="rId35" Type="http://schemas.openxmlformats.org/officeDocument/2006/relationships/hyperlink" Target="http://www.altum.lv/" TargetMode="External"/><Relationship Id="rId56" Type="http://schemas.openxmlformats.org/officeDocument/2006/relationships/hyperlink" Target="https://likumi.lv/ta/id/315596-noteikumi-par-ipasa-atbalsta-mehanismu-repatriacijas-izmaksu-segsanai-turisma-operatoriem" TargetMode="External"/><Relationship Id="rId77" Type="http://schemas.openxmlformats.org/officeDocument/2006/relationships/hyperlink" Target="https://likumi.lv/ta/id/282065-darbibas-programmas-izaugsme-un-nodarbinatiba-1-2-2-specifiska-atbalsta-merka-veicinat-inovaciju-ieviesanu-komersantos" TargetMode="External"/><Relationship Id="rId100" Type="http://schemas.openxmlformats.org/officeDocument/2006/relationships/hyperlink" Target="http://tap.mk.gov.lv/lv/mk/tap/?pid=40501552" TargetMode="External"/><Relationship Id="rId105" Type="http://schemas.openxmlformats.org/officeDocument/2006/relationships/chart" Target="charts/chart7.xml"/><Relationship Id="rId126" Type="http://schemas.openxmlformats.org/officeDocument/2006/relationships/hyperlink" Target="https://likumi.lv/ta/id/257875-par-nacionalas-industrialas-politikas-pamatnostadnem-2014-2020-gadam" TargetMode="External"/><Relationship Id="rId147" Type="http://schemas.openxmlformats.org/officeDocument/2006/relationships/hyperlink" Target="http://polsis.mk.gov.lv/documents/5697" TargetMode="External"/><Relationship Id="rId168" Type="http://schemas.openxmlformats.org/officeDocument/2006/relationships/hyperlink" Target="http://petijumi.mk.gov.lv/node/3557" TargetMode="External"/><Relationship Id="rId8" Type="http://schemas.openxmlformats.org/officeDocument/2006/relationships/webSettings" Target="webSettings.xml"/><Relationship Id="rId51" Type="http://schemas.openxmlformats.org/officeDocument/2006/relationships/hyperlink" Target="http://tap.mk.gov.lv/mk/mksedes/saraksts/protokols/?protokols=2020-11-10" TargetMode="External"/><Relationship Id="rId72" Type="http://schemas.openxmlformats.org/officeDocument/2006/relationships/hyperlink" Target="https://latvija.lv/PPK/atlaujas-licences" TargetMode="External"/><Relationship Id="rId93" Type="http://schemas.openxmlformats.org/officeDocument/2006/relationships/hyperlink" Target="https://likumi.lv/ta/id/320682-grozijumi-ministru-kabineta-2014-gada-19-augusta-noteikumos-nr-500-visparigie-buvnoteikumi-" TargetMode="External"/><Relationship Id="rId98" Type="http://schemas.openxmlformats.org/officeDocument/2006/relationships/hyperlink" Target="http://tap.mk.gov.lv/lv/mk/tap/?pid=40496328&amp;mode=vss&amp;date=2021-01-07" TargetMode="External"/><Relationship Id="rId121" Type="http://schemas.openxmlformats.org/officeDocument/2006/relationships/hyperlink" Target="https://likumi.lv/ta/id/320864-noteikumi-par-prioritaro-investiciju-projektu-apkalposanu" TargetMode="External"/><Relationship Id="rId142" Type="http://schemas.openxmlformats.org/officeDocument/2006/relationships/hyperlink" Target="https://likumi.lv/ta/id/322468-par-zinatnes-tehnologijas-attistibas-un-inovacijas-pamatnostadnem-20212027-gadam" TargetMode="External"/><Relationship Id="rId163" Type="http://schemas.openxmlformats.org/officeDocument/2006/relationships/hyperlink" Target="mailto:Marija.Zjurikova@em.gov.lv" TargetMode="External"/><Relationship Id="rId3" Type="http://schemas.openxmlformats.org/officeDocument/2006/relationships/customXml" Target="../customXml/item3.xml"/><Relationship Id="rId25" Type="http://schemas.openxmlformats.org/officeDocument/2006/relationships/hyperlink" Target="http://www.liaa.gov.lv/" TargetMode="External"/><Relationship Id="rId46" Type="http://schemas.openxmlformats.org/officeDocument/2006/relationships/hyperlink" Target="https://www.em.gov.lv/sites/em/files/em_strategija_2020_20221_3.docx" TargetMode="External"/><Relationship Id="rId67" Type="http://schemas.openxmlformats.org/officeDocument/2006/relationships/hyperlink" Target="https://likumi.lv/ta/id/282045-darbibas-programmas-izaugsme-un-nodarbinatiba-311-specifiska-atbalsta-merka-sekmet-mvk-izveidi-un-attistibu-ipasi-apstrades-rupnieciba-un-ris3-prioritarajas-nozares-3116-pasakuma-regionalie-biznesa-inkubatori-un-radoso-industriju-inkubators-istenosanas-noteikumi" TargetMode="External"/><Relationship Id="rId116" Type="http://schemas.openxmlformats.org/officeDocument/2006/relationships/hyperlink" Target="http://petijumi.mk.gov.lv/node/3288" TargetMode="External"/><Relationship Id="rId137" Type="http://schemas.openxmlformats.org/officeDocument/2006/relationships/hyperlink" Target="http://tap.mk.gov.lv/lv/mk/tap/?pid=40479055&amp;mode=mk&amp;date=2020-03-10" TargetMode="External"/><Relationship Id="rId158" Type="http://schemas.openxmlformats.org/officeDocument/2006/relationships/hyperlink" Target="http://www3.weforum.org/docs/WEF_TheGlobalCompetitivenessReport2020.pdf" TargetMode="External"/><Relationship Id="rId20" Type="http://schemas.openxmlformats.org/officeDocument/2006/relationships/footer" Target="footer1.xml"/><Relationship Id="rId41" Type="http://schemas.openxmlformats.org/officeDocument/2006/relationships/chart" Target="charts/chart3.xml"/><Relationship Id="rId62" Type="http://schemas.openxmlformats.org/officeDocument/2006/relationships/hyperlink" Target="https://likumi.lv/ta/id/282904-darbibas-programmas-izaugsme-un-nodarbinatiba-1-2-2-specifiska-atbalsta-merka-veicinat-inovaciju-ieviesanu-komersantos" TargetMode="External"/><Relationship Id="rId83" Type="http://schemas.openxmlformats.org/officeDocument/2006/relationships/hyperlink" Target="http://polsis.mk.gov.lv/documents/6645" TargetMode="External"/><Relationship Id="rId88" Type="http://schemas.openxmlformats.org/officeDocument/2006/relationships/hyperlink" Target="https://likumi.lv/ta/id/284333-darbibas-programmas-izaugsme-un-nodarbinatiba-4-2-1-specifiska-atbalsta-merka-veicinat-energoefektivitates-paaugstinasanu" TargetMode="External"/><Relationship Id="rId111" Type="http://schemas.openxmlformats.org/officeDocument/2006/relationships/hyperlink" Target="https://likumi.lv/ta/id/301891-par-valsts-petijumu-programmu-energetika" TargetMode="External"/><Relationship Id="rId132" Type="http://schemas.openxmlformats.org/officeDocument/2006/relationships/hyperlink" Target="http://polsis.mk.gov.lv/documents/6645" TargetMode="External"/><Relationship Id="rId153" Type="http://schemas.openxmlformats.org/officeDocument/2006/relationships/hyperlink" Target="https://likumi.lv/ta/id/77812-par-valsts-un-pasvaldibu-ipasuma-privatizacijas-valsts-strategiju-pamatnostadnem" TargetMode="External"/><Relationship Id="rId174" Type="http://schemas.openxmlformats.org/officeDocument/2006/relationships/hyperlink" Target="http://petijumi.mk.gov.lv/node/3290" TargetMode="External"/><Relationship Id="rId179" Type="http://schemas.openxmlformats.org/officeDocument/2006/relationships/hyperlink" Target="http://petijumi.mk.gov.lv/sites/default/files/title_file/Energoefekti_pienak_sh_nov_PETIJUMS.docx" TargetMode="External"/><Relationship Id="rId15" Type="http://schemas.openxmlformats.org/officeDocument/2006/relationships/hyperlink" Target="file:///C:\Users\VilnisJ\Desktop\Publiskais\EM_PP_par_2020_gadu.docx" TargetMode="External"/><Relationship Id="rId36" Type="http://schemas.openxmlformats.org/officeDocument/2006/relationships/hyperlink" Target="http://www.rs.lv/" TargetMode="External"/><Relationship Id="rId57" Type="http://schemas.openxmlformats.org/officeDocument/2006/relationships/hyperlink" Target="https://www.em.gov.lv/lv/atbalsts-pasizolacijai-turistu-mitnes" TargetMode="External"/><Relationship Id="rId106" Type="http://schemas.openxmlformats.org/officeDocument/2006/relationships/hyperlink" Target="https://likumi.lv/ta/id/310965-par-valsts-budzetu-2020-gadam" TargetMode="External"/><Relationship Id="rId127" Type="http://schemas.openxmlformats.org/officeDocument/2006/relationships/hyperlink" Target="https://likumi.lv/ta/id/321037-par-nacionalas-industrialas-politikas-pamatnostadnem-2021-2027-gadam" TargetMode="External"/><Relationship Id="rId10" Type="http://schemas.openxmlformats.org/officeDocument/2006/relationships/endnotes" Target="endnotes.xml"/><Relationship Id="rId31" Type="http://schemas.openxmlformats.org/officeDocument/2006/relationships/hyperlink" Target="https://www.possessor.gov.lv/" TargetMode="External"/><Relationship Id="rId52" Type="http://schemas.openxmlformats.org/officeDocument/2006/relationships/hyperlink" Target="https://likumi.lv/ta/id/278242-darbibas-programmas-izaugsme-un-nodarbinatiba-321-specifiska-atbalsta-merka-palielinat-augstas-pievienotas-vertibas-produktu-un-pakalpojumu-eksporta-proporciju-3212-pasakuma-starptautiskas-konkuretspejas-veicinasana-istenosanas-noteikumi" TargetMode="External"/><Relationship Id="rId73" Type="http://schemas.openxmlformats.org/officeDocument/2006/relationships/hyperlink" Target="https://likumi.lv/ta/id/287272-jaunuznemumu-darbibas-atbalsta-likums" TargetMode="External"/><Relationship Id="rId78" Type="http://schemas.openxmlformats.org/officeDocument/2006/relationships/hyperlink" Target="https://www.em.gov.lv/lv/media/4107/download" TargetMode="External"/><Relationship Id="rId94" Type="http://schemas.openxmlformats.org/officeDocument/2006/relationships/hyperlink" Target="http://tap.mk.gov.lv/lv/mk/tap/?dateFrom=2020-06-29&amp;dateTo=2021-06-29&amp;text=Groz%C4%ABjumi+Ministru+kabineta+2014.gada+2.septembra+noteikumos+Nr.529+%22%C4%92ku+b%C5%ABvnoteikumi%22&amp;org=0&amp;area=0&amp;type=0" TargetMode="External"/><Relationship Id="rId99" Type="http://schemas.openxmlformats.org/officeDocument/2006/relationships/hyperlink" Target="https://www.em.gov.lv/lv/buvniecibas-informacijas-modelesana-(BIM)" TargetMode="External"/><Relationship Id="rId101" Type="http://schemas.openxmlformats.org/officeDocument/2006/relationships/hyperlink" Target="https://www.altum.lv/lv/pakalpojumi/iedzivotajiem/majoklu-garantiju-programma/par-programmu/" TargetMode="External"/><Relationship Id="rId122" Type="http://schemas.openxmlformats.org/officeDocument/2006/relationships/hyperlink" Target="https://likumi.lv/ta/id/322858-par-latvijas-atveselosanas-un-noturibas-mehanisma-planu" TargetMode="External"/><Relationship Id="rId143" Type="http://schemas.openxmlformats.org/officeDocument/2006/relationships/hyperlink" Target="http://polsis.mk.gov.lv/documents/6463" TargetMode="External"/><Relationship Id="rId148" Type="http://schemas.openxmlformats.org/officeDocument/2006/relationships/hyperlink" Target="https://likumi.lv/ta/id/284921-par-konceptualo-zinojumu-par-latvijas-nacionalas-standartizacijas-sistemas-pilnveidosanu" TargetMode="External"/><Relationship Id="rId164" Type="http://schemas.openxmlformats.org/officeDocument/2006/relationships/hyperlink" Target="http://petijumi.mk.gov.lv/node/3553" TargetMode="External"/><Relationship Id="rId169" Type="http://schemas.openxmlformats.org/officeDocument/2006/relationships/hyperlink" Target="mailto:Sigita.Silina@em.gov.lv"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petijumi.mk.gov.lv/node/3203" TargetMode="External"/><Relationship Id="rId26" Type="http://schemas.openxmlformats.org/officeDocument/2006/relationships/hyperlink" Target="http://www.csb.gov.lv/" TargetMode="External"/><Relationship Id="rId47" Type="http://schemas.openxmlformats.org/officeDocument/2006/relationships/hyperlink" Target="https://xtv.lv/rigatv24/video/yj2N4Yr27ov-specializlaidums_preses_konference_par_drosas_tirdzniecibas_konceptu_un_nosacijumiem" TargetMode="External"/><Relationship Id="rId68" Type="http://schemas.openxmlformats.org/officeDocument/2006/relationships/hyperlink" Target="https://likumi.lv/ta/id/302138-darbibas-programmas-izaugsme-un-nodarbinatiba-3-1-1-specifiska-atbalsta-merka-sekmet-mvk-izveidi-un-attistibu-ipasi" TargetMode="External"/><Relationship Id="rId89" Type="http://schemas.openxmlformats.org/officeDocument/2006/relationships/hyperlink" Target="https://likumi.lv/ta/id/289471-darbibas-programmas-izaugsme-un-nodarbinatiba-4-3-1-specifiska-atbalsta-merka-veicinat-energoefektivitati-un-vietejo-aer" TargetMode="External"/><Relationship Id="rId112" Type="http://schemas.openxmlformats.org/officeDocument/2006/relationships/hyperlink" Target="http://tap.mk.gov.lv/mk/tap/?pid=40459775" TargetMode="External"/><Relationship Id="rId133" Type="http://schemas.openxmlformats.org/officeDocument/2006/relationships/hyperlink" Target="http://polsis.mk.gov.lv/documents/5499" TargetMode="External"/><Relationship Id="rId154" Type="http://schemas.openxmlformats.org/officeDocument/2006/relationships/hyperlink" Target="https://likumi.lv/ta/id/77812-par-valsts-un-pasvaldibu-ipasuma-privatizacijas-valsts-strategiju-pamatnostadnem" TargetMode="External"/><Relationship Id="rId175" Type="http://schemas.openxmlformats.org/officeDocument/2006/relationships/hyperlink" Target="http://petijumi.mk.gov.lv/sites/default/files/title_file/Zinojums_Inovacijas%20iepirkumi.docx" TargetMode="External"/><Relationship Id="rId16" Type="http://schemas.openxmlformats.org/officeDocument/2006/relationships/hyperlink" Target="file:///C:\Users\VilnisJ\Desktop\Publiskais\EM_PP_par_2020_gadu.docx" TargetMode="External"/><Relationship Id="rId37" Type="http://schemas.openxmlformats.org/officeDocument/2006/relationships/hyperlink" Target="http://www.lg.lv/" TargetMode="External"/><Relationship Id="rId58" Type="http://schemas.openxmlformats.org/officeDocument/2006/relationships/hyperlink" Target="https://likumi.lv/ta/id/315304-epidemiologiskas-drosibas-pasakumi-covid-19-infekcijas-izplatibas-ierobezosanai" TargetMode="External"/><Relationship Id="rId79" Type="http://schemas.openxmlformats.org/officeDocument/2006/relationships/hyperlink" Target="https://likumi.lv/ta/id/321037-par-nacionalas-industrialas-politikas-pamatnostadnem-2021-2027-gadam" TargetMode="External"/><Relationship Id="rId102" Type="http://schemas.openxmlformats.org/officeDocument/2006/relationships/hyperlink" Target="http://tap.mk.gov.lv/mk/tap/?pid=40487380" TargetMode="External"/><Relationship Id="rId123" Type="http://schemas.openxmlformats.org/officeDocument/2006/relationships/hyperlink" Target="https://likumi.lv/ta/id/321037-par-nacionalas-industrialas-politikas-pamatnostadnem-2021-2027-gadam" TargetMode="External"/><Relationship Id="rId144" Type="http://schemas.openxmlformats.org/officeDocument/2006/relationships/hyperlink" Target="https://likumi.lv/ta/id/307037-par-uznemejdarbibas-vides-pilnveidosanas-pasakumu-planu-2019-2022-gadam" TargetMode="External"/><Relationship Id="rId90" Type="http://schemas.openxmlformats.org/officeDocument/2006/relationships/hyperlink" Target="https://likumi.lv/ta/id/319556-grozijumi-buvniecibas-likuma" TargetMode="External"/><Relationship Id="rId165" Type="http://schemas.openxmlformats.org/officeDocument/2006/relationships/hyperlink" Target="mailto:Martins.Auders@em.gov.lv" TargetMode="External"/><Relationship Id="rId27" Type="http://schemas.openxmlformats.org/officeDocument/2006/relationships/hyperlink" Target="http://www.kp.gov.lv/" TargetMode="External"/><Relationship Id="rId48" Type="http://schemas.openxmlformats.org/officeDocument/2006/relationships/hyperlink" Target="http://polsis.mk.gov.lv/documents/6746" TargetMode="External"/><Relationship Id="rId69" Type="http://schemas.openxmlformats.org/officeDocument/2006/relationships/hyperlink" Target="https://likumi.lv/ta/id/312111-darbibas-programmas-izaugsme-un-nodarbinatiba-311nbspspecifiska-atbalsta-merka-sekmet-mazo-videjo-komersantu-izveidi-un-attistibu-ipasi-apstrades-rupnieciba-un-ris3-prioritarajas-nozares-3113nbsppasakuma-atbalsts-mazo-videjo-komersantu-finansejuma-piesaistei-kapitala-tirgos-istenosanas-noteikumi" TargetMode="External"/><Relationship Id="rId113" Type="http://schemas.openxmlformats.org/officeDocument/2006/relationships/hyperlink" Target="http://petijumi.mk.gov.lv/node/3405" TargetMode="External"/><Relationship Id="rId134" Type="http://schemas.openxmlformats.org/officeDocument/2006/relationships/hyperlink" Target="https://likumi.lv/ta/id/280236-par-energetikas-attistibas-pamatnostadnem-2016-2020-gadam" TargetMode="External"/><Relationship Id="rId80" Type="http://schemas.openxmlformats.org/officeDocument/2006/relationships/hyperlink" Target="http://tap.mk.gov.lv/mk/tap/?pid=40491531" TargetMode="External"/><Relationship Id="rId155" Type="http://schemas.openxmlformats.org/officeDocument/2006/relationships/hyperlink" Target="http://www3.weforum.org/docs/WEF_TheGlobalCompetitivenessReport2020.pdf" TargetMode="External"/><Relationship Id="rId176" Type="http://schemas.openxmlformats.org/officeDocument/2006/relationships/hyperlink" Target="http://petijumi.mk.gov.lv/node/3291" TargetMode="External"/><Relationship Id="rId17" Type="http://schemas.openxmlformats.org/officeDocument/2006/relationships/hyperlink" Target="file:///C:\Users\VilnisJ\Desktop\Publiskais\EM_PP_par_2020_gadu.docx" TargetMode="External"/><Relationship Id="rId38" Type="http://schemas.openxmlformats.org/officeDocument/2006/relationships/hyperlink" Target="https://www.em.gov.lv/sites/em/files/content/em_strategija_2020_2022.docx" TargetMode="External"/><Relationship Id="rId59" Type="http://schemas.openxmlformats.org/officeDocument/2006/relationships/hyperlink" Target="https://likumi.lv/ta/id/279410-darbibas-programmas-izaugsme-un-nodarbinatiba-1-2-1-specifiska-atbalsta-merka-palielinat-privata-sektora-investicijas" TargetMode="External"/><Relationship Id="rId103" Type="http://schemas.openxmlformats.org/officeDocument/2006/relationships/hyperlink" Target="https://likumi.lv/ta/id/319472-par-ricibas-planu-pasakumiem-dzivojama-fonda-tehniska-stavokla-pilnveidosanai-ekspluatacijas-laika" TargetMode="External"/><Relationship Id="rId124" Type="http://schemas.openxmlformats.org/officeDocument/2006/relationships/footer" Target="footer3.xml"/><Relationship Id="rId70" Type="http://schemas.openxmlformats.org/officeDocument/2006/relationships/hyperlink" Target="https://likumi.lv/ta/id/292259-valsts-parvaldes-pakalpojumu-portala-noteikumi" TargetMode="External"/><Relationship Id="rId91" Type="http://schemas.openxmlformats.org/officeDocument/2006/relationships/hyperlink" Target="https://likumi.lv/ta/id/322957-grozijumi-buvniecibas-likuma" TargetMode="External"/><Relationship Id="rId145" Type="http://schemas.openxmlformats.org/officeDocument/2006/relationships/hyperlink" Target="http://polsis.mk.gov.lv/documents/6652" TargetMode="External"/><Relationship Id="rId166" Type="http://schemas.openxmlformats.org/officeDocument/2006/relationships/hyperlink" Target="http://petijumi.mk.gov.lv/node/3556" TargetMode="External"/><Relationship Id="rId1" Type="http://schemas.openxmlformats.org/officeDocument/2006/relationships/customXml" Target="../customXml/item1.xml"/><Relationship Id="rId28" Type="http://schemas.openxmlformats.org/officeDocument/2006/relationships/hyperlink" Target="http://www.ptac.gov.lv/" TargetMode="External"/><Relationship Id="rId49" Type="http://schemas.openxmlformats.org/officeDocument/2006/relationships/hyperlink" Target="https://www.em.gov.lv/lv/media/10161/download" TargetMode="External"/><Relationship Id="rId114" Type="http://schemas.openxmlformats.org/officeDocument/2006/relationships/hyperlink" Target="http://petijumi.mk.gov.lv/node/329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sb.gov.lv/lv/statistika/statistikas-temas/transports-turisms/turisms/meklet-tema/2935-latvijas-viesnicu-un-citu-turisma-mitnu" TargetMode="External"/><Relationship Id="rId18" Type="http://schemas.openxmlformats.org/officeDocument/2006/relationships/hyperlink" Target="https://likumi.lv/ta/id/315879-par-latvijas-nacionalo-attistibas-planu-20212027-gadam-nap2027" TargetMode="External"/><Relationship Id="rId26" Type="http://schemas.openxmlformats.org/officeDocument/2006/relationships/hyperlink" Target="https://likumi.lv/ta/id/313610-grozijums-ministru-kabineta-2008-gada-9-decembra-noteikumos-nr-1013-kartiba-kada-dzivokla-ipasnieks-daudzdzivoklu-dzivojama-maj" TargetMode="External"/><Relationship Id="rId39" Type="http://schemas.openxmlformats.org/officeDocument/2006/relationships/hyperlink" Target="http://petijumi.mk.gov.lv/" TargetMode="External"/><Relationship Id="rId21" Type="http://schemas.openxmlformats.org/officeDocument/2006/relationships/hyperlink" Target="https://likumi.lv/ta/id/315822-grozijumi-ministru-kabineta-2016-gada-15-marta-noteikumos-nr-160-darbibas-programmas-izaugsme-un-nodarbinatiba-4-2-1-specifiska" TargetMode="External"/><Relationship Id="rId34" Type="http://schemas.openxmlformats.org/officeDocument/2006/relationships/hyperlink" Target="https://www.nordicenergy.org/publications/heat-pump-potential-in-the-baltic-states/" TargetMode="External"/><Relationship Id="rId42" Type="http://schemas.openxmlformats.org/officeDocument/2006/relationships/hyperlink" Target="https://www.liaa.gov.lv/lv/covid19" TargetMode="External"/><Relationship Id="rId47" Type="http://schemas.openxmlformats.org/officeDocument/2006/relationships/hyperlink" Target="https://www.em.gov.lv/lv/informacija-tirgotajiem,%20" TargetMode="External"/><Relationship Id="rId50" Type="http://schemas.openxmlformats.org/officeDocument/2006/relationships/hyperlink" Target="https://eur-lex.europa.eu/legal-content/lv/TXT/?uri=CELEX%3A32017R1938" TargetMode="External"/><Relationship Id="rId7" Type="http://schemas.openxmlformats.org/officeDocument/2006/relationships/hyperlink" Target="https://likumi.lv/ta/id/318757-noteikumi-par-atbalsta-sniegsanu-nodoklu-maksatajiem-to-darbibas-turpinasanai-covid-19-krizes-apstaklos" TargetMode="External"/><Relationship Id="rId2" Type="http://schemas.openxmlformats.org/officeDocument/2006/relationships/hyperlink" Target="http://tap.mk.gov.lv/mk/tap/?pid=40487682" TargetMode="External"/><Relationship Id="rId16" Type="http://schemas.openxmlformats.org/officeDocument/2006/relationships/hyperlink" Target="http://tap.mk.gov.lv/lv/mk/tap/?pid=40487909" TargetMode="External"/><Relationship Id="rId29" Type="http://schemas.openxmlformats.org/officeDocument/2006/relationships/hyperlink" Target="https://likumi.lv/ta/id/314172-grozijumi-ministru-kabineta-2015-gada-15-septembra-noteikumos-nr-524-kartiba-kada-nosaka-aprekina-un-uzskaita-katra-dzivojamas-" TargetMode="External"/><Relationship Id="rId11" Type="http://schemas.openxmlformats.org/officeDocument/2006/relationships/hyperlink" Target="https://likumi.lv/ta/id/324617-par-atsevisku-ministru-kabineta-noteikumu-atzisanu-par-speku-zaudejusiem" TargetMode="External"/><Relationship Id="rId24" Type="http://schemas.openxmlformats.org/officeDocument/2006/relationships/hyperlink" Target="https://likumi.lv/ta/id/315787-grozijumi-ministru-kabineta-2018-gada-20-februara-noteikumos-nr-95-noteikumi-par-valsts-palidzibu-dzivojamas-telpas-iegadei-vai" TargetMode="External"/><Relationship Id="rId32" Type="http://schemas.openxmlformats.org/officeDocument/2006/relationships/hyperlink" Target="https://www.em.gov.lv/lv/buvniecibas-nozare-attistiba-strategija-un-petijum" TargetMode="External"/><Relationship Id="rId37" Type="http://schemas.openxmlformats.org/officeDocument/2006/relationships/hyperlink" Target="http://petijumi.mk.gov.lv/node/3405" TargetMode="External"/><Relationship Id="rId40" Type="http://schemas.openxmlformats.org/officeDocument/2006/relationships/hyperlink" Target="https://www.em.gov.lv/lv/Ministrija/sabiedribas_lidzdaliba/sadarbibas_partneri/" TargetMode="External"/><Relationship Id="rId45" Type="http://schemas.openxmlformats.org/officeDocument/2006/relationships/hyperlink" Target="https://likumi.lv/ta/id/323483-par-finansu-lidzeklu-pieskirsanu-no-valsts-budzeta-programmas-lidzekli-neparedzetiem-gadijumiem" TargetMode="External"/><Relationship Id="rId5" Type="http://schemas.openxmlformats.org/officeDocument/2006/relationships/hyperlink" Target="https://likumi.lv/ta/id/316129-noteikumi-par-kapitala-ieguldijumiem-komersantos-kuru-darbibu-ietekmejusi-covid-19-izplatiba" TargetMode="External"/><Relationship Id="rId15" Type="http://schemas.openxmlformats.org/officeDocument/2006/relationships/hyperlink" Target="https://www.em.gov.lv/lv/jaunums/atbalsts-privatpersonam-pasizolacijai-latvija" TargetMode="External"/><Relationship Id="rId23" Type="http://schemas.openxmlformats.org/officeDocument/2006/relationships/hyperlink" Target="http://tap.mk.gov.lv/lv/mk/tap/?pid=40501552" TargetMode="External"/><Relationship Id="rId28" Type="http://schemas.openxmlformats.org/officeDocument/2006/relationships/hyperlink" Target="https://likumi.lv/ta/id/313609-grozijums-ministru-kabineta-2015-gada-15-septembra-noteikumos-nr-524-kartiba-kada-nosaka-aprekina-un-uzskaita-katra-dzivojamas-" TargetMode="External"/><Relationship Id="rId36" Type="http://schemas.openxmlformats.org/officeDocument/2006/relationships/hyperlink" Target="https://www.nordicenergy.org/publications/tracking-nordic-clean-energy-progress/" TargetMode="External"/><Relationship Id="rId49" Type="http://schemas.openxmlformats.org/officeDocument/2006/relationships/hyperlink" Target="https://likumi.lv/ta/id/321498" TargetMode="External"/><Relationship Id="rId10" Type="http://schemas.openxmlformats.org/officeDocument/2006/relationships/hyperlink" Target="https://likumi.lv/ta/id/316119-noteikumi-par-garantijam-lielajiem-komersantiem-kuru-darbibu-ietekmejusi-covid-19-izplatiba" TargetMode="External"/><Relationship Id="rId19" Type="http://schemas.openxmlformats.org/officeDocument/2006/relationships/hyperlink" Target="https://www.em.gov.lv/sites/em/files/content/Inov%C4%81cijas_dep/em-broshura_elektroniska.pdf" TargetMode="External"/><Relationship Id="rId31" Type="http://schemas.openxmlformats.org/officeDocument/2006/relationships/hyperlink" Target="https://www.em.gov.lv/lv/konsulte-vispirms" TargetMode="External"/><Relationship Id="rId44" Type="http://schemas.openxmlformats.org/officeDocument/2006/relationships/hyperlink" Target="https://likumi.lv/ta/id/320278-par-finansu-lidzeklu-pieskirsanu-no-valsts-budzeta-programmas-lidzekli-neparedzetiem-gadijumiem" TargetMode="External"/><Relationship Id="rId4" Type="http://schemas.openxmlformats.org/officeDocument/2006/relationships/hyperlink" Target="https://likumi.lv/ta/id/313371-noteikumi-par-garantijam-saimnieciskas-darbibas-veicejiem-kuru-darbibu-ietekmejusi-covid-19-izplatiba" TargetMode="External"/><Relationship Id="rId9" Type="http://schemas.openxmlformats.org/officeDocument/2006/relationships/hyperlink" Target="https://likumi.lv/ta/id/324617-par-atsevisku-ministru-kabineta-noteikumu-atzisanu-par-speku-zaudejusiem" TargetMode="External"/><Relationship Id="rId14" Type="http://schemas.openxmlformats.org/officeDocument/2006/relationships/hyperlink" Target="https://www.liaa.gov.lv/lv/covid19/turistu-mitnes-pasizolacijai" TargetMode="External"/><Relationship Id="rId22" Type="http://schemas.openxmlformats.org/officeDocument/2006/relationships/hyperlink" Target="http://www.oecd.org/economy/latvia-economic-snapshot/" TargetMode="External"/><Relationship Id="rId27" Type="http://schemas.openxmlformats.org/officeDocument/2006/relationships/hyperlink" Target="https://likumi.lv/ta/id/314173-grozijumi-ministru-kabineta-2008-gada-9-decembra-noteikumos-nr-1013-kartiba-kada-dzivokla-ipasnieks-daudzdzivoklu-dzivojama-maj" TargetMode="External"/><Relationship Id="rId30" Type="http://schemas.openxmlformats.org/officeDocument/2006/relationships/hyperlink" Target="https://eur-lex.europa.eu/legal-content/LV/TXT/?uri=CELEX:32019L0001" TargetMode="External"/><Relationship Id="rId35" Type="http://schemas.openxmlformats.org/officeDocument/2006/relationships/hyperlink" Target="https://www.nordicenergy.org/article/baltic-nordic-research-in-decarbonization/" TargetMode="External"/><Relationship Id="rId43" Type="http://schemas.openxmlformats.org/officeDocument/2006/relationships/hyperlink" Target="https://likumi.lv/ta/id/319787-par-finansu-lidzeklu-pieskirsanu-no-valsts-budzeta-programmas-lidzekli-neparedzetiem-gadijumiem" TargetMode="External"/><Relationship Id="rId48" Type="http://schemas.openxmlformats.org/officeDocument/2006/relationships/hyperlink" Target="https://drosspaliekdross.lv/" TargetMode="External"/><Relationship Id="rId8" Type="http://schemas.openxmlformats.org/officeDocument/2006/relationships/hyperlink" Target="https://likumi.lv/ta/id/318759-noteikumi-par-aizdevumiem-un-to-procentu-likmju-subsidijam-komersantiem-konkuretspejas-veicinasanai" TargetMode="External"/><Relationship Id="rId51" Type="http://schemas.openxmlformats.org/officeDocument/2006/relationships/hyperlink" Target="https://likumi.lv/ta/id/317511-ekonomikas-ministrijas-nolikums" TargetMode="External"/><Relationship Id="rId3" Type="http://schemas.openxmlformats.org/officeDocument/2006/relationships/hyperlink" Target="https://likumi.lv/ta/id/313370-noteikumi-par-apgrozamo-lidzeklu-aizdevumiem-saimnieciskas-darbibas-veicejiem-kuru-darbibu-ietekmejusi-covid-19-izplatiba" TargetMode="External"/><Relationship Id="rId12" Type="http://schemas.openxmlformats.org/officeDocument/2006/relationships/hyperlink" Target="https://likumi.lv/ta/id/316128-noteikumi-par-atbalstu-covid-19-krizes-skartajiem-precu-un-pakalpojumu-eksportetajiem-krizes-seku-parvaresanai" TargetMode="External"/><Relationship Id="rId17" Type="http://schemas.openxmlformats.org/officeDocument/2006/relationships/hyperlink" Target="https://eur-lex.europa.eu/legal-content/LV/TXT/?uri=CELEX%3A32018R1724" TargetMode="External"/><Relationship Id="rId25" Type="http://schemas.openxmlformats.org/officeDocument/2006/relationships/hyperlink" Target="https://likumi.lv/ta/id/315317-grozijumi-ministru-kabineta-2018-gada-21-augusta-noteikumos-nr-531-noteikumi-par-neatkarigu-ekspertu-kompetences-novertesanu-un" TargetMode="External"/><Relationship Id="rId33" Type="http://schemas.openxmlformats.org/officeDocument/2006/relationships/hyperlink" Target="http://petijumi.mk.gov.lv/node/3291" TargetMode="External"/><Relationship Id="rId38" Type="http://schemas.openxmlformats.org/officeDocument/2006/relationships/hyperlink" Target="https://eur-lex.europa.eu/legal-content/lv/TXT/?uri=CELEX%25%203A32018L0844" TargetMode="External"/><Relationship Id="rId46" Type="http://schemas.openxmlformats.org/officeDocument/2006/relationships/hyperlink" Target="https://likumi.lv/ta/id/323484-par-finansu-lidzeklu-pieskirsanu-no-valsts-budzeta-programmas-lidzekli-neparedzetiem-gadijumiem" TargetMode="External"/><Relationship Id="rId20" Type="http://schemas.openxmlformats.org/officeDocument/2006/relationships/hyperlink" Target="https://eur-lex.europa.eu/legal-content/LV/TXT/?uri=CELEX%3A31998L0070" TargetMode="External"/><Relationship Id="rId41" Type="http://schemas.openxmlformats.org/officeDocument/2006/relationships/hyperlink" Target="https://www.em.gov.lv/lv/Ministrija/sabiedribas_lidzdaliba/konsultativas_padomes/" TargetMode="External"/><Relationship Id="rId1" Type="http://schemas.openxmlformats.org/officeDocument/2006/relationships/hyperlink" Target="https://ec.europa.eu/info/publications/economic-and-financial-affairs-publications_en" TargetMode="External"/><Relationship Id="rId6" Type="http://schemas.openxmlformats.org/officeDocument/2006/relationships/hyperlink" Target="https://likumi.lv/ta/id/318758-noteikumi-par-atbalstu-covid-19-krizes-skartajiem-uznemumiem-apgrozamo-lidzeklu-plusmas-nodrosinasanai"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JasjkoD\Documents\EM\Strategija_2020\Zinojums\ZI&#325;OJUMS\20200127_Vide_merk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ls5\Strategiskas%20planosanas%20un%20resursu%20vadibas%20departaments\Strategijas%20nodala\SP\Publiskie%20p&#257;rskati\2019\Zinojums\DATI\Bud&#382;eta%20grafiks%20(0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6497537951851"/>
          <c:y val="5.7447681575707864E-2"/>
          <c:w val="0.86470852526719488"/>
          <c:h val="0.75176591846823471"/>
        </c:manualLayout>
      </c:layout>
      <c:barChart>
        <c:barDir val="col"/>
        <c:grouping val="clustered"/>
        <c:varyColors val="0"/>
        <c:ser>
          <c:idx val="0"/>
          <c:order val="0"/>
          <c:tx>
            <c:strRef>
              <c:f>Sheet1!$A$2</c:f>
              <c:strCache>
                <c:ptCount val="1"/>
                <c:pt idx="0">
                  <c:v>Produktivitāte</c:v>
                </c:pt>
              </c:strCache>
            </c:strRef>
          </c:tx>
          <c:spPr>
            <a:solidFill>
              <a:schemeClr val="accent2">
                <a:lumMod val="75000"/>
              </a:schemeClr>
            </a:solidFill>
            <a:ln>
              <a:noFill/>
            </a:ln>
            <a:effectLst/>
          </c:spPr>
          <c:invertIfNegative val="0"/>
          <c:dPt>
            <c:idx val="13"/>
            <c:invertIfNegative val="0"/>
            <c:bubble3D val="0"/>
            <c:spPr>
              <a:noFill/>
              <a:ln>
                <a:noFill/>
              </a:ln>
              <a:effectLst/>
            </c:spPr>
            <c:extLst>
              <c:ext xmlns:c16="http://schemas.microsoft.com/office/drawing/2014/chart" uri="{C3380CC4-5D6E-409C-BE32-E72D297353CC}">
                <c16:uniqueId val="{00000001-C365-4AD5-B092-4675DBB794C0}"/>
              </c:ext>
            </c:extLst>
          </c:dPt>
          <c:dPt>
            <c:idx val="14"/>
            <c:invertIfNegative val="0"/>
            <c:bubble3D val="0"/>
            <c:spPr>
              <a:solidFill>
                <a:srgbClr val="008080"/>
              </a:solidFill>
              <a:ln>
                <a:noFill/>
              </a:ln>
              <a:effectLst/>
            </c:spPr>
            <c:extLst>
              <c:ext xmlns:c16="http://schemas.microsoft.com/office/drawing/2014/chart" uri="{C3380CC4-5D6E-409C-BE32-E72D297353CC}">
                <c16:uniqueId val="{00000003-C365-4AD5-B092-4675DBB794C0}"/>
              </c:ext>
            </c:extLst>
          </c:dPt>
          <c:dLbls>
            <c:dLbl>
              <c:idx val="0"/>
              <c:delete val="1"/>
              <c:extLst>
                <c:ext xmlns:c15="http://schemas.microsoft.com/office/drawing/2012/chart" uri="{CE6537A1-D6FC-4f65-9D91-7224C49458BB}"/>
                <c:ext xmlns:c16="http://schemas.microsoft.com/office/drawing/2014/chart" uri="{C3380CC4-5D6E-409C-BE32-E72D297353CC}">
                  <c16:uniqueId val="{00000009-C365-4AD5-B092-4675DBB794C0}"/>
                </c:ext>
              </c:extLst>
            </c:dLbl>
            <c:dLbl>
              <c:idx val="1"/>
              <c:delete val="1"/>
              <c:extLst>
                <c:ext xmlns:c15="http://schemas.microsoft.com/office/drawing/2012/chart" uri="{CE6537A1-D6FC-4f65-9D91-7224C49458BB}"/>
                <c:ext xmlns:c16="http://schemas.microsoft.com/office/drawing/2014/chart" uri="{C3380CC4-5D6E-409C-BE32-E72D297353CC}">
                  <c16:uniqueId val="{0000000A-C365-4AD5-B092-4675DBB794C0}"/>
                </c:ext>
              </c:extLst>
            </c:dLbl>
            <c:dLbl>
              <c:idx val="2"/>
              <c:delete val="1"/>
              <c:extLst>
                <c:ext xmlns:c15="http://schemas.microsoft.com/office/drawing/2012/chart" uri="{CE6537A1-D6FC-4f65-9D91-7224C49458BB}"/>
                <c:ext xmlns:c16="http://schemas.microsoft.com/office/drawing/2014/chart" uri="{C3380CC4-5D6E-409C-BE32-E72D297353CC}">
                  <c16:uniqueId val="{0000000B-C365-4AD5-B092-4675DBB794C0}"/>
                </c:ext>
              </c:extLst>
            </c:dLbl>
            <c:dLbl>
              <c:idx val="3"/>
              <c:delete val="1"/>
              <c:extLst>
                <c:ext xmlns:c15="http://schemas.microsoft.com/office/drawing/2012/chart" uri="{CE6537A1-D6FC-4f65-9D91-7224C49458BB}"/>
                <c:ext xmlns:c16="http://schemas.microsoft.com/office/drawing/2014/chart" uri="{C3380CC4-5D6E-409C-BE32-E72D297353CC}">
                  <c16:uniqueId val="{0000000C-C365-4AD5-B092-4675DBB794C0}"/>
                </c:ext>
              </c:extLst>
            </c:dLbl>
            <c:dLbl>
              <c:idx val="4"/>
              <c:delete val="1"/>
              <c:extLst>
                <c:ext xmlns:c15="http://schemas.microsoft.com/office/drawing/2012/chart" uri="{CE6537A1-D6FC-4f65-9D91-7224C49458BB}"/>
                <c:ext xmlns:c16="http://schemas.microsoft.com/office/drawing/2014/chart" uri="{C3380CC4-5D6E-409C-BE32-E72D297353CC}">
                  <c16:uniqueId val="{0000000D-C365-4AD5-B092-4675DBB794C0}"/>
                </c:ext>
              </c:extLst>
            </c:dLbl>
            <c:dLbl>
              <c:idx val="5"/>
              <c:delete val="1"/>
              <c:extLst>
                <c:ext xmlns:c15="http://schemas.microsoft.com/office/drawing/2012/chart" uri="{CE6537A1-D6FC-4f65-9D91-7224C49458BB}"/>
                <c:ext xmlns:c16="http://schemas.microsoft.com/office/drawing/2014/chart" uri="{C3380CC4-5D6E-409C-BE32-E72D297353CC}">
                  <c16:uniqueId val="{0000000E-C365-4AD5-B092-4675DBB794C0}"/>
                </c:ext>
              </c:extLst>
            </c:dLbl>
            <c:dLbl>
              <c:idx val="6"/>
              <c:delete val="1"/>
              <c:extLst>
                <c:ext xmlns:c15="http://schemas.microsoft.com/office/drawing/2012/chart" uri="{CE6537A1-D6FC-4f65-9D91-7224C49458BB}"/>
                <c:ext xmlns:c16="http://schemas.microsoft.com/office/drawing/2014/chart" uri="{C3380CC4-5D6E-409C-BE32-E72D297353CC}">
                  <c16:uniqueId val="{00000012-C365-4AD5-B092-4675DBB794C0}"/>
                </c:ext>
              </c:extLst>
            </c:dLbl>
            <c:dLbl>
              <c:idx val="7"/>
              <c:delete val="1"/>
              <c:extLst>
                <c:ext xmlns:c15="http://schemas.microsoft.com/office/drawing/2012/chart" uri="{CE6537A1-D6FC-4f65-9D91-7224C49458BB}"/>
                <c:ext xmlns:c16="http://schemas.microsoft.com/office/drawing/2014/chart" uri="{C3380CC4-5D6E-409C-BE32-E72D297353CC}">
                  <c16:uniqueId val="{0000000F-C365-4AD5-B092-4675DBB794C0}"/>
                </c:ext>
              </c:extLst>
            </c:dLbl>
            <c:dLbl>
              <c:idx val="8"/>
              <c:delete val="1"/>
              <c:extLst>
                <c:ext xmlns:c15="http://schemas.microsoft.com/office/drawing/2012/chart" uri="{CE6537A1-D6FC-4f65-9D91-7224C49458BB}"/>
                <c:ext xmlns:c16="http://schemas.microsoft.com/office/drawing/2014/chart" uri="{C3380CC4-5D6E-409C-BE32-E72D297353CC}">
                  <c16:uniqueId val="{00000011-C365-4AD5-B092-4675DBB794C0}"/>
                </c:ext>
              </c:extLst>
            </c:dLbl>
            <c:dLbl>
              <c:idx val="9"/>
              <c:delete val="1"/>
              <c:extLst>
                <c:ext xmlns:c15="http://schemas.microsoft.com/office/drawing/2012/chart" uri="{CE6537A1-D6FC-4f65-9D91-7224C49458BB}"/>
                <c:ext xmlns:c16="http://schemas.microsoft.com/office/drawing/2014/chart" uri="{C3380CC4-5D6E-409C-BE32-E72D297353CC}">
                  <c16:uniqueId val="{00000010-C365-4AD5-B092-4675DBB794C0}"/>
                </c:ext>
              </c:extLst>
            </c:dLbl>
            <c:dLbl>
              <c:idx val="10"/>
              <c:delete val="1"/>
              <c:extLst>
                <c:ext xmlns:c15="http://schemas.microsoft.com/office/drawing/2012/chart" uri="{CE6537A1-D6FC-4f65-9D91-7224C49458BB}"/>
                <c:ext xmlns:c16="http://schemas.microsoft.com/office/drawing/2014/chart" uri="{C3380CC4-5D6E-409C-BE32-E72D297353CC}">
                  <c16:uniqueId val="{00000013-C365-4AD5-B092-4675DBB794C0}"/>
                </c:ext>
              </c:extLst>
            </c:dLbl>
            <c:dLbl>
              <c:idx val="11"/>
              <c:delete val="1"/>
              <c:extLst>
                <c:ext xmlns:c15="http://schemas.microsoft.com/office/drawing/2012/chart" uri="{CE6537A1-D6FC-4f65-9D91-7224C49458BB}"/>
                <c:ext xmlns:c16="http://schemas.microsoft.com/office/drawing/2014/chart" uri="{C3380CC4-5D6E-409C-BE32-E72D297353CC}">
                  <c16:uniqueId val="{00000014-C365-4AD5-B092-4675DBB794C0}"/>
                </c:ext>
              </c:extLst>
            </c:dLbl>
            <c:dLbl>
              <c:idx val="12"/>
              <c:delete val="1"/>
              <c:extLst>
                <c:ext xmlns:c15="http://schemas.microsoft.com/office/drawing/2012/chart" uri="{CE6537A1-D6FC-4f65-9D91-7224C49458BB}"/>
                <c:ext xmlns:c16="http://schemas.microsoft.com/office/drawing/2014/chart" uri="{C3380CC4-5D6E-409C-BE32-E72D297353CC}">
                  <c16:uniqueId val="{00000015-C365-4AD5-B092-4675DBB794C0}"/>
                </c:ext>
              </c:extLst>
            </c:dLbl>
            <c:dLbl>
              <c:idx val="13"/>
              <c:delete val="1"/>
              <c:extLst>
                <c:ext xmlns:c15="http://schemas.microsoft.com/office/drawing/2012/chart" uri="{CE6537A1-D6FC-4f65-9D91-7224C49458BB}"/>
                <c:ext xmlns:c16="http://schemas.microsoft.com/office/drawing/2014/chart" uri="{C3380CC4-5D6E-409C-BE32-E72D297353CC}">
                  <c16:uniqueId val="{00000001-C365-4AD5-B092-4675DBB794C0}"/>
                </c:ext>
              </c:extLst>
            </c:dLbl>
            <c:dLbl>
              <c:idx val="14"/>
              <c:layout>
                <c:manualLayout>
                  <c:x val="-1.0566640661411407E-16"/>
                  <c:y val="7.9534990420001388E-3"/>
                </c:manualLayout>
              </c:layout>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65-4AD5-B092-4675DBB794C0}"/>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Sheet1!$B$1:$P$1</c:f>
              <c:strCach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strCache>
            </c:strRef>
          </c:cat>
          <c:val>
            <c:numRef>
              <c:f>Sheet1!$B$2:$P$2</c:f>
              <c:numCache>
                <c:formatCode>0</c:formatCode>
                <c:ptCount val="15"/>
                <c:pt idx="0">
                  <c:v>40.941570978112004</c:v>
                </c:pt>
                <c:pt idx="1">
                  <c:v>38.570666838061157</c:v>
                </c:pt>
                <c:pt idx="2">
                  <c:v>37.428213688742204</c:v>
                </c:pt>
                <c:pt idx="3">
                  <c:v>40.587751514954711</c:v>
                </c:pt>
                <c:pt idx="4">
                  <c:v>42.332169194259869</c:v>
                </c:pt>
                <c:pt idx="5">
                  <c:v>42.590982502172118</c:v>
                </c:pt>
                <c:pt idx="6">
                  <c:v>43.437137596919349</c:v>
                </c:pt>
                <c:pt idx="7">
                  <c:v>42.700620570705041</c:v>
                </c:pt>
                <c:pt idx="8">
                  <c:v>44.423373286390408</c:v>
                </c:pt>
                <c:pt idx="9">
                  <c:v>46.591205059172495</c:v>
                </c:pt>
                <c:pt idx="10">
                  <c:v>48.708511739800514</c:v>
                </c:pt>
                <c:pt idx="11">
                  <c:v>49.670685925421331</c:v>
                </c:pt>
                <c:pt idx="12">
                  <c:v>51.739392540112355</c:v>
                </c:pt>
                <c:pt idx="13">
                  <c:v>53</c:v>
                </c:pt>
                <c:pt idx="14">
                  <c:v>55</c:v>
                </c:pt>
              </c:numCache>
            </c:numRef>
          </c:val>
          <c:extLst>
            <c:ext xmlns:c16="http://schemas.microsoft.com/office/drawing/2014/chart" uri="{C3380CC4-5D6E-409C-BE32-E72D297353CC}">
              <c16:uniqueId val="{00000004-C365-4AD5-B092-4675DBB794C0}"/>
            </c:ext>
          </c:extLst>
        </c:ser>
        <c:dLbls>
          <c:showLegendKey val="0"/>
          <c:showVal val="0"/>
          <c:showCatName val="0"/>
          <c:showSerName val="0"/>
          <c:showPercent val="0"/>
          <c:showBubbleSize val="0"/>
        </c:dLbls>
        <c:gapWidth val="49"/>
        <c:axId val="192637184"/>
        <c:axId val="192745472"/>
      </c:barChart>
      <c:lineChart>
        <c:grouping val="standard"/>
        <c:varyColors val="0"/>
        <c:ser>
          <c:idx val="1"/>
          <c:order val="1"/>
          <c:tx>
            <c:strRef>
              <c:f>Sheet1!$A$3</c:f>
              <c:strCache>
                <c:ptCount val="1"/>
              </c:strCache>
            </c:strRef>
          </c:tx>
          <c:spPr>
            <a:ln w="28575" cap="rnd">
              <a:noFill/>
              <a:round/>
            </a:ln>
            <a:effectLst/>
          </c:spPr>
          <c:marker>
            <c:symbol val="dash"/>
            <c:size val="9"/>
            <c:spPr>
              <a:solidFill>
                <a:sysClr val="windowText" lastClr="000000">
                  <a:alpha val="36000"/>
                </a:sysClr>
              </a:solidFill>
              <a:ln w="9525">
                <a:solidFill>
                  <a:schemeClr val="accent2"/>
                </a:solidFill>
              </a:ln>
              <a:effectLst/>
            </c:spPr>
          </c:marker>
          <c:dLbls>
            <c:dLbl>
              <c:idx val="0"/>
              <c:layout>
                <c:manualLayout>
                  <c:x val="-5.1465201465201477E-2"/>
                  <c:y val="-6.28288665751643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65-4AD5-B092-4675DBB794C0}"/>
                </c:ext>
              </c:extLst>
            </c:dLbl>
            <c:dLbl>
              <c:idx val="1"/>
              <c:layout>
                <c:manualLayout>
                  <c:x val="-5.1465201465201477E-2"/>
                  <c:y val="-5.6712658624094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65-4AD5-B092-4675DBB794C0}"/>
                </c:ext>
              </c:extLst>
            </c:dLbl>
            <c:dLbl>
              <c:idx val="4"/>
              <c:layout>
                <c:manualLayout>
                  <c:x val="-5.1465201465201477E-2"/>
                  <c:y val="-5.05964506730237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65-4AD5-B092-4675DBB794C0}"/>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Sheet1!$B$1:$P$1</c:f>
              <c:strCach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strCache>
            </c:strRef>
          </c:cat>
          <c:val>
            <c:numRef>
              <c:f>Sheet1!$B$3:$P$3</c:f>
              <c:numCache>
                <c:formatCode>0</c:formatCode>
                <c:ptCount val="15"/>
                <c:pt idx="0">
                  <c:v>42.116750114116371</c:v>
                </c:pt>
                <c:pt idx="1">
                  <c:v>39.133808805568307</c:v>
                </c:pt>
                <c:pt idx="2">
                  <c:v>38.122842957152407</c:v>
                </c:pt>
                <c:pt idx="3">
                  <c:v>41.260167965083852</c:v>
                </c:pt>
                <c:pt idx="4">
                  <c:v>43.561746045886927</c:v>
                </c:pt>
                <c:pt idx="5">
                  <c:v>43.614442911278907</c:v>
                </c:pt>
                <c:pt idx="6">
                  <c:v>44.926593450250152</c:v>
                </c:pt>
                <c:pt idx="7">
                  <c:v>44.870543485966586</c:v>
                </c:pt>
                <c:pt idx="8">
                  <c:v>45.801493540100914</c:v>
                </c:pt>
                <c:pt idx="9">
                  <c:v>47.538466892250732</c:v>
                </c:pt>
                <c:pt idx="10">
                  <c:v>49.650581703237592</c:v>
                </c:pt>
                <c:pt idx="11">
                  <c:v>50.702268881763295</c:v>
                </c:pt>
                <c:pt idx="12">
                  <c:v>51.739392540112355</c:v>
                </c:pt>
              </c:numCache>
            </c:numRef>
          </c:val>
          <c:smooth val="0"/>
          <c:extLst>
            <c:ext xmlns:c16="http://schemas.microsoft.com/office/drawing/2014/chart" uri="{C3380CC4-5D6E-409C-BE32-E72D297353CC}">
              <c16:uniqueId val="{00000008-C365-4AD5-B092-4675DBB794C0}"/>
            </c:ext>
          </c:extLst>
        </c:ser>
        <c:dLbls>
          <c:showLegendKey val="0"/>
          <c:showVal val="0"/>
          <c:showCatName val="0"/>
          <c:showSerName val="0"/>
          <c:showPercent val="0"/>
          <c:showBubbleSize val="0"/>
        </c:dLbls>
        <c:marker val="1"/>
        <c:smooth val="0"/>
        <c:axId val="192637184"/>
        <c:axId val="192745472"/>
      </c:lineChart>
      <c:catAx>
        <c:axId val="19263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2745472"/>
        <c:crosses val="autoZero"/>
        <c:auto val="1"/>
        <c:lblAlgn val="ctr"/>
        <c:lblOffset val="100"/>
        <c:noMultiLvlLbl val="0"/>
      </c:catAx>
      <c:valAx>
        <c:axId val="1927454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2637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859B"/>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25985128563655E-2"/>
          <c:y val="8.0233406272793587E-2"/>
          <c:w val="0.89268941577126126"/>
          <c:h val="0.7298098405095429"/>
        </c:manualLayout>
      </c:layout>
      <c:barChart>
        <c:barDir val="col"/>
        <c:grouping val="clustered"/>
        <c:varyColors val="0"/>
        <c:ser>
          <c:idx val="0"/>
          <c:order val="0"/>
          <c:tx>
            <c:strRef>
              <c:f>Sheet1!$B$1</c:f>
              <c:strCache>
                <c:ptCount val="1"/>
                <c:pt idx="0">
                  <c:v>Series 1</c:v>
                </c:pt>
              </c:strCache>
            </c:strRef>
          </c:tx>
          <c:spPr>
            <a:solidFill>
              <a:schemeClr val="accent2">
                <a:lumMod val="75000"/>
              </a:schemeClr>
            </a:solidFill>
            <a:ln>
              <a:solidFill>
                <a:schemeClr val="accent2">
                  <a:lumMod val="75000"/>
                </a:schemeClr>
              </a:solidFill>
            </a:ln>
            <a:effectLst/>
          </c:spPr>
          <c:invertIfNegative val="0"/>
          <c:dPt>
            <c:idx val="11"/>
            <c:invertIfNegative val="0"/>
            <c:bubble3D val="0"/>
            <c:spPr>
              <a:solidFill>
                <a:schemeClr val="tx1">
                  <a:lumMod val="50000"/>
                  <a:lumOff val="50000"/>
                </a:schemeClr>
              </a:solidFill>
              <a:ln>
                <a:solidFill>
                  <a:schemeClr val="tx1">
                    <a:lumMod val="50000"/>
                    <a:lumOff val="50000"/>
                  </a:schemeClr>
                </a:solidFill>
              </a:ln>
              <a:effectLst/>
            </c:spPr>
            <c:extLst>
              <c:ext xmlns:c16="http://schemas.microsoft.com/office/drawing/2014/chart" uri="{C3380CC4-5D6E-409C-BE32-E72D297353CC}">
                <c16:uniqueId val="{00000001-9F83-4AE6-A769-684D31F0ED66}"/>
              </c:ext>
            </c:extLst>
          </c:dPt>
          <c:dPt>
            <c:idx val="12"/>
            <c:invertIfNegative val="0"/>
            <c:bubble3D val="0"/>
            <c:spPr>
              <a:solidFill>
                <a:srgbClr val="008080"/>
              </a:solidFill>
              <a:ln>
                <a:solidFill>
                  <a:schemeClr val="tx1">
                    <a:lumMod val="50000"/>
                    <a:lumOff val="50000"/>
                  </a:schemeClr>
                </a:solidFill>
              </a:ln>
              <a:effectLst/>
            </c:spPr>
            <c:extLst>
              <c:ext xmlns:c16="http://schemas.microsoft.com/office/drawing/2014/chart" uri="{C3380CC4-5D6E-409C-BE32-E72D297353CC}">
                <c16:uniqueId val="{00000003-9F83-4AE6-A769-684D31F0ED66}"/>
              </c:ext>
            </c:extLst>
          </c:dPt>
          <c:dLbls>
            <c:dLbl>
              <c:idx val="4"/>
              <c:layout>
                <c:manualLayout>
                  <c:x val="0"/>
                  <c:y val="-1.4587892049598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83-4AE6-A769-684D31F0ED66}"/>
                </c:ext>
              </c:extLst>
            </c:dLbl>
            <c:dLbl>
              <c:idx val="6"/>
              <c:layout>
                <c:manualLayout>
                  <c:x val="-5.3247521195320333E-17"/>
                  <c:y val="2.1881838074398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83-4AE6-A769-684D31F0ED66}"/>
                </c:ext>
              </c:extLst>
            </c:dLbl>
            <c:dLbl>
              <c:idx val="7"/>
              <c:layout>
                <c:manualLayout>
                  <c:x val="-1.0649504239064067E-16"/>
                  <c:y val="-1.4587892049598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83-4AE6-A769-684D31F0ED66}"/>
                </c:ext>
              </c:extLst>
            </c:dLbl>
            <c:dLbl>
              <c:idx val="8"/>
              <c:layout>
                <c:manualLayout>
                  <c:x val="5.8088875980249781E-3"/>
                  <c:y val="1.4587892049598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83-4AE6-A769-684D31F0ED66}"/>
                </c:ext>
              </c:extLst>
            </c:dLbl>
            <c:dLbl>
              <c:idx val="9"/>
              <c:layout>
                <c:manualLayout>
                  <c:x val="0"/>
                  <c:y val="2.1881838074398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83-4AE6-A769-684D31F0ED66}"/>
                </c:ext>
              </c:extLst>
            </c:dLbl>
            <c:dLbl>
              <c:idx val="10"/>
              <c:layout>
                <c:manualLayout>
                  <c:x val="0"/>
                  <c:y val="-1.4587892049598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83-4AE6-A769-684D31F0ED66}"/>
                </c:ext>
              </c:extLst>
            </c:dLbl>
            <c:dLbl>
              <c:idx val="11"/>
              <c:delete val="1"/>
              <c:extLst>
                <c:ext xmlns:c15="http://schemas.microsoft.com/office/drawing/2012/chart" uri="{CE6537A1-D6FC-4f65-9D91-7224C49458BB}"/>
                <c:ext xmlns:c16="http://schemas.microsoft.com/office/drawing/2014/chart" uri="{C3380CC4-5D6E-409C-BE32-E72D297353CC}">
                  <c16:uniqueId val="{00000001-9F83-4AE6-A769-684D31F0ED66}"/>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2">
                  <c:v>2022</c:v>
                </c:pt>
              </c:numCache>
            </c:numRef>
          </c:cat>
          <c:val>
            <c:numRef>
              <c:f>Sheet1!$B$2:$B$14</c:f>
              <c:numCache>
                <c:formatCode>0.0</c:formatCode>
                <c:ptCount val="13"/>
                <c:pt idx="0">
                  <c:v>53.451176699743193</c:v>
                </c:pt>
                <c:pt idx="1">
                  <c:v>57.883012038447504</c:v>
                </c:pt>
                <c:pt idx="2">
                  <c:v>61.107770469494191</c:v>
                </c:pt>
                <c:pt idx="3">
                  <c:v>59.934926740890276</c:v>
                </c:pt>
                <c:pt idx="4">
                  <c:v>61.165368208822692</c:v>
                </c:pt>
                <c:pt idx="5">
                  <c:v>60.279609699636538</c:v>
                </c:pt>
                <c:pt idx="6">
                  <c:v>59.611314351004204</c:v>
                </c:pt>
                <c:pt idx="7">
                  <c:v>61.626244058223143</c:v>
                </c:pt>
                <c:pt idx="8">
                  <c:v>61.416203303356625</c:v>
                </c:pt>
                <c:pt idx="9">
                  <c:v>60.212028965050322</c:v>
                </c:pt>
                <c:pt idx="10">
                  <c:v>60.279121800078869</c:v>
                </c:pt>
                <c:pt idx="12">
                  <c:v>61</c:v>
                </c:pt>
              </c:numCache>
            </c:numRef>
          </c:val>
          <c:extLst>
            <c:ext xmlns:c16="http://schemas.microsoft.com/office/drawing/2014/chart" uri="{C3380CC4-5D6E-409C-BE32-E72D297353CC}">
              <c16:uniqueId val="{0000000A-9F83-4AE6-A769-684D31F0ED66}"/>
            </c:ext>
          </c:extLst>
        </c:ser>
        <c:dLbls>
          <c:showLegendKey val="0"/>
          <c:showVal val="0"/>
          <c:showCatName val="0"/>
          <c:showSerName val="0"/>
          <c:showPercent val="0"/>
          <c:showBubbleSize val="0"/>
        </c:dLbls>
        <c:gapWidth val="77"/>
        <c:overlap val="-27"/>
        <c:axId val="120912512"/>
        <c:axId val="146485632"/>
      </c:barChart>
      <c:catAx>
        <c:axId val="12091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6485632"/>
        <c:crosses val="autoZero"/>
        <c:auto val="1"/>
        <c:lblAlgn val="ctr"/>
        <c:lblOffset val="100"/>
        <c:noMultiLvlLbl val="0"/>
      </c:catAx>
      <c:valAx>
        <c:axId val="146485632"/>
        <c:scaling>
          <c:orientation val="minMax"/>
          <c:min val="4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2091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859B"/>
      </a:solidFill>
      <a:round/>
    </a:ln>
    <a:effectLst/>
  </c:spPr>
  <c:txPr>
    <a:bodyPr/>
    <a:lstStyle/>
    <a:p>
      <a:pPr>
        <a:defRPr sz="7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361258026936"/>
          <c:y val="9.7044552271724732E-2"/>
          <c:w val="0.83553400870183558"/>
          <c:h val="0.67319743391140985"/>
        </c:manualLayout>
      </c:layout>
      <c:barChart>
        <c:barDir val="col"/>
        <c:grouping val="clustered"/>
        <c:varyColors val="0"/>
        <c:ser>
          <c:idx val="0"/>
          <c:order val="0"/>
          <c:tx>
            <c:strRef>
              <c:f>Sheet1!$A$2</c:f>
              <c:strCache>
                <c:ptCount val="1"/>
                <c:pt idx="0">
                  <c:v>milj.euro</c:v>
                </c:pt>
              </c:strCache>
            </c:strRef>
          </c:tx>
          <c:spPr>
            <a:solidFill>
              <a:schemeClr val="accent2">
                <a:lumMod val="75000"/>
              </a:schemeClr>
            </a:solidFill>
            <a:ln>
              <a:solidFill>
                <a:schemeClr val="accent4">
                  <a:lumMod val="75000"/>
                </a:schemeClr>
              </a:solidFill>
            </a:ln>
            <a:effectLst/>
          </c:spPr>
          <c:invertIfNegative val="0"/>
          <c:dPt>
            <c:idx val="10"/>
            <c:invertIfNegative val="0"/>
            <c:bubble3D val="0"/>
            <c:spPr>
              <a:solidFill>
                <a:srgbClr val="008080"/>
              </a:solidFill>
              <a:ln>
                <a:solidFill>
                  <a:schemeClr val="accent4">
                    <a:lumMod val="75000"/>
                  </a:schemeClr>
                </a:solidFill>
              </a:ln>
              <a:effectLst/>
            </c:spPr>
            <c:extLst>
              <c:ext xmlns:c16="http://schemas.microsoft.com/office/drawing/2014/chart" uri="{C3380CC4-5D6E-409C-BE32-E72D297353CC}">
                <c16:uniqueId val="{00000001-7278-4035-81B8-90FCF8F4C2BB}"/>
              </c:ext>
            </c:extLst>
          </c:dPt>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Sheet1!$B$1:$L$1</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Sheet1!$B$2:$L$2</c:f>
              <c:numCache>
                <c:formatCode>General</c:formatCode>
                <c:ptCount val="11"/>
                <c:pt idx="0">
                  <c:v>96.3</c:v>
                </c:pt>
                <c:pt idx="1">
                  <c:v>79.899999999999991</c:v>
                </c:pt>
                <c:pt idx="2">
                  <c:v>137.9</c:v>
                </c:pt>
                <c:pt idx="3">
                  <c:v>81.599999999999994</c:v>
                </c:pt>
                <c:pt idx="4">
                  <c:v>66.300000000000011</c:v>
                </c:pt>
                <c:pt idx="5">
                  <c:v>81.7</c:v>
                </c:pt>
                <c:pt idx="6">
                  <c:v>99.600000000000009</c:v>
                </c:pt>
                <c:pt idx="10">
                  <c:v>115</c:v>
                </c:pt>
              </c:numCache>
            </c:numRef>
          </c:val>
          <c:extLst>
            <c:ext xmlns:c16="http://schemas.microsoft.com/office/drawing/2014/chart" uri="{C3380CC4-5D6E-409C-BE32-E72D297353CC}">
              <c16:uniqueId val="{00000002-7278-4035-81B8-90FCF8F4C2BB}"/>
            </c:ext>
          </c:extLst>
        </c:ser>
        <c:dLbls>
          <c:showLegendKey val="0"/>
          <c:showVal val="0"/>
          <c:showCatName val="0"/>
          <c:showSerName val="0"/>
          <c:showPercent val="0"/>
          <c:showBubbleSize val="0"/>
        </c:dLbls>
        <c:gapWidth val="39"/>
        <c:axId val="147755008"/>
        <c:axId val="147756544"/>
      </c:barChart>
      <c:catAx>
        <c:axId val="14775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7756544"/>
        <c:crosses val="autoZero"/>
        <c:auto val="1"/>
        <c:lblAlgn val="ctr"/>
        <c:lblOffset val="100"/>
        <c:noMultiLvlLbl val="0"/>
      </c:catAx>
      <c:valAx>
        <c:axId val="147756544"/>
        <c:scaling>
          <c:orientation val="minMax"/>
          <c:min val="4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775500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859B"/>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2">
                <a:lumMod val="75000"/>
              </a:schemeClr>
            </a:solidFill>
            <a:ln>
              <a:solidFill>
                <a:schemeClr val="accent2">
                  <a:lumMod val="75000"/>
                </a:schemeClr>
              </a:solidFill>
            </a:ln>
            <a:effectLst/>
          </c:spPr>
          <c:invertIfNegative val="0"/>
          <c:dPt>
            <c:idx val="11"/>
            <c:invertIfNegative val="0"/>
            <c:bubble3D val="0"/>
            <c:spPr>
              <a:noFill/>
              <a:ln>
                <a:noFill/>
              </a:ln>
              <a:effectLst/>
            </c:spPr>
            <c:extLst>
              <c:ext xmlns:c16="http://schemas.microsoft.com/office/drawing/2014/chart" uri="{C3380CC4-5D6E-409C-BE32-E72D297353CC}">
                <c16:uniqueId val="{00000001-7250-417D-AB66-838ECDF1EE65}"/>
              </c:ext>
            </c:extLst>
          </c:dPt>
          <c:dPt>
            <c:idx val="12"/>
            <c:invertIfNegative val="0"/>
            <c:bubble3D val="0"/>
            <c:spPr>
              <a:solidFill>
                <a:srgbClr val="008080"/>
              </a:solidFill>
              <a:ln>
                <a:solidFill>
                  <a:schemeClr val="tx1">
                    <a:lumMod val="50000"/>
                    <a:lumOff val="50000"/>
                  </a:schemeClr>
                </a:solidFill>
              </a:ln>
              <a:effectLst/>
            </c:spPr>
            <c:extLst>
              <c:ext xmlns:c16="http://schemas.microsoft.com/office/drawing/2014/chart" uri="{C3380CC4-5D6E-409C-BE32-E72D297353CC}">
                <c16:uniqueId val="{00000003-7250-417D-AB66-838ECDF1EE65}"/>
              </c:ext>
            </c:extLst>
          </c:dPt>
          <c:dLbls>
            <c:dLbl>
              <c:idx val="11"/>
              <c:delete val="1"/>
              <c:extLst>
                <c:ext xmlns:c15="http://schemas.microsoft.com/office/drawing/2012/chart" uri="{CE6537A1-D6FC-4f65-9D91-7224C49458BB}"/>
                <c:ext xmlns:c16="http://schemas.microsoft.com/office/drawing/2014/chart" uri="{C3380CC4-5D6E-409C-BE32-E72D297353CC}">
                  <c16:uniqueId val="{00000001-7250-417D-AB66-838ECDF1EE65}"/>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Sheet1!$B$2:$B$14</c:f>
              <c:numCache>
                <c:formatCode>General</c:formatCode>
                <c:ptCount val="13"/>
                <c:pt idx="0">
                  <c:v>5.4</c:v>
                </c:pt>
                <c:pt idx="1">
                  <c:v>5.4</c:v>
                </c:pt>
                <c:pt idx="2">
                  <c:v>7.2</c:v>
                </c:pt>
                <c:pt idx="3">
                  <c:v>6.8</c:v>
                </c:pt>
                <c:pt idx="4">
                  <c:v>5.7</c:v>
                </c:pt>
                <c:pt idx="5">
                  <c:v>5.7</c:v>
                </c:pt>
                <c:pt idx="6">
                  <c:v>7.3</c:v>
                </c:pt>
                <c:pt idx="7">
                  <c:v>7.5</c:v>
                </c:pt>
                <c:pt idx="8">
                  <c:v>6.7</c:v>
                </c:pt>
                <c:pt idx="9">
                  <c:v>7.4</c:v>
                </c:pt>
                <c:pt idx="10">
                  <c:v>6.6</c:v>
                </c:pt>
                <c:pt idx="11">
                  <c:v>9</c:v>
                </c:pt>
                <c:pt idx="12">
                  <c:v>10</c:v>
                </c:pt>
              </c:numCache>
            </c:numRef>
          </c:val>
          <c:extLst>
            <c:ext xmlns:c16="http://schemas.microsoft.com/office/drawing/2014/chart" uri="{C3380CC4-5D6E-409C-BE32-E72D297353CC}">
              <c16:uniqueId val="{00000004-7250-417D-AB66-838ECDF1EE65}"/>
            </c:ext>
          </c:extLst>
        </c:ser>
        <c:dLbls>
          <c:showLegendKey val="0"/>
          <c:showVal val="0"/>
          <c:showCatName val="0"/>
          <c:showSerName val="0"/>
          <c:showPercent val="0"/>
          <c:showBubbleSize val="0"/>
        </c:dLbls>
        <c:gapWidth val="77"/>
        <c:overlap val="-27"/>
        <c:axId val="147194624"/>
        <c:axId val="147196160"/>
      </c:barChart>
      <c:catAx>
        <c:axId val="14719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7196160"/>
        <c:crosses val="autoZero"/>
        <c:auto val="1"/>
        <c:lblAlgn val="ctr"/>
        <c:lblOffset val="100"/>
        <c:noMultiLvlLbl val="0"/>
      </c:catAx>
      <c:valAx>
        <c:axId val="1471961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7194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859B"/>
      </a:solidFill>
      <a:round/>
    </a:ln>
    <a:effectLst/>
  </c:spPr>
  <c:txPr>
    <a:bodyPr/>
    <a:lstStyle/>
    <a:p>
      <a:pPr>
        <a:defRPr sz="7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5810711338137"/>
          <c:y val="9.7044552271724732E-2"/>
          <c:w val="0.85991256050500753"/>
          <c:h val="0.70993890430656914"/>
        </c:manualLayout>
      </c:layout>
      <c:lineChart>
        <c:grouping val="standard"/>
        <c:varyColors val="0"/>
        <c:ser>
          <c:idx val="0"/>
          <c:order val="0"/>
          <c:tx>
            <c:strRef>
              <c:f>Sheet1!$A$2</c:f>
              <c:strCache>
                <c:ptCount val="1"/>
                <c:pt idx="0">
                  <c:v>Privātā sektora finansējums R&amp;D</c:v>
                </c:pt>
              </c:strCache>
            </c:strRef>
          </c:tx>
          <c:spPr>
            <a:ln w="28575" cap="rnd">
              <a:solidFill>
                <a:schemeClr val="accent2">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Sheet1!$B$1:$J$1</c:f>
              <c:strCache>
                <c:ptCount val="9"/>
                <c:pt idx="0">
                  <c:v>2014</c:v>
                </c:pt>
                <c:pt idx="1">
                  <c:v>2015</c:v>
                </c:pt>
                <c:pt idx="2">
                  <c:v>2016</c:v>
                </c:pt>
                <c:pt idx="3">
                  <c:v>2017</c:v>
                </c:pt>
                <c:pt idx="4">
                  <c:v>2018</c:v>
                </c:pt>
                <c:pt idx="5">
                  <c:v>2019</c:v>
                </c:pt>
                <c:pt idx="6">
                  <c:v>2020</c:v>
                </c:pt>
                <c:pt idx="7">
                  <c:v>2021</c:v>
                </c:pt>
                <c:pt idx="8">
                  <c:v>2022</c:v>
                </c:pt>
              </c:strCache>
            </c:strRef>
          </c:cat>
          <c:val>
            <c:numRef>
              <c:f>Sheet1!$B$2:$J$2</c:f>
              <c:numCache>
                <c:formatCode>0.0</c:formatCode>
                <c:ptCount val="9"/>
                <c:pt idx="0">
                  <c:v>27.825552825552823</c:v>
                </c:pt>
                <c:pt idx="1">
                  <c:v>20.039421813403418</c:v>
                </c:pt>
                <c:pt idx="2">
                  <c:v>21.557971014492768</c:v>
                </c:pt>
                <c:pt idx="3">
                  <c:v>24.147933284989122</c:v>
                </c:pt>
                <c:pt idx="4">
                  <c:v>22.341568206229862</c:v>
                </c:pt>
                <c:pt idx="5">
                  <c:v>24.29523321373653</c:v>
                </c:pt>
                <c:pt idx="8" formatCode="General">
                  <c:v>30</c:v>
                </c:pt>
              </c:numCache>
            </c:numRef>
          </c:val>
          <c:smooth val="0"/>
          <c:extLst>
            <c:ext xmlns:c16="http://schemas.microsoft.com/office/drawing/2014/chart" uri="{C3380CC4-5D6E-409C-BE32-E72D297353CC}">
              <c16:uniqueId val="{00000000-E04A-4FBC-9DC7-5E19F85CD4BB}"/>
            </c:ext>
          </c:extLst>
        </c:ser>
        <c:ser>
          <c:idx val="1"/>
          <c:order val="1"/>
          <c:tx>
            <c:strRef>
              <c:f>Sheet1!$A$3</c:f>
              <c:strCache>
                <c:ptCount val="1"/>
              </c:strCache>
            </c:strRef>
          </c:tx>
          <c:spPr>
            <a:ln w="28575" cap="rnd">
              <a:solidFill>
                <a:srgbClr val="008080"/>
              </a:solidFill>
              <a:prstDash val="sysDash"/>
              <a:round/>
            </a:ln>
            <a:effectLst/>
          </c:spPr>
          <c:marker>
            <c:symbol val="none"/>
          </c:marker>
          <c:cat>
            <c:strRef>
              <c:f>Sheet1!$B$1:$J$1</c:f>
              <c:strCache>
                <c:ptCount val="9"/>
                <c:pt idx="0">
                  <c:v>2014</c:v>
                </c:pt>
                <c:pt idx="1">
                  <c:v>2015</c:v>
                </c:pt>
                <c:pt idx="2">
                  <c:v>2016</c:v>
                </c:pt>
                <c:pt idx="3">
                  <c:v>2017</c:v>
                </c:pt>
                <c:pt idx="4">
                  <c:v>2018</c:v>
                </c:pt>
                <c:pt idx="5">
                  <c:v>2019</c:v>
                </c:pt>
                <c:pt idx="6">
                  <c:v>2020</c:v>
                </c:pt>
                <c:pt idx="7">
                  <c:v>2021</c:v>
                </c:pt>
                <c:pt idx="8">
                  <c:v>2022</c:v>
                </c:pt>
              </c:strCache>
            </c:strRef>
          </c:cat>
          <c:val>
            <c:numRef>
              <c:f>Sheet1!$B$3:$J$3</c:f>
              <c:numCache>
                <c:formatCode>General</c:formatCode>
                <c:ptCount val="9"/>
                <c:pt idx="5" formatCode="0.0">
                  <c:v>24.29523321373653</c:v>
                </c:pt>
                <c:pt idx="6" formatCode="0.0">
                  <c:v>26.064804175451115</c:v>
                </c:pt>
                <c:pt idx="7" formatCode="0.0">
                  <c:v>27.963263852124506</c:v>
                </c:pt>
                <c:pt idx="8">
                  <c:v>30</c:v>
                </c:pt>
              </c:numCache>
            </c:numRef>
          </c:val>
          <c:smooth val="0"/>
          <c:extLst>
            <c:ext xmlns:c16="http://schemas.microsoft.com/office/drawing/2014/chart" uri="{C3380CC4-5D6E-409C-BE32-E72D297353CC}">
              <c16:uniqueId val="{00000001-E04A-4FBC-9DC7-5E19F85CD4BB}"/>
            </c:ext>
          </c:extLst>
        </c:ser>
        <c:dLbls>
          <c:showLegendKey val="0"/>
          <c:showVal val="0"/>
          <c:showCatName val="0"/>
          <c:showSerName val="0"/>
          <c:showPercent val="0"/>
          <c:showBubbleSize val="0"/>
        </c:dLbls>
        <c:smooth val="0"/>
        <c:axId val="149368192"/>
        <c:axId val="149427328"/>
      </c:lineChart>
      <c:catAx>
        <c:axId val="1493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427328"/>
        <c:crosses val="autoZero"/>
        <c:auto val="1"/>
        <c:lblAlgn val="ctr"/>
        <c:lblOffset val="100"/>
        <c:noMultiLvlLbl val="0"/>
      </c:catAx>
      <c:valAx>
        <c:axId val="149427328"/>
        <c:scaling>
          <c:orientation val="minMax"/>
          <c:min val="17"/>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368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859B"/>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43922637197746E-2"/>
          <c:y val="3.8680365022243507E-2"/>
          <c:w val="0.8805416807561629"/>
          <c:h val="0.93621385381154021"/>
        </c:manualLayout>
      </c:layout>
      <c:lineChart>
        <c:grouping val="standard"/>
        <c:varyColors val="0"/>
        <c:ser>
          <c:idx val="2"/>
          <c:order val="0"/>
          <c:tx>
            <c:strRef>
              <c:f>DATA!$B$7</c:f>
              <c:strCache>
                <c:ptCount val="1"/>
                <c:pt idx="0">
                  <c:v>SFVD piedāvājums (saskaņots ar UKD, 29.01.2020.)</c:v>
                </c:pt>
              </c:strCache>
            </c:strRef>
          </c:tx>
          <c:spPr>
            <a:ln>
              <a:noFill/>
            </a:ln>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0-ABE7-43CE-B66C-D6D152E1BA23}"/>
            </c:ext>
          </c:extLst>
        </c:ser>
        <c:ser>
          <c:idx val="3"/>
          <c:order val="1"/>
          <c:tx>
            <c:strRef>
              <c:f>DATA!$B$7</c:f>
              <c:strCache>
                <c:ptCount val="1"/>
                <c:pt idx="0">
                  <c:v>SFVD piedāvājums (saskaņots ar UKD, 29.01.2020.)</c:v>
                </c:pt>
              </c:strCache>
            </c:strRef>
          </c:tx>
          <c:spPr>
            <a:ln w="28575" cap="rnd">
              <a:noFill/>
              <a:round/>
            </a:ln>
            <a:effectLst/>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1-ABE7-43CE-B66C-D6D152E1BA23}"/>
            </c:ext>
          </c:extLst>
        </c:ser>
        <c:ser>
          <c:idx val="1"/>
          <c:order val="2"/>
          <c:tx>
            <c:strRef>
              <c:f>DATA!$B$7</c:f>
              <c:strCache>
                <c:ptCount val="1"/>
                <c:pt idx="0">
                  <c:v>SFVD piedāvājums (saskaņots ar UKD, 29.01.2020.)</c:v>
                </c:pt>
              </c:strCache>
            </c:strRef>
          </c:tx>
          <c:spPr>
            <a:ln>
              <a:noFill/>
            </a:ln>
          </c:spPr>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2-ABE7-43CE-B66C-D6D152E1BA23}"/>
            </c:ext>
          </c:extLst>
        </c:ser>
        <c:ser>
          <c:idx val="0"/>
          <c:order val="3"/>
          <c:tx>
            <c:strRef>
              <c:f>DATA!$B$7</c:f>
              <c:strCache>
                <c:ptCount val="1"/>
                <c:pt idx="0">
                  <c:v>SFVD piedāvājums (saskaņots ar UKD, 29.01.2020.)</c:v>
                </c:pt>
              </c:strCache>
            </c:strRef>
          </c:tx>
          <c:spPr>
            <a:ln w="28575" cap="rnd">
              <a:noFill/>
              <a:round/>
            </a:ln>
            <a:effectLst/>
          </c:spPr>
          <c:marker>
            <c:symbol val="circle"/>
            <c:size val="8"/>
            <c:spPr>
              <a:solidFill>
                <a:schemeClr val="accent2">
                  <a:lumMod val="75000"/>
                </a:schemeClr>
              </a:solidFill>
              <a:ln w="9525">
                <a:solidFill>
                  <a:schemeClr val="accent6">
                    <a:lumMod val="75000"/>
                  </a:schemeClr>
                </a:solidFill>
              </a:ln>
              <a:effectLst/>
            </c:spPr>
          </c:marker>
          <c:dPt>
            <c:idx val="13"/>
            <c:marker>
              <c:spPr>
                <a:solidFill>
                  <a:srgbClr val="008080"/>
                </a:solidFill>
                <a:ln w="9525">
                  <a:solidFill>
                    <a:schemeClr val="accent6">
                      <a:lumMod val="75000"/>
                    </a:schemeClr>
                  </a:solidFill>
                </a:ln>
                <a:effectLst/>
              </c:spPr>
            </c:marker>
            <c:bubble3D val="0"/>
            <c:extLst>
              <c:ext xmlns:c16="http://schemas.microsoft.com/office/drawing/2014/chart" uri="{C3380CC4-5D6E-409C-BE32-E72D297353CC}">
                <c16:uniqueId val="{00000003-ABE7-43CE-B66C-D6D152E1BA23}"/>
              </c:ext>
            </c:extLst>
          </c:dPt>
          <c:dPt>
            <c:idx val="14"/>
            <c:marker>
              <c:spPr>
                <a:solidFill>
                  <a:srgbClr val="008080"/>
                </a:solidFill>
                <a:ln w="9525">
                  <a:solidFill>
                    <a:schemeClr val="accent6">
                      <a:lumMod val="75000"/>
                    </a:schemeClr>
                  </a:solidFill>
                </a:ln>
                <a:effectLst/>
              </c:spPr>
            </c:marker>
            <c:bubble3D val="0"/>
            <c:extLst>
              <c:ext xmlns:c16="http://schemas.microsoft.com/office/drawing/2014/chart" uri="{C3380CC4-5D6E-409C-BE32-E72D297353CC}">
                <c16:uniqueId val="{00000004-ABE7-43CE-B66C-D6D152E1BA23}"/>
              </c:ext>
            </c:extLst>
          </c:dPt>
          <c:dLbls>
            <c:dLbl>
              <c:idx val="0"/>
              <c:delete val="1"/>
              <c:extLst>
                <c:ext xmlns:c15="http://schemas.microsoft.com/office/drawing/2012/chart" uri="{CE6537A1-D6FC-4f65-9D91-7224C49458BB}"/>
                <c:ext xmlns:c16="http://schemas.microsoft.com/office/drawing/2014/chart" uri="{C3380CC4-5D6E-409C-BE32-E72D297353CC}">
                  <c16:uniqueId val="{00000005-ABE7-43CE-B66C-D6D152E1BA23}"/>
                </c:ext>
              </c:extLst>
            </c:dLbl>
            <c:dLbl>
              <c:idx val="1"/>
              <c:delete val="1"/>
              <c:extLst>
                <c:ext xmlns:c15="http://schemas.microsoft.com/office/drawing/2012/chart" uri="{CE6537A1-D6FC-4f65-9D91-7224C49458BB}"/>
                <c:ext xmlns:c16="http://schemas.microsoft.com/office/drawing/2014/chart" uri="{C3380CC4-5D6E-409C-BE32-E72D297353CC}">
                  <c16:uniqueId val="{00000006-ABE7-43CE-B66C-D6D152E1BA23}"/>
                </c:ext>
              </c:extLst>
            </c:dLbl>
            <c:dLbl>
              <c:idx val="2"/>
              <c:delete val="1"/>
              <c:extLst>
                <c:ext xmlns:c15="http://schemas.microsoft.com/office/drawing/2012/chart" uri="{CE6537A1-D6FC-4f65-9D91-7224C49458BB}"/>
                <c:ext xmlns:c16="http://schemas.microsoft.com/office/drawing/2014/chart" uri="{C3380CC4-5D6E-409C-BE32-E72D297353CC}">
                  <c16:uniqueId val="{00000007-ABE7-43CE-B66C-D6D152E1BA23}"/>
                </c:ext>
              </c:extLst>
            </c:dLbl>
            <c:dLbl>
              <c:idx val="3"/>
              <c:delete val="1"/>
              <c:extLst>
                <c:ext xmlns:c15="http://schemas.microsoft.com/office/drawing/2012/chart" uri="{CE6537A1-D6FC-4f65-9D91-7224C49458BB}"/>
                <c:ext xmlns:c16="http://schemas.microsoft.com/office/drawing/2014/chart" uri="{C3380CC4-5D6E-409C-BE32-E72D297353CC}">
                  <c16:uniqueId val="{00000008-ABE7-43CE-B66C-D6D152E1BA23}"/>
                </c:ext>
              </c:extLst>
            </c:dLbl>
            <c:dLbl>
              <c:idx val="4"/>
              <c:delete val="1"/>
              <c:extLst>
                <c:ext xmlns:c15="http://schemas.microsoft.com/office/drawing/2012/chart" uri="{CE6537A1-D6FC-4f65-9D91-7224C49458BB}"/>
                <c:ext xmlns:c16="http://schemas.microsoft.com/office/drawing/2014/chart" uri="{C3380CC4-5D6E-409C-BE32-E72D297353CC}">
                  <c16:uniqueId val="{00000009-ABE7-43CE-B66C-D6D152E1BA23}"/>
                </c:ext>
              </c:extLst>
            </c:dLbl>
            <c:dLbl>
              <c:idx val="5"/>
              <c:delete val="1"/>
              <c:extLst>
                <c:ext xmlns:c15="http://schemas.microsoft.com/office/drawing/2012/chart" uri="{CE6537A1-D6FC-4f65-9D91-7224C49458BB}"/>
                <c:ext xmlns:c16="http://schemas.microsoft.com/office/drawing/2014/chart" uri="{C3380CC4-5D6E-409C-BE32-E72D297353CC}">
                  <c16:uniqueId val="{0000000A-ABE7-43CE-B66C-D6D152E1BA23}"/>
                </c:ext>
              </c:extLst>
            </c:dLbl>
            <c:dLbl>
              <c:idx val="6"/>
              <c:delete val="1"/>
              <c:extLst>
                <c:ext xmlns:c15="http://schemas.microsoft.com/office/drawing/2012/chart" uri="{CE6537A1-D6FC-4f65-9D91-7224C49458BB}"/>
                <c:ext xmlns:c16="http://schemas.microsoft.com/office/drawing/2014/chart" uri="{C3380CC4-5D6E-409C-BE32-E72D297353CC}">
                  <c16:uniqueId val="{0000000B-ABE7-43CE-B66C-D6D152E1BA23}"/>
                </c:ext>
              </c:extLst>
            </c:dLbl>
            <c:dLbl>
              <c:idx val="7"/>
              <c:delete val="1"/>
              <c:extLst>
                <c:ext xmlns:c15="http://schemas.microsoft.com/office/drawing/2012/chart" uri="{CE6537A1-D6FC-4f65-9D91-7224C49458BB}"/>
                <c:ext xmlns:c16="http://schemas.microsoft.com/office/drawing/2014/chart" uri="{C3380CC4-5D6E-409C-BE32-E72D297353CC}">
                  <c16:uniqueId val="{0000000C-ABE7-43CE-B66C-D6D152E1BA23}"/>
                </c:ext>
              </c:extLst>
            </c:dLbl>
            <c:dLbl>
              <c:idx val="13"/>
              <c:delete val="1"/>
              <c:extLst>
                <c:ext xmlns:c15="http://schemas.microsoft.com/office/drawing/2012/chart" uri="{CE6537A1-D6FC-4f65-9D91-7224C49458BB}"/>
                <c:ext xmlns:c16="http://schemas.microsoft.com/office/drawing/2014/chart" uri="{C3380CC4-5D6E-409C-BE32-E72D297353CC}">
                  <c16:uniqueId val="{00000003-ABE7-43CE-B66C-D6D152E1BA23}"/>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DATA!$E$3:$S$3</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DATA!$E$7:$S$7</c:f>
              <c:numCache>
                <c:formatCode>General</c:formatCode>
                <c:ptCount val="15"/>
                <c:pt idx="0">
                  <c:v>22</c:v>
                </c:pt>
                <c:pt idx="1">
                  <c:v>29</c:v>
                </c:pt>
                <c:pt idx="2">
                  <c:v>27</c:v>
                </c:pt>
                <c:pt idx="3">
                  <c:v>24</c:v>
                </c:pt>
                <c:pt idx="4">
                  <c:v>21</c:v>
                </c:pt>
                <c:pt idx="5">
                  <c:v>25</c:v>
                </c:pt>
                <c:pt idx="6">
                  <c:v>24</c:v>
                </c:pt>
                <c:pt idx="7">
                  <c:v>23</c:v>
                </c:pt>
                <c:pt idx="8">
                  <c:v>22</c:v>
                </c:pt>
                <c:pt idx="9">
                  <c:v>14</c:v>
                </c:pt>
                <c:pt idx="10">
                  <c:v>19</c:v>
                </c:pt>
                <c:pt idx="11">
                  <c:v>19</c:v>
                </c:pt>
                <c:pt idx="12">
                  <c:v>19</c:v>
                </c:pt>
                <c:pt idx="13">
                  <c:v>18</c:v>
                </c:pt>
                <c:pt idx="14">
                  <c:v>17</c:v>
                </c:pt>
              </c:numCache>
            </c:numRef>
          </c:val>
          <c:smooth val="0"/>
          <c:extLst>
            <c:ext xmlns:c16="http://schemas.microsoft.com/office/drawing/2014/chart" uri="{C3380CC4-5D6E-409C-BE32-E72D297353CC}">
              <c16:uniqueId val="{0000000D-ABE7-43CE-B66C-D6D152E1BA23}"/>
            </c:ext>
          </c:extLst>
        </c:ser>
        <c:dLbls>
          <c:showLegendKey val="0"/>
          <c:showVal val="0"/>
          <c:showCatName val="0"/>
          <c:showSerName val="0"/>
          <c:showPercent val="0"/>
          <c:showBubbleSize val="0"/>
        </c:dLbls>
        <c:marker val="1"/>
        <c:smooth val="0"/>
        <c:axId val="151405312"/>
        <c:axId val="151406848"/>
      </c:lineChart>
      <c:catAx>
        <c:axId val="151405312"/>
        <c:scaling>
          <c:orientation val="minMax"/>
        </c:scaling>
        <c:delete val="0"/>
        <c:axPos val="t"/>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1406848"/>
        <c:crosses val="autoZero"/>
        <c:auto val="1"/>
        <c:lblAlgn val="ctr"/>
        <c:lblOffset val="100"/>
        <c:noMultiLvlLbl val="0"/>
      </c:catAx>
      <c:valAx>
        <c:axId val="151406848"/>
        <c:scaling>
          <c:orientation val="maxMin"/>
          <c:min val="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1405312"/>
        <c:crosses val="autoZero"/>
        <c:crossBetween val="between"/>
      </c:valAx>
    </c:plotArea>
    <c:plotVisOnly val="1"/>
    <c:dispBlanksAs val="gap"/>
    <c:showDLblsOverMax val="0"/>
    <c:extLst/>
  </c:chart>
  <c:spPr>
    <a:noFill/>
    <a:ln>
      <a:solidFill>
        <a:srgbClr val="00859B"/>
      </a:solidFill>
    </a:ln>
  </c:spPr>
  <c:txPr>
    <a:bodyPr/>
    <a:lstStyle/>
    <a:p>
      <a:pPr>
        <a:defRPr sz="700" baseline="0">
          <a:solidFill>
            <a:sysClr val="windowText" lastClr="000000"/>
          </a:solidFill>
          <a:latin typeface="Candara" panose="020E0502030303020204" pitchFamily="34" charset="0"/>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0"/>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1352948351329"/>
          <c:y val="6.8196643958830974E-2"/>
          <c:w val="0.84350412783362616"/>
          <c:h val="0.76537261493998643"/>
        </c:manualLayout>
      </c:layout>
      <c:bar3DChart>
        <c:barDir val="col"/>
        <c:grouping val="stacked"/>
        <c:varyColors val="0"/>
        <c:ser>
          <c:idx val="0"/>
          <c:order val="0"/>
          <c:tx>
            <c:strRef>
              <c:f>Sheet1!$B$3</c:f>
              <c:strCache>
                <c:ptCount val="1"/>
                <c:pt idx="0">
                  <c:v>Pamatfunkciju īstenošanai</c:v>
                </c:pt>
              </c:strCache>
            </c:strRef>
          </c:tx>
          <c:spPr>
            <a:solidFill>
              <a:schemeClr val="accent3">
                <a:shade val="76000"/>
              </a:schemeClr>
            </a:solidFill>
            <a:ln>
              <a:noFill/>
            </a:ln>
            <a:effectLst/>
            <a:sp3d/>
          </c:spPr>
          <c:invertIfNegative val="0"/>
          <c:dLbls>
            <c:dLbl>
              <c:idx val="0"/>
              <c:layout>
                <c:manualLayout>
                  <c:x val="0.17390562732225709"/>
                  <c:y val="-5.6244654811406997E-3"/>
                </c:manualLayout>
              </c:layout>
              <c:spPr>
                <a:solidFill>
                  <a:schemeClr val="bg1"/>
                </a:solidFill>
                <a:ln>
                  <a:noFill/>
                </a:ln>
                <a:effectLst/>
              </c:spPr>
              <c:txPr>
                <a:bodyPr wrap="square" lIns="38100" tIns="19050" rIns="38100" bIns="19050" anchor="ctr">
                  <a:spAutoFit/>
                </a:bodyPr>
                <a:lstStyle/>
                <a:p>
                  <a:pPr>
                    <a:defRPr b="1">
                      <a:ln>
                        <a:noFill/>
                      </a:ln>
                    </a:defRPr>
                  </a:pPr>
                  <a:endParaRPr lang="lv-LV"/>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D7C8-495C-BCC9-C45911924DC5}"/>
                </c:ext>
              </c:extLst>
            </c:dLbl>
            <c:dLbl>
              <c:idx val="1"/>
              <c:layout>
                <c:manualLayout>
                  <c:x val="0.15986234911345129"/>
                  <c:y val="-2.7052404966233155E-2"/>
                </c:manualLayout>
              </c:layout>
              <c:spPr>
                <a:solidFill>
                  <a:schemeClr val="bg1"/>
                </a:solidFill>
                <a:ln>
                  <a:noFill/>
                </a:ln>
                <a:effectLst/>
              </c:spPr>
              <c:txPr>
                <a:bodyPr wrap="square" lIns="38100" tIns="19050" rIns="38100" bIns="19050" anchor="ctr">
                  <a:spAutoFit/>
                </a:bodyPr>
                <a:lstStyle/>
                <a:p>
                  <a:pPr>
                    <a:defRPr b="1">
                      <a:ln>
                        <a:noFill/>
                      </a:ln>
                    </a:defRPr>
                  </a:pPr>
                  <a:endParaRPr lang="lv-LV"/>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6518298904568468"/>
                      <c:h val="0.13853903093573977"/>
                    </c:manualLayout>
                  </c15:layout>
                </c:ext>
                <c:ext xmlns:c16="http://schemas.microsoft.com/office/drawing/2014/chart" uri="{C3380CC4-5D6E-409C-BE32-E72D297353CC}">
                  <c16:uniqueId val="{00000001-D7C8-495C-BCC9-C45911924DC5}"/>
                </c:ext>
              </c:extLst>
            </c:dLbl>
            <c:spPr>
              <a:noFill/>
              <a:ln>
                <a:noFill/>
              </a:ln>
              <a:effectLst/>
            </c:spPr>
            <c:txPr>
              <a:bodyPr wrap="square" lIns="38100" tIns="19050" rIns="38100" bIns="19050" anchor="ctr">
                <a:spAutoFit/>
              </a:bodyPr>
              <a:lstStyle/>
              <a:p>
                <a:pPr>
                  <a:defRPr b="1">
                    <a:ln>
                      <a:noFill/>
                    </a:ln>
                  </a:defRPr>
                </a:pPr>
                <a:endParaRPr lang="lv-LV"/>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shade val="95000"/>
                          <a:satMod val="105000"/>
                        </a:schemeClr>
                      </a:solidFill>
                      <a:prstDash val="solid"/>
                      <a:round/>
                    </a:ln>
                    <a:effectLst/>
                  </c:spPr>
                </c15:leaderLines>
              </c:ext>
            </c:extLst>
          </c:dLbls>
          <c:cat>
            <c:strRef>
              <c:f>Sheet1!$C$2:$D$2</c:f>
              <c:strCache>
                <c:ptCount val="2"/>
                <c:pt idx="0">
                  <c:v>2019</c:v>
                </c:pt>
                <c:pt idx="1">
                  <c:v>2020</c:v>
                </c:pt>
              </c:strCache>
            </c:strRef>
          </c:cat>
          <c:val>
            <c:numRef>
              <c:f>Sheet1!$C$3:$D$3</c:f>
              <c:numCache>
                <c:formatCode>#,##0.00</c:formatCode>
                <c:ptCount val="2"/>
                <c:pt idx="0">
                  <c:v>79.53</c:v>
                </c:pt>
                <c:pt idx="1">
                  <c:v>288.24</c:v>
                </c:pt>
              </c:numCache>
            </c:numRef>
          </c:val>
          <c:extLst>
            <c:ext xmlns:c16="http://schemas.microsoft.com/office/drawing/2014/chart" uri="{C3380CC4-5D6E-409C-BE32-E72D297353CC}">
              <c16:uniqueId val="{00000002-D7C8-495C-BCC9-C45911924DC5}"/>
            </c:ext>
          </c:extLst>
        </c:ser>
        <c:ser>
          <c:idx val="1"/>
          <c:order val="1"/>
          <c:tx>
            <c:strRef>
              <c:f>Sheet1!$B$4</c:f>
              <c:strCache>
                <c:ptCount val="1"/>
                <c:pt idx="0">
                  <c:v>ES politiku instrumenti</c:v>
                </c:pt>
              </c:strCache>
            </c:strRef>
          </c:tx>
          <c:spPr>
            <a:solidFill>
              <a:srgbClr val="00B0F0"/>
            </a:solidFill>
            <a:ln>
              <a:noFill/>
            </a:ln>
            <a:effectLst/>
            <a:sp3d/>
          </c:spPr>
          <c:invertIfNegative val="0"/>
          <c:dLbls>
            <c:dLbl>
              <c:idx val="0"/>
              <c:layout>
                <c:manualLayout>
                  <c:x val="0.17050459157153033"/>
                  <c:y val="-8.239700374531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C8-495C-BCC9-C45911924DC5}"/>
                </c:ext>
              </c:extLst>
            </c:dLbl>
            <c:dLbl>
              <c:idx val="1"/>
              <c:layout>
                <c:manualLayout>
                  <c:x val="0.15448972912615744"/>
                  <c:y val="-7.698958978442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C8-495C-BCC9-C45911924DC5}"/>
                </c:ext>
              </c:extLst>
            </c:dLbl>
            <c:spPr>
              <a:solidFill>
                <a:schemeClr val="bg1"/>
              </a:solid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Sheet1!$C$2:$D$2</c:f>
              <c:strCache>
                <c:ptCount val="2"/>
                <c:pt idx="0">
                  <c:v>2019</c:v>
                </c:pt>
                <c:pt idx="1">
                  <c:v>2020</c:v>
                </c:pt>
              </c:strCache>
            </c:strRef>
          </c:cat>
          <c:val>
            <c:numRef>
              <c:f>Sheet1!$C$4:$D$4</c:f>
              <c:numCache>
                <c:formatCode>#,##0.00</c:formatCode>
                <c:ptCount val="2"/>
                <c:pt idx="0">
                  <c:v>19.27</c:v>
                </c:pt>
                <c:pt idx="1">
                  <c:v>19.100000000000001</c:v>
                </c:pt>
              </c:numCache>
            </c:numRef>
          </c:val>
          <c:extLst>
            <c:ext xmlns:c16="http://schemas.microsoft.com/office/drawing/2014/chart" uri="{C3380CC4-5D6E-409C-BE32-E72D297353CC}">
              <c16:uniqueId val="{00000005-D7C8-495C-BCC9-C45911924DC5}"/>
            </c:ext>
          </c:extLst>
        </c:ser>
        <c:dLbls>
          <c:showLegendKey val="0"/>
          <c:showVal val="0"/>
          <c:showCatName val="0"/>
          <c:showSerName val="0"/>
          <c:showPercent val="0"/>
          <c:showBubbleSize val="0"/>
        </c:dLbls>
        <c:gapWidth val="95"/>
        <c:gapDepth val="95"/>
        <c:shape val="cylinder"/>
        <c:axId val="151490560"/>
        <c:axId val="151492096"/>
        <c:axId val="0"/>
      </c:bar3DChart>
      <c:catAx>
        <c:axId val="151490560"/>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51492096"/>
        <c:crosses val="autoZero"/>
        <c:auto val="1"/>
        <c:lblAlgn val="ctr"/>
        <c:lblOffset val="100"/>
        <c:noMultiLvlLbl val="0"/>
      </c:catAx>
      <c:valAx>
        <c:axId val="1514920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51490560"/>
        <c:crosses val="autoZero"/>
        <c:crossBetween val="between"/>
      </c:valAx>
      <c:spPr>
        <a:noFill/>
        <a:ln>
          <a:noFill/>
        </a:ln>
        <a:effectLst/>
      </c:spPr>
    </c:plotArea>
    <c:legend>
      <c:legendPos val="r"/>
      <c:layout>
        <c:manualLayout>
          <c:xMode val="edge"/>
          <c:yMode val="edge"/>
          <c:x val="0.21151723901289693"/>
          <c:y val="2.7281383134194839E-2"/>
          <c:w val="0.33296459580694249"/>
          <c:h val="0.39006989294877487"/>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859B"/>
      </a:solidFill>
      <a:prstDash val="solid"/>
      <a:round/>
    </a:ln>
    <a:effectLst/>
  </c:spPr>
  <c:txPr>
    <a:bodyPr/>
    <a:lstStyle/>
    <a:p>
      <a:pPr>
        <a:spcBef>
          <a:spcPts val="100"/>
        </a:spcBef>
        <a:spcAft>
          <a:spcPts val="100"/>
        </a:spcAft>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C4F190B02AC45B8F92D28720DE26D" ma:contentTypeVersion="11" ma:contentTypeDescription="Create a new document." ma:contentTypeScope="" ma:versionID="814eea0bb5fe2d2e144810c56a3b9a8c">
  <xsd:schema xmlns:xsd="http://www.w3.org/2001/XMLSchema" xmlns:xs="http://www.w3.org/2001/XMLSchema" xmlns:p="http://schemas.microsoft.com/office/2006/metadata/properties" xmlns:ns3="2e99572d-2289-4451-a60a-dad58298dfbb" xmlns:ns4="fc44ffd7-7686-476b-b6c3-9f94eff87d80" targetNamespace="http://schemas.microsoft.com/office/2006/metadata/properties" ma:root="true" ma:fieldsID="12923febb5479c5ce5f74dd05eeae083" ns3:_="" ns4:_="">
    <xsd:import namespace="2e99572d-2289-4451-a60a-dad58298dfbb"/>
    <xsd:import namespace="fc44ffd7-7686-476b-b6c3-9f94eff87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572d-2289-4451-a60a-dad58298d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4ffd7-7686-476b-b6c3-9f94eff87d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F018B-C3CD-4A8F-8654-E864A5AC19A4}">
  <ds:schemaRefs>
    <ds:schemaRef ds:uri="http://schemas.openxmlformats.org/officeDocument/2006/bibliography"/>
  </ds:schemaRefs>
</ds:datastoreItem>
</file>

<file path=customXml/itemProps2.xml><?xml version="1.0" encoding="utf-8"?>
<ds:datastoreItem xmlns:ds="http://schemas.openxmlformats.org/officeDocument/2006/customXml" ds:itemID="{EEB7FD48-142C-4E38-A7E7-381EC64FB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4590C-446A-46BE-8F3E-E8144954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572d-2289-4451-a60a-dad58298dfbb"/>
    <ds:schemaRef ds:uri="fc44ffd7-7686-476b-b6c3-9f94eff8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A781D-D32B-46DB-9E37-658B9100C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58</Pages>
  <Words>126149</Words>
  <Characters>71905</Characters>
  <Application>Microsoft Office Word</Application>
  <DocSecurity>0</DocSecurity>
  <Lines>599</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 Vilnis</dc:creator>
  <cp:lastModifiedBy>Irēna Bērziņa</cp:lastModifiedBy>
  <cp:revision>8</cp:revision>
  <cp:lastPrinted>2021-08-03T06:07:00Z</cp:lastPrinted>
  <dcterms:created xsi:type="dcterms:W3CDTF">2021-08-03T06:02:00Z</dcterms:created>
  <dcterms:modified xsi:type="dcterms:W3CDTF">2021-08-09T10:19:00Z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0x010100E7CC4F190B02AC45B8F92D28720DE26D</vt:lpwstr>
  </property>
</Properties>
</file>