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73F280" w14:textId="77777777" w:rsidR="008C7DCE" w:rsidRDefault="00193E45" w:rsidP="00990A6C">
      <w:pPr>
        <w:jc w:val="center"/>
        <w:rPr>
          <w:b/>
        </w:rPr>
      </w:pPr>
      <w:bookmarkStart w:id="0" w:name="OLE_LINK3"/>
      <w:bookmarkStart w:id="1" w:name="OLE_LINK4"/>
      <w:bookmarkStart w:id="2" w:name="OLE_LINK5"/>
      <w:bookmarkStart w:id="3" w:name="OLE_LINK1"/>
      <w:bookmarkStart w:id="4" w:name="OLE_LINK2"/>
      <w:r w:rsidRPr="00990A6C">
        <w:rPr>
          <w:b/>
        </w:rPr>
        <w:t>Ministru kabineta noteikumu projekta „</w:t>
      </w:r>
      <w:r w:rsidR="00B34440" w:rsidRPr="00990A6C">
        <w:rPr>
          <w:b/>
        </w:rPr>
        <w:t xml:space="preserve">Noteikumi par prasībām </w:t>
      </w:r>
      <w:proofErr w:type="spellStart"/>
      <w:r w:rsidR="00B34440" w:rsidRPr="00990A6C">
        <w:rPr>
          <w:b/>
        </w:rPr>
        <w:t>biometāna</w:t>
      </w:r>
      <w:proofErr w:type="spellEnd"/>
      <w:r w:rsidR="00B34440" w:rsidRPr="00990A6C">
        <w:rPr>
          <w:b/>
        </w:rPr>
        <w:t xml:space="preserve">, </w:t>
      </w:r>
    </w:p>
    <w:p w14:paraId="48C76FD6" w14:textId="7F0FE93E" w:rsidR="00990A6C" w:rsidRPr="00990A6C" w:rsidRDefault="00B34440" w:rsidP="00990A6C">
      <w:pPr>
        <w:jc w:val="center"/>
        <w:rPr>
          <w:b/>
        </w:rPr>
      </w:pPr>
      <w:r w:rsidRPr="00990A6C">
        <w:rPr>
          <w:b/>
        </w:rPr>
        <w:t xml:space="preserve">gāzveida stāvoklī  esošā ūdeņraža, </w:t>
      </w:r>
      <w:proofErr w:type="spellStart"/>
      <w:r w:rsidRPr="00990A6C">
        <w:rPr>
          <w:b/>
        </w:rPr>
        <w:t>dekarbonizēto</w:t>
      </w:r>
      <w:proofErr w:type="spellEnd"/>
      <w:r w:rsidRPr="00990A6C">
        <w:rPr>
          <w:b/>
        </w:rPr>
        <w:t xml:space="preserve"> sintētisko gāzu un </w:t>
      </w:r>
    </w:p>
    <w:p w14:paraId="56F9B625" w14:textId="77777777" w:rsidR="00990A6C" w:rsidRPr="00990A6C" w:rsidRDefault="00B34440" w:rsidP="00990A6C">
      <w:pPr>
        <w:jc w:val="center"/>
        <w:rPr>
          <w:b/>
        </w:rPr>
      </w:pPr>
      <w:r w:rsidRPr="00990A6C">
        <w:rPr>
          <w:b/>
        </w:rPr>
        <w:t xml:space="preserve">gāzveida stāvoklī pārvērstas sašķidrinātās dabasgāzes ievadīšanai un transportēšanai dabasgāzes pārvades un sadales sistēmā” </w:t>
      </w:r>
    </w:p>
    <w:p w14:paraId="5622C6E3" w14:textId="261A3897" w:rsidR="001A3F49" w:rsidRPr="00990A6C" w:rsidRDefault="00193E45" w:rsidP="00990A6C">
      <w:pPr>
        <w:jc w:val="center"/>
        <w:rPr>
          <w:b/>
          <w:bCs/>
        </w:rPr>
      </w:pPr>
      <w:r w:rsidRPr="00990A6C">
        <w:rPr>
          <w:b/>
        </w:rPr>
        <w:t xml:space="preserve">sākotnējās ietekmes novērtējuma </w:t>
      </w:r>
      <w:smartTag w:uri="schemas-tilde-lv/tildestengine" w:element="veidnes">
        <w:smartTagPr>
          <w:attr w:name="id" w:val="-1"/>
          <w:attr w:name="baseform" w:val="ziņojums"/>
          <w:attr w:name="text" w:val="ziņojums"/>
        </w:smartTagPr>
        <w:r w:rsidRPr="00990A6C">
          <w:rPr>
            <w:b/>
          </w:rPr>
          <w:t>ziņojums</w:t>
        </w:r>
      </w:smartTag>
      <w:r w:rsidRPr="00990A6C">
        <w:rPr>
          <w:b/>
        </w:rPr>
        <w:t xml:space="preserve"> (</w:t>
      </w:r>
      <w:r w:rsidRPr="00990A6C">
        <w:rPr>
          <w:b/>
          <w:bCs/>
        </w:rPr>
        <w:t>anotācija)</w:t>
      </w:r>
      <w:bookmarkEnd w:id="0"/>
      <w:bookmarkEnd w:id="1"/>
      <w:bookmarkEnd w:id="2"/>
      <w:bookmarkEnd w:id="3"/>
      <w:bookmarkEnd w:id="4"/>
    </w:p>
    <w:p w14:paraId="0F34CD82" w14:textId="77777777" w:rsidR="00193E45" w:rsidRPr="00882A82" w:rsidRDefault="00193E45" w:rsidP="00193E45">
      <w:pPr>
        <w:tabs>
          <w:tab w:val="left" w:pos="7230"/>
        </w:tabs>
        <w:rPr>
          <w:color w:val="FF0000"/>
          <w:sz w:val="26"/>
          <w:szCs w:val="26"/>
        </w:rPr>
      </w:pP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24"/>
        <w:gridCol w:w="3177"/>
        <w:gridCol w:w="5493"/>
      </w:tblGrid>
      <w:tr w:rsidR="00193E45" w:rsidRPr="00990A6C" w14:paraId="19B72A5F" w14:textId="77777777" w:rsidTr="00845936">
        <w:tc>
          <w:tcPr>
            <w:tcW w:w="9194" w:type="dxa"/>
            <w:gridSpan w:val="3"/>
            <w:vAlign w:val="center"/>
          </w:tcPr>
          <w:p w14:paraId="77BC9BEF" w14:textId="77777777" w:rsidR="00193E45" w:rsidRPr="00990A6C" w:rsidRDefault="00193E45" w:rsidP="00912A6D">
            <w:pPr>
              <w:jc w:val="center"/>
            </w:pPr>
            <w:r w:rsidRPr="00990A6C">
              <w:rPr>
                <w:b/>
              </w:rPr>
              <w:t>I. Tiesību akta projekta izstrādes nepieciešamība</w:t>
            </w:r>
          </w:p>
        </w:tc>
      </w:tr>
      <w:tr w:rsidR="00193E45" w:rsidRPr="00990A6C" w14:paraId="0F18AE8A" w14:textId="77777777" w:rsidTr="00845936">
        <w:trPr>
          <w:trHeight w:val="439"/>
        </w:trPr>
        <w:tc>
          <w:tcPr>
            <w:tcW w:w="524" w:type="dxa"/>
          </w:tcPr>
          <w:p w14:paraId="22E12C72" w14:textId="77777777" w:rsidR="00193E45" w:rsidRPr="00990A6C" w:rsidRDefault="00193E45" w:rsidP="00912A6D">
            <w:pPr>
              <w:ind w:left="57" w:right="57"/>
            </w:pPr>
            <w:r w:rsidRPr="00990A6C">
              <w:t> 1.</w:t>
            </w:r>
          </w:p>
        </w:tc>
        <w:tc>
          <w:tcPr>
            <w:tcW w:w="3177" w:type="dxa"/>
          </w:tcPr>
          <w:p w14:paraId="3372D227" w14:textId="77777777" w:rsidR="00193E45" w:rsidRPr="00990A6C" w:rsidRDefault="00193E45" w:rsidP="00912A6D">
            <w:pPr>
              <w:ind w:left="57" w:right="57"/>
              <w:jc w:val="both"/>
            </w:pPr>
            <w:r w:rsidRPr="00990A6C">
              <w:t>Pamatojums</w:t>
            </w:r>
          </w:p>
        </w:tc>
        <w:tc>
          <w:tcPr>
            <w:tcW w:w="5493" w:type="dxa"/>
          </w:tcPr>
          <w:p w14:paraId="56F4F99C" w14:textId="21404618" w:rsidR="00193E45" w:rsidRPr="00990A6C" w:rsidRDefault="00193E45" w:rsidP="00990A6C">
            <w:pPr>
              <w:ind w:left="57" w:right="57"/>
              <w:jc w:val="both"/>
            </w:pPr>
            <w:r w:rsidRPr="00990A6C">
              <w:t xml:space="preserve">Ministru kabineta noteikumu projekts </w:t>
            </w:r>
            <w:r w:rsidR="0032711D" w:rsidRPr="00990A6C">
              <w:t>„</w:t>
            </w:r>
            <w:r w:rsidR="00B34440" w:rsidRPr="00990A6C">
              <w:t xml:space="preserve">Noteikumi par prasībām </w:t>
            </w:r>
            <w:proofErr w:type="spellStart"/>
            <w:r w:rsidR="00B34440" w:rsidRPr="00990A6C">
              <w:t>biometāna</w:t>
            </w:r>
            <w:proofErr w:type="spellEnd"/>
            <w:r w:rsidR="00B34440" w:rsidRPr="00990A6C">
              <w:t xml:space="preserve">, gāzveida stāvoklī  esošā ūdeņraža, </w:t>
            </w:r>
            <w:proofErr w:type="spellStart"/>
            <w:r w:rsidR="00B34440" w:rsidRPr="00990A6C">
              <w:t>dekarbonizēto</w:t>
            </w:r>
            <w:proofErr w:type="spellEnd"/>
            <w:r w:rsidR="00B34440" w:rsidRPr="00990A6C">
              <w:t xml:space="preserve"> sintētisko gāzu un gāzveida stāvoklī pārvērstas sašķidrinātās dabasgāzes ievadīšanai un transportēšanai dabasgāzes pārvades un sadales sistēmā”</w:t>
            </w:r>
            <w:r w:rsidR="0032711D" w:rsidRPr="00990A6C">
              <w:t xml:space="preserve"> </w:t>
            </w:r>
            <w:r w:rsidRPr="00990A6C">
              <w:t xml:space="preserve">(turpmāk – </w:t>
            </w:r>
            <w:r w:rsidR="00CA2D4F" w:rsidRPr="00990A6C">
              <w:t>noteikumu projekts</w:t>
            </w:r>
            <w:r w:rsidRPr="00990A6C">
              <w:t xml:space="preserve">) tiek </w:t>
            </w:r>
            <w:r w:rsidR="00D97223" w:rsidRPr="00990A6C">
              <w:t>izdot</w:t>
            </w:r>
            <w:r w:rsidR="00CA2D4F" w:rsidRPr="00990A6C">
              <w:t>s</w:t>
            </w:r>
            <w:r w:rsidR="00D97223" w:rsidRPr="00990A6C">
              <w:t xml:space="preserve"> </w:t>
            </w:r>
            <w:r w:rsidRPr="00990A6C">
              <w:t xml:space="preserve">saskaņā ar </w:t>
            </w:r>
            <w:r w:rsidR="00D97223" w:rsidRPr="00990A6C">
              <w:rPr>
                <w:rFonts w:eastAsia="SimSun"/>
                <w:lang w:eastAsia="zh-CN"/>
              </w:rPr>
              <w:t xml:space="preserve">Enerģētikas </w:t>
            </w:r>
            <w:r w:rsidRPr="00990A6C">
              <w:rPr>
                <w:rFonts w:eastAsia="SimSun"/>
                <w:lang w:eastAsia="zh-CN"/>
              </w:rPr>
              <w:t xml:space="preserve">likuma </w:t>
            </w:r>
            <w:r w:rsidR="00126A07" w:rsidRPr="00990A6C">
              <w:rPr>
                <w:rFonts w:eastAsia="SimSun"/>
                <w:lang w:eastAsia="zh-CN"/>
              </w:rPr>
              <w:t>110.</w:t>
            </w:r>
            <w:r w:rsidR="00D97223" w:rsidRPr="00990A6C">
              <w:rPr>
                <w:rFonts w:eastAsia="SimSun"/>
                <w:vertAlign w:val="superscript"/>
                <w:lang w:eastAsia="zh-CN"/>
              </w:rPr>
              <w:t xml:space="preserve"> </w:t>
            </w:r>
            <w:r w:rsidRPr="00990A6C">
              <w:rPr>
                <w:rFonts w:eastAsia="SimSun"/>
                <w:lang w:eastAsia="zh-CN"/>
              </w:rPr>
              <w:t xml:space="preserve">panta </w:t>
            </w:r>
            <w:r w:rsidR="00126A07" w:rsidRPr="00990A6C">
              <w:rPr>
                <w:rFonts w:eastAsia="SimSun"/>
                <w:lang w:eastAsia="zh-CN"/>
              </w:rPr>
              <w:t xml:space="preserve">sesto </w:t>
            </w:r>
            <w:r w:rsidR="0027214E" w:rsidRPr="00990A6C">
              <w:rPr>
                <w:rFonts w:eastAsia="SimSun"/>
                <w:lang w:eastAsia="zh-CN"/>
              </w:rPr>
              <w:t>daļu</w:t>
            </w:r>
            <w:r w:rsidR="00CA2D4F" w:rsidRPr="00990A6C">
              <w:rPr>
                <w:rFonts w:eastAsia="SimSun"/>
                <w:lang w:eastAsia="zh-CN"/>
              </w:rPr>
              <w:t xml:space="preserve">, kas paredz, ka </w:t>
            </w:r>
            <w:r w:rsidR="008C440F" w:rsidRPr="00990A6C">
              <w:t>Ministru kabinets nosaka tehniskās un drošības prasības, kā arī gāzes kvalitātes raksturlielumus, lai gāzes ievadīšana un transportēšana dabasgā</w:t>
            </w:r>
            <w:r w:rsidR="00711003" w:rsidRPr="00990A6C">
              <w:t>zes pārvades</w:t>
            </w:r>
            <w:r w:rsidR="00126A07" w:rsidRPr="00990A6C">
              <w:t xml:space="preserve"> un sadales</w:t>
            </w:r>
            <w:r w:rsidR="00711003" w:rsidRPr="00990A6C">
              <w:t xml:space="preserve"> sistēmā </w:t>
            </w:r>
            <w:r w:rsidR="00126A07" w:rsidRPr="00990A6C">
              <w:t xml:space="preserve">(turpmāk – dabasgāzes sistēma) </w:t>
            </w:r>
            <w:r w:rsidR="00711003" w:rsidRPr="00990A6C">
              <w:t>būtu droša</w:t>
            </w:r>
            <w:r w:rsidR="008C440F" w:rsidRPr="00990A6C">
              <w:t>.</w:t>
            </w:r>
            <w:r w:rsidR="00F3693C">
              <w:t xml:space="preserve"> </w:t>
            </w:r>
          </w:p>
        </w:tc>
      </w:tr>
      <w:tr w:rsidR="00193E45" w:rsidRPr="00990A6C" w14:paraId="3F54B3DA" w14:textId="77777777" w:rsidTr="00845936">
        <w:trPr>
          <w:trHeight w:val="977"/>
        </w:trPr>
        <w:tc>
          <w:tcPr>
            <w:tcW w:w="524" w:type="dxa"/>
          </w:tcPr>
          <w:p w14:paraId="40ECA7F1" w14:textId="77777777" w:rsidR="00193E45" w:rsidRPr="00990A6C" w:rsidRDefault="00193E45" w:rsidP="00912A6D">
            <w:pPr>
              <w:ind w:left="57" w:right="57"/>
            </w:pPr>
            <w:r w:rsidRPr="00990A6C">
              <w:t> 2.</w:t>
            </w:r>
          </w:p>
        </w:tc>
        <w:tc>
          <w:tcPr>
            <w:tcW w:w="3177" w:type="dxa"/>
          </w:tcPr>
          <w:p w14:paraId="51F3B126" w14:textId="77777777" w:rsidR="00193E45" w:rsidRPr="00990A6C" w:rsidRDefault="00193E45" w:rsidP="00912A6D">
            <w:pPr>
              <w:ind w:left="57" w:right="57"/>
              <w:jc w:val="both"/>
            </w:pPr>
            <w:r w:rsidRPr="00990A6C">
              <w:t>Pašreizējā situācija un problēmas, kuru risināšanai tiesību akta projekts izstrādāts, tiesiskā regulējuma mērķis un būtība</w:t>
            </w:r>
          </w:p>
        </w:tc>
        <w:tc>
          <w:tcPr>
            <w:tcW w:w="5493" w:type="dxa"/>
          </w:tcPr>
          <w:p w14:paraId="359C118C" w14:textId="458E42F2" w:rsidR="00F3693C" w:rsidRDefault="00F3693C" w:rsidP="007D5EDF">
            <w:pPr>
              <w:pStyle w:val="naiskr"/>
              <w:ind w:left="57" w:right="57"/>
              <w:jc w:val="both"/>
            </w:pPr>
            <w:r>
              <w:t xml:space="preserve">Eiropas Komisija </w:t>
            </w:r>
            <w:r w:rsidR="0070698A">
              <w:t xml:space="preserve">(turpmāk – Komisija) </w:t>
            </w:r>
            <w:r>
              <w:t>šobrīd izstrādā tādu politisko ietvaru, kas veicinātu dabasgāzes aizstāšanu ar atjaunojamo energoresursu (turpmāk – AER) un zema oglekļa satura gāzēm, kā arī pakāpeniski pārtrauktu fosilo gāzu izmantošanu</w:t>
            </w:r>
            <w:r w:rsidR="00AA03B6">
              <w:t xml:space="preserve">. Konstatēts, ka šī brīža </w:t>
            </w:r>
            <w:r w:rsidR="00AA03B6" w:rsidRPr="00AA03B6">
              <w:t>regulatīvais ietvars nenodrošina vienlīdzīgus konkurences apstākļus AER, zema oglekļa satura gāzu un dabasgāzes starpā, radot draudus klimatam draudzīgiem biznesa modeļiem, tādējādi palielinot izmaksas E</w:t>
            </w:r>
            <w:r w:rsidR="00AA03B6">
              <w:t>iropas Savienības (turpmāk – ES)</w:t>
            </w:r>
            <w:r w:rsidR="00AA03B6" w:rsidRPr="00AA03B6">
              <w:t xml:space="preserve"> klimata mērķu sasniegšanai.</w:t>
            </w:r>
            <w:r>
              <w:t xml:space="preserve"> Līdz ar to šobrīd tiek pārskatīta </w:t>
            </w:r>
            <w:r w:rsidR="00405762">
              <w:t xml:space="preserve">Eiropas Parlamenta un Padomes 2009. gada 13. jūlija Direktīva </w:t>
            </w:r>
            <w:r w:rsidR="00405762" w:rsidRPr="00405762">
              <w:t xml:space="preserve">2009/73/EK </w:t>
            </w:r>
            <w:r w:rsidR="00405762">
              <w:t xml:space="preserve">par kopīgiem noteikumiem attiecībā uz dabasgāzes iekšējo tirgu </w:t>
            </w:r>
            <w:r w:rsidR="00405762" w:rsidRPr="00405762">
              <w:t>un par Direktīvas 2003/55/EK</w:t>
            </w:r>
            <w:r w:rsidR="00405762">
              <w:t xml:space="preserve"> </w:t>
            </w:r>
            <w:r w:rsidR="00405762" w:rsidRPr="00405762">
              <w:t>atcelšanu</w:t>
            </w:r>
            <w:r w:rsidR="00405762">
              <w:t>, kā arī</w:t>
            </w:r>
            <w:r w:rsidR="00405762" w:rsidRPr="00405762">
              <w:t xml:space="preserve"> </w:t>
            </w:r>
            <w:r w:rsidR="00405762">
              <w:t>Eiropas Parlamenta un Padomes 2017. gada 25. oktobra Regula</w:t>
            </w:r>
            <w:r w:rsidR="00405762" w:rsidRPr="00405762">
              <w:t xml:space="preserve"> 2017/1938</w:t>
            </w:r>
            <w:r w:rsidR="00405762">
              <w:t>/ES par gāzes piegādes drošības aizsardzības pasākumiem un ar ko atceļ Regulu Nr. 994/2010</w:t>
            </w:r>
            <w:r w:rsidR="007D5EDF">
              <w:t xml:space="preserve">/ES. </w:t>
            </w:r>
            <w:r>
              <w:t xml:space="preserve">Tāpat arī paralēli tiek pārskatīta </w:t>
            </w:r>
            <w:r w:rsidR="007D5EDF">
              <w:t xml:space="preserve">Eiropas Parlamenta un Padomes 2013. gada 17. aprīļa Regula Nr. 347/2013/ES, ar ko nosaka Eiropas </w:t>
            </w:r>
            <w:proofErr w:type="spellStart"/>
            <w:r w:rsidR="007D5EDF">
              <w:t>energoinfrastruktūras</w:t>
            </w:r>
            <w:proofErr w:type="spellEnd"/>
            <w:r w:rsidR="007D5EDF">
              <w:t xml:space="preserve"> </w:t>
            </w:r>
            <w:proofErr w:type="spellStart"/>
            <w:r w:rsidR="007D5EDF">
              <w:t>pamatnostādes</w:t>
            </w:r>
            <w:proofErr w:type="spellEnd"/>
            <w:r w:rsidR="007D5EDF">
              <w:t xml:space="preserve"> un atceļ Lēmumu Nr. 1364/2006/EK, groza Regulu  </w:t>
            </w:r>
            <w:r w:rsidR="007D5EDF" w:rsidRPr="007D5EDF">
              <w:t>Nr.</w:t>
            </w:r>
            <w:r w:rsidR="007D5EDF">
              <w:t> </w:t>
            </w:r>
            <w:r w:rsidR="007D5EDF" w:rsidRPr="007D5EDF">
              <w:t>713/2009</w:t>
            </w:r>
            <w:r w:rsidR="007D5EDF">
              <w:t xml:space="preserve">/EK, Regulu </w:t>
            </w:r>
            <w:r w:rsidR="007D5EDF" w:rsidRPr="007D5EDF">
              <w:t>Nr.</w:t>
            </w:r>
            <w:r w:rsidR="007D5EDF">
              <w:t> </w:t>
            </w:r>
            <w:r w:rsidR="007D5EDF" w:rsidRPr="007D5EDF">
              <w:t>714/2009</w:t>
            </w:r>
            <w:r w:rsidR="007D5EDF">
              <w:t>/EK un Regulu Nr. </w:t>
            </w:r>
            <w:r w:rsidR="007D5EDF" w:rsidRPr="007D5EDF">
              <w:t>715/2009</w:t>
            </w:r>
            <w:r w:rsidR="007D5EDF">
              <w:t>/EK</w:t>
            </w:r>
            <w:r>
              <w:t>, kas tika publicēta 2020.</w:t>
            </w:r>
            <w:r w:rsidR="00AA03B6">
              <w:t> </w:t>
            </w:r>
            <w:r>
              <w:t xml:space="preserve">gada decembrī, kas galvenokārt koncentrējas uz </w:t>
            </w:r>
            <w:r w:rsidR="00946B12">
              <w:t xml:space="preserve">inovatīvu tehnoloģiju un infrastruktūras veicināšanu, piemēram, viedo tīklu, ūdeņraža tīklu vai oglekļa uztveršanas, uzglabāšanas un izmantošanas, enerģijas uzglabāšanas ieviešanu, vienlaikus nodrošinot nozares integrāciju.  </w:t>
            </w:r>
            <w:r w:rsidR="00491989">
              <w:t>Būtiski radīt tādu</w:t>
            </w:r>
            <w:r>
              <w:t xml:space="preserve"> pārrobežu infrastruktūr</w:t>
            </w:r>
            <w:r w:rsidR="00491989">
              <w:t>u</w:t>
            </w:r>
            <w:r>
              <w:t xml:space="preserve">, kas būtu gatava </w:t>
            </w:r>
            <w:proofErr w:type="spellStart"/>
            <w:r>
              <w:t>dekarbonizētu</w:t>
            </w:r>
            <w:proofErr w:type="spellEnd"/>
            <w:r>
              <w:t xml:space="preserve"> gāzu un CO</w:t>
            </w:r>
            <w:r w:rsidRPr="00F3693C">
              <w:rPr>
                <w:vertAlign w:val="superscript"/>
              </w:rPr>
              <w:t>2</w:t>
            </w:r>
            <w:r>
              <w:t xml:space="preserve"> transportēšanai. </w:t>
            </w:r>
          </w:p>
          <w:p w14:paraId="2EA3D9D3" w14:textId="7804D061" w:rsidR="0070698A" w:rsidRDefault="00F3693C" w:rsidP="00F3693C">
            <w:pPr>
              <w:pStyle w:val="naiskr"/>
              <w:spacing w:before="0" w:after="0"/>
              <w:ind w:left="57" w:right="57"/>
              <w:jc w:val="both"/>
            </w:pPr>
            <w:r>
              <w:t xml:space="preserve">Šo reformu pamatā uzsvars ir uz godīgu konkurenci integrētas enerģijas sistēmas kontekstā, kas vienlaikus </w:t>
            </w:r>
            <w:r>
              <w:lastRenderedPageBreak/>
              <w:t xml:space="preserve">iekļauj tādas AER un zema oglekļa satura gāzes kā ūdeņradis un </w:t>
            </w:r>
            <w:proofErr w:type="spellStart"/>
            <w:r>
              <w:t>biometānu</w:t>
            </w:r>
            <w:proofErr w:type="spellEnd"/>
            <w:r>
              <w:t xml:space="preserve"> vai arī oglekļa uztveršanas, izmantošanas un uzglabāšanas tehnoloģijas, lai sasniegtu enerģētikas un klimata mērķus. </w:t>
            </w:r>
          </w:p>
          <w:p w14:paraId="27E750A2" w14:textId="183A7406" w:rsidR="00E856D1" w:rsidRDefault="0070698A" w:rsidP="00E856D1">
            <w:pPr>
              <w:pStyle w:val="naiskr"/>
              <w:spacing w:before="0" w:after="0"/>
              <w:ind w:left="57" w:right="57"/>
              <w:jc w:val="both"/>
            </w:pPr>
            <w:r>
              <w:t xml:space="preserve">Šajā kontekstā arī </w:t>
            </w:r>
            <w:r w:rsidRPr="0070698A">
              <w:t xml:space="preserve">Latvija atbalsta ūdeņraža kā perspektīva </w:t>
            </w:r>
            <w:proofErr w:type="spellStart"/>
            <w:r w:rsidRPr="0070698A">
              <w:t>klimatneitralitātes</w:t>
            </w:r>
            <w:proofErr w:type="spellEnd"/>
            <w:r w:rsidRPr="0070698A">
              <w:t xml:space="preserve"> mērķu sasniegšanai energoresursa attīstības stratēģijas tiešu sasaisti ar dabasgāzes nozares dekarbonizāciju. Lai pielāgotu gāzes regulatīvo satvaru, Latvijai ir svarīgi</w:t>
            </w:r>
            <w:r w:rsidR="007D5EDF">
              <w:t xml:space="preserve"> </w:t>
            </w:r>
            <w:r w:rsidRPr="0070698A">
              <w:t xml:space="preserve">pārskatīt tiesisko satvaru nolūkā izveidot konkurētspējīgu </w:t>
            </w:r>
            <w:proofErr w:type="spellStart"/>
            <w:r w:rsidRPr="0070698A">
              <w:t>dekarbonizētu</w:t>
            </w:r>
            <w:proofErr w:type="spellEnd"/>
            <w:r w:rsidRPr="0070698A">
              <w:t xml:space="preserve"> gāzes tirgu, kas būtu piemērots atjaunojamajām gāzēm.</w:t>
            </w:r>
            <w:r>
              <w:t xml:space="preserve"> </w:t>
            </w:r>
            <w:r w:rsidR="00E856D1">
              <w:t>Tāpat arī</w:t>
            </w:r>
            <w:r w:rsidR="00E856D1" w:rsidRPr="00E856D1">
              <w:t xml:space="preserve"> uzmanība jāpievērš regulatīvo šķēršļu likvidēšanai un starpnozaru priekšrocībām, ko potenciāli varētu nodrošināt atjaunojamo un zema oglekļa satura gāzu ievadīšana esošajā infrastruktūrā.</w:t>
            </w:r>
          </w:p>
          <w:p w14:paraId="1581B98A" w14:textId="311C7C73" w:rsidR="00E856D1" w:rsidRDefault="00E856D1" w:rsidP="00E856D1">
            <w:pPr>
              <w:pStyle w:val="naiskr"/>
              <w:spacing w:before="0" w:after="0"/>
              <w:ind w:left="57" w:right="57"/>
              <w:jc w:val="both"/>
            </w:pPr>
            <w:r w:rsidRPr="00E856D1">
              <w:t xml:space="preserve">Komisijai </w:t>
            </w:r>
            <w:r w:rsidR="007B466F">
              <w:t xml:space="preserve">2020. gada jūlijā </w:t>
            </w:r>
            <w:r w:rsidRPr="00E856D1">
              <w:t xml:space="preserve">pieņemot </w:t>
            </w:r>
            <w:r w:rsidR="007B466F">
              <w:t xml:space="preserve">“Ūdeņraža </w:t>
            </w:r>
            <w:r w:rsidRPr="00E856D1">
              <w:t>stratēģiju</w:t>
            </w:r>
            <w:r w:rsidR="007B466F">
              <w:t xml:space="preserve"> </w:t>
            </w:r>
            <w:proofErr w:type="spellStart"/>
            <w:r w:rsidR="007B466F">
              <w:t>klimatneitrālai</w:t>
            </w:r>
            <w:proofErr w:type="spellEnd"/>
            <w:r w:rsidR="007B466F">
              <w:t xml:space="preserve"> Eiropai”</w:t>
            </w:r>
            <w:r w:rsidRPr="00E856D1">
              <w:t xml:space="preserve">, ES dalībvalsts tīkliem tiek piešķirta ūdeņraža un </w:t>
            </w:r>
            <w:proofErr w:type="spellStart"/>
            <w:r w:rsidRPr="00E856D1">
              <w:t>dekarbonizēto</w:t>
            </w:r>
            <w:proofErr w:type="spellEnd"/>
            <w:r w:rsidRPr="00E856D1">
              <w:t xml:space="preserve"> sintētisko gāzu transportēšanas “mugurkaula” loma. Latvija atbalsta “zaļās” elektroenerģijas ražošanu vēja parkos, un, ņemot vērā zināmu saražotās elektroenerģijas fluktuāciju atkarībā no vēja intensitātes, ir paredzēts daļu no “zaļās” elektroenerģijas pārvērst citā energonesējā – ūdeņradī, kura transportēšanai (sākotnēji gan ļoti ierobežotā apjomā) līdz 2% no kopējā transportējamās gāzes apjoma ir paredzēts izmantot esošos dabasgāzes tīklus.  </w:t>
            </w:r>
          </w:p>
          <w:p w14:paraId="0CDFEE87" w14:textId="2D49CDF5" w:rsidR="007D4345" w:rsidRPr="00990A6C" w:rsidRDefault="00CC2D72" w:rsidP="00F3693C">
            <w:pPr>
              <w:pStyle w:val="naiskr"/>
              <w:spacing w:before="0" w:after="0"/>
              <w:ind w:left="57" w:right="57"/>
              <w:jc w:val="both"/>
            </w:pPr>
            <w:r w:rsidRPr="00990A6C">
              <w:t xml:space="preserve">Pašlaik </w:t>
            </w:r>
            <w:r w:rsidR="00CA7B65" w:rsidRPr="00990A6C">
              <w:t xml:space="preserve">spēkā ir Ministru kabineta </w:t>
            </w:r>
            <w:r w:rsidR="00F11FA5" w:rsidRPr="00990A6C">
              <w:t>2016.</w:t>
            </w:r>
            <w:r w:rsidR="00990A6C">
              <w:t> </w:t>
            </w:r>
            <w:r w:rsidR="00F11FA5" w:rsidRPr="00990A6C">
              <w:t>gada 4.</w:t>
            </w:r>
            <w:r w:rsidR="00990A6C">
              <w:t> </w:t>
            </w:r>
            <w:r w:rsidR="00F11FA5" w:rsidRPr="00990A6C">
              <w:t xml:space="preserve">oktobra </w:t>
            </w:r>
            <w:r w:rsidR="00CA7B65" w:rsidRPr="00990A6C">
              <w:t>noteikumi Nr.</w:t>
            </w:r>
            <w:r w:rsidR="00990A6C">
              <w:t> </w:t>
            </w:r>
            <w:r w:rsidR="00B34440" w:rsidRPr="00990A6C">
              <w:t>650</w:t>
            </w:r>
            <w:r w:rsidR="00CA7B65" w:rsidRPr="00990A6C">
              <w:t xml:space="preserve"> “</w:t>
            </w:r>
            <w:r w:rsidR="00F11FA5" w:rsidRPr="00990A6C">
              <w:t xml:space="preserve">Prasības </w:t>
            </w:r>
            <w:proofErr w:type="spellStart"/>
            <w:r w:rsidR="00F11FA5" w:rsidRPr="00990A6C">
              <w:t>biometāna</w:t>
            </w:r>
            <w:proofErr w:type="spellEnd"/>
            <w:r w:rsidR="00F11FA5" w:rsidRPr="00990A6C">
              <w:t xml:space="preserve"> un gāzveida stāvoklī pārvērstas sašķidrinātās dabasgāzes ievadīšanai un transportēšanai dabasgāzes pārvades un sadales sistēmā</w:t>
            </w:r>
            <w:r w:rsidR="00CA7B65" w:rsidRPr="00990A6C">
              <w:t>”</w:t>
            </w:r>
            <w:r w:rsidR="007D4345" w:rsidRPr="00990A6C">
              <w:t xml:space="preserve">, kas nosaka prasības </w:t>
            </w:r>
            <w:proofErr w:type="spellStart"/>
            <w:r w:rsidR="007D4345" w:rsidRPr="00990A6C">
              <w:t>biometāna</w:t>
            </w:r>
            <w:proofErr w:type="spellEnd"/>
            <w:r w:rsidR="007D4345" w:rsidRPr="00990A6C">
              <w:t xml:space="preserve">, kā arī gāzveida stāvoklī pārvērstas sašķidrinātās dabasgāzes ievadīšanai un transportēšanai dabasgāzes pārvades </w:t>
            </w:r>
            <w:r w:rsidR="00F11FA5" w:rsidRPr="00990A6C">
              <w:t xml:space="preserve">un sadales </w:t>
            </w:r>
            <w:r w:rsidR="007D4345" w:rsidRPr="00990A6C">
              <w:t xml:space="preserve">sistēmā.    </w:t>
            </w:r>
          </w:p>
          <w:p w14:paraId="05CE5DDB" w14:textId="5A1B339D" w:rsidR="00F51BEB" w:rsidRPr="00990A6C" w:rsidRDefault="00CC2D72" w:rsidP="00E856D1">
            <w:pPr>
              <w:pStyle w:val="naiskr"/>
              <w:spacing w:before="0" w:after="0"/>
              <w:ind w:left="57" w:right="57"/>
              <w:jc w:val="both"/>
            </w:pPr>
            <w:r w:rsidRPr="00990A6C">
              <w:t xml:space="preserve">Noteikumu projekts </w:t>
            </w:r>
            <w:r w:rsidR="007D4345" w:rsidRPr="00990A6C">
              <w:t>aizvieto</w:t>
            </w:r>
            <w:r w:rsidR="000D46AA" w:rsidRPr="00990A6C">
              <w:t xml:space="preserve"> </w:t>
            </w:r>
            <w:r w:rsidR="00F11FA5" w:rsidRPr="00990A6C">
              <w:t>2016.</w:t>
            </w:r>
            <w:r w:rsidR="00990A6C">
              <w:t> </w:t>
            </w:r>
            <w:r w:rsidR="00F11FA5" w:rsidRPr="00990A6C">
              <w:t>gada 4.</w:t>
            </w:r>
            <w:r w:rsidR="00990A6C">
              <w:t> </w:t>
            </w:r>
            <w:r w:rsidR="00F11FA5" w:rsidRPr="00990A6C">
              <w:t xml:space="preserve">oktobrī pieņemtos noteikumus Nr. 650 “Prasības </w:t>
            </w:r>
            <w:proofErr w:type="spellStart"/>
            <w:r w:rsidR="00F11FA5" w:rsidRPr="00990A6C">
              <w:t>biometāna</w:t>
            </w:r>
            <w:proofErr w:type="spellEnd"/>
            <w:r w:rsidR="00F11FA5" w:rsidRPr="00990A6C">
              <w:t xml:space="preserve"> un gāzveida stāvoklī pārvērstas sašķidrinātās dabasgāzes ievadīšanai un transportēšanai dabasgāzes pārvades un sadales sistēmā”</w:t>
            </w:r>
            <w:r w:rsidR="002129DF" w:rsidRPr="00990A6C">
              <w:t xml:space="preserve">, </w:t>
            </w:r>
            <w:r w:rsidR="00F11FA5" w:rsidRPr="00990A6C">
              <w:t xml:space="preserve">nosaka  </w:t>
            </w:r>
            <w:r w:rsidRPr="00990A6C">
              <w:t xml:space="preserve">tehniskās un drošības prasības </w:t>
            </w:r>
            <w:r w:rsidR="00F11FA5" w:rsidRPr="00990A6C">
              <w:t xml:space="preserve">ne tikai </w:t>
            </w:r>
            <w:proofErr w:type="spellStart"/>
            <w:r w:rsidRPr="00990A6C">
              <w:t>biometāna</w:t>
            </w:r>
            <w:r w:rsidR="00F11FA5" w:rsidRPr="00990A6C">
              <w:t>m</w:t>
            </w:r>
            <w:proofErr w:type="spellEnd"/>
            <w:r w:rsidRPr="00990A6C">
              <w:t>, kā arī gāzveida stāvoklī pārvērstas sašķidrinātās dabasgāzes ievadīšanai un transportēšanai dabasgāzes sistēmā</w:t>
            </w:r>
            <w:r w:rsidR="00B31909" w:rsidRPr="00990A6C">
              <w:t>,</w:t>
            </w:r>
            <w:r w:rsidR="00F11FA5" w:rsidRPr="00990A6C">
              <w:t xml:space="preserve"> bet arī gāzveida stāvoklī esošam ūdeņradim un </w:t>
            </w:r>
            <w:proofErr w:type="spellStart"/>
            <w:r w:rsidR="00F11FA5" w:rsidRPr="00990A6C">
              <w:t>dekarbonizētām</w:t>
            </w:r>
            <w:proofErr w:type="spellEnd"/>
            <w:r w:rsidR="00F11FA5" w:rsidRPr="00990A6C">
              <w:t xml:space="preserve"> sintētiskām gāzēm</w:t>
            </w:r>
            <w:r w:rsidRPr="00990A6C">
              <w:t xml:space="preserve">, kā arī </w:t>
            </w:r>
            <w:r w:rsidR="00F11FA5" w:rsidRPr="00990A6C">
              <w:t xml:space="preserve">papildina </w:t>
            </w:r>
            <w:r w:rsidRPr="00990A6C">
              <w:t>gāzes kvalitātes raksturlielumus,</w:t>
            </w:r>
            <w:r w:rsidR="00F11FA5" w:rsidRPr="00990A6C">
              <w:t xml:space="preserve"> </w:t>
            </w:r>
            <w:r w:rsidRPr="00990A6C">
              <w:t>lai gāzes ievadīšana</w:t>
            </w:r>
            <w:r w:rsidR="00F11FA5" w:rsidRPr="00990A6C">
              <w:t>s</w:t>
            </w:r>
            <w:r w:rsidRPr="00990A6C">
              <w:t xml:space="preserve"> un transportēšana</w:t>
            </w:r>
            <w:r w:rsidR="00F11FA5" w:rsidRPr="00990A6C">
              <w:t>s</w:t>
            </w:r>
            <w:r w:rsidRPr="00990A6C">
              <w:t xml:space="preserve"> dabasgāzes sistēmā </w:t>
            </w:r>
            <w:r w:rsidR="00F11FA5" w:rsidRPr="00990A6C">
              <w:t xml:space="preserve">procesi </w:t>
            </w:r>
            <w:r w:rsidRPr="00990A6C">
              <w:t>būtu droš</w:t>
            </w:r>
            <w:r w:rsidR="001D5AC1">
              <w:t>i</w:t>
            </w:r>
            <w:r w:rsidR="00F11FA5" w:rsidRPr="00990A6C">
              <w:t>, šos procesus vērtējot arī no ilgtspējas viedokļa</w:t>
            </w:r>
            <w:r w:rsidRPr="00990A6C">
              <w:t>.</w:t>
            </w:r>
          </w:p>
          <w:p w14:paraId="58F33F7F" w14:textId="515149B9" w:rsidR="005123A5" w:rsidRPr="00990A6C" w:rsidRDefault="00B31909" w:rsidP="00E856D1">
            <w:pPr>
              <w:pStyle w:val="naiskr"/>
              <w:spacing w:before="0" w:after="0"/>
              <w:ind w:left="57" w:right="57"/>
              <w:jc w:val="both"/>
            </w:pPr>
            <w:r w:rsidRPr="00990A6C">
              <w:t xml:space="preserve">Noteikumu projekta sagatavošanas gaitā tika </w:t>
            </w:r>
            <w:r w:rsidR="00990A6C">
              <w:t xml:space="preserve">rūpīgi </w:t>
            </w:r>
            <w:r w:rsidR="00ED1AB5" w:rsidRPr="00990A6C">
              <w:t xml:space="preserve">izvērtēta </w:t>
            </w:r>
            <w:r w:rsidR="00F11FA5" w:rsidRPr="00990A6C">
              <w:t>pastāvoš</w:t>
            </w:r>
            <w:r w:rsidR="002F7FFD" w:rsidRPr="00990A6C">
              <w:t>ā</w:t>
            </w:r>
            <w:r w:rsidR="00ED1AB5" w:rsidRPr="00990A6C">
              <w:t xml:space="preserve"> pieeja, ka </w:t>
            </w:r>
            <w:r w:rsidR="00F11FA5" w:rsidRPr="00990A6C">
              <w:t>d</w:t>
            </w:r>
            <w:r w:rsidR="00F51BEB" w:rsidRPr="00990A6C">
              <w:t xml:space="preserve">abasgāzes sistēmā </w:t>
            </w:r>
            <w:r w:rsidR="00F51BEB" w:rsidRPr="00990A6C">
              <w:lastRenderedPageBreak/>
              <w:t xml:space="preserve">ievadāmās un transportējamās </w:t>
            </w:r>
            <w:proofErr w:type="spellStart"/>
            <w:r w:rsidR="00AA39D7">
              <w:t>aizvietotāj</w:t>
            </w:r>
            <w:r w:rsidR="00F51BEB" w:rsidRPr="00990A6C">
              <w:t>gāzes</w:t>
            </w:r>
            <w:proofErr w:type="spellEnd"/>
            <w:r w:rsidR="00F51BEB" w:rsidRPr="00990A6C">
              <w:t xml:space="preserve"> kvalitātes raksturlielumi paredz atšķirīgas </w:t>
            </w:r>
            <w:r w:rsidR="00CE1061" w:rsidRPr="00990A6C">
              <w:t>robežvē</w:t>
            </w:r>
            <w:r w:rsidR="00990A6C">
              <w:t>r</w:t>
            </w:r>
            <w:r w:rsidR="00CE1061" w:rsidRPr="00990A6C">
              <w:t>tības</w:t>
            </w:r>
            <w:r w:rsidR="007C67E3" w:rsidRPr="00990A6C">
              <w:t xml:space="preserve"> dab</w:t>
            </w:r>
            <w:r w:rsidR="00F51BEB" w:rsidRPr="00990A6C">
              <w:t>asgāzes pārvades un sadales sistēmā</w:t>
            </w:r>
            <w:r w:rsidR="00CE1061" w:rsidRPr="00990A6C">
              <w:t xml:space="preserve"> iev</w:t>
            </w:r>
            <w:r w:rsidR="007C67E3" w:rsidRPr="00990A6C">
              <w:t>a</w:t>
            </w:r>
            <w:r w:rsidR="00CE1061" w:rsidRPr="00990A6C">
              <w:t xml:space="preserve">dāmai gāzei. </w:t>
            </w:r>
            <w:r w:rsidR="00ED1AB5" w:rsidRPr="00990A6C">
              <w:t>Neskatoties uz to, ka š</w:t>
            </w:r>
            <w:r w:rsidR="00CE1061" w:rsidRPr="00990A6C">
              <w:t xml:space="preserve">āda </w:t>
            </w:r>
            <w:proofErr w:type="spellStart"/>
            <w:r w:rsidR="00CE1061" w:rsidRPr="00990A6C">
              <w:t>gāzapgāde</w:t>
            </w:r>
            <w:r w:rsidR="007C67E3" w:rsidRPr="00990A6C">
              <w:t>s</w:t>
            </w:r>
            <w:proofErr w:type="spellEnd"/>
            <w:r w:rsidR="007C67E3" w:rsidRPr="00990A6C">
              <w:t xml:space="preserve"> prakse tiek pielietota vairākā</w:t>
            </w:r>
            <w:r w:rsidR="00CE1061" w:rsidRPr="00990A6C">
              <w:t xml:space="preserve">s </w:t>
            </w:r>
            <w:r w:rsidR="007B466F">
              <w:t>ES</w:t>
            </w:r>
            <w:r w:rsidR="00C419D8">
              <w:t xml:space="preserve"> </w:t>
            </w:r>
            <w:r w:rsidR="00CE1061" w:rsidRPr="00990A6C">
              <w:t>dalībvalstīs</w:t>
            </w:r>
            <w:r w:rsidR="00ED1AB5" w:rsidRPr="00990A6C">
              <w:t xml:space="preserve">, tomēr dabasgāzes reversās plūsmas potenciālai nodrošināšanai starp </w:t>
            </w:r>
            <w:r w:rsidRPr="00990A6C">
              <w:t xml:space="preserve">dabasgāzes </w:t>
            </w:r>
            <w:r w:rsidR="00ED1AB5" w:rsidRPr="00990A6C">
              <w:t xml:space="preserve">sadales tīkliem un </w:t>
            </w:r>
            <w:r w:rsidRPr="00990A6C">
              <w:t xml:space="preserve">dabasgāzes </w:t>
            </w:r>
            <w:r w:rsidR="00ED1AB5" w:rsidRPr="00990A6C">
              <w:t xml:space="preserve">pārvades tīkliem ir nepieciešams pa šiem tīkliem transportējamās gāzes kvalitātes robežlielumus noteikt pēc iespējas vienādus, īpaši attiecībā uz ūdeņraža </w:t>
            </w:r>
            <w:r w:rsidR="002F7FFD" w:rsidRPr="00990A6C">
              <w:t xml:space="preserve">īpatsvaru, lai nodrošinātu ūdeņraža ievadīšanu gan </w:t>
            </w:r>
            <w:r w:rsidR="00990A6C">
              <w:t xml:space="preserve">gāzes </w:t>
            </w:r>
            <w:r w:rsidR="002F7FFD" w:rsidRPr="00990A6C">
              <w:t>pārvades tīklos, gan sadales tīklos apjomos līdz 2% no kopējās transportējamās gāzes masas.</w:t>
            </w:r>
          </w:p>
          <w:p w14:paraId="06D7DA09" w14:textId="3606795D" w:rsidR="008E2BF2" w:rsidRPr="00990A6C" w:rsidRDefault="00B13568" w:rsidP="007B466F">
            <w:pPr>
              <w:pStyle w:val="naiskr"/>
              <w:spacing w:before="0" w:after="0"/>
              <w:ind w:left="57" w:right="57"/>
              <w:jc w:val="both"/>
            </w:pPr>
            <w:r w:rsidRPr="00990A6C">
              <w:t xml:space="preserve">Atbilstoši </w:t>
            </w:r>
            <w:r w:rsidR="00CE1061" w:rsidRPr="00990A6C">
              <w:t xml:space="preserve"> </w:t>
            </w:r>
            <w:r w:rsidRPr="00990A6C">
              <w:t>LVS EN 16726:2016 “Gāzes infrastruktūra. Gāzes kvalitāte. H grupa”</w:t>
            </w:r>
            <w:r w:rsidR="007E6F90" w:rsidRPr="00990A6C">
              <w:t xml:space="preserve"> standarta prasībām</w:t>
            </w:r>
            <w:r w:rsidR="00ED1AB5" w:rsidRPr="00990A6C">
              <w:t>,</w:t>
            </w:r>
            <w:r w:rsidR="007E6F90" w:rsidRPr="00990A6C">
              <w:t xml:space="preserve"> </w:t>
            </w:r>
            <w:r w:rsidR="00ED1AB5" w:rsidRPr="00990A6C">
              <w:t>d</w:t>
            </w:r>
            <w:r w:rsidR="007E6F90" w:rsidRPr="00990A6C">
              <w:t xml:space="preserve">abasgāzes sadales sistēmā ievadāmās un transportējamās gāzes </w:t>
            </w:r>
            <w:r w:rsidR="007E6F90" w:rsidRPr="00990A6C">
              <w:rPr>
                <w:rFonts w:eastAsia="Calibri"/>
                <w:snapToGrid w:val="0"/>
              </w:rPr>
              <w:t>O</w:t>
            </w:r>
            <w:r w:rsidR="007E6F90" w:rsidRPr="00990A6C">
              <w:rPr>
                <w:rFonts w:eastAsia="Calibri"/>
                <w:snapToGrid w:val="0"/>
                <w:vertAlign w:val="subscript"/>
              </w:rPr>
              <w:t xml:space="preserve">2 </w:t>
            </w:r>
            <w:r w:rsidR="007E6F90" w:rsidRPr="00990A6C">
              <w:rPr>
                <w:rFonts w:eastAsia="Calibri"/>
                <w:snapToGrid w:val="0"/>
              </w:rPr>
              <w:t>un</w:t>
            </w:r>
            <w:r w:rsidR="007E6F90" w:rsidRPr="00990A6C">
              <w:t xml:space="preserve"> CO</w:t>
            </w:r>
            <w:r w:rsidR="007E6F90" w:rsidRPr="00990A6C">
              <w:rPr>
                <w:vertAlign w:val="subscript"/>
              </w:rPr>
              <w:t>2</w:t>
            </w:r>
            <w:r w:rsidR="007E6F90" w:rsidRPr="00990A6C">
              <w:t xml:space="preserve"> </w:t>
            </w:r>
            <w:r w:rsidR="00F83E78" w:rsidRPr="00990A6C">
              <w:t>robežvērtības var atšķirties no pārvades sistēmā transportējamās gāzes atbilstošajām robežvērtībām</w:t>
            </w:r>
            <w:r w:rsidR="00ED1AB5" w:rsidRPr="00990A6C">
              <w:t xml:space="preserve">. </w:t>
            </w:r>
            <w:r w:rsidR="00BC4E46" w:rsidRPr="00990A6C">
              <w:t>Vienlaikus</w:t>
            </w:r>
            <w:r w:rsidR="00FC0635" w:rsidRPr="00990A6C">
              <w:t>, ņemot vērā augstāk minētos argumentus</w:t>
            </w:r>
            <w:r w:rsidR="00B31909" w:rsidRPr="00990A6C">
              <w:t>, noteikumu gatavošanas procesā</w:t>
            </w:r>
            <w:r w:rsidR="00FC0635" w:rsidRPr="00990A6C">
              <w:t xml:space="preserve"> </w:t>
            </w:r>
            <w:r w:rsidR="00A26BA0">
              <w:t xml:space="preserve">dabasgāzes </w:t>
            </w:r>
            <w:r w:rsidR="00FC0635" w:rsidRPr="00990A6C">
              <w:t xml:space="preserve">pārvades </w:t>
            </w:r>
            <w:r w:rsidR="00A26BA0">
              <w:t xml:space="preserve">sistēmas </w:t>
            </w:r>
            <w:r w:rsidR="00602599" w:rsidRPr="00990A6C">
              <w:t xml:space="preserve">un </w:t>
            </w:r>
            <w:r w:rsidR="00A26BA0">
              <w:t xml:space="preserve">dabasgāzes </w:t>
            </w:r>
            <w:r w:rsidR="00602599" w:rsidRPr="00990A6C">
              <w:t xml:space="preserve">sadales </w:t>
            </w:r>
            <w:r w:rsidR="00FC0635" w:rsidRPr="00990A6C">
              <w:t>sistēmas operator</w:t>
            </w:r>
            <w:r w:rsidR="00B31909" w:rsidRPr="00990A6C">
              <w:t xml:space="preserve">s </w:t>
            </w:r>
            <w:r w:rsidR="00A26BA0">
              <w:t>atbalstīja</w:t>
            </w:r>
            <w:r w:rsidR="00B31909" w:rsidRPr="00990A6C">
              <w:t xml:space="preserve"> ieceri </w:t>
            </w:r>
            <w:r w:rsidR="00FC0635" w:rsidRPr="00990A6C">
              <w:t xml:space="preserve">daļā no </w:t>
            </w:r>
            <w:r w:rsidR="00B31909" w:rsidRPr="00990A6C">
              <w:t>dabas</w:t>
            </w:r>
            <w:r w:rsidR="00FC0635" w:rsidRPr="00990A6C">
              <w:t xml:space="preserve">gāzes tīkliem pacelt pieļaujamo </w:t>
            </w:r>
            <w:r w:rsidR="00FC0635" w:rsidRPr="00990A6C">
              <w:rPr>
                <w:rFonts w:eastAsia="Calibri"/>
                <w:snapToGrid w:val="0"/>
              </w:rPr>
              <w:t>O</w:t>
            </w:r>
            <w:r w:rsidR="00FC0635" w:rsidRPr="00990A6C">
              <w:rPr>
                <w:rFonts w:eastAsia="Calibri"/>
                <w:snapToGrid w:val="0"/>
                <w:vertAlign w:val="subscript"/>
              </w:rPr>
              <w:t xml:space="preserve">2 </w:t>
            </w:r>
            <w:r w:rsidR="00FC0635" w:rsidRPr="00990A6C">
              <w:t>daudzumu līdz 1%.</w:t>
            </w:r>
            <w:r w:rsidR="00BC4E46" w:rsidRPr="00990A6C">
              <w:t xml:space="preserve"> </w:t>
            </w:r>
            <w:r w:rsidR="008E2BF2" w:rsidRPr="00990A6C">
              <w:t>Noteikumu projekta sagatavošanas gaitā tika konstatēta nepieciešamība noteikt propāna, kā arī butān</w:t>
            </w:r>
            <w:r w:rsidR="00A26BA0">
              <w:t>a</w:t>
            </w:r>
            <w:r w:rsidR="008E2BF2" w:rsidRPr="00990A6C">
              <w:t xml:space="preserve"> un augstāko ogļūdeņražu robežvērtības </w:t>
            </w:r>
            <w:proofErr w:type="spellStart"/>
            <w:r w:rsidR="008E2BF2" w:rsidRPr="00990A6C">
              <w:t>aizvietotājgāzē</w:t>
            </w:r>
            <w:proofErr w:type="spellEnd"/>
            <w:r w:rsidR="008E2BF2" w:rsidRPr="00990A6C">
              <w:t>, kā arī not</w:t>
            </w:r>
            <w:r w:rsidR="00223911">
              <w:t>ei</w:t>
            </w:r>
            <w:r w:rsidR="008E2BF2" w:rsidRPr="00990A6C">
              <w:t xml:space="preserve">kta nepieciešamība kontrolēt šo robežvērtību aktuālos lielumus </w:t>
            </w:r>
            <w:proofErr w:type="spellStart"/>
            <w:r w:rsidR="008E2BF2" w:rsidRPr="00990A6C">
              <w:t>aizv</w:t>
            </w:r>
            <w:r w:rsidR="00223911">
              <w:t>i</w:t>
            </w:r>
            <w:r w:rsidR="008E2BF2" w:rsidRPr="00990A6C">
              <w:t>etotājgāzes</w:t>
            </w:r>
            <w:proofErr w:type="spellEnd"/>
            <w:r w:rsidR="008E2BF2" w:rsidRPr="00990A6C">
              <w:t xml:space="preserve"> ievadīšanas procesā</w:t>
            </w:r>
            <w:r w:rsidR="00FE01FE">
              <w:t xml:space="preserve">. </w:t>
            </w:r>
            <w:r w:rsidR="00FE01FE" w:rsidRPr="00FE01FE">
              <w:t xml:space="preserve">Šie rādītāji var būt svarīgi izcelsmes apliecinājumu vai ilgtspējas apliecinājumu kontekstā ar nolūku šo parametru svārstību gadījumā konstatēt iespējamu </w:t>
            </w:r>
            <w:proofErr w:type="spellStart"/>
            <w:r w:rsidR="00FE01FE" w:rsidRPr="00FE01FE">
              <w:t>biometāna</w:t>
            </w:r>
            <w:proofErr w:type="spellEnd"/>
            <w:r w:rsidR="00FE01FE" w:rsidRPr="00FE01FE">
              <w:t xml:space="preserve"> ražotāju negodprātīgu rīcību.</w:t>
            </w:r>
          </w:p>
          <w:p w14:paraId="21D43827" w14:textId="6B6DAF42" w:rsidR="00717E44" w:rsidRPr="00990A6C" w:rsidRDefault="00717E44" w:rsidP="007B466F">
            <w:pPr>
              <w:pStyle w:val="naiskr"/>
              <w:spacing w:before="0" w:after="0"/>
              <w:ind w:left="57" w:right="57"/>
              <w:jc w:val="both"/>
            </w:pPr>
            <w:r w:rsidRPr="00990A6C">
              <w:t xml:space="preserve">Noteikumu projekta terminu sadaļā izslēgta piedevu gāzes definīcija, lai atteiktos no </w:t>
            </w:r>
            <w:r w:rsidR="00A26BA0">
              <w:t>pārlieku lielas</w:t>
            </w:r>
            <w:r w:rsidRPr="00990A6C">
              <w:t xml:space="preserve"> tehnoloģisko darbību apraksta detalizācijas</w:t>
            </w:r>
            <w:r w:rsidR="00B31909" w:rsidRPr="00990A6C">
              <w:t xml:space="preserve">, </w:t>
            </w:r>
            <w:r w:rsidRPr="00990A6C">
              <w:t xml:space="preserve">un </w:t>
            </w:r>
            <w:r w:rsidR="00B31909" w:rsidRPr="00990A6C">
              <w:t xml:space="preserve">tika </w:t>
            </w:r>
            <w:r w:rsidRPr="00990A6C">
              <w:t xml:space="preserve">ieviests </w:t>
            </w:r>
            <w:r w:rsidR="00A26BA0">
              <w:t>termins “</w:t>
            </w:r>
            <w:r w:rsidRPr="00990A6C">
              <w:t>gāzes ievadītāj</w:t>
            </w:r>
            <w:r w:rsidR="00A26BA0">
              <w:t>s”</w:t>
            </w:r>
            <w:r w:rsidRPr="00990A6C">
              <w:t>, kas precīzāk definē par fiziskās gāzes ievadīšanas tīklā atbildīgo personu</w:t>
            </w:r>
            <w:r w:rsidR="00152AD6" w:rsidRPr="00990A6C">
              <w:t>, kā arī veikt</w:t>
            </w:r>
            <w:r w:rsidR="008E2BF2" w:rsidRPr="00990A6C">
              <w:t>a</w:t>
            </w:r>
            <w:r w:rsidR="00152AD6" w:rsidRPr="00990A6C">
              <w:t xml:space="preserve"> tehniskā rakstura citu terminu </w:t>
            </w:r>
            <w:r w:rsidR="00B31909" w:rsidRPr="00990A6C">
              <w:t xml:space="preserve">ieviešana un to </w:t>
            </w:r>
            <w:r w:rsidR="00152AD6" w:rsidRPr="00990A6C">
              <w:t>precizējumi</w:t>
            </w:r>
            <w:r w:rsidRPr="00990A6C">
              <w:t xml:space="preserve">. </w:t>
            </w:r>
          </w:p>
          <w:p w14:paraId="657B0270" w14:textId="77777777" w:rsidR="007666FB" w:rsidRPr="00990A6C" w:rsidRDefault="00CC2D72" w:rsidP="00A26BA0">
            <w:pPr>
              <w:pStyle w:val="naiskr"/>
              <w:spacing w:before="0" w:after="0"/>
              <w:ind w:left="57" w:right="57"/>
              <w:jc w:val="both"/>
            </w:pPr>
            <w:r w:rsidRPr="00990A6C">
              <w:t>Noteikumu projekts nosaka atbildības sadalījumu starp</w:t>
            </w:r>
            <w:r w:rsidR="00C73507" w:rsidRPr="00990A6C">
              <w:t xml:space="preserve"> sistēmas lietotāju un</w:t>
            </w:r>
            <w:r w:rsidR="006C6F53" w:rsidRPr="00990A6C">
              <w:t xml:space="preserve"> sistēmas</w:t>
            </w:r>
            <w:r w:rsidR="00C73507" w:rsidRPr="00990A6C">
              <w:t xml:space="preserve"> operatoru</w:t>
            </w:r>
            <w:r w:rsidRPr="00990A6C">
              <w:t xml:space="preserve"> saistībā ar dabasgāzes sistēmā ievadāmās un transportējamās </w:t>
            </w:r>
            <w:proofErr w:type="spellStart"/>
            <w:r w:rsidRPr="00990A6C">
              <w:t>aizvietotājgāzes</w:t>
            </w:r>
            <w:proofErr w:type="spellEnd"/>
            <w:r w:rsidRPr="00990A6C">
              <w:t xml:space="preserve"> uzskaiti un tās kvalitātes raksturlielumu ievērošanu.</w:t>
            </w:r>
          </w:p>
          <w:p w14:paraId="3B196D76" w14:textId="2149D7B2" w:rsidR="00152AD6" w:rsidRPr="00990A6C" w:rsidRDefault="00152AD6" w:rsidP="00A26BA0">
            <w:pPr>
              <w:pStyle w:val="naiskr"/>
              <w:spacing w:before="0" w:after="0"/>
              <w:ind w:left="57" w:right="57"/>
              <w:jc w:val="both"/>
            </w:pPr>
            <w:proofErr w:type="spellStart"/>
            <w:r w:rsidRPr="00990A6C">
              <w:t>Aizvietotājgāzes</w:t>
            </w:r>
            <w:proofErr w:type="spellEnd"/>
            <w:r w:rsidRPr="00990A6C">
              <w:t xml:space="preserve"> ievadītāja pienākums nodrošināt dabasgāzes sistēmā ievadāmās </w:t>
            </w:r>
            <w:proofErr w:type="spellStart"/>
            <w:r w:rsidRPr="00990A6C">
              <w:t>aizvietotājgāzes</w:t>
            </w:r>
            <w:proofErr w:type="spellEnd"/>
            <w:r w:rsidRPr="00990A6C">
              <w:t xml:space="preserve"> attīrīšanu no amonjaka un </w:t>
            </w:r>
            <w:proofErr w:type="spellStart"/>
            <w:r w:rsidRPr="00990A6C">
              <w:t>amīniem</w:t>
            </w:r>
            <w:proofErr w:type="spellEnd"/>
            <w:r w:rsidRPr="00990A6C">
              <w:t xml:space="preserve"> papildināts ar precīzi definēto amonjaka – NH3 un </w:t>
            </w:r>
            <w:proofErr w:type="spellStart"/>
            <w:r w:rsidRPr="00990A6C">
              <w:t>amīnu</w:t>
            </w:r>
            <w:proofErr w:type="spellEnd"/>
            <w:r w:rsidRPr="00990A6C">
              <w:t xml:space="preserve"> satura ierobežojumu ≤ 0,0001 mol %</w:t>
            </w:r>
            <w:r w:rsidR="00B31909" w:rsidRPr="00990A6C">
              <w:t xml:space="preserve"> ievadāmajā </w:t>
            </w:r>
            <w:proofErr w:type="spellStart"/>
            <w:r w:rsidR="00B31909" w:rsidRPr="00990A6C">
              <w:t>aizvietotājgāzē</w:t>
            </w:r>
            <w:proofErr w:type="spellEnd"/>
            <w:r w:rsidRPr="00990A6C">
              <w:t>.</w:t>
            </w:r>
          </w:p>
          <w:p w14:paraId="5F2320EA" w14:textId="77777777" w:rsidR="00A26BA0" w:rsidRDefault="007666FB" w:rsidP="00A26BA0">
            <w:pPr>
              <w:pStyle w:val="naiskr"/>
              <w:spacing w:before="0" w:after="0"/>
              <w:ind w:left="57" w:right="57"/>
              <w:jc w:val="both"/>
            </w:pPr>
            <w:r w:rsidRPr="00990A6C">
              <w:t xml:space="preserve">Noteikumu projekta pielikumā noteiktie </w:t>
            </w:r>
            <w:proofErr w:type="spellStart"/>
            <w:r w:rsidRPr="00990A6C">
              <w:t>aizvietotājgāzes</w:t>
            </w:r>
            <w:proofErr w:type="spellEnd"/>
            <w:r w:rsidRPr="00990A6C">
              <w:t xml:space="preserve"> kvalitātes raksturlielumi </w:t>
            </w:r>
            <w:r w:rsidR="00FC0635" w:rsidRPr="00990A6C">
              <w:t xml:space="preserve">ievērojami </w:t>
            </w:r>
            <w:r w:rsidRPr="00990A6C">
              <w:lastRenderedPageBreak/>
              <w:t xml:space="preserve">nemaina un neietekmē dabasgāzes sistēmas tehnisko stāvokli, kā arī transportējamās gāzes degšanas galvenos tehniskos parametrus un pieļaujamās vērtības, </w:t>
            </w:r>
            <w:r w:rsidR="006B7C94" w:rsidRPr="00990A6C">
              <w:t>ierobežojot</w:t>
            </w:r>
            <w:r w:rsidRPr="00990A6C">
              <w:t xml:space="preserve"> tādus iespējamos riskus kā:</w:t>
            </w:r>
          </w:p>
          <w:p w14:paraId="68A35F9F" w14:textId="30954498" w:rsidR="00A26BA0" w:rsidRDefault="00A26BA0" w:rsidP="00A26BA0">
            <w:pPr>
              <w:pStyle w:val="naiskr"/>
              <w:numPr>
                <w:ilvl w:val="0"/>
                <w:numId w:val="19"/>
              </w:numPr>
              <w:spacing w:before="0" w:after="0"/>
              <w:ind w:right="57"/>
              <w:jc w:val="both"/>
            </w:pPr>
            <w:r>
              <w:t>r</w:t>
            </w:r>
            <w:r w:rsidR="007666FB" w:rsidRPr="00990A6C">
              <w:t>isks sabiedrības veselībai</w:t>
            </w:r>
            <w:r>
              <w:t xml:space="preserve"> – </w:t>
            </w:r>
            <w:r w:rsidR="007666FB" w:rsidRPr="00990A6C">
              <w:t xml:space="preserve">jāgarantē droša </w:t>
            </w:r>
            <w:r w:rsidR="006B7C94" w:rsidRPr="00990A6C">
              <w:t xml:space="preserve">gāzes </w:t>
            </w:r>
            <w:r w:rsidR="007666FB" w:rsidRPr="00990A6C">
              <w:t>sadedzināšana visa veida iekārtās</w:t>
            </w:r>
            <w:r w:rsidR="008E0E15" w:rsidRPr="00990A6C">
              <w:t>;</w:t>
            </w:r>
          </w:p>
          <w:p w14:paraId="14CB65D1" w14:textId="052762F9" w:rsidR="00A26BA0" w:rsidRDefault="008E0E15" w:rsidP="00A26BA0">
            <w:pPr>
              <w:pStyle w:val="naiskr"/>
              <w:numPr>
                <w:ilvl w:val="0"/>
                <w:numId w:val="19"/>
              </w:numPr>
              <w:spacing w:before="0" w:after="0"/>
              <w:ind w:right="57"/>
              <w:jc w:val="both"/>
            </w:pPr>
            <w:r w:rsidRPr="00990A6C">
              <w:t>r</w:t>
            </w:r>
            <w:r w:rsidR="00DA5F93" w:rsidRPr="00990A6C">
              <w:t xml:space="preserve">isks dabasgāzes </w:t>
            </w:r>
            <w:r w:rsidR="00126A07" w:rsidRPr="00990A6C">
              <w:t>cauruļvadu</w:t>
            </w:r>
            <w:r w:rsidR="00AB6C60" w:rsidRPr="00990A6C">
              <w:t xml:space="preserve"> </w:t>
            </w:r>
            <w:r w:rsidR="00DA5F93" w:rsidRPr="00990A6C">
              <w:t>tīklam</w:t>
            </w:r>
            <w:r w:rsidR="00A26BA0">
              <w:t xml:space="preserve"> – </w:t>
            </w:r>
            <w:r w:rsidR="00DA5F93" w:rsidRPr="00990A6C">
              <w:t xml:space="preserve">attīrīšanas procesam </w:t>
            </w:r>
            <w:r w:rsidR="006B7C94" w:rsidRPr="00990A6C">
              <w:t>jāierobežo gāzes sastāvā esošo</w:t>
            </w:r>
            <w:r w:rsidR="00723F65" w:rsidRPr="00990A6C">
              <w:t xml:space="preserve"> </w:t>
            </w:r>
            <w:r w:rsidR="00DA5F93" w:rsidRPr="00990A6C">
              <w:t xml:space="preserve">koroziju izraisošu komponentu </w:t>
            </w:r>
            <w:r w:rsidR="00723F65" w:rsidRPr="00990A6C">
              <w:t>daudzums</w:t>
            </w:r>
            <w:r w:rsidRPr="00990A6C">
              <w:t>;</w:t>
            </w:r>
          </w:p>
          <w:p w14:paraId="64750E05" w14:textId="52C204DB" w:rsidR="002A4964" w:rsidRPr="00990A6C" w:rsidRDefault="008E0E15" w:rsidP="002A4964">
            <w:pPr>
              <w:pStyle w:val="naiskr"/>
              <w:numPr>
                <w:ilvl w:val="0"/>
                <w:numId w:val="19"/>
              </w:numPr>
              <w:spacing w:before="0" w:after="0"/>
              <w:ind w:right="57"/>
              <w:jc w:val="both"/>
            </w:pPr>
            <w:r w:rsidRPr="00990A6C">
              <w:t>r</w:t>
            </w:r>
            <w:r w:rsidR="00DA5F93" w:rsidRPr="00990A6C">
              <w:t xml:space="preserve">isks </w:t>
            </w:r>
            <w:r w:rsidR="00DC29AA" w:rsidRPr="00990A6C">
              <w:t xml:space="preserve">gāzes </w:t>
            </w:r>
            <w:r w:rsidR="00DA5F93" w:rsidRPr="00990A6C">
              <w:t>glabātuvēm</w:t>
            </w:r>
            <w:r w:rsidR="00DC29AA" w:rsidRPr="00990A6C">
              <w:t>/krātuvēm</w:t>
            </w:r>
            <w:r w:rsidR="00DA5F93" w:rsidRPr="00990A6C">
              <w:t xml:space="preserve"> (piemēram, </w:t>
            </w:r>
            <w:r w:rsidR="00A26BA0">
              <w:t>saistībā</w:t>
            </w:r>
            <w:r w:rsidR="00DA5F93" w:rsidRPr="00990A6C">
              <w:t xml:space="preserve"> ar baktēriju </w:t>
            </w:r>
            <w:r w:rsidR="00DC29AA" w:rsidRPr="00990A6C">
              <w:t>piesārņojumu) un līdz ar to arī gāzes apgādes drošībai</w:t>
            </w:r>
            <w:r w:rsidR="00723F65" w:rsidRPr="00990A6C">
              <w:t xml:space="preserve"> u.c.</w:t>
            </w:r>
          </w:p>
          <w:p w14:paraId="4BF8EDB4" w14:textId="77777777" w:rsidR="00A26BA0" w:rsidRDefault="00871F5C" w:rsidP="007B466F">
            <w:pPr>
              <w:pStyle w:val="naiskr"/>
              <w:spacing w:before="0" w:after="0"/>
              <w:ind w:left="57" w:right="57"/>
              <w:jc w:val="both"/>
            </w:pPr>
            <w:r w:rsidRPr="00990A6C">
              <w:t xml:space="preserve">Izstrādājot </w:t>
            </w:r>
            <w:r w:rsidR="00F32F30" w:rsidRPr="00990A6C">
              <w:t>noteikumu projektu</w:t>
            </w:r>
            <w:r w:rsidRPr="00990A6C">
              <w:t>, tika ņemta vērā</w:t>
            </w:r>
            <w:r w:rsidR="00933DE5" w:rsidRPr="00990A6C">
              <w:t xml:space="preserve"> un vērtēta:</w:t>
            </w:r>
            <w:r w:rsidRPr="00990A6C">
              <w:t xml:space="preserve"> </w:t>
            </w:r>
          </w:p>
          <w:p w14:paraId="377C381E" w14:textId="6F5DE988" w:rsidR="00933DE5" w:rsidRPr="00990A6C" w:rsidRDefault="00A26BA0" w:rsidP="00A26BA0">
            <w:pPr>
              <w:pStyle w:val="naiskr"/>
              <w:numPr>
                <w:ilvl w:val="0"/>
                <w:numId w:val="21"/>
              </w:numPr>
              <w:spacing w:before="0" w:after="0"/>
              <w:ind w:right="57"/>
              <w:jc w:val="both"/>
            </w:pPr>
            <w:r>
              <w:t>ES</w:t>
            </w:r>
            <w:r w:rsidR="00871F5C" w:rsidRPr="00990A6C">
              <w:t xml:space="preserve"> valstu pieredze un tendences </w:t>
            </w:r>
            <w:proofErr w:type="spellStart"/>
            <w:r w:rsidR="00CC2D72" w:rsidRPr="00990A6C">
              <w:t>biometāna</w:t>
            </w:r>
            <w:proofErr w:type="spellEnd"/>
            <w:r w:rsidR="00FC0635" w:rsidRPr="00990A6C">
              <w:t xml:space="preserve">, gāzveida stāvoklī esošā ūdeņraža </w:t>
            </w:r>
            <w:r w:rsidR="00CC2D72" w:rsidRPr="00990A6C">
              <w:t xml:space="preserve">un </w:t>
            </w:r>
            <w:r w:rsidR="00871F5C" w:rsidRPr="00990A6C">
              <w:t>gāzveida stāvoklī pārvērstas sašķidrinātās dabasgāzes ievadīšan</w:t>
            </w:r>
            <w:r w:rsidR="00CC2D72" w:rsidRPr="00990A6C">
              <w:t>ā</w:t>
            </w:r>
            <w:r w:rsidR="00871F5C" w:rsidRPr="00990A6C">
              <w:t xml:space="preserve"> un transportēšan</w:t>
            </w:r>
            <w:r w:rsidR="00CC2D72" w:rsidRPr="00990A6C">
              <w:t>ā</w:t>
            </w:r>
            <w:r w:rsidR="00871F5C" w:rsidRPr="00990A6C">
              <w:t xml:space="preserve"> daba</w:t>
            </w:r>
            <w:r w:rsidR="00933DE5" w:rsidRPr="00990A6C">
              <w:t>sgāzes sistēmā;</w:t>
            </w:r>
          </w:p>
          <w:p w14:paraId="3381B682" w14:textId="2F1645CC" w:rsidR="0032333B" w:rsidRPr="00990A6C" w:rsidRDefault="00871F5C" w:rsidP="00A26BA0">
            <w:pPr>
              <w:pStyle w:val="naiskr"/>
              <w:numPr>
                <w:ilvl w:val="0"/>
                <w:numId w:val="21"/>
              </w:numPr>
              <w:spacing w:before="0" w:after="0"/>
              <w:ind w:right="57"/>
              <w:jc w:val="both"/>
            </w:pPr>
            <w:r w:rsidRPr="00990A6C">
              <w:t>pašreizējā Latvijas prakse attiecībā uz prasībām gāzu izmantošanai dabasgāzes sistēmā</w:t>
            </w:r>
            <w:r w:rsidR="00152AD6" w:rsidRPr="00990A6C">
              <w:t>.</w:t>
            </w:r>
            <w:r w:rsidRPr="00990A6C">
              <w:t xml:space="preserve"> </w:t>
            </w:r>
          </w:p>
          <w:p w14:paraId="31FFA98D" w14:textId="316ABF26" w:rsidR="00BB67D2" w:rsidRDefault="00BB67D2" w:rsidP="002326BB">
            <w:pPr>
              <w:pStyle w:val="naiskr"/>
              <w:spacing w:before="0" w:after="0"/>
              <w:ind w:left="107" w:right="57"/>
              <w:jc w:val="both"/>
            </w:pPr>
            <w:r w:rsidRPr="00990A6C">
              <w:t xml:space="preserve">Pieslēguma punktā nepārtraukti tiek veikta dabasgāzes sistēmā ievadāmās </w:t>
            </w:r>
            <w:proofErr w:type="spellStart"/>
            <w:r w:rsidRPr="00990A6C">
              <w:t>aizvietotājgāzes</w:t>
            </w:r>
            <w:proofErr w:type="spellEnd"/>
            <w:r w:rsidRPr="00990A6C">
              <w:t xml:space="preserve"> kvalitātes raksturlielumu noteikšana, </w:t>
            </w:r>
            <w:r w:rsidR="00BA15AB" w:rsidRPr="00990A6C">
              <w:t xml:space="preserve">piemērojot LVS EN ISO 6974 sērijas standartos noteiktās metodes un </w:t>
            </w:r>
            <w:r w:rsidRPr="00990A6C">
              <w:t xml:space="preserve">izmantojot atbilstoši sertificētus un verificētus </w:t>
            </w:r>
            <w:r w:rsidR="003F0B3D" w:rsidRPr="00990A6C">
              <w:t xml:space="preserve"> gāzu </w:t>
            </w:r>
            <w:proofErr w:type="spellStart"/>
            <w:r w:rsidR="003F0B3D" w:rsidRPr="00990A6C">
              <w:t>hromatogrā</w:t>
            </w:r>
            <w:r w:rsidRPr="00990A6C">
              <w:t>fus</w:t>
            </w:r>
            <w:proofErr w:type="spellEnd"/>
            <w:r w:rsidRPr="00990A6C">
              <w:t xml:space="preserve"> vai tamlīdzīgu mēraparatūru, kā arī tiek nodrošināta šo datu uzkrāšan</w:t>
            </w:r>
            <w:r w:rsidR="00B31909" w:rsidRPr="00990A6C">
              <w:t xml:space="preserve">a </w:t>
            </w:r>
            <w:r w:rsidRPr="00990A6C">
              <w:t xml:space="preserve">un </w:t>
            </w:r>
            <w:r w:rsidR="00B31909" w:rsidRPr="00990A6C">
              <w:t xml:space="preserve">nodošana </w:t>
            </w:r>
            <w:r w:rsidRPr="00990A6C">
              <w:t>sistēmas operator</w:t>
            </w:r>
            <w:r w:rsidR="00B31909" w:rsidRPr="00990A6C">
              <w:t xml:space="preserve">a rīcībā tādā datu formātā, kas ir pieņemams sistēmas operatoram, kā arī noteiktas sistēmu operatoru tiesības </w:t>
            </w:r>
            <w:r w:rsidR="008F26EE" w:rsidRPr="00990A6C">
              <w:t xml:space="preserve">apsekot </w:t>
            </w:r>
            <w:proofErr w:type="spellStart"/>
            <w:r w:rsidR="008F26EE" w:rsidRPr="00990A6C">
              <w:t>aizvietotājgāzes</w:t>
            </w:r>
            <w:proofErr w:type="spellEnd"/>
            <w:r w:rsidR="00A26BA0">
              <w:t xml:space="preserve"> </w:t>
            </w:r>
            <w:r w:rsidR="008F26EE" w:rsidRPr="00990A6C">
              <w:t>ievadītāja tehnoloģiskās iekārtas pieslēguma punktā</w:t>
            </w:r>
            <w:r w:rsidR="008E2BF2" w:rsidRPr="00990A6C">
              <w:t xml:space="preserve">, kā arī apstādināt </w:t>
            </w:r>
            <w:proofErr w:type="spellStart"/>
            <w:r w:rsidR="008E2BF2" w:rsidRPr="00990A6C">
              <w:t>aizvieto</w:t>
            </w:r>
            <w:r w:rsidR="00223911">
              <w:t>t</w:t>
            </w:r>
            <w:r w:rsidR="008E2BF2" w:rsidRPr="00990A6C">
              <w:t>ājgāzes</w:t>
            </w:r>
            <w:proofErr w:type="spellEnd"/>
            <w:r w:rsidR="008E2BF2" w:rsidRPr="00990A6C">
              <w:t xml:space="preserve"> ievadīšanas procesu</w:t>
            </w:r>
            <w:r w:rsidR="008F26EE" w:rsidRPr="00990A6C">
              <w:t>.</w:t>
            </w:r>
          </w:p>
          <w:p w14:paraId="12436A61" w14:textId="6733F0E4" w:rsidR="007B0170" w:rsidRPr="00990A6C" w:rsidRDefault="007B0170" w:rsidP="00700DBC">
            <w:pPr>
              <w:pStyle w:val="naiskr"/>
              <w:spacing w:before="0" w:after="0"/>
              <w:ind w:left="107" w:right="57"/>
              <w:jc w:val="both"/>
            </w:pPr>
            <w:r>
              <w:t xml:space="preserve">Tāpat arī noteikumu projekts paredz </w:t>
            </w:r>
            <w:proofErr w:type="spellStart"/>
            <w:r w:rsidRPr="007B0170">
              <w:t>Vobbes</w:t>
            </w:r>
            <w:proofErr w:type="spellEnd"/>
            <w:r w:rsidRPr="007B0170">
              <w:t xml:space="preserve"> skaitļa, augstākā sadegšanas siltuma un zemākā sadegšanas siltuma robežvērtību pārrēķinu saskaņā ar bāzes temperatūras apstākļ</w:t>
            </w:r>
            <w:r>
              <w:t>u izmaiņām</w:t>
            </w:r>
            <w:r w:rsidRPr="007B0170">
              <w:t xml:space="preserve"> Noteikumu Nr. 650 pielikumā Nr. 1 un pielikumā Nr. 2</w:t>
            </w:r>
            <w:r>
              <w:t xml:space="preserve">. </w:t>
            </w:r>
            <w:proofErr w:type="spellStart"/>
            <w:r w:rsidR="007B466F">
              <w:t>Vobbes</w:t>
            </w:r>
            <w:proofErr w:type="spellEnd"/>
            <w:r w:rsidR="007B466F">
              <w:t xml:space="preserve"> skaitlis jeb </w:t>
            </w:r>
            <w:proofErr w:type="spellStart"/>
            <w:r w:rsidR="007B466F">
              <w:t>Vobbes</w:t>
            </w:r>
            <w:proofErr w:type="spellEnd"/>
            <w:r w:rsidR="007B466F">
              <w:t xml:space="preserve"> indekss </w:t>
            </w:r>
            <w:r w:rsidR="002A4964">
              <w:t xml:space="preserve">ir </w:t>
            </w:r>
            <w:r w:rsidR="00187C74" w:rsidRPr="00187C74">
              <w:t xml:space="preserve">degvielas gāzu, piemēram, dabasgāzes, sašķidrinātās naftas gāzes, savstarpējās aizvietojamības rādītājs, un tas bieži tiek definēts gāzes piegādes un transporta pakalpojumu specifikācijās. </w:t>
            </w:r>
            <w:r w:rsidR="002326BB">
              <w:t xml:space="preserve">Tas ir </w:t>
            </w:r>
            <w:r w:rsidR="002A4964">
              <w:t>viens no dabasgāzes kvalitātes parametriem</w:t>
            </w:r>
            <w:r w:rsidR="002326BB">
              <w:t xml:space="preserve">, kuram kā pārbaudes metodika tiek izmantots standarts </w:t>
            </w:r>
            <w:r w:rsidR="002326BB" w:rsidRPr="002326BB">
              <w:t>LVS</w:t>
            </w:r>
            <w:r w:rsidR="00187C74">
              <w:t xml:space="preserve"> </w:t>
            </w:r>
            <w:r w:rsidR="002326BB">
              <w:t>NE </w:t>
            </w:r>
            <w:r w:rsidR="002326BB" w:rsidRPr="002326BB">
              <w:t>ISO</w:t>
            </w:r>
            <w:r w:rsidR="002326BB">
              <w:t> </w:t>
            </w:r>
            <w:r w:rsidR="002326BB" w:rsidRPr="002326BB">
              <w:t xml:space="preserve">6976:2007 „Dabasgāze. </w:t>
            </w:r>
            <w:proofErr w:type="spellStart"/>
            <w:r w:rsidR="002326BB" w:rsidRPr="002326BB">
              <w:t>Siltumradītspējas</w:t>
            </w:r>
            <w:proofErr w:type="spellEnd"/>
            <w:r w:rsidR="002326BB" w:rsidRPr="002326BB">
              <w:t xml:space="preserve"> aprēķins, blīvums, relatīvais blīvums un sastāva </w:t>
            </w:r>
            <w:proofErr w:type="spellStart"/>
            <w:r w:rsidR="002326BB" w:rsidRPr="002326BB">
              <w:t>Vobbes</w:t>
            </w:r>
            <w:proofErr w:type="spellEnd"/>
            <w:r w:rsidR="002326BB" w:rsidRPr="002326BB">
              <w:t xml:space="preserve"> indekss”</w:t>
            </w:r>
            <w:r w:rsidR="002326BB">
              <w:t xml:space="preserve">. </w:t>
            </w:r>
            <w:r w:rsidR="002A4964" w:rsidRPr="002A4964">
              <w:t xml:space="preserve">Attiecībā uz augstāko siltumspēju, enerģiju un </w:t>
            </w:r>
            <w:proofErr w:type="spellStart"/>
            <w:r w:rsidR="002A4964" w:rsidRPr="002A4964">
              <w:t>Vobbes</w:t>
            </w:r>
            <w:proofErr w:type="spellEnd"/>
            <w:r w:rsidR="002A4964" w:rsidRPr="002A4964">
              <w:t xml:space="preserve"> skaitli degšanas standarta temperatūra pēc noklusējuma ir 25°C</w:t>
            </w:r>
            <w:r w:rsidR="00223911">
              <w:t>.</w:t>
            </w:r>
          </w:p>
        </w:tc>
      </w:tr>
      <w:tr w:rsidR="00193E45" w:rsidRPr="00990A6C" w14:paraId="0685A69A" w14:textId="77777777" w:rsidTr="00845936">
        <w:trPr>
          <w:trHeight w:val="706"/>
        </w:trPr>
        <w:tc>
          <w:tcPr>
            <w:tcW w:w="524" w:type="dxa"/>
          </w:tcPr>
          <w:p w14:paraId="2F8476E8" w14:textId="77777777" w:rsidR="00193E45" w:rsidRPr="00990A6C" w:rsidRDefault="00193E45" w:rsidP="00912A6D">
            <w:pPr>
              <w:ind w:left="57" w:right="57"/>
            </w:pPr>
            <w:r w:rsidRPr="00990A6C">
              <w:lastRenderedPageBreak/>
              <w:t> 3.</w:t>
            </w:r>
          </w:p>
        </w:tc>
        <w:tc>
          <w:tcPr>
            <w:tcW w:w="3177" w:type="dxa"/>
          </w:tcPr>
          <w:p w14:paraId="07D26B6A" w14:textId="77777777" w:rsidR="00193E45" w:rsidRPr="00990A6C" w:rsidRDefault="00193E45" w:rsidP="00912A6D">
            <w:pPr>
              <w:ind w:left="57" w:right="57"/>
              <w:jc w:val="both"/>
            </w:pPr>
            <w:r w:rsidRPr="00990A6C">
              <w:t>Projekta izstrādē iesaistītās institūcijas</w:t>
            </w:r>
          </w:p>
        </w:tc>
        <w:tc>
          <w:tcPr>
            <w:tcW w:w="5493" w:type="dxa"/>
          </w:tcPr>
          <w:p w14:paraId="2E6F7FC6" w14:textId="7DEDFC33" w:rsidR="00193E45" w:rsidRPr="00990A6C" w:rsidRDefault="00CB4051" w:rsidP="003222D8">
            <w:pPr>
              <w:ind w:left="57" w:right="57"/>
              <w:jc w:val="both"/>
            </w:pPr>
            <w:r w:rsidRPr="00990A6C">
              <w:t>AS</w:t>
            </w:r>
            <w:r w:rsidR="008C7DCE">
              <w:t> </w:t>
            </w:r>
            <w:r w:rsidRPr="00990A6C">
              <w:t>“Conexus Baltic Grid”, AS</w:t>
            </w:r>
            <w:r w:rsidR="008C7DCE">
              <w:t> </w:t>
            </w:r>
            <w:r w:rsidRPr="00990A6C">
              <w:t>“Gaso”, Latvijas biogāzes asociācija, AS “Latvijas gāze”</w:t>
            </w:r>
            <w:r w:rsidR="00F43918" w:rsidRPr="00990A6C">
              <w:t>.</w:t>
            </w:r>
          </w:p>
        </w:tc>
      </w:tr>
      <w:tr w:rsidR="00193E45" w:rsidRPr="00990A6C" w14:paraId="6D41F4D4" w14:textId="77777777" w:rsidTr="00845936">
        <w:trPr>
          <w:trHeight w:val="384"/>
        </w:trPr>
        <w:tc>
          <w:tcPr>
            <w:tcW w:w="524" w:type="dxa"/>
          </w:tcPr>
          <w:p w14:paraId="505502FD" w14:textId="77777777" w:rsidR="00193E45" w:rsidRPr="00990A6C" w:rsidRDefault="00193E45" w:rsidP="00912A6D">
            <w:pPr>
              <w:ind w:left="57" w:right="57"/>
            </w:pPr>
            <w:r w:rsidRPr="00990A6C">
              <w:lastRenderedPageBreak/>
              <w:t> 4.</w:t>
            </w:r>
          </w:p>
        </w:tc>
        <w:tc>
          <w:tcPr>
            <w:tcW w:w="3177" w:type="dxa"/>
          </w:tcPr>
          <w:p w14:paraId="686081B8" w14:textId="77777777" w:rsidR="00193E45" w:rsidRPr="00990A6C" w:rsidRDefault="00193E45" w:rsidP="00912A6D">
            <w:pPr>
              <w:ind w:left="57" w:right="57"/>
              <w:jc w:val="both"/>
            </w:pPr>
            <w:r w:rsidRPr="00990A6C">
              <w:t>Cita informācija</w:t>
            </w:r>
          </w:p>
        </w:tc>
        <w:tc>
          <w:tcPr>
            <w:tcW w:w="5493" w:type="dxa"/>
          </w:tcPr>
          <w:p w14:paraId="595D5991" w14:textId="77777777" w:rsidR="00193E45" w:rsidRPr="00990A6C" w:rsidRDefault="00193E45" w:rsidP="003222D8">
            <w:pPr>
              <w:pStyle w:val="naiskr"/>
              <w:spacing w:before="0" w:after="0"/>
              <w:ind w:right="57"/>
            </w:pPr>
            <w:r w:rsidRPr="00990A6C">
              <w:t>Nav</w:t>
            </w:r>
          </w:p>
        </w:tc>
      </w:tr>
    </w:tbl>
    <w:p w14:paraId="165A4B1A" w14:textId="77777777" w:rsidR="00193E45" w:rsidRPr="00990A6C" w:rsidRDefault="00193E45" w:rsidP="00912A6D">
      <w:pPr>
        <w:ind w:left="57" w:right="57"/>
        <w:rPr>
          <w:color w:val="FF0000"/>
        </w:rPr>
      </w:pPr>
    </w:p>
    <w:tbl>
      <w:tblPr>
        <w:tblW w:w="9194" w:type="dxa"/>
        <w:tblInd w:w="15" w:type="dxa"/>
        <w:tblBorders>
          <w:top w:val="thickThinLargeGap" w:sz="6" w:space="0" w:color="C0C0C0"/>
          <w:left w:val="thickThinLargeGap" w:sz="6" w:space="0" w:color="C0C0C0"/>
          <w:bottom w:val="thickThinLargeGap" w:sz="6" w:space="0" w:color="C0C0C0"/>
          <w:right w:val="thickThinLargeGap" w:sz="6" w:space="0" w:color="C0C0C0"/>
        </w:tblBorders>
        <w:tblLayout w:type="fixed"/>
        <w:tblCellMar>
          <w:left w:w="0" w:type="dxa"/>
          <w:right w:w="0" w:type="dxa"/>
        </w:tblCellMar>
        <w:tblLook w:val="04A0" w:firstRow="1" w:lastRow="0" w:firstColumn="1" w:lastColumn="0" w:noHBand="0" w:noVBand="1"/>
      </w:tblPr>
      <w:tblGrid>
        <w:gridCol w:w="523"/>
        <w:gridCol w:w="3153"/>
        <w:gridCol w:w="5518"/>
      </w:tblGrid>
      <w:tr w:rsidR="00193E45" w:rsidRPr="00990A6C" w14:paraId="10B819AB" w14:textId="77777777" w:rsidTr="00D15797">
        <w:tc>
          <w:tcPr>
            <w:tcW w:w="9194" w:type="dxa"/>
            <w:gridSpan w:val="3"/>
            <w:tcBorders>
              <w:top w:val="single" w:sz="4" w:space="0" w:color="auto"/>
              <w:left w:val="single" w:sz="4" w:space="0" w:color="auto"/>
              <w:bottom w:val="single" w:sz="4" w:space="0" w:color="auto"/>
              <w:right w:val="single" w:sz="4" w:space="0" w:color="auto"/>
            </w:tcBorders>
            <w:vAlign w:val="center"/>
            <w:hideMark/>
          </w:tcPr>
          <w:p w14:paraId="20FFCF15" w14:textId="77777777" w:rsidR="00193E45" w:rsidRPr="00990A6C" w:rsidRDefault="00193E45" w:rsidP="00912A6D">
            <w:pPr>
              <w:ind w:left="57" w:right="57"/>
              <w:jc w:val="center"/>
              <w:rPr>
                <w:b/>
              </w:rPr>
            </w:pPr>
            <w:r w:rsidRPr="00990A6C">
              <w:rPr>
                <w:b/>
              </w:rPr>
              <w:t>II. Tiesību akta projekta ietekme uz sabiedrību tautsaimniecības attīstību un administratīvo slogu</w:t>
            </w:r>
          </w:p>
        </w:tc>
      </w:tr>
      <w:tr w:rsidR="00193E45" w:rsidRPr="00990A6C" w14:paraId="1C0D6A89" w14:textId="77777777" w:rsidTr="00D15797">
        <w:trPr>
          <w:trHeight w:val="467"/>
        </w:trPr>
        <w:tc>
          <w:tcPr>
            <w:tcW w:w="523" w:type="dxa"/>
            <w:tcBorders>
              <w:top w:val="single" w:sz="4" w:space="0" w:color="auto"/>
              <w:left w:val="single" w:sz="4" w:space="0" w:color="auto"/>
              <w:bottom w:val="single" w:sz="4" w:space="0" w:color="auto"/>
              <w:right w:val="single" w:sz="4" w:space="0" w:color="auto"/>
            </w:tcBorders>
            <w:hideMark/>
          </w:tcPr>
          <w:p w14:paraId="01BD8214" w14:textId="77777777" w:rsidR="00193E45" w:rsidRPr="00990A6C" w:rsidRDefault="00193E45" w:rsidP="00912A6D">
            <w:pPr>
              <w:ind w:left="57" w:right="57"/>
            </w:pPr>
            <w:r w:rsidRPr="00990A6C">
              <w:t> 1.</w:t>
            </w:r>
          </w:p>
        </w:tc>
        <w:tc>
          <w:tcPr>
            <w:tcW w:w="3153" w:type="dxa"/>
            <w:tcBorders>
              <w:top w:val="single" w:sz="4" w:space="0" w:color="auto"/>
              <w:left w:val="single" w:sz="4" w:space="0" w:color="auto"/>
              <w:bottom w:val="single" w:sz="4" w:space="0" w:color="auto"/>
              <w:right w:val="single" w:sz="4" w:space="0" w:color="auto"/>
            </w:tcBorders>
            <w:hideMark/>
          </w:tcPr>
          <w:p w14:paraId="5E33DB48" w14:textId="47BB51EC" w:rsidR="00193E45" w:rsidRPr="00990A6C" w:rsidRDefault="00193E45" w:rsidP="00912A6D">
            <w:pPr>
              <w:ind w:left="57" w:right="57"/>
              <w:jc w:val="both"/>
            </w:pPr>
            <w:r w:rsidRPr="00990A6C">
              <w:t xml:space="preserve">Sabiedrības </w:t>
            </w:r>
            <w:proofErr w:type="spellStart"/>
            <w:r w:rsidRPr="00990A6C">
              <w:t>mērķgrupas</w:t>
            </w:r>
            <w:proofErr w:type="spellEnd"/>
            <w:r w:rsidRPr="00990A6C">
              <w:t>, kuras tiesiskais regulējums  ietekmē vai varētu ietekmēt</w:t>
            </w:r>
          </w:p>
        </w:tc>
        <w:tc>
          <w:tcPr>
            <w:tcW w:w="5518" w:type="dxa"/>
            <w:tcBorders>
              <w:top w:val="single" w:sz="4" w:space="0" w:color="auto"/>
              <w:left w:val="single" w:sz="4" w:space="0" w:color="auto"/>
              <w:bottom w:val="single" w:sz="4" w:space="0" w:color="auto"/>
              <w:right w:val="single" w:sz="4" w:space="0" w:color="auto"/>
            </w:tcBorders>
            <w:hideMark/>
          </w:tcPr>
          <w:p w14:paraId="067044D6" w14:textId="4FCE7A62" w:rsidR="00193E45" w:rsidRPr="00990A6C" w:rsidRDefault="00F52175" w:rsidP="003222D8">
            <w:pPr>
              <w:ind w:left="57" w:right="57"/>
              <w:jc w:val="both"/>
              <w:rPr>
                <w:iCs/>
              </w:rPr>
            </w:pPr>
            <w:r w:rsidRPr="00990A6C">
              <w:rPr>
                <w:iCs/>
              </w:rPr>
              <w:t>Noteikum</w:t>
            </w:r>
            <w:r w:rsidR="002D3EAC" w:rsidRPr="00990A6C">
              <w:rPr>
                <w:iCs/>
              </w:rPr>
              <w:t xml:space="preserve">u projekts attiecas uz </w:t>
            </w:r>
            <w:proofErr w:type="spellStart"/>
            <w:r w:rsidR="00ED1073" w:rsidRPr="00990A6C">
              <w:rPr>
                <w:iCs/>
              </w:rPr>
              <w:t>biometāna</w:t>
            </w:r>
            <w:proofErr w:type="spellEnd"/>
            <w:r w:rsidR="008F26EE" w:rsidRPr="00990A6C">
              <w:rPr>
                <w:iCs/>
              </w:rPr>
              <w:t xml:space="preserve">, ūdeņraža un </w:t>
            </w:r>
            <w:proofErr w:type="spellStart"/>
            <w:r w:rsidR="008F26EE" w:rsidRPr="00990A6C">
              <w:rPr>
                <w:iCs/>
              </w:rPr>
              <w:t>dekabonizēto</w:t>
            </w:r>
            <w:proofErr w:type="spellEnd"/>
            <w:r w:rsidR="008F26EE" w:rsidRPr="00990A6C">
              <w:rPr>
                <w:iCs/>
              </w:rPr>
              <w:t xml:space="preserve"> sintētisko gāzu </w:t>
            </w:r>
            <w:r w:rsidR="00ED1073" w:rsidRPr="00990A6C">
              <w:rPr>
                <w:iCs/>
              </w:rPr>
              <w:t>ražotājiem</w:t>
            </w:r>
            <w:r w:rsidR="00AB6C60" w:rsidRPr="00990A6C">
              <w:rPr>
                <w:iCs/>
              </w:rPr>
              <w:t xml:space="preserve">, sašķidrinātās dabasgāzes </w:t>
            </w:r>
            <w:r w:rsidR="00A2250D" w:rsidRPr="00990A6C">
              <w:rPr>
                <w:iCs/>
              </w:rPr>
              <w:t>sistēmas oper</w:t>
            </w:r>
            <w:r w:rsidR="00967EF4" w:rsidRPr="00990A6C">
              <w:rPr>
                <w:iCs/>
              </w:rPr>
              <w:t>a</w:t>
            </w:r>
            <w:r w:rsidR="00A2250D" w:rsidRPr="00990A6C">
              <w:rPr>
                <w:iCs/>
              </w:rPr>
              <w:t>tor</w:t>
            </w:r>
            <w:r w:rsidR="003222D8">
              <w:rPr>
                <w:iCs/>
              </w:rPr>
              <w:t>iem</w:t>
            </w:r>
            <w:r w:rsidR="00ED1073" w:rsidRPr="00990A6C">
              <w:rPr>
                <w:iCs/>
              </w:rPr>
              <w:t xml:space="preserve"> un dabasgāzes sistēm</w:t>
            </w:r>
            <w:r w:rsidR="00D663FB" w:rsidRPr="00990A6C">
              <w:rPr>
                <w:iCs/>
              </w:rPr>
              <w:t>as operatoriem.</w:t>
            </w:r>
          </w:p>
        </w:tc>
      </w:tr>
      <w:tr w:rsidR="00193E45" w:rsidRPr="00990A6C" w14:paraId="62F4E917" w14:textId="77777777" w:rsidTr="00D15797">
        <w:trPr>
          <w:trHeight w:val="523"/>
        </w:trPr>
        <w:tc>
          <w:tcPr>
            <w:tcW w:w="523" w:type="dxa"/>
            <w:tcBorders>
              <w:top w:val="single" w:sz="4" w:space="0" w:color="auto"/>
              <w:left w:val="single" w:sz="4" w:space="0" w:color="auto"/>
              <w:bottom w:val="single" w:sz="4" w:space="0" w:color="auto"/>
              <w:right w:val="single" w:sz="4" w:space="0" w:color="auto"/>
            </w:tcBorders>
            <w:hideMark/>
          </w:tcPr>
          <w:p w14:paraId="49BCC45D" w14:textId="77777777" w:rsidR="00193E45" w:rsidRPr="00990A6C" w:rsidRDefault="00193E45" w:rsidP="00912A6D">
            <w:pPr>
              <w:ind w:left="57" w:right="57"/>
            </w:pPr>
            <w:r w:rsidRPr="00990A6C">
              <w:t> 2.</w:t>
            </w:r>
          </w:p>
        </w:tc>
        <w:tc>
          <w:tcPr>
            <w:tcW w:w="3153" w:type="dxa"/>
            <w:tcBorders>
              <w:top w:val="single" w:sz="4" w:space="0" w:color="auto"/>
              <w:left w:val="single" w:sz="4" w:space="0" w:color="auto"/>
              <w:bottom w:val="single" w:sz="4" w:space="0" w:color="auto"/>
              <w:right w:val="single" w:sz="4" w:space="0" w:color="auto"/>
            </w:tcBorders>
            <w:hideMark/>
          </w:tcPr>
          <w:p w14:paraId="69C5FF45" w14:textId="77777777" w:rsidR="00193E45" w:rsidRPr="00990A6C" w:rsidRDefault="00193E45" w:rsidP="00912A6D">
            <w:pPr>
              <w:ind w:left="57" w:right="57"/>
              <w:jc w:val="both"/>
            </w:pPr>
            <w:r w:rsidRPr="00990A6C">
              <w:t>Tiesiskā regulējuma ietekme uz tautsaimniecību un administratīvo slogu</w:t>
            </w:r>
          </w:p>
        </w:tc>
        <w:tc>
          <w:tcPr>
            <w:tcW w:w="5518" w:type="dxa"/>
            <w:tcBorders>
              <w:top w:val="single" w:sz="4" w:space="0" w:color="auto"/>
              <w:left w:val="single" w:sz="4" w:space="0" w:color="auto"/>
              <w:bottom w:val="single" w:sz="4" w:space="0" w:color="auto"/>
              <w:right w:val="single" w:sz="4" w:space="0" w:color="auto"/>
            </w:tcBorders>
            <w:hideMark/>
          </w:tcPr>
          <w:p w14:paraId="6BDEF1F3" w14:textId="224B1294" w:rsidR="00193E45" w:rsidRPr="00990A6C" w:rsidRDefault="00D663FB" w:rsidP="003222D8">
            <w:pPr>
              <w:ind w:left="57" w:right="57"/>
              <w:jc w:val="both"/>
            </w:pPr>
            <w:r w:rsidRPr="00990A6C">
              <w:t>Noteikumu projekts</w:t>
            </w:r>
            <w:r w:rsidR="00696F5F" w:rsidRPr="00990A6C">
              <w:t xml:space="preserve"> veicina dabasgāzes </w:t>
            </w:r>
            <w:r w:rsidR="008F26EE" w:rsidRPr="00990A6C">
              <w:t xml:space="preserve">tīklu pielāgošanu plašākai integrācijai ar </w:t>
            </w:r>
            <w:proofErr w:type="spellStart"/>
            <w:r w:rsidR="008F26EE" w:rsidRPr="00990A6C">
              <w:t>biometāna</w:t>
            </w:r>
            <w:proofErr w:type="spellEnd"/>
            <w:r w:rsidR="008F26EE" w:rsidRPr="00990A6C">
              <w:t xml:space="preserve">, ūdeņraža un </w:t>
            </w:r>
            <w:proofErr w:type="spellStart"/>
            <w:r w:rsidR="008F26EE" w:rsidRPr="00990A6C">
              <w:t>dekarbonizēto</w:t>
            </w:r>
            <w:proofErr w:type="spellEnd"/>
            <w:r w:rsidR="008F26EE" w:rsidRPr="00990A6C">
              <w:t xml:space="preserve"> sintētisko gāzu plūsmām</w:t>
            </w:r>
            <w:r w:rsidR="007F0092" w:rsidRPr="00990A6C">
              <w:t xml:space="preserve">, kā arī veicina </w:t>
            </w:r>
            <w:r w:rsidR="008F26EE" w:rsidRPr="00990A6C">
              <w:t>j</w:t>
            </w:r>
            <w:r w:rsidR="0072170E" w:rsidRPr="00990A6C">
              <w:t>aunu tirgus dalībnieku ienākšanu tirgū</w:t>
            </w:r>
            <w:r w:rsidR="008C5C24" w:rsidRPr="00990A6C">
              <w:t xml:space="preserve">, nosakot </w:t>
            </w:r>
            <w:r w:rsidR="003222D8">
              <w:t>vienotas</w:t>
            </w:r>
            <w:r w:rsidR="008F26EE" w:rsidRPr="00990A6C">
              <w:t xml:space="preserve"> </w:t>
            </w:r>
            <w:r w:rsidR="008C5C24" w:rsidRPr="00990A6C">
              <w:t xml:space="preserve">prasības dažāda veida </w:t>
            </w:r>
            <w:r w:rsidR="00F909A0" w:rsidRPr="00990A6C">
              <w:t>deg</w:t>
            </w:r>
            <w:r w:rsidR="008C5C24" w:rsidRPr="00990A6C">
              <w:t xml:space="preserve">gāzēm </w:t>
            </w:r>
            <w:r w:rsidR="00CA795D">
              <w:t xml:space="preserve">un </w:t>
            </w:r>
            <w:r w:rsidR="008C5C24" w:rsidRPr="00990A6C">
              <w:t xml:space="preserve">to ievadīšanai </w:t>
            </w:r>
            <w:r w:rsidR="00F909A0" w:rsidRPr="00990A6C">
              <w:t>dabas</w:t>
            </w:r>
            <w:r w:rsidR="008C5C24" w:rsidRPr="00990A6C">
              <w:t>gāzes sistēmā.</w:t>
            </w:r>
          </w:p>
        </w:tc>
      </w:tr>
      <w:tr w:rsidR="00193E45" w:rsidRPr="00990A6C" w14:paraId="396FA079" w14:textId="77777777" w:rsidTr="00D15797">
        <w:trPr>
          <w:trHeight w:val="517"/>
        </w:trPr>
        <w:tc>
          <w:tcPr>
            <w:tcW w:w="523" w:type="dxa"/>
            <w:tcBorders>
              <w:top w:val="single" w:sz="4" w:space="0" w:color="auto"/>
              <w:left w:val="single" w:sz="4" w:space="0" w:color="auto"/>
              <w:bottom w:val="single" w:sz="4" w:space="0" w:color="auto"/>
              <w:right w:val="single" w:sz="4" w:space="0" w:color="auto"/>
            </w:tcBorders>
            <w:hideMark/>
          </w:tcPr>
          <w:p w14:paraId="689F1442" w14:textId="77777777" w:rsidR="00193E45" w:rsidRPr="00990A6C" w:rsidRDefault="00193E45" w:rsidP="00912A6D">
            <w:pPr>
              <w:ind w:left="57" w:right="57"/>
            </w:pPr>
            <w:r w:rsidRPr="00990A6C">
              <w:t> 3.</w:t>
            </w:r>
          </w:p>
        </w:tc>
        <w:tc>
          <w:tcPr>
            <w:tcW w:w="3153" w:type="dxa"/>
            <w:tcBorders>
              <w:top w:val="single" w:sz="4" w:space="0" w:color="auto"/>
              <w:left w:val="single" w:sz="4" w:space="0" w:color="auto"/>
              <w:bottom w:val="single" w:sz="4" w:space="0" w:color="auto"/>
              <w:right w:val="single" w:sz="4" w:space="0" w:color="auto"/>
            </w:tcBorders>
            <w:hideMark/>
          </w:tcPr>
          <w:p w14:paraId="39D92050" w14:textId="77777777" w:rsidR="00193E45" w:rsidRPr="00990A6C" w:rsidRDefault="00193E45" w:rsidP="00912A6D">
            <w:pPr>
              <w:ind w:left="57" w:right="57"/>
              <w:jc w:val="both"/>
            </w:pPr>
            <w:r w:rsidRPr="00990A6C">
              <w:t>Administratīvo izmaksu monetārs novērtējums</w:t>
            </w:r>
          </w:p>
        </w:tc>
        <w:tc>
          <w:tcPr>
            <w:tcW w:w="5518" w:type="dxa"/>
            <w:tcBorders>
              <w:top w:val="single" w:sz="4" w:space="0" w:color="auto"/>
              <w:left w:val="single" w:sz="4" w:space="0" w:color="auto"/>
              <w:bottom w:val="single" w:sz="4" w:space="0" w:color="auto"/>
              <w:right w:val="single" w:sz="4" w:space="0" w:color="auto"/>
            </w:tcBorders>
            <w:hideMark/>
          </w:tcPr>
          <w:p w14:paraId="59B96BF6" w14:textId="77777777" w:rsidR="00193E45" w:rsidRPr="00990A6C" w:rsidRDefault="00727E79" w:rsidP="003222D8">
            <w:pPr>
              <w:ind w:right="57"/>
              <w:jc w:val="both"/>
            </w:pPr>
            <w:r w:rsidRPr="00990A6C">
              <w:t>Projekts šo jomu neskar.</w:t>
            </w:r>
          </w:p>
        </w:tc>
      </w:tr>
      <w:tr w:rsidR="00193E45" w:rsidRPr="00990A6C" w14:paraId="4F108498" w14:textId="77777777" w:rsidTr="00D15797">
        <w:tc>
          <w:tcPr>
            <w:tcW w:w="523" w:type="dxa"/>
            <w:tcBorders>
              <w:top w:val="single" w:sz="4" w:space="0" w:color="auto"/>
              <w:left w:val="single" w:sz="4" w:space="0" w:color="auto"/>
              <w:bottom w:val="single" w:sz="4" w:space="0" w:color="auto"/>
              <w:right w:val="single" w:sz="4" w:space="0" w:color="auto"/>
            </w:tcBorders>
            <w:hideMark/>
          </w:tcPr>
          <w:p w14:paraId="0A6C0F36" w14:textId="77777777" w:rsidR="00193E45" w:rsidRPr="00990A6C" w:rsidRDefault="00193E45" w:rsidP="00912A6D">
            <w:pPr>
              <w:ind w:left="57" w:right="57"/>
            </w:pPr>
            <w:r w:rsidRPr="00990A6C">
              <w:t> 4.</w:t>
            </w:r>
          </w:p>
        </w:tc>
        <w:tc>
          <w:tcPr>
            <w:tcW w:w="3153" w:type="dxa"/>
            <w:tcBorders>
              <w:top w:val="single" w:sz="4" w:space="0" w:color="auto"/>
              <w:left w:val="single" w:sz="4" w:space="0" w:color="auto"/>
              <w:bottom w:val="single" w:sz="4" w:space="0" w:color="auto"/>
              <w:right w:val="single" w:sz="4" w:space="0" w:color="auto"/>
            </w:tcBorders>
            <w:hideMark/>
          </w:tcPr>
          <w:p w14:paraId="6E904881" w14:textId="77777777" w:rsidR="00193E45" w:rsidRPr="00990A6C" w:rsidRDefault="00193E45" w:rsidP="00912A6D">
            <w:pPr>
              <w:ind w:left="57" w:right="57"/>
              <w:jc w:val="both"/>
            </w:pPr>
            <w:r w:rsidRPr="00990A6C">
              <w:t> Cita informācija</w:t>
            </w:r>
          </w:p>
        </w:tc>
        <w:tc>
          <w:tcPr>
            <w:tcW w:w="5518" w:type="dxa"/>
            <w:tcBorders>
              <w:top w:val="single" w:sz="4" w:space="0" w:color="auto"/>
              <w:left w:val="single" w:sz="4" w:space="0" w:color="auto"/>
              <w:bottom w:val="single" w:sz="4" w:space="0" w:color="auto"/>
              <w:right w:val="single" w:sz="4" w:space="0" w:color="auto"/>
            </w:tcBorders>
            <w:hideMark/>
          </w:tcPr>
          <w:p w14:paraId="303A7E6A" w14:textId="77777777" w:rsidR="00193E45" w:rsidRPr="00990A6C" w:rsidRDefault="00193E45" w:rsidP="003222D8">
            <w:pPr>
              <w:ind w:right="57"/>
            </w:pPr>
            <w:r w:rsidRPr="00990A6C">
              <w:t>Nav</w:t>
            </w:r>
          </w:p>
        </w:tc>
      </w:tr>
    </w:tbl>
    <w:p w14:paraId="47BB9E20" w14:textId="77777777" w:rsidR="001A3F49" w:rsidRPr="00990A6C" w:rsidRDefault="001A3F49" w:rsidP="00912A6D">
      <w:pPr>
        <w:ind w:left="57" w:right="5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9209"/>
      </w:tblGrid>
      <w:tr w:rsidR="00686C2D" w:rsidRPr="00990A6C" w14:paraId="45A1B56C" w14:textId="77777777" w:rsidTr="00845936">
        <w:trPr>
          <w:cantSplit/>
        </w:trPr>
        <w:tc>
          <w:tcPr>
            <w:tcW w:w="9209" w:type="dxa"/>
            <w:shd w:val="clear" w:color="auto" w:fill="auto"/>
            <w:vAlign w:val="center"/>
            <w:hideMark/>
          </w:tcPr>
          <w:p w14:paraId="03AE027A" w14:textId="77777777" w:rsidR="00686C2D" w:rsidRPr="00990A6C" w:rsidRDefault="00686C2D" w:rsidP="00686C2D">
            <w:pPr>
              <w:ind w:left="57" w:right="57"/>
              <w:rPr>
                <w:b/>
                <w:bCs/>
              </w:rPr>
            </w:pPr>
            <w:r w:rsidRPr="00990A6C">
              <w:rPr>
                <w:b/>
                <w:bCs/>
              </w:rPr>
              <w:t>III. Tiesību akta projekta ietekme uz valsts budžetu un pašvaldību budžetiem</w:t>
            </w:r>
          </w:p>
        </w:tc>
      </w:tr>
      <w:tr w:rsidR="00CA795D" w:rsidRPr="00990A6C" w14:paraId="32391245" w14:textId="77777777" w:rsidTr="00845936">
        <w:trPr>
          <w:cantSplit/>
        </w:trPr>
        <w:tc>
          <w:tcPr>
            <w:tcW w:w="9209" w:type="dxa"/>
            <w:shd w:val="clear" w:color="auto" w:fill="auto"/>
            <w:vAlign w:val="center"/>
          </w:tcPr>
          <w:p w14:paraId="757C0783" w14:textId="1F9ABF11" w:rsidR="00CA795D" w:rsidRPr="00CA795D" w:rsidRDefault="00CA795D" w:rsidP="00CA795D">
            <w:pPr>
              <w:ind w:left="57" w:right="57"/>
              <w:jc w:val="center"/>
            </w:pPr>
            <w:r w:rsidRPr="00CA795D">
              <w:t>Projekts šo jomu neskar</w:t>
            </w:r>
          </w:p>
        </w:tc>
      </w:tr>
    </w:tbl>
    <w:p w14:paraId="298209E6" w14:textId="77777777" w:rsidR="00686C2D" w:rsidRPr="00990A6C" w:rsidRDefault="00686C2D" w:rsidP="00CA795D">
      <w:pPr>
        <w:ind w:right="57"/>
      </w:pPr>
    </w:p>
    <w:tbl>
      <w:tblPr>
        <w:tblW w:w="4934" w:type="pct"/>
        <w:tblInd w:w="-8" w:type="dxa"/>
        <w:tblBorders>
          <w:top w:val="outset" w:sz="6" w:space="0" w:color="000000"/>
          <w:left w:val="outset" w:sz="6" w:space="0" w:color="000000"/>
          <w:bottom w:val="outset" w:sz="6" w:space="0" w:color="000000"/>
          <w:right w:val="outset" w:sz="6" w:space="0" w:color="000000"/>
        </w:tblBorders>
        <w:tblLayout w:type="fixed"/>
        <w:tblCellMar>
          <w:top w:w="30" w:type="dxa"/>
          <w:left w:w="30" w:type="dxa"/>
          <w:bottom w:w="30" w:type="dxa"/>
          <w:right w:w="30" w:type="dxa"/>
        </w:tblCellMar>
        <w:tblLook w:val="04A0" w:firstRow="1" w:lastRow="0" w:firstColumn="1" w:lastColumn="0" w:noHBand="0" w:noVBand="1"/>
      </w:tblPr>
      <w:tblGrid>
        <w:gridCol w:w="439"/>
        <w:gridCol w:w="3787"/>
        <w:gridCol w:w="4989"/>
      </w:tblGrid>
      <w:tr w:rsidR="00686C2D" w:rsidRPr="00990A6C" w14:paraId="4B9B45B5" w14:textId="77777777" w:rsidTr="00845936">
        <w:tc>
          <w:tcPr>
            <w:tcW w:w="5000" w:type="pct"/>
            <w:gridSpan w:val="3"/>
            <w:tcBorders>
              <w:top w:val="single" w:sz="6" w:space="0" w:color="auto"/>
              <w:left w:val="single" w:sz="6" w:space="0" w:color="auto"/>
              <w:bottom w:val="outset" w:sz="6" w:space="0" w:color="000000"/>
              <w:right w:val="single" w:sz="6" w:space="0" w:color="auto"/>
            </w:tcBorders>
            <w:vAlign w:val="center"/>
            <w:hideMark/>
          </w:tcPr>
          <w:p w14:paraId="7CC278A5" w14:textId="77777777" w:rsidR="00686C2D" w:rsidRPr="00990A6C" w:rsidRDefault="00686C2D" w:rsidP="00686C2D">
            <w:pPr>
              <w:ind w:left="57" w:right="57"/>
              <w:rPr>
                <w:b/>
                <w:bCs/>
              </w:rPr>
            </w:pPr>
            <w:r w:rsidRPr="00990A6C">
              <w:rPr>
                <w:b/>
                <w:bCs/>
              </w:rPr>
              <w:t>IV. Tiesību akta projekta ietekme uz spēkā esošo tiesību normu sistēmu</w:t>
            </w:r>
          </w:p>
        </w:tc>
      </w:tr>
      <w:tr w:rsidR="00686C2D" w:rsidRPr="00990A6C" w14:paraId="5E4FEADA" w14:textId="77777777" w:rsidTr="00845936">
        <w:tc>
          <w:tcPr>
            <w:tcW w:w="238" w:type="pct"/>
            <w:tcBorders>
              <w:top w:val="outset" w:sz="6" w:space="0" w:color="000000"/>
              <w:left w:val="outset" w:sz="6" w:space="0" w:color="000000"/>
              <w:bottom w:val="outset" w:sz="6" w:space="0" w:color="000000"/>
              <w:right w:val="outset" w:sz="6" w:space="0" w:color="000000"/>
            </w:tcBorders>
            <w:hideMark/>
          </w:tcPr>
          <w:p w14:paraId="1ECDFCA9" w14:textId="77777777" w:rsidR="00686C2D" w:rsidRPr="00990A6C" w:rsidRDefault="00686C2D" w:rsidP="00686C2D">
            <w:pPr>
              <w:ind w:left="57" w:right="57"/>
            </w:pPr>
            <w:r w:rsidRPr="00990A6C">
              <w:t>1.</w:t>
            </w:r>
          </w:p>
        </w:tc>
        <w:tc>
          <w:tcPr>
            <w:tcW w:w="2055" w:type="pct"/>
            <w:tcBorders>
              <w:top w:val="outset" w:sz="6" w:space="0" w:color="000000"/>
              <w:left w:val="outset" w:sz="6" w:space="0" w:color="000000"/>
              <w:bottom w:val="outset" w:sz="6" w:space="0" w:color="000000"/>
              <w:right w:val="outset" w:sz="6" w:space="0" w:color="000000"/>
            </w:tcBorders>
          </w:tcPr>
          <w:p w14:paraId="5F6292F2" w14:textId="77777777" w:rsidR="00686C2D" w:rsidRPr="00990A6C" w:rsidRDefault="00686C2D" w:rsidP="00686C2D">
            <w:pPr>
              <w:ind w:left="57" w:right="57"/>
            </w:pPr>
            <w:r w:rsidRPr="00990A6C">
              <w:t>Saistītie tiesību aktu projekti</w:t>
            </w:r>
          </w:p>
        </w:tc>
        <w:tc>
          <w:tcPr>
            <w:tcW w:w="2707" w:type="pct"/>
            <w:tcBorders>
              <w:top w:val="outset" w:sz="6" w:space="0" w:color="000000"/>
              <w:left w:val="outset" w:sz="6" w:space="0" w:color="000000"/>
              <w:bottom w:val="outset" w:sz="6" w:space="0" w:color="000000"/>
              <w:right w:val="outset" w:sz="6" w:space="0" w:color="000000"/>
            </w:tcBorders>
          </w:tcPr>
          <w:p w14:paraId="63AC268D" w14:textId="77777777" w:rsidR="00686C2D" w:rsidRPr="00990A6C" w:rsidRDefault="00845936" w:rsidP="00686C2D">
            <w:pPr>
              <w:ind w:left="57" w:right="57"/>
            </w:pPr>
            <w:r w:rsidRPr="00990A6C">
              <w:t>Nav</w:t>
            </w:r>
          </w:p>
        </w:tc>
      </w:tr>
      <w:tr w:rsidR="00686C2D" w:rsidRPr="00990A6C" w14:paraId="10B8502E" w14:textId="77777777" w:rsidTr="00845936">
        <w:tc>
          <w:tcPr>
            <w:tcW w:w="238" w:type="pct"/>
            <w:tcBorders>
              <w:top w:val="outset" w:sz="6" w:space="0" w:color="000000"/>
              <w:left w:val="outset" w:sz="6" w:space="0" w:color="000000"/>
              <w:bottom w:val="outset" w:sz="6" w:space="0" w:color="000000"/>
              <w:right w:val="outset" w:sz="6" w:space="0" w:color="000000"/>
            </w:tcBorders>
          </w:tcPr>
          <w:p w14:paraId="3AF1A229" w14:textId="77777777" w:rsidR="00686C2D" w:rsidRPr="00990A6C" w:rsidRDefault="00686C2D" w:rsidP="00686C2D">
            <w:pPr>
              <w:ind w:left="57" w:right="57"/>
            </w:pPr>
            <w:r w:rsidRPr="00990A6C">
              <w:t>2.</w:t>
            </w:r>
          </w:p>
        </w:tc>
        <w:tc>
          <w:tcPr>
            <w:tcW w:w="2055" w:type="pct"/>
            <w:tcBorders>
              <w:top w:val="outset" w:sz="6" w:space="0" w:color="000000"/>
              <w:left w:val="outset" w:sz="6" w:space="0" w:color="000000"/>
              <w:bottom w:val="outset" w:sz="6" w:space="0" w:color="000000"/>
              <w:right w:val="outset" w:sz="6" w:space="0" w:color="000000"/>
            </w:tcBorders>
          </w:tcPr>
          <w:p w14:paraId="62E6C720" w14:textId="77777777" w:rsidR="00686C2D" w:rsidRPr="00990A6C" w:rsidRDefault="00686C2D" w:rsidP="00686C2D">
            <w:pPr>
              <w:ind w:left="57" w:right="57"/>
            </w:pPr>
            <w:r w:rsidRPr="00990A6C">
              <w:t>Atbildīgā institūcija</w:t>
            </w:r>
          </w:p>
        </w:tc>
        <w:tc>
          <w:tcPr>
            <w:tcW w:w="2707" w:type="pct"/>
            <w:tcBorders>
              <w:top w:val="outset" w:sz="6" w:space="0" w:color="000000"/>
              <w:left w:val="outset" w:sz="6" w:space="0" w:color="000000"/>
              <w:bottom w:val="outset" w:sz="6" w:space="0" w:color="000000"/>
              <w:right w:val="outset" w:sz="6" w:space="0" w:color="000000"/>
            </w:tcBorders>
          </w:tcPr>
          <w:p w14:paraId="4A71F45C" w14:textId="2D555CF4" w:rsidR="00686C2D" w:rsidRPr="00990A6C" w:rsidRDefault="00CA795D" w:rsidP="00686C2D">
            <w:pPr>
              <w:ind w:left="57" w:right="57"/>
            </w:pPr>
            <w:r>
              <w:t>Ekonomikas ministrija</w:t>
            </w:r>
          </w:p>
        </w:tc>
      </w:tr>
      <w:tr w:rsidR="00686C2D" w:rsidRPr="00990A6C" w14:paraId="52168E4F" w14:textId="77777777" w:rsidTr="00845936">
        <w:trPr>
          <w:trHeight w:val="264"/>
        </w:trPr>
        <w:tc>
          <w:tcPr>
            <w:tcW w:w="238" w:type="pct"/>
            <w:tcBorders>
              <w:top w:val="outset" w:sz="6" w:space="0" w:color="000000"/>
              <w:left w:val="outset" w:sz="6" w:space="0" w:color="000000"/>
              <w:bottom w:val="outset" w:sz="6" w:space="0" w:color="000000"/>
              <w:right w:val="outset" w:sz="6" w:space="0" w:color="000000"/>
            </w:tcBorders>
          </w:tcPr>
          <w:p w14:paraId="09E8B7A0" w14:textId="77777777" w:rsidR="00686C2D" w:rsidRPr="00990A6C" w:rsidRDefault="00686C2D" w:rsidP="00686C2D">
            <w:pPr>
              <w:ind w:left="57" w:right="57"/>
            </w:pPr>
            <w:r w:rsidRPr="00990A6C">
              <w:t>3.</w:t>
            </w:r>
          </w:p>
        </w:tc>
        <w:tc>
          <w:tcPr>
            <w:tcW w:w="2055" w:type="pct"/>
            <w:tcBorders>
              <w:top w:val="outset" w:sz="6" w:space="0" w:color="000000"/>
              <w:left w:val="outset" w:sz="6" w:space="0" w:color="000000"/>
              <w:bottom w:val="outset" w:sz="6" w:space="0" w:color="000000"/>
              <w:right w:val="outset" w:sz="6" w:space="0" w:color="000000"/>
            </w:tcBorders>
          </w:tcPr>
          <w:p w14:paraId="3FD93078" w14:textId="77777777" w:rsidR="00686C2D" w:rsidRPr="00990A6C" w:rsidRDefault="00686C2D" w:rsidP="00686C2D">
            <w:pPr>
              <w:ind w:left="57" w:right="57"/>
            </w:pPr>
            <w:r w:rsidRPr="00990A6C">
              <w:t>Cita informācija</w:t>
            </w:r>
          </w:p>
        </w:tc>
        <w:tc>
          <w:tcPr>
            <w:tcW w:w="2707" w:type="pct"/>
            <w:tcBorders>
              <w:top w:val="outset" w:sz="6" w:space="0" w:color="000000"/>
              <w:left w:val="outset" w:sz="6" w:space="0" w:color="000000"/>
              <w:bottom w:val="outset" w:sz="6" w:space="0" w:color="000000"/>
              <w:right w:val="outset" w:sz="6" w:space="0" w:color="000000"/>
            </w:tcBorders>
          </w:tcPr>
          <w:p w14:paraId="0A25400B" w14:textId="77777777" w:rsidR="00686C2D" w:rsidRPr="00990A6C" w:rsidRDefault="00686C2D" w:rsidP="00686C2D">
            <w:pPr>
              <w:ind w:left="57" w:right="57"/>
            </w:pPr>
            <w:r w:rsidRPr="00990A6C">
              <w:t>Nav</w:t>
            </w:r>
          </w:p>
        </w:tc>
      </w:tr>
    </w:tbl>
    <w:p w14:paraId="465E3BE6" w14:textId="77777777" w:rsidR="00686C2D" w:rsidRPr="00990A6C" w:rsidRDefault="00686C2D" w:rsidP="00686C2D">
      <w:pPr>
        <w:ind w:left="57" w:right="57"/>
      </w:pPr>
    </w:p>
    <w:tbl>
      <w:tblPr>
        <w:tblW w:w="493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3"/>
      </w:tblGrid>
      <w:tr w:rsidR="00686C2D" w:rsidRPr="00990A6C" w14:paraId="57D514C0" w14:textId="77777777" w:rsidTr="00845936">
        <w:tc>
          <w:tcPr>
            <w:tcW w:w="5000" w:type="pct"/>
            <w:shd w:val="clear" w:color="auto" w:fill="auto"/>
            <w:hideMark/>
          </w:tcPr>
          <w:p w14:paraId="282CC02C" w14:textId="77777777" w:rsidR="00686C2D" w:rsidRPr="00990A6C" w:rsidRDefault="00686C2D" w:rsidP="00686C2D">
            <w:pPr>
              <w:ind w:left="57" w:right="57"/>
              <w:rPr>
                <w:b/>
                <w:bCs/>
              </w:rPr>
            </w:pPr>
            <w:r w:rsidRPr="00990A6C">
              <w:rPr>
                <w:b/>
                <w:bCs/>
              </w:rPr>
              <w:t>V. Tiesību akta projekta atbilstība Latvijas Republikas starptautiskajām saistībām</w:t>
            </w:r>
          </w:p>
        </w:tc>
      </w:tr>
      <w:tr w:rsidR="00CA795D" w:rsidRPr="00990A6C" w14:paraId="6BABD3EC" w14:textId="77777777" w:rsidTr="00845936">
        <w:tc>
          <w:tcPr>
            <w:tcW w:w="5000" w:type="pct"/>
            <w:shd w:val="clear" w:color="auto" w:fill="auto"/>
          </w:tcPr>
          <w:p w14:paraId="45EB370D" w14:textId="5D386250" w:rsidR="00CA795D" w:rsidRPr="00CA795D" w:rsidRDefault="00CA795D" w:rsidP="00CA795D">
            <w:pPr>
              <w:ind w:left="57" w:right="57"/>
              <w:jc w:val="center"/>
            </w:pPr>
            <w:r w:rsidRPr="00CA795D">
              <w:t>Projekts šo jomu neskar</w:t>
            </w:r>
          </w:p>
        </w:tc>
      </w:tr>
    </w:tbl>
    <w:p w14:paraId="4C0712A5" w14:textId="572078D8" w:rsidR="00686C2D" w:rsidRPr="00990A6C" w:rsidRDefault="00686C2D" w:rsidP="00CA795D">
      <w:pPr>
        <w:ind w:left="57" w:right="57"/>
      </w:pPr>
      <w:r w:rsidRPr="00990A6C">
        <w:t xml:space="preserve">  </w:t>
      </w:r>
    </w:p>
    <w:tbl>
      <w:tblPr>
        <w:tblW w:w="9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62"/>
        <w:gridCol w:w="3527"/>
        <w:gridCol w:w="5272"/>
      </w:tblGrid>
      <w:tr w:rsidR="00193E45" w:rsidRPr="00990A6C" w14:paraId="65FB567D" w14:textId="77777777" w:rsidTr="005123A5">
        <w:trPr>
          <w:jc w:val="center"/>
        </w:trPr>
        <w:tc>
          <w:tcPr>
            <w:tcW w:w="9361" w:type="dxa"/>
            <w:gridSpan w:val="3"/>
          </w:tcPr>
          <w:p w14:paraId="46632E7D" w14:textId="77777777" w:rsidR="00193E45" w:rsidRPr="00990A6C" w:rsidRDefault="00193E45" w:rsidP="00912A6D">
            <w:pPr>
              <w:pStyle w:val="naisnod"/>
              <w:spacing w:before="0" w:after="0"/>
              <w:ind w:left="57" w:right="57"/>
            </w:pPr>
            <w:r w:rsidRPr="00990A6C">
              <w:t>VI. Sabiedrības līdzdalība un komunikācijas aktivitātes</w:t>
            </w:r>
          </w:p>
        </w:tc>
      </w:tr>
      <w:tr w:rsidR="00193E45" w:rsidRPr="00990A6C" w14:paraId="11F81CFC" w14:textId="77777777" w:rsidTr="00117972">
        <w:trPr>
          <w:trHeight w:val="1998"/>
          <w:jc w:val="center"/>
        </w:trPr>
        <w:tc>
          <w:tcPr>
            <w:tcW w:w="562" w:type="dxa"/>
          </w:tcPr>
          <w:p w14:paraId="7631D485" w14:textId="77777777" w:rsidR="00193E45" w:rsidRPr="00990A6C" w:rsidRDefault="00193E45" w:rsidP="00912A6D">
            <w:pPr>
              <w:pStyle w:val="naiskr"/>
              <w:spacing w:before="0" w:after="0"/>
              <w:ind w:left="57" w:right="57"/>
              <w:rPr>
                <w:bCs/>
              </w:rPr>
            </w:pPr>
            <w:r w:rsidRPr="00990A6C">
              <w:rPr>
                <w:bCs/>
              </w:rPr>
              <w:t>1.</w:t>
            </w:r>
          </w:p>
        </w:tc>
        <w:tc>
          <w:tcPr>
            <w:tcW w:w="3527" w:type="dxa"/>
          </w:tcPr>
          <w:p w14:paraId="70B2EDB8" w14:textId="77777777" w:rsidR="00193E45" w:rsidRPr="00990A6C" w:rsidRDefault="00193E45" w:rsidP="00912A6D">
            <w:pPr>
              <w:pStyle w:val="naiskr"/>
              <w:tabs>
                <w:tab w:val="left" w:pos="170"/>
              </w:tabs>
              <w:spacing w:before="0" w:after="0"/>
              <w:ind w:left="57" w:right="57"/>
              <w:jc w:val="both"/>
            </w:pPr>
            <w:r w:rsidRPr="00990A6C">
              <w:t>P</w:t>
            </w:r>
            <w:r w:rsidR="00912A6D" w:rsidRPr="00990A6C">
              <w:t xml:space="preserve">lānotās sabiedrības līdzdalības </w:t>
            </w:r>
            <w:r w:rsidRPr="00990A6C">
              <w:t>un komunikācijas aktivitātes saistībā ar projektu</w:t>
            </w:r>
          </w:p>
          <w:p w14:paraId="1B56B258" w14:textId="77777777" w:rsidR="00F1506E" w:rsidRPr="00990A6C" w:rsidRDefault="00F1506E" w:rsidP="00F1506E">
            <w:pPr>
              <w:pStyle w:val="naiskr"/>
              <w:tabs>
                <w:tab w:val="left" w:pos="170"/>
              </w:tabs>
              <w:spacing w:before="0" w:after="0"/>
              <w:ind w:right="57"/>
              <w:jc w:val="both"/>
            </w:pPr>
          </w:p>
        </w:tc>
        <w:tc>
          <w:tcPr>
            <w:tcW w:w="5272" w:type="dxa"/>
          </w:tcPr>
          <w:p w14:paraId="4CE588D1" w14:textId="3FAA6319" w:rsidR="00CA795D" w:rsidRDefault="00CA795D" w:rsidP="00CA795D">
            <w:pPr>
              <w:jc w:val="both"/>
            </w:pPr>
            <w:r w:rsidRPr="00CA795D">
              <w:t xml:space="preserve">Saskaņā ar Ministru kabineta 2009. gada 25. augusta noteikumu Nr. 970 “Sabiedrības līdzdalības kārtība attīstības plānošanas procesā” 7.4.1 apakšpunktu sabiedrības pārstāvji </w:t>
            </w:r>
            <w:r>
              <w:t>tiek</w:t>
            </w:r>
            <w:r w:rsidRPr="00CA795D">
              <w:t xml:space="preserve"> aicināti līdzdarboties, rakstiski sniedzot viedokli par noteikumu projektu tā izstrādes stadijā.</w:t>
            </w:r>
          </w:p>
          <w:p w14:paraId="68048F3E" w14:textId="78A1525F" w:rsidR="00CA795D" w:rsidRPr="00CA795D" w:rsidRDefault="00CA795D" w:rsidP="00CA795D">
            <w:pPr>
              <w:jc w:val="both"/>
            </w:pPr>
            <w:r w:rsidRPr="00405801">
              <w:t xml:space="preserve">Sabiedrības pārstāvji </w:t>
            </w:r>
            <w:r>
              <w:t>tiek</w:t>
            </w:r>
            <w:r w:rsidRPr="00405801">
              <w:t xml:space="preserve"> informēti par iespēju līdzdarboties, publicējot paziņojumu par līdzdalības procesu Ekonomikas ministrijas un Valsts kancelejas tīmekļa vietnē.</w:t>
            </w:r>
          </w:p>
        </w:tc>
      </w:tr>
      <w:tr w:rsidR="00193E45" w:rsidRPr="00990A6C" w14:paraId="6084E54C" w14:textId="77777777" w:rsidTr="00117972">
        <w:trPr>
          <w:trHeight w:val="339"/>
          <w:jc w:val="center"/>
        </w:trPr>
        <w:tc>
          <w:tcPr>
            <w:tcW w:w="562" w:type="dxa"/>
          </w:tcPr>
          <w:p w14:paraId="767CB2C1" w14:textId="77777777" w:rsidR="00193E45" w:rsidRPr="00990A6C" w:rsidRDefault="00193E45" w:rsidP="00912A6D">
            <w:pPr>
              <w:pStyle w:val="naiskr"/>
              <w:spacing w:before="0" w:after="0"/>
              <w:ind w:left="57" w:right="57"/>
              <w:rPr>
                <w:bCs/>
              </w:rPr>
            </w:pPr>
            <w:r w:rsidRPr="00990A6C">
              <w:rPr>
                <w:bCs/>
              </w:rPr>
              <w:t>2.</w:t>
            </w:r>
          </w:p>
        </w:tc>
        <w:tc>
          <w:tcPr>
            <w:tcW w:w="3527" w:type="dxa"/>
          </w:tcPr>
          <w:p w14:paraId="28E293B2" w14:textId="77777777" w:rsidR="00193E45" w:rsidRPr="00990A6C" w:rsidRDefault="00193E45" w:rsidP="00912A6D">
            <w:pPr>
              <w:pStyle w:val="naiskr"/>
              <w:spacing w:before="0" w:after="0"/>
              <w:ind w:left="57" w:right="57"/>
              <w:jc w:val="both"/>
            </w:pPr>
            <w:r w:rsidRPr="00990A6C">
              <w:t xml:space="preserve">Sabiedrības līdzdalība projekta izstrādē </w:t>
            </w:r>
          </w:p>
        </w:tc>
        <w:tc>
          <w:tcPr>
            <w:tcW w:w="5272" w:type="dxa"/>
          </w:tcPr>
          <w:p w14:paraId="1748D7A0" w14:textId="05A9C58A" w:rsidR="008C5C24" w:rsidRPr="00990A6C" w:rsidRDefault="00CA795D" w:rsidP="007E71B1">
            <w:pPr>
              <w:pStyle w:val="naiskr"/>
              <w:spacing w:before="0" w:after="0"/>
              <w:ind w:right="57"/>
              <w:jc w:val="both"/>
            </w:pPr>
            <w:r w:rsidRPr="00CA795D">
              <w:t xml:space="preserve">Sabiedrībai </w:t>
            </w:r>
            <w:r>
              <w:t>tiek</w:t>
            </w:r>
            <w:r w:rsidRPr="00CA795D">
              <w:t xml:space="preserve"> dota iespēja izvērtēt un izteikt viedokli par noteikumu projektu, kas publicēts Ekonomikas ministrijas </w:t>
            </w:r>
            <w:r w:rsidR="00A92B3F">
              <w:t xml:space="preserve">tīmekļa vietnē </w:t>
            </w:r>
            <w:hyperlink r:id="rId8" w:history="1">
              <w:r w:rsidR="00A92B3F" w:rsidRPr="00C57DDB">
                <w:rPr>
                  <w:rStyle w:val="Hyperlink"/>
                </w:rPr>
                <w:t>https://www.em.gov.lv/lv/diskusiju-dokumenti</w:t>
              </w:r>
            </w:hyperlink>
            <w:r w:rsidR="00A92B3F">
              <w:t xml:space="preserve"> </w:t>
            </w:r>
            <w:r w:rsidRPr="00CA795D">
              <w:t xml:space="preserve">un Valsts kancelejas tīmekļa vietnē </w:t>
            </w:r>
            <w:hyperlink r:id="rId9" w:history="1">
              <w:r w:rsidR="00FC4AFA" w:rsidRPr="00253D91">
                <w:rPr>
                  <w:rStyle w:val="Hyperlink"/>
                </w:rPr>
                <w:t>https://www.mk.gov.lv/lv/ministru-kabineta-diskusiju-dokumenti</w:t>
              </w:r>
            </w:hyperlink>
            <w:r w:rsidR="00FC4AFA">
              <w:t xml:space="preserve"> </w:t>
            </w:r>
            <w:r w:rsidRPr="00CA795D">
              <w:t>divu nedēļu sabiedriskajai apspriešanai.</w:t>
            </w:r>
          </w:p>
        </w:tc>
      </w:tr>
      <w:tr w:rsidR="00193E45" w:rsidRPr="00990A6C" w14:paraId="145440C1" w14:textId="77777777" w:rsidTr="00117972">
        <w:trPr>
          <w:trHeight w:val="375"/>
          <w:jc w:val="center"/>
        </w:trPr>
        <w:tc>
          <w:tcPr>
            <w:tcW w:w="562" w:type="dxa"/>
          </w:tcPr>
          <w:p w14:paraId="655D7C15" w14:textId="77777777" w:rsidR="00193E45" w:rsidRPr="00990A6C" w:rsidRDefault="00193E45" w:rsidP="00912A6D">
            <w:pPr>
              <w:pStyle w:val="naiskr"/>
              <w:spacing w:before="0" w:after="0"/>
              <w:ind w:left="57" w:right="57"/>
              <w:rPr>
                <w:bCs/>
              </w:rPr>
            </w:pPr>
            <w:r w:rsidRPr="00990A6C">
              <w:rPr>
                <w:bCs/>
              </w:rPr>
              <w:lastRenderedPageBreak/>
              <w:t>3.</w:t>
            </w:r>
          </w:p>
        </w:tc>
        <w:tc>
          <w:tcPr>
            <w:tcW w:w="3527" w:type="dxa"/>
          </w:tcPr>
          <w:p w14:paraId="4E6E2BE9" w14:textId="77777777" w:rsidR="00193E45" w:rsidRPr="00990A6C" w:rsidRDefault="00193E45" w:rsidP="00912A6D">
            <w:pPr>
              <w:pStyle w:val="naiskr"/>
              <w:spacing w:before="0" w:after="0"/>
              <w:ind w:left="57" w:right="57"/>
              <w:jc w:val="both"/>
            </w:pPr>
            <w:r w:rsidRPr="00990A6C">
              <w:t xml:space="preserve">Sabiedrības līdzdalības rezultāti </w:t>
            </w:r>
          </w:p>
        </w:tc>
        <w:tc>
          <w:tcPr>
            <w:tcW w:w="5272" w:type="dxa"/>
          </w:tcPr>
          <w:p w14:paraId="73977444" w14:textId="07BF45FB" w:rsidR="00193E45" w:rsidRPr="00990A6C" w:rsidRDefault="00D32928" w:rsidP="00CA795D">
            <w:pPr>
              <w:pStyle w:val="naiskr"/>
              <w:spacing w:before="0" w:after="0"/>
              <w:ind w:left="57" w:right="57"/>
              <w:jc w:val="both"/>
            </w:pPr>
            <w:r>
              <w:t>Pēc sabiedriskās apspriešanas tiks izvērtēti</w:t>
            </w:r>
            <w:r w:rsidR="005E66B4">
              <w:t xml:space="preserve"> par noteikumu projektu</w:t>
            </w:r>
            <w:r>
              <w:t xml:space="preserve"> </w:t>
            </w:r>
            <w:r w:rsidR="005E66B4">
              <w:t>ie</w:t>
            </w:r>
            <w:r>
              <w:t>sniegtie viedokļi un priekšlikumi</w:t>
            </w:r>
          </w:p>
        </w:tc>
      </w:tr>
      <w:tr w:rsidR="00193E45" w:rsidRPr="00990A6C" w14:paraId="07F309FF" w14:textId="77777777" w:rsidTr="00117972">
        <w:trPr>
          <w:trHeight w:val="476"/>
          <w:jc w:val="center"/>
        </w:trPr>
        <w:tc>
          <w:tcPr>
            <w:tcW w:w="562" w:type="dxa"/>
          </w:tcPr>
          <w:p w14:paraId="7F44DCE3" w14:textId="77777777" w:rsidR="00193E45" w:rsidRPr="00990A6C" w:rsidRDefault="00193E45" w:rsidP="00912A6D">
            <w:pPr>
              <w:pStyle w:val="naiskr"/>
              <w:spacing w:before="0" w:after="0"/>
              <w:ind w:left="57" w:right="57"/>
              <w:rPr>
                <w:bCs/>
              </w:rPr>
            </w:pPr>
            <w:r w:rsidRPr="00990A6C">
              <w:rPr>
                <w:bCs/>
              </w:rPr>
              <w:t>4.</w:t>
            </w:r>
          </w:p>
        </w:tc>
        <w:tc>
          <w:tcPr>
            <w:tcW w:w="3527" w:type="dxa"/>
          </w:tcPr>
          <w:p w14:paraId="0FDAFA30" w14:textId="77777777" w:rsidR="00193E45" w:rsidRPr="00990A6C" w:rsidRDefault="00193E45" w:rsidP="00912A6D">
            <w:pPr>
              <w:pStyle w:val="naiskr"/>
              <w:spacing w:before="0" w:after="0"/>
              <w:ind w:left="57" w:right="57"/>
              <w:jc w:val="both"/>
            </w:pPr>
            <w:r w:rsidRPr="00990A6C">
              <w:t>Cita informācija</w:t>
            </w:r>
          </w:p>
        </w:tc>
        <w:tc>
          <w:tcPr>
            <w:tcW w:w="5272" w:type="dxa"/>
          </w:tcPr>
          <w:p w14:paraId="5EBCB184" w14:textId="200CAE05" w:rsidR="00193E45" w:rsidRPr="00990A6C" w:rsidRDefault="00193E45" w:rsidP="00CA795D">
            <w:pPr>
              <w:pStyle w:val="naiskr"/>
              <w:spacing w:before="0" w:after="0"/>
              <w:ind w:right="57"/>
            </w:pPr>
            <w:r w:rsidRPr="00990A6C">
              <w:t>Nav</w:t>
            </w:r>
          </w:p>
        </w:tc>
      </w:tr>
    </w:tbl>
    <w:p w14:paraId="11D3247A" w14:textId="77777777" w:rsidR="00193E45" w:rsidRPr="00990A6C" w:rsidRDefault="00193E45" w:rsidP="00912A6D">
      <w:pPr>
        <w:ind w:left="57" w:right="57"/>
        <w:rPr>
          <w:color w:val="FF0000"/>
        </w:rPr>
      </w:pPr>
    </w:p>
    <w:p w14:paraId="6C2B0F92" w14:textId="77777777" w:rsidR="001A3F49" w:rsidRPr="00990A6C" w:rsidRDefault="001A3F49" w:rsidP="00912A6D">
      <w:pPr>
        <w:ind w:left="57" w:right="57"/>
        <w:rPr>
          <w:color w:val="FF0000"/>
        </w:rPr>
      </w:pPr>
    </w:p>
    <w:tbl>
      <w:tblPr>
        <w:tblW w:w="9214"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67"/>
        <w:gridCol w:w="2977"/>
        <w:gridCol w:w="5670"/>
      </w:tblGrid>
      <w:tr w:rsidR="00193E45" w:rsidRPr="00990A6C" w14:paraId="08AE5274" w14:textId="77777777" w:rsidTr="005123A5">
        <w:trPr>
          <w:trHeight w:val="65"/>
        </w:trPr>
        <w:tc>
          <w:tcPr>
            <w:tcW w:w="9214" w:type="dxa"/>
            <w:gridSpan w:val="3"/>
          </w:tcPr>
          <w:p w14:paraId="4B01372B" w14:textId="77777777" w:rsidR="00193E45" w:rsidRPr="00990A6C" w:rsidRDefault="00193E45" w:rsidP="00912A6D">
            <w:pPr>
              <w:ind w:left="57" w:right="57"/>
              <w:jc w:val="center"/>
            </w:pPr>
            <w:r w:rsidRPr="00990A6C">
              <w:rPr>
                <w:b/>
              </w:rPr>
              <w:t>VII. Tiesību akta projekta izpildes nodrošināšana un tās ietekme uz institūcijām</w:t>
            </w:r>
          </w:p>
        </w:tc>
      </w:tr>
      <w:tr w:rsidR="00193E45" w:rsidRPr="00990A6C" w14:paraId="133BEA13" w14:textId="77777777" w:rsidTr="005123A5">
        <w:trPr>
          <w:trHeight w:val="427"/>
        </w:trPr>
        <w:tc>
          <w:tcPr>
            <w:tcW w:w="567" w:type="dxa"/>
          </w:tcPr>
          <w:p w14:paraId="229DD9D9" w14:textId="77777777" w:rsidR="00193E45" w:rsidRPr="00990A6C" w:rsidRDefault="00193E45" w:rsidP="00912A6D">
            <w:pPr>
              <w:ind w:left="57" w:right="57"/>
            </w:pPr>
            <w:r w:rsidRPr="00990A6C">
              <w:t> 1.</w:t>
            </w:r>
          </w:p>
        </w:tc>
        <w:tc>
          <w:tcPr>
            <w:tcW w:w="2977" w:type="dxa"/>
          </w:tcPr>
          <w:p w14:paraId="1CBB2C08" w14:textId="5FA6AE1E" w:rsidR="00193E45" w:rsidRPr="00990A6C" w:rsidRDefault="00193E45" w:rsidP="00912A6D">
            <w:pPr>
              <w:ind w:left="57" w:right="57"/>
              <w:jc w:val="both"/>
            </w:pPr>
            <w:r w:rsidRPr="00990A6C">
              <w:t>Projekta izpildē iesaistītās institūcijas</w:t>
            </w:r>
          </w:p>
        </w:tc>
        <w:tc>
          <w:tcPr>
            <w:tcW w:w="5670" w:type="dxa"/>
          </w:tcPr>
          <w:p w14:paraId="5394EC59" w14:textId="7F3C4A6C" w:rsidR="00193E45" w:rsidRPr="00990A6C" w:rsidRDefault="00F909A0" w:rsidP="002A4964">
            <w:pPr>
              <w:pStyle w:val="naisnod"/>
              <w:spacing w:before="0" w:after="0"/>
              <w:ind w:right="141"/>
              <w:jc w:val="both"/>
              <w:rPr>
                <w:b w:val="0"/>
              </w:rPr>
            </w:pPr>
            <w:r w:rsidRPr="00990A6C">
              <w:rPr>
                <w:b w:val="0"/>
              </w:rPr>
              <w:t>Dabasgāzes pārvades</w:t>
            </w:r>
            <w:r w:rsidR="009E4496" w:rsidRPr="00990A6C">
              <w:rPr>
                <w:b w:val="0"/>
              </w:rPr>
              <w:t xml:space="preserve"> un sadales sistēmas operatori</w:t>
            </w:r>
            <w:r w:rsidR="00723E79" w:rsidRPr="00990A6C">
              <w:rPr>
                <w:b w:val="0"/>
              </w:rPr>
              <w:t xml:space="preserve">, gāzes </w:t>
            </w:r>
            <w:r w:rsidR="0037481A" w:rsidRPr="00990A6C">
              <w:rPr>
                <w:b w:val="0"/>
              </w:rPr>
              <w:t>sistēmas lietotāj</w:t>
            </w:r>
            <w:r w:rsidR="00CA795D">
              <w:rPr>
                <w:b w:val="0"/>
              </w:rPr>
              <w:t>i</w:t>
            </w:r>
            <w:r w:rsidR="0037481A" w:rsidRPr="00990A6C">
              <w:rPr>
                <w:b w:val="0"/>
              </w:rPr>
              <w:t xml:space="preserve"> </w:t>
            </w:r>
            <w:r w:rsidR="00193E45" w:rsidRPr="00990A6C">
              <w:rPr>
                <w:b w:val="0"/>
              </w:rPr>
              <w:t>un valsts institūcijas, kas kontrolē</w:t>
            </w:r>
            <w:r w:rsidRPr="00990A6C">
              <w:rPr>
                <w:b w:val="0"/>
              </w:rPr>
              <w:t xml:space="preserve"> un uzrauga </w:t>
            </w:r>
            <w:r w:rsidR="007E4BC7" w:rsidRPr="00990A6C">
              <w:rPr>
                <w:b w:val="0"/>
              </w:rPr>
              <w:t>gāzes</w:t>
            </w:r>
            <w:r w:rsidRPr="00990A6C">
              <w:rPr>
                <w:b w:val="0"/>
              </w:rPr>
              <w:t xml:space="preserve"> ievadīšanas un transportēšanas procesus dabasgāzes sistēmā</w:t>
            </w:r>
            <w:r w:rsidR="00723E79" w:rsidRPr="00990A6C">
              <w:rPr>
                <w:b w:val="0"/>
              </w:rPr>
              <w:t>.</w:t>
            </w:r>
            <w:r w:rsidRPr="00990A6C" w:rsidDel="00F909A0">
              <w:rPr>
                <w:b w:val="0"/>
              </w:rPr>
              <w:t xml:space="preserve"> </w:t>
            </w:r>
          </w:p>
        </w:tc>
      </w:tr>
      <w:tr w:rsidR="00193E45" w:rsidRPr="00990A6C" w14:paraId="0C742480" w14:textId="77777777" w:rsidTr="005123A5">
        <w:trPr>
          <w:trHeight w:val="463"/>
        </w:trPr>
        <w:tc>
          <w:tcPr>
            <w:tcW w:w="567" w:type="dxa"/>
          </w:tcPr>
          <w:p w14:paraId="7C8FA946" w14:textId="77777777" w:rsidR="00193E45" w:rsidRPr="00990A6C" w:rsidRDefault="00193E45" w:rsidP="00912A6D">
            <w:pPr>
              <w:ind w:left="57" w:right="57"/>
            </w:pPr>
            <w:r w:rsidRPr="00990A6C">
              <w:t> 2.</w:t>
            </w:r>
          </w:p>
        </w:tc>
        <w:tc>
          <w:tcPr>
            <w:tcW w:w="2977" w:type="dxa"/>
          </w:tcPr>
          <w:p w14:paraId="2E5DE27C" w14:textId="77777777" w:rsidR="00193E45" w:rsidRPr="00990A6C" w:rsidRDefault="00193E45" w:rsidP="00912A6D">
            <w:pPr>
              <w:ind w:left="57" w:right="57"/>
              <w:jc w:val="both"/>
            </w:pPr>
            <w:r w:rsidRPr="00990A6C">
              <w:t> Projekta izpildes ietekme uz pārvaldes funkcijām un institucionālo struktūru. Jaunu institūciju izveide, esošu institūciju likvidācija vai reorganizācija, to ietekme uz institūcijas cilvēkresursiem</w:t>
            </w:r>
          </w:p>
        </w:tc>
        <w:tc>
          <w:tcPr>
            <w:tcW w:w="5670" w:type="dxa"/>
          </w:tcPr>
          <w:p w14:paraId="6245023F" w14:textId="34C2D301" w:rsidR="00193E45" w:rsidRPr="00990A6C" w:rsidRDefault="00E80776" w:rsidP="00E80776">
            <w:pPr>
              <w:pStyle w:val="naisnod"/>
              <w:spacing w:before="0" w:after="0"/>
              <w:ind w:right="57"/>
              <w:jc w:val="both"/>
              <w:rPr>
                <w:b w:val="0"/>
              </w:rPr>
            </w:pPr>
            <w:r>
              <w:rPr>
                <w:b w:val="0"/>
              </w:rPr>
              <w:t>Noteikumu p</w:t>
            </w:r>
            <w:r w:rsidR="000D0CE5" w:rsidRPr="00990A6C">
              <w:rPr>
                <w:b w:val="0"/>
              </w:rPr>
              <w:t>rojekta izpilde neietekmēs pārvaldes funkcijas</w:t>
            </w:r>
            <w:r>
              <w:rPr>
                <w:b w:val="0"/>
              </w:rPr>
              <w:t xml:space="preserve">, kā arī </w:t>
            </w:r>
            <w:r w:rsidR="000D0CE5" w:rsidRPr="00990A6C">
              <w:rPr>
                <w:b w:val="0"/>
              </w:rPr>
              <w:t>nav nepieciešama jaunu institūciju izveide, esošo institūciju likvidācija vai reorganizācija.</w:t>
            </w:r>
            <w:r>
              <w:rPr>
                <w:b w:val="0"/>
              </w:rPr>
              <w:t xml:space="preserve"> Tāpat arī noteikumu p</w:t>
            </w:r>
            <w:r w:rsidR="000D0CE5" w:rsidRPr="00990A6C">
              <w:rPr>
                <w:b w:val="0"/>
              </w:rPr>
              <w:t>rojekta izpilde tiks nodrošināta esošo cilvēkresursu un finanšu līdzekļu ietvaros.</w:t>
            </w:r>
          </w:p>
        </w:tc>
      </w:tr>
      <w:tr w:rsidR="00193E45" w:rsidRPr="00990A6C" w14:paraId="5797B501" w14:textId="77777777" w:rsidTr="005123A5">
        <w:trPr>
          <w:trHeight w:val="476"/>
        </w:trPr>
        <w:tc>
          <w:tcPr>
            <w:tcW w:w="567" w:type="dxa"/>
          </w:tcPr>
          <w:p w14:paraId="5EA8EE68" w14:textId="77777777" w:rsidR="00193E45" w:rsidRPr="00990A6C" w:rsidRDefault="00193E45" w:rsidP="00912A6D">
            <w:pPr>
              <w:ind w:left="57" w:right="57"/>
            </w:pPr>
            <w:r w:rsidRPr="00990A6C">
              <w:t> 3</w:t>
            </w:r>
            <w:r w:rsidR="005123A5" w:rsidRPr="00990A6C">
              <w:t>.</w:t>
            </w:r>
          </w:p>
        </w:tc>
        <w:tc>
          <w:tcPr>
            <w:tcW w:w="2977" w:type="dxa"/>
          </w:tcPr>
          <w:p w14:paraId="11CEF68F" w14:textId="77777777" w:rsidR="00193E45" w:rsidRPr="00990A6C" w:rsidRDefault="00193E45" w:rsidP="00912A6D">
            <w:pPr>
              <w:ind w:left="57" w:right="57"/>
              <w:jc w:val="both"/>
            </w:pPr>
            <w:r w:rsidRPr="00990A6C">
              <w:t> Cita informācija</w:t>
            </w:r>
          </w:p>
        </w:tc>
        <w:tc>
          <w:tcPr>
            <w:tcW w:w="5670" w:type="dxa"/>
          </w:tcPr>
          <w:p w14:paraId="4BD57935" w14:textId="31259BAA" w:rsidR="00193E45" w:rsidRPr="00990A6C" w:rsidRDefault="00193E45" w:rsidP="00E80776">
            <w:pPr>
              <w:ind w:right="57"/>
              <w:jc w:val="both"/>
            </w:pPr>
            <w:r w:rsidRPr="00990A6C">
              <w:t>Nav</w:t>
            </w:r>
          </w:p>
        </w:tc>
      </w:tr>
    </w:tbl>
    <w:p w14:paraId="7207BD87" w14:textId="77777777" w:rsidR="00845936" w:rsidRPr="00990A6C" w:rsidRDefault="00845936" w:rsidP="00811B43">
      <w:pPr>
        <w:jc w:val="both"/>
      </w:pPr>
    </w:p>
    <w:p w14:paraId="2DFEDFE7" w14:textId="77777777" w:rsidR="00811B43" w:rsidRPr="00990A6C" w:rsidRDefault="0049065F" w:rsidP="00811B43">
      <w:pPr>
        <w:jc w:val="both"/>
      </w:pPr>
      <w:r w:rsidRPr="00990A6C">
        <w:tab/>
      </w:r>
      <w:r w:rsidRPr="00990A6C">
        <w:tab/>
      </w:r>
      <w:r w:rsidRPr="00990A6C">
        <w:tab/>
      </w:r>
      <w:r w:rsidRPr="00990A6C">
        <w:tab/>
      </w:r>
      <w:r w:rsidRPr="00990A6C">
        <w:tab/>
      </w:r>
      <w:r w:rsidRPr="00990A6C">
        <w:tab/>
      </w:r>
    </w:p>
    <w:p w14:paraId="25E05E23" w14:textId="5513DD3B" w:rsidR="00124ADC" w:rsidRPr="00990A6C" w:rsidRDefault="00845936" w:rsidP="00811B43">
      <w:pPr>
        <w:tabs>
          <w:tab w:val="left" w:pos="-142"/>
        </w:tabs>
        <w:spacing w:line="276" w:lineRule="auto"/>
      </w:pPr>
      <w:r w:rsidRPr="00990A6C">
        <w:t>E</w:t>
      </w:r>
      <w:r w:rsidR="00967EF4" w:rsidRPr="00990A6C">
        <w:t xml:space="preserve">konomikas </w:t>
      </w:r>
      <w:r w:rsidR="00811B43" w:rsidRPr="00990A6C">
        <w:t>ministrs</w:t>
      </w:r>
      <w:r w:rsidR="0049065F" w:rsidRPr="00990A6C">
        <w:tab/>
      </w:r>
      <w:r w:rsidR="0049065F" w:rsidRPr="00990A6C">
        <w:tab/>
      </w:r>
      <w:r w:rsidR="0049065F" w:rsidRPr="00990A6C">
        <w:tab/>
      </w:r>
      <w:r w:rsidR="0049065F" w:rsidRPr="00990A6C">
        <w:tab/>
      </w:r>
      <w:r w:rsidR="0049065F" w:rsidRPr="00990A6C">
        <w:tab/>
      </w:r>
      <w:r w:rsidR="0049065F" w:rsidRPr="00990A6C">
        <w:tab/>
      </w:r>
      <w:r w:rsidR="0049065F" w:rsidRPr="00990A6C">
        <w:tab/>
      </w:r>
      <w:r w:rsidRPr="00990A6C">
        <w:t xml:space="preserve">     </w:t>
      </w:r>
      <w:r w:rsidR="00990A6C">
        <w:t xml:space="preserve">           </w:t>
      </w:r>
      <w:r w:rsidRPr="00990A6C">
        <w:t>J</w:t>
      </w:r>
      <w:r w:rsidR="0049065F" w:rsidRPr="00990A6C">
        <w:t>.</w:t>
      </w:r>
      <w:r w:rsidR="00990A6C">
        <w:t> </w:t>
      </w:r>
      <w:r w:rsidRPr="00990A6C">
        <w:t>Vitenbergs</w:t>
      </w:r>
    </w:p>
    <w:p w14:paraId="2B88278D" w14:textId="77777777" w:rsidR="00811B43" w:rsidRPr="00990A6C" w:rsidRDefault="00811B43" w:rsidP="00811B43">
      <w:pPr>
        <w:tabs>
          <w:tab w:val="left" w:pos="-142"/>
        </w:tabs>
        <w:spacing w:line="276" w:lineRule="auto"/>
      </w:pPr>
    </w:p>
    <w:p w14:paraId="216226F7" w14:textId="77777777" w:rsidR="00747AAB" w:rsidRPr="00990A6C" w:rsidRDefault="00747AAB" w:rsidP="00747AAB">
      <w:r w:rsidRPr="00990A6C">
        <w:t>Vīza:</w:t>
      </w:r>
    </w:p>
    <w:p w14:paraId="4D7D83EF" w14:textId="4D45D291" w:rsidR="00CB5FD4" w:rsidRPr="00990A6C" w:rsidRDefault="00C111BB" w:rsidP="00967EF4">
      <w:pPr>
        <w:tabs>
          <w:tab w:val="left" w:pos="5670"/>
          <w:tab w:val="right" w:pos="9072"/>
        </w:tabs>
      </w:pPr>
      <w:r w:rsidRPr="00990A6C">
        <w:t>Valsts sekretār</w:t>
      </w:r>
      <w:r w:rsidR="00967EF4" w:rsidRPr="00990A6C">
        <w:t xml:space="preserve">s </w:t>
      </w:r>
      <w:r w:rsidR="0049065F" w:rsidRPr="00990A6C">
        <w:tab/>
        <w:t xml:space="preserve">                              </w:t>
      </w:r>
      <w:r w:rsidR="00845936" w:rsidRPr="00990A6C">
        <w:t>E.</w:t>
      </w:r>
      <w:r w:rsidR="00990A6C">
        <w:t> </w:t>
      </w:r>
      <w:r w:rsidR="00845936" w:rsidRPr="00990A6C">
        <w:t>Valantis</w:t>
      </w:r>
    </w:p>
    <w:p w14:paraId="633B361F" w14:textId="77777777" w:rsidR="00193E45" w:rsidRPr="00990A6C" w:rsidRDefault="00193E45" w:rsidP="00967EF4">
      <w:pPr>
        <w:tabs>
          <w:tab w:val="right" w:pos="9072"/>
        </w:tabs>
      </w:pPr>
    </w:p>
    <w:p w14:paraId="71983C58" w14:textId="77777777" w:rsidR="00193E45" w:rsidRPr="00990A6C" w:rsidRDefault="00193E45" w:rsidP="00193E45"/>
    <w:p w14:paraId="784FEA2F" w14:textId="77777777" w:rsidR="00D15797" w:rsidRPr="00E80776" w:rsidRDefault="00D15797" w:rsidP="00D15797">
      <w:pPr>
        <w:keepLines/>
        <w:widowControl w:val="0"/>
        <w:jc w:val="both"/>
        <w:rPr>
          <w:sz w:val="20"/>
          <w:szCs w:val="20"/>
        </w:rPr>
      </w:pPr>
    </w:p>
    <w:p w14:paraId="2CD814C5" w14:textId="51FBE47C" w:rsidR="00845936" w:rsidRPr="00E80776" w:rsidRDefault="00990A6C" w:rsidP="00D15797">
      <w:pPr>
        <w:rPr>
          <w:noProof/>
          <w:sz w:val="20"/>
          <w:szCs w:val="20"/>
        </w:rPr>
      </w:pPr>
      <w:r w:rsidRPr="00E80776">
        <w:rPr>
          <w:sz w:val="20"/>
          <w:szCs w:val="20"/>
        </w:rPr>
        <w:t>I</w:t>
      </w:r>
      <w:r w:rsidR="00D15797" w:rsidRPr="00E80776">
        <w:rPr>
          <w:sz w:val="20"/>
          <w:szCs w:val="20"/>
        </w:rPr>
        <w:t>.</w:t>
      </w:r>
      <w:r w:rsidRPr="00E80776">
        <w:rPr>
          <w:sz w:val="20"/>
          <w:szCs w:val="20"/>
        </w:rPr>
        <w:t> Karpoviča</w:t>
      </w:r>
      <w:r w:rsidR="00845936" w:rsidRPr="00E80776">
        <w:rPr>
          <w:sz w:val="20"/>
          <w:szCs w:val="20"/>
        </w:rPr>
        <w:t xml:space="preserve"> </w:t>
      </w:r>
      <w:r w:rsidR="00D15797" w:rsidRPr="00E80776">
        <w:rPr>
          <w:noProof/>
          <w:sz w:val="20"/>
          <w:szCs w:val="20"/>
        </w:rPr>
        <w:t>67013</w:t>
      </w:r>
      <w:r w:rsidRPr="00E80776">
        <w:rPr>
          <w:noProof/>
          <w:sz w:val="20"/>
          <w:szCs w:val="20"/>
        </w:rPr>
        <w:t>192</w:t>
      </w:r>
    </w:p>
    <w:p w14:paraId="78A1A19B" w14:textId="3C657247" w:rsidR="00193E45" w:rsidRPr="00E80776" w:rsidRDefault="00990A6C" w:rsidP="00124ADC">
      <w:pPr>
        <w:tabs>
          <w:tab w:val="left" w:pos="1080"/>
        </w:tabs>
        <w:ind w:right="71"/>
        <w:jc w:val="both"/>
        <w:rPr>
          <w:sz w:val="20"/>
          <w:szCs w:val="20"/>
          <w:lang w:val="de-DE"/>
        </w:rPr>
      </w:pPr>
      <w:r w:rsidRPr="00E80776">
        <w:rPr>
          <w:sz w:val="20"/>
          <w:szCs w:val="20"/>
          <w:lang w:val="de-DE"/>
        </w:rPr>
        <w:t>Inese</w:t>
      </w:r>
      <w:r w:rsidR="00845936" w:rsidRPr="00E80776">
        <w:rPr>
          <w:sz w:val="20"/>
          <w:szCs w:val="20"/>
          <w:lang w:val="de-DE"/>
        </w:rPr>
        <w:t>.</w:t>
      </w:r>
      <w:r w:rsidRPr="00E80776">
        <w:rPr>
          <w:sz w:val="20"/>
          <w:szCs w:val="20"/>
          <w:lang w:val="de-DE"/>
        </w:rPr>
        <w:t>Karpovica</w:t>
      </w:r>
      <w:r w:rsidR="00845936" w:rsidRPr="00E80776">
        <w:rPr>
          <w:sz w:val="20"/>
          <w:szCs w:val="20"/>
          <w:lang w:val="de-DE"/>
        </w:rPr>
        <w:t>@em.gov.lv</w:t>
      </w:r>
    </w:p>
    <w:sectPr w:rsidR="00193E45" w:rsidRPr="00E80776" w:rsidSect="00FC4AFA">
      <w:headerReference w:type="even" r:id="rId10"/>
      <w:headerReference w:type="default" r:id="rId11"/>
      <w:footerReference w:type="default" r:id="rId12"/>
      <w:footerReference w:type="first" r:id="rId13"/>
      <w:pgSz w:w="11906" w:h="16838" w:code="9"/>
      <w:pgMar w:top="1134" w:right="851" w:bottom="1134" w:left="1701" w:header="709" w:footer="6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109AEC" w14:textId="77777777" w:rsidR="00E07C35" w:rsidRDefault="00E07C35">
      <w:r>
        <w:separator/>
      </w:r>
    </w:p>
  </w:endnote>
  <w:endnote w:type="continuationSeparator" w:id="0">
    <w:p w14:paraId="52D47464" w14:textId="77777777" w:rsidR="00E07C35" w:rsidRDefault="00E07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145316" w14:textId="77777777" w:rsidR="005D2D14" w:rsidRDefault="005D2D14">
    <w:pPr>
      <w:pStyle w:val="Footer"/>
      <w:rPr>
        <w:sz w:val="20"/>
        <w:szCs w:val="20"/>
      </w:rPr>
    </w:pPr>
  </w:p>
  <w:p w14:paraId="2AC467CF" w14:textId="106A6DEB" w:rsidR="005D2D14" w:rsidRDefault="005D2D14" w:rsidP="00602599">
    <w:pPr>
      <w:jc w:val="both"/>
      <w:rPr>
        <w:sz w:val="20"/>
        <w:szCs w:val="20"/>
      </w:rPr>
    </w:pPr>
    <w:r w:rsidRPr="00602599">
      <w:rPr>
        <w:sz w:val="20"/>
        <w:szCs w:val="20"/>
      </w:rPr>
      <w:t>EMAnot_</w:t>
    </w:r>
    <w:r w:rsidR="00217B3F">
      <w:rPr>
        <w:sz w:val="20"/>
        <w:szCs w:val="20"/>
      </w:rPr>
      <w:t>10</w:t>
    </w:r>
    <w:r w:rsidRPr="00602599">
      <w:rPr>
        <w:sz w:val="20"/>
        <w:szCs w:val="20"/>
      </w:rPr>
      <w:t>0</w:t>
    </w:r>
    <w:r w:rsidR="00217B3F">
      <w:rPr>
        <w:sz w:val="20"/>
        <w:szCs w:val="20"/>
      </w:rPr>
      <w:t>8</w:t>
    </w:r>
    <w:r w:rsidRPr="00602599">
      <w:rPr>
        <w:sz w:val="20"/>
        <w:szCs w:val="20"/>
      </w:rPr>
      <w:t>2021_prasības_tīklā_ievadāmām_gāzēm.docx</w:t>
    </w:r>
  </w:p>
  <w:p w14:paraId="4BCF2A7E" w14:textId="77777777" w:rsidR="005D2D14" w:rsidRDefault="005D2D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5" w:name="_Hlk75941450"/>
  <w:p w14:paraId="7AE8ECC1" w14:textId="77777777" w:rsidR="005D2D14" w:rsidRPr="0079607B" w:rsidRDefault="005D2D14">
    <w:pPr>
      <w:pStyle w:val="Footer"/>
    </w:pPr>
    <w:r w:rsidRPr="00645574">
      <w:rPr>
        <w:sz w:val="20"/>
        <w:szCs w:val="20"/>
      </w:rPr>
      <w:fldChar w:fldCharType="begin"/>
    </w:r>
    <w:r w:rsidRPr="00645574">
      <w:rPr>
        <w:sz w:val="20"/>
        <w:szCs w:val="20"/>
      </w:rPr>
      <w:instrText xml:space="preserve"> FILENAME   \* MERGEFORMAT </w:instrText>
    </w:r>
    <w:r w:rsidRPr="00645574">
      <w:rPr>
        <w:sz w:val="20"/>
        <w:szCs w:val="20"/>
      </w:rPr>
      <w:fldChar w:fldCharType="separate"/>
    </w:r>
    <w:r>
      <w:rPr>
        <w:noProof/>
        <w:sz w:val="20"/>
        <w:szCs w:val="20"/>
      </w:rPr>
      <w:t>EMAnot_28062021_prasības_tīklā_ievadāmām_gāzēm.docx</w:t>
    </w:r>
    <w:r w:rsidRPr="00645574">
      <w:rPr>
        <w:sz w:val="20"/>
        <w:szCs w:val="20"/>
      </w:rPr>
      <w:fldChar w:fldCharType="end"/>
    </w:r>
    <w:bookmarkEnd w:id="5"/>
    <w:r w:rsidRPr="0079607B">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DC9A25" w14:textId="77777777" w:rsidR="00E07C35" w:rsidRDefault="00E07C35">
      <w:r>
        <w:separator/>
      </w:r>
    </w:p>
  </w:footnote>
  <w:footnote w:type="continuationSeparator" w:id="0">
    <w:p w14:paraId="24804448" w14:textId="77777777" w:rsidR="00E07C35" w:rsidRDefault="00E07C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8826F5" w14:textId="77777777" w:rsidR="005D2D14" w:rsidRDefault="005D2D14" w:rsidP="003C449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4B6150" w14:textId="77777777" w:rsidR="005D2D14" w:rsidRDefault="005D2D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4322EF" w14:textId="77777777" w:rsidR="005D2D14" w:rsidRDefault="005D2D14" w:rsidP="003C449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22A00C62" w14:textId="77777777" w:rsidR="005D2D14" w:rsidRDefault="005D2D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01117"/>
    <w:multiLevelType w:val="hybridMultilevel"/>
    <w:tmpl w:val="B880A93E"/>
    <w:lvl w:ilvl="0" w:tplc="0630B5BA">
      <w:numFmt w:val="bullet"/>
      <w:lvlText w:val="-"/>
      <w:lvlJc w:val="left"/>
      <w:pPr>
        <w:ind w:left="777" w:hanging="360"/>
      </w:pPr>
      <w:rPr>
        <w:rFonts w:ascii="Times New Roman" w:eastAsia="Times New Roman" w:hAnsi="Times New Roman" w:cs="Times New Roman" w:hint="default"/>
      </w:rPr>
    </w:lvl>
    <w:lvl w:ilvl="1" w:tplc="04260003" w:tentative="1">
      <w:start w:val="1"/>
      <w:numFmt w:val="bullet"/>
      <w:lvlText w:val="o"/>
      <w:lvlJc w:val="left"/>
      <w:pPr>
        <w:ind w:left="1497" w:hanging="360"/>
      </w:pPr>
      <w:rPr>
        <w:rFonts w:ascii="Courier New" w:hAnsi="Courier New" w:cs="Courier New" w:hint="default"/>
      </w:rPr>
    </w:lvl>
    <w:lvl w:ilvl="2" w:tplc="04260005" w:tentative="1">
      <w:start w:val="1"/>
      <w:numFmt w:val="bullet"/>
      <w:lvlText w:val=""/>
      <w:lvlJc w:val="left"/>
      <w:pPr>
        <w:ind w:left="2217" w:hanging="360"/>
      </w:pPr>
      <w:rPr>
        <w:rFonts w:ascii="Wingdings" w:hAnsi="Wingdings" w:hint="default"/>
      </w:rPr>
    </w:lvl>
    <w:lvl w:ilvl="3" w:tplc="04260001" w:tentative="1">
      <w:start w:val="1"/>
      <w:numFmt w:val="bullet"/>
      <w:lvlText w:val=""/>
      <w:lvlJc w:val="left"/>
      <w:pPr>
        <w:ind w:left="2937" w:hanging="360"/>
      </w:pPr>
      <w:rPr>
        <w:rFonts w:ascii="Symbol" w:hAnsi="Symbol" w:hint="default"/>
      </w:rPr>
    </w:lvl>
    <w:lvl w:ilvl="4" w:tplc="04260003" w:tentative="1">
      <w:start w:val="1"/>
      <w:numFmt w:val="bullet"/>
      <w:lvlText w:val="o"/>
      <w:lvlJc w:val="left"/>
      <w:pPr>
        <w:ind w:left="3657" w:hanging="360"/>
      </w:pPr>
      <w:rPr>
        <w:rFonts w:ascii="Courier New" w:hAnsi="Courier New" w:cs="Courier New" w:hint="default"/>
      </w:rPr>
    </w:lvl>
    <w:lvl w:ilvl="5" w:tplc="04260005" w:tentative="1">
      <w:start w:val="1"/>
      <w:numFmt w:val="bullet"/>
      <w:lvlText w:val=""/>
      <w:lvlJc w:val="left"/>
      <w:pPr>
        <w:ind w:left="4377" w:hanging="360"/>
      </w:pPr>
      <w:rPr>
        <w:rFonts w:ascii="Wingdings" w:hAnsi="Wingdings" w:hint="default"/>
      </w:rPr>
    </w:lvl>
    <w:lvl w:ilvl="6" w:tplc="04260001" w:tentative="1">
      <w:start w:val="1"/>
      <w:numFmt w:val="bullet"/>
      <w:lvlText w:val=""/>
      <w:lvlJc w:val="left"/>
      <w:pPr>
        <w:ind w:left="5097" w:hanging="360"/>
      </w:pPr>
      <w:rPr>
        <w:rFonts w:ascii="Symbol" w:hAnsi="Symbol" w:hint="default"/>
      </w:rPr>
    </w:lvl>
    <w:lvl w:ilvl="7" w:tplc="04260003" w:tentative="1">
      <w:start w:val="1"/>
      <w:numFmt w:val="bullet"/>
      <w:lvlText w:val="o"/>
      <w:lvlJc w:val="left"/>
      <w:pPr>
        <w:ind w:left="5817" w:hanging="360"/>
      </w:pPr>
      <w:rPr>
        <w:rFonts w:ascii="Courier New" w:hAnsi="Courier New" w:cs="Courier New" w:hint="default"/>
      </w:rPr>
    </w:lvl>
    <w:lvl w:ilvl="8" w:tplc="04260005" w:tentative="1">
      <w:start w:val="1"/>
      <w:numFmt w:val="bullet"/>
      <w:lvlText w:val=""/>
      <w:lvlJc w:val="left"/>
      <w:pPr>
        <w:ind w:left="6537" w:hanging="360"/>
      </w:pPr>
      <w:rPr>
        <w:rFonts w:ascii="Wingdings" w:hAnsi="Wingdings" w:hint="default"/>
      </w:rPr>
    </w:lvl>
  </w:abstractNum>
  <w:abstractNum w:abstractNumId="1" w15:restartNumberingAfterBreak="0">
    <w:nsid w:val="07FC123E"/>
    <w:multiLevelType w:val="hybridMultilevel"/>
    <w:tmpl w:val="F4B2051A"/>
    <w:lvl w:ilvl="0" w:tplc="1AA228F6">
      <w:start w:val="1"/>
      <w:numFmt w:val="bullet"/>
      <w:lvlText w:val="▌"/>
      <w:lvlJc w:val="left"/>
      <w:pPr>
        <w:tabs>
          <w:tab w:val="num" w:pos="720"/>
        </w:tabs>
        <w:ind w:left="720" w:hanging="360"/>
      </w:pPr>
      <w:rPr>
        <w:rFonts w:ascii="Times New Roman" w:hAnsi="Times New Roman" w:hint="default"/>
      </w:rPr>
    </w:lvl>
    <w:lvl w:ilvl="1" w:tplc="BB0AE61C" w:tentative="1">
      <w:start w:val="1"/>
      <w:numFmt w:val="bullet"/>
      <w:lvlText w:val="▌"/>
      <w:lvlJc w:val="left"/>
      <w:pPr>
        <w:tabs>
          <w:tab w:val="num" w:pos="1440"/>
        </w:tabs>
        <w:ind w:left="1440" w:hanging="360"/>
      </w:pPr>
      <w:rPr>
        <w:rFonts w:ascii="Times New Roman" w:hAnsi="Times New Roman" w:hint="default"/>
      </w:rPr>
    </w:lvl>
    <w:lvl w:ilvl="2" w:tplc="4F526626" w:tentative="1">
      <w:start w:val="1"/>
      <w:numFmt w:val="bullet"/>
      <w:lvlText w:val="▌"/>
      <w:lvlJc w:val="left"/>
      <w:pPr>
        <w:tabs>
          <w:tab w:val="num" w:pos="2160"/>
        </w:tabs>
        <w:ind w:left="2160" w:hanging="360"/>
      </w:pPr>
      <w:rPr>
        <w:rFonts w:ascii="Times New Roman" w:hAnsi="Times New Roman" w:hint="default"/>
      </w:rPr>
    </w:lvl>
    <w:lvl w:ilvl="3" w:tplc="514077EE" w:tentative="1">
      <w:start w:val="1"/>
      <w:numFmt w:val="bullet"/>
      <w:lvlText w:val="▌"/>
      <w:lvlJc w:val="left"/>
      <w:pPr>
        <w:tabs>
          <w:tab w:val="num" w:pos="2880"/>
        </w:tabs>
        <w:ind w:left="2880" w:hanging="360"/>
      </w:pPr>
      <w:rPr>
        <w:rFonts w:ascii="Times New Roman" w:hAnsi="Times New Roman" w:hint="default"/>
      </w:rPr>
    </w:lvl>
    <w:lvl w:ilvl="4" w:tplc="6974FBCC" w:tentative="1">
      <w:start w:val="1"/>
      <w:numFmt w:val="bullet"/>
      <w:lvlText w:val="▌"/>
      <w:lvlJc w:val="left"/>
      <w:pPr>
        <w:tabs>
          <w:tab w:val="num" w:pos="3600"/>
        </w:tabs>
        <w:ind w:left="3600" w:hanging="360"/>
      </w:pPr>
      <w:rPr>
        <w:rFonts w:ascii="Times New Roman" w:hAnsi="Times New Roman" w:hint="default"/>
      </w:rPr>
    </w:lvl>
    <w:lvl w:ilvl="5" w:tplc="898671BE" w:tentative="1">
      <w:start w:val="1"/>
      <w:numFmt w:val="bullet"/>
      <w:lvlText w:val="▌"/>
      <w:lvlJc w:val="left"/>
      <w:pPr>
        <w:tabs>
          <w:tab w:val="num" w:pos="4320"/>
        </w:tabs>
        <w:ind w:left="4320" w:hanging="360"/>
      </w:pPr>
      <w:rPr>
        <w:rFonts w:ascii="Times New Roman" w:hAnsi="Times New Roman" w:hint="default"/>
      </w:rPr>
    </w:lvl>
    <w:lvl w:ilvl="6" w:tplc="E9B8FA78" w:tentative="1">
      <w:start w:val="1"/>
      <w:numFmt w:val="bullet"/>
      <w:lvlText w:val="▌"/>
      <w:lvlJc w:val="left"/>
      <w:pPr>
        <w:tabs>
          <w:tab w:val="num" w:pos="5040"/>
        </w:tabs>
        <w:ind w:left="5040" w:hanging="360"/>
      </w:pPr>
      <w:rPr>
        <w:rFonts w:ascii="Times New Roman" w:hAnsi="Times New Roman" w:hint="default"/>
      </w:rPr>
    </w:lvl>
    <w:lvl w:ilvl="7" w:tplc="83A62104" w:tentative="1">
      <w:start w:val="1"/>
      <w:numFmt w:val="bullet"/>
      <w:lvlText w:val="▌"/>
      <w:lvlJc w:val="left"/>
      <w:pPr>
        <w:tabs>
          <w:tab w:val="num" w:pos="5760"/>
        </w:tabs>
        <w:ind w:left="5760" w:hanging="360"/>
      </w:pPr>
      <w:rPr>
        <w:rFonts w:ascii="Times New Roman" w:hAnsi="Times New Roman" w:hint="default"/>
      </w:rPr>
    </w:lvl>
    <w:lvl w:ilvl="8" w:tplc="EC16CDEA"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91C0C4F"/>
    <w:multiLevelType w:val="hybridMultilevel"/>
    <w:tmpl w:val="A6D837A8"/>
    <w:lvl w:ilvl="0" w:tplc="756C181E">
      <w:start w:val="1"/>
      <w:numFmt w:val="bullet"/>
      <w:lvlText w:val="▌"/>
      <w:lvlJc w:val="left"/>
      <w:pPr>
        <w:tabs>
          <w:tab w:val="num" w:pos="720"/>
        </w:tabs>
        <w:ind w:left="720" w:hanging="360"/>
      </w:pPr>
      <w:rPr>
        <w:rFonts w:ascii="Times New Roman" w:hAnsi="Times New Roman" w:hint="default"/>
      </w:rPr>
    </w:lvl>
    <w:lvl w:ilvl="1" w:tplc="AA702590" w:tentative="1">
      <w:start w:val="1"/>
      <w:numFmt w:val="bullet"/>
      <w:lvlText w:val="▌"/>
      <w:lvlJc w:val="left"/>
      <w:pPr>
        <w:tabs>
          <w:tab w:val="num" w:pos="1440"/>
        </w:tabs>
        <w:ind w:left="1440" w:hanging="360"/>
      </w:pPr>
      <w:rPr>
        <w:rFonts w:ascii="Times New Roman" w:hAnsi="Times New Roman" w:hint="default"/>
      </w:rPr>
    </w:lvl>
    <w:lvl w:ilvl="2" w:tplc="57B2DCBC" w:tentative="1">
      <w:start w:val="1"/>
      <w:numFmt w:val="bullet"/>
      <w:lvlText w:val="▌"/>
      <w:lvlJc w:val="left"/>
      <w:pPr>
        <w:tabs>
          <w:tab w:val="num" w:pos="2160"/>
        </w:tabs>
        <w:ind w:left="2160" w:hanging="360"/>
      </w:pPr>
      <w:rPr>
        <w:rFonts w:ascii="Times New Roman" w:hAnsi="Times New Roman" w:hint="default"/>
      </w:rPr>
    </w:lvl>
    <w:lvl w:ilvl="3" w:tplc="B7C0F6DE" w:tentative="1">
      <w:start w:val="1"/>
      <w:numFmt w:val="bullet"/>
      <w:lvlText w:val="▌"/>
      <w:lvlJc w:val="left"/>
      <w:pPr>
        <w:tabs>
          <w:tab w:val="num" w:pos="2880"/>
        </w:tabs>
        <w:ind w:left="2880" w:hanging="360"/>
      </w:pPr>
      <w:rPr>
        <w:rFonts w:ascii="Times New Roman" w:hAnsi="Times New Roman" w:hint="default"/>
      </w:rPr>
    </w:lvl>
    <w:lvl w:ilvl="4" w:tplc="46F245F6" w:tentative="1">
      <w:start w:val="1"/>
      <w:numFmt w:val="bullet"/>
      <w:lvlText w:val="▌"/>
      <w:lvlJc w:val="left"/>
      <w:pPr>
        <w:tabs>
          <w:tab w:val="num" w:pos="3600"/>
        </w:tabs>
        <w:ind w:left="3600" w:hanging="360"/>
      </w:pPr>
      <w:rPr>
        <w:rFonts w:ascii="Times New Roman" w:hAnsi="Times New Roman" w:hint="default"/>
      </w:rPr>
    </w:lvl>
    <w:lvl w:ilvl="5" w:tplc="81541756" w:tentative="1">
      <w:start w:val="1"/>
      <w:numFmt w:val="bullet"/>
      <w:lvlText w:val="▌"/>
      <w:lvlJc w:val="left"/>
      <w:pPr>
        <w:tabs>
          <w:tab w:val="num" w:pos="4320"/>
        </w:tabs>
        <w:ind w:left="4320" w:hanging="360"/>
      </w:pPr>
      <w:rPr>
        <w:rFonts w:ascii="Times New Roman" w:hAnsi="Times New Roman" w:hint="default"/>
      </w:rPr>
    </w:lvl>
    <w:lvl w:ilvl="6" w:tplc="A18C1E8E" w:tentative="1">
      <w:start w:val="1"/>
      <w:numFmt w:val="bullet"/>
      <w:lvlText w:val="▌"/>
      <w:lvlJc w:val="left"/>
      <w:pPr>
        <w:tabs>
          <w:tab w:val="num" w:pos="5040"/>
        </w:tabs>
        <w:ind w:left="5040" w:hanging="360"/>
      </w:pPr>
      <w:rPr>
        <w:rFonts w:ascii="Times New Roman" w:hAnsi="Times New Roman" w:hint="default"/>
      </w:rPr>
    </w:lvl>
    <w:lvl w:ilvl="7" w:tplc="A496BFFA" w:tentative="1">
      <w:start w:val="1"/>
      <w:numFmt w:val="bullet"/>
      <w:lvlText w:val="▌"/>
      <w:lvlJc w:val="left"/>
      <w:pPr>
        <w:tabs>
          <w:tab w:val="num" w:pos="5760"/>
        </w:tabs>
        <w:ind w:left="5760" w:hanging="360"/>
      </w:pPr>
      <w:rPr>
        <w:rFonts w:ascii="Times New Roman" w:hAnsi="Times New Roman" w:hint="default"/>
      </w:rPr>
    </w:lvl>
    <w:lvl w:ilvl="8" w:tplc="65C6F5CC"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B9B34B7"/>
    <w:multiLevelType w:val="hybridMultilevel"/>
    <w:tmpl w:val="49188FE0"/>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 w15:restartNumberingAfterBreak="0">
    <w:nsid w:val="1F4F440C"/>
    <w:multiLevelType w:val="hybridMultilevel"/>
    <w:tmpl w:val="91CCED8A"/>
    <w:lvl w:ilvl="0" w:tplc="6226E69E">
      <w:start w:val="1"/>
      <w:numFmt w:val="bullet"/>
      <w:lvlText w:val="▌"/>
      <w:lvlJc w:val="left"/>
      <w:pPr>
        <w:tabs>
          <w:tab w:val="num" w:pos="720"/>
        </w:tabs>
        <w:ind w:left="720" w:hanging="360"/>
      </w:pPr>
      <w:rPr>
        <w:rFonts w:ascii="Times New Roman" w:hAnsi="Times New Roman" w:hint="default"/>
      </w:rPr>
    </w:lvl>
    <w:lvl w:ilvl="1" w:tplc="C156AA46" w:tentative="1">
      <w:start w:val="1"/>
      <w:numFmt w:val="bullet"/>
      <w:lvlText w:val="▌"/>
      <w:lvlJc w:val="left"/>
      <w:pPr>
        <w:tabs>
          <w:tab w:val="num" w:pos="1440"/>
        </w:tabs>
        <w:ind w:left="1440" w:hanging="360"/>
      </w:pPr>
      <w:rPr>
        <w:rFonts w:ascii="Times New Roman" w:hAnsi="Times New Roman" w:hint="default"/>
      </w:rPr>
    </w:lvl>
    <w:lvl w:ilvl="2" w:tplc="D062EAA8" w:tentative="1">
      <w:start w:val="1"/>
      <w:numFmt w:val="bullet"/>
      <w:lvlText w:val="▌"/>
      <w:lvlJc w:val="left"/>
      <w:pPr>
        <w:tabs>
          <w:tab w:val="num" w:pos="2160"/>
        </w:tabs>
        <w:ind w:left="2160" w:hanging="360"/>
      </w:pPr>
      <w:rPr>
        <w:rFonts w:ascii="Times New Roman" w:hAnsi="Times New Roman" w:hint="default"/>
      </w:rPr>
    </w:lvl>
    <w:lvl w:ilvl="3" w:tplc="B268E700" w:tentative="1">
      <w:start w:val="1"/>
      <w:numFmt w:val="bullet"/>
      <w:lvlText w:val="▌"/>
      <w:lvlJc w:val="left"/>
      <w:pPr>
        <w:tabs>
          <w:tab w:val="num" w:pos="2880"/>
        </w:tabs>
        <w:ind w:left="2880" w:hanging="360"/>
      </w:pPr>
      <w:rPr>
        <w:rFonts w:ascii="Times New Roman" w:hAnsi="Times New Roman" w:hint="default"/>
      </w:rPr>
    </w:lvl>
    <w:lvl w:ilvl="4" w:tplc="9DA64F58" w:tentative="1">
      <w:start w:val="1"/>
      <w:numFmt w:val="bullet"/>
      <w:lvlText w:val="▌"/>
      <w:lvlJc w:val="left"/>
      <w:pPr>
        <w:tabs>
          <w:tab w:val="num" w:pos="3600"/>
        </w:tabs>
        <w:ind w:left="3600" w:hanging="360"/>
      </w:pPr>
      <w:rPr>
        <w:rFonts w:ascii="Times New Roman" w:hAnsi="Times New Roman" w:hint="default"/>
      </w:rPr>
    </w:lvl>
    <w:lvl w:ilvl="5" w:tplc="59B84090" w:tentative="1">
      <w:start w:val="1"/>
      <w:numFmt w:val="bullet"/>
      <w:lvlText w:val="▌"/>
      <w:lvlJc w:val="left"/>
      <w:pPr>
        <w:tabs>
          <w:tab w:val="num" w:pos="4320"/>
        </w:tabs>
        <w:ind w:left="4320" w:hanging="360"/>
      </w:pPr>
      <w:rPr>
        <w:rFonts w:ascii="Times New Roman" w:hAnsi="Times New Roman" w:hint="default"/>
      </w:rPr>
    </w:lvl>
    <w:lvl w:ilvl="6" w:tplc="4B742512" w:tentative="1">
      <w:start w:val="1"/>
      <w:numFmt w:val="bullet"/>
      <w:lvlText w:val="▌"/>
      <w:lvlJc w:val="left"/>
      <w:pPr>
        <w:tabs>
          <w:tab w:val="num" w:pos="5040"/>
        </w:tabs>
        <w:ind w:left="5040" w:hanging="360"/>
      </w:pPr>
      <w:rPr>
        <w:rFonts w:ascii="Times New Roman" w:hAnsi="Times New Roman" w:hint="default"/>
      </w:rPr>
    </w:lvl>
    <w:lvl w:ilvl="7" w:tplc="72A6DB4C" w:tentative="1">
      <w:start w:val="1"/>
      <w:numFmt w:val="bullet"/>
      <w:lvlText w:val="▌"/>
      <w:lvlJc w:val="left"/>
      <w:pPr>
        <w:tabs>
          <w:tab w:val="num" w:pos="5760"/>
        </w:tabs>
        <w:ind w:left="5760" w:hanging="360"/>
      </w:pPr>
      <w:rPr>
        <w:rFonts w:ascii="Times New Roman" w:hAnsi="Times New Roman" w:hint="default"/>
      </w:rPr>
    </w:lvl>
    <w:lvl w:ilvl="8" w:tplc="B16C29DA"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3331831"/>
    <w:multiLevelType w:val="hybridMultilevel"/>
    <w:tmpl w:val="B3F69290"/>
    <w:lvl w:ilvl="0" w:tplc="1F544398">
      <w:start w:val="1"/>
      <w:numFmt w:val="decimal"/>
      <w:lvlText w:val="%1)"/>
      <w:lvlJc w:val="left"/>
      <w:pPr>
        <w:ind w:left="644" w:hanging="360"/>
      </w:pPr>
      <w:rPr>
        <w:rFonts w:hint="default"/>
        <w:sz w:val="24"/>
        <w:szCs w:val="24"/>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2CCC5C9A"/>
    <w:multiLevelType w:val="multilevel"/>
    <w:tmpl w:val="82D841C6"/>
    <w:lvl w:ilvl="0">
      <w:start w:val="7"/>
      <w:numFmt w:val="decimal"/>
      <w:lvlText w:val="%1."/>
      <w:lvlJc w:val="left"/>
      <w:pPr>
        <w:tabs>
          <w:tab w:val="num" w:pos="420"/>
        </w:tabs>
        <w:ind w:left="420" w:hanging="4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7" w15:restartNumberingAfterBreak="0">
    <w:nsid w:val="3288429E"/>
    <w:multiLevelType w:val="hybridMultilevel"/>
    <w:tmpl w:val="FAF4007A"/>
    <w:lvl w:ilvl="0" w:tplc="D37E2D3E">
      <w:start w:val="9"/>
      <w:numFmt w:val="bullet"/>
      <w:lvlText w:val="-"/>
      <w:lvlJc w:val="left"/>
      <w:pPr>
        <w:ind w:left="701" w:hanging="360"/>
      </w:pPr>
      <w:rPr>
        <w:rFonts w:ascii="Times New Roman" w:eastAsia="Times New Roman" w:hAnsi="Times New Roman" w:cs="Times New Roman" w:hint="default"/>
      </w:rPr>
    </w:lvl>
    <w:lvl w:ilvl="1" w:tplc="04260003" w:tentative="1">
      <w:start w:val="1"/>
      <w:numFmt w:val="bullet"/>
      <w:lvlText w:val="o"/>
      <w:lvlJc w:val="left"/>
      <w:pPr>
        <w:ind w:left="1421" w:hanging="360"/>
      </w:pPr>
      <w:rPr>
        <w:rFonts w:ascii="Courier New" w:hAnsi="Courier New" w:cs="Courier New" w:hint="default"/>
      </w:rPr>
    </w:lvl>
    <w:lvl w:ilvl="2" w:tplc="04260005" w:tentative="1">
      <w:start w:val="1"/>
      <w:numFmt w:val="bullet"/>
      <w:lvlText w:val=""/>
      <w:lvlJc w:val="left"/>
      <w:pPr>
        <w:ind w:left="2141" w:hanging="360"/>
      </w:pPr>
      <w:rPr>
        <w:rFonts w:ascii="Wingdings" w:hAnsi="Wingdings" w:hint="default"/>
      </w:rPr>
    </w:lvl>
    <w:lvl w:ilvl="3" w:tplc="04260001" w:tentative="1">
      <w:start w:val="1"/>
      <w:numFmt w:val="bullet"/>
      <w:lvlText w:val=""/>
      <w:lvlJc w:val="left"/>
      <w:pPr>
        <w:ind w:left="2861" w:hanging="360"/>
      </w:pPr>
      <w:rPr>
        <w:rFonts w:ascii="Symbol" w:hAnsi="Symbol" w:hint="default"/>
      </w:rPr>
    </w:lvl>
    <w:lvl w:ilvl="4" w:tplc="04260003" w:tentative="1">
      <w:start w:val="1"/>
      <w:numFmt w:val="bullet"/>
      <w:lvlText w:val="o"/>
      <w:lvlJc w:val="left"/>
      <w:pPr>
        <w:ind w:left="3581" w:hanging="360"/>
      </w:pPr>
      <w:rPr>
        <w:rFonts w:ascii="Courier New" w:hAnsi="Courier New" w:cs="Courier New" w:hint="default"/>
      </w:rPr>
    </w:lvl>
    <w:lvl w:ilvl="5" w:tplc="04260005" w:tentative="1">
      <w:start w:val="1"/>
      <w:numFmt w:val="bullet"/>
      <w:lvlText w:val=""/>
      <w:lvlJc w:val="left"/>
      <w:pPr>
        <w:ind w:left="4301" w:hanging="360"/>
      </w:pPr>
      <w:rPr>
        <w:rFonts w:ascii="Wingdings" w:hAnsi="Wingdings" w:hint="default"/>
      </w:rPr>
    </w:lvl>
    <w:lvl w:ilvl="6" w:tplc="04260001" w:tentative="1">
      <w:start w:val="1"/>
      <w:numFmt w:val="bullet"/>
      <w:lvlText w:val=""/>
      <w:lvlJc w:val="left"/>
      <w:pPr>
        <w:ind w:left="5021" w:hanging="360"/>
      </w:pPr>
      <w:rPr>
        <w:rFonts w:ascii="Symbol" w:hAnsi="Symbol" w:hint="default"/>
      </w:rPr>
    </w:lvl>
    <w:lvl w:ilvl="7" w:tplc="04260003" w:tentative="1">
      <w:start w:val="1"/>
      <w:numFmt w:val="bullet"/>
      <w:lvlText w:val="o"/>
      <w:lvlJc w:val="left"/>
      <w:pPr>
        <w:ind w:left="5741" w:hanging="360"/>
      </w:pPr>
      <w:rPr>
        <w:rFonts w:ascii="Courier New" w:hAnsi="Courier New" w:cs="Courier New" w:hint="default"/>
      </w:rPr>
    </w:lvl>
    <w:lvl w:ilvl="8" w:tplc="04260005" w:tentative="1">
      <w:start w:val="1"/>
      <w:numFmt w:val="bullet"/>
      <w:lvlText w:val=""/>
      <w:lvlJc w:val="left"/>
      <w:pPr>
        <w:ind w:left="6461" w:hanging="360"/>
      </w:pPr>
      <w:rPr>
        <w:rFonts w:ascii="Wingdings" w:hAnsi="Wingdings" w:hint="default"/>
      </w:rPr>
    </w:lvl>
  </w:abstractNum>
  <w:abstractNum w:abstractNumId="8" w15:restartNumberingAfterBreak="0">
    <w:nsid w:val="3F88048E"/>
    <w:multiLevelType w:val="hybridMultilevel"/>
    <w:tmpl w:val="B128BB02"/>
    <w:lvl w:ilvl="0" w:tplc="0630B5BA">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4209115C"/>
    <w:multiLevelType w:val="hybridMultilevel"/>
    <w:tmpl w:val="4202A2F8"/>
    <w:lvl w:ilvl="0" w:tplc="8296560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42B2693E"/>
    <w:multiLevelType w:val="hybridMultilevel"/>
    <w:tmpl w:val="6FC455AC"/>
    <w:lvl w:ilvl="0" w:tplc="42562AB2">
      <w:numFmt w:val="bullet"/>
      <w:lvlText w:val="-"/>
      <w:lvlJc w:val="left"/>
      <w:pPr>
        <w:ind w:left="701" w:hanging="360"/>
      </w:pPr>
      <w:rPr>
        <w:rFonts w:ascii="Times New Roman" w:eastAsia="Times New Roman" w:hAnsi="Times New Roman" w:cs="Times New Roman" w:hint="default"/>
      </w:rPr>
    </w:lvl>
    <w:lvl w:ilvl="1" w:tplc="04260003" w:tentative="1">
      <w:start w:val="1"/>
      <w:numFmt w:val="bullet"/>
      <w:lvlText w:val="o"/>
      <w:lvlJc w:val="left"/>
      <w:pPr>
        <w:ind w:left="1421" w:hanging="360"/>
      </w:pPr>
      <w:rPr>
        <w:rFonts w:ascii="Courier New" w:hAnsi="Courier New" w:cs="Courier New" w:hint="default"/>
      </w:rPr>
    </w:lvl>
    <w:lvl w:ilvl="2" w:tplc="04260005" w:tentative="1">
      <w:start w:val="1"/>
      <w:numFmt w:val="bullet"/>
      <w:lvlText w:val=""/>
      <w:lvlJc w:val="left"/>
      <w:pPr>
        <w:ind w:left="2141" w:hanging="360"/>
      </w:pPr>
      <w:rPr>
        <w:rFonts w:ascii="Wingdings" w:hAnsi="Wingdings" w:hint="default"/>
      </w:rPr>
    </w:lvl>
    <w:lvl w:ilvl="3" w:tplc="04260001" w:tentative="1">
      <w:start w:val="1"/>
      <w:numFmt w:val="bullet"/>
      <w:lvlText w:val=""/>
      <w:lvlJc w:val="left"/>
      <w:pPr>
        <w:ind w:left="2861" w:hanging="360"/>
      </w:pPr>
      <w:rPr>
        <w:rFonts w:ascii="Symbol" w:hAnsi="Symbol" w:hint="default"/>
      </w:rPr>
    </w:lvl>
    <w:lvl w:ilvl="4" w:tplc="04260003" w:tentative="1">
      <w:start w:val="1"/>
      <w:numFmt w:val="bullet"/>
      <w:lvlText w:val="o"/>
      <w:lvlJc w:val="left"/>
      <w:pPr>
        <w:ind w:left="3581" w:hanging="360"/>
      </w:pPr>
      <w:rPr>
        <w:rFonts w:ascii="Courier New" w:hAnsi="Courier New" w:cs="Courier New" w:hint="default"/>
      </w:rPr>
    </w:lvl>
    <w:lvl w:ilvl="5" w:tplc="04260005" w:tentative="1">
      <w:start w:val="1"/>
      <w:numFmt w:val="bullet"/>
      <w:lvlText w:val=""/>
      <w:lvlJc w:val="left"/>
      <w:pPr>
        <w:ind w:left="4301" w:hanging="360"/>
      </w:pPr>
      <w:rPr>
        <w:rFonts w:ascii="Wingdings" w:hAnsi="Wingdings" w:hint="default"/>
      </w:rPr>
    </w:lvl>
    <w:lvl w:ilvl="6" w:tplc="04260001" w:tentative="1">
      <w:start w:val="1"/>
      <w:numFmt w:val="bullet"/>
      <w:lvlText w:val=""/>
      <w:lvlJc w:val="left"/>
      <w:pPr>
        <w:ind w:left="5021" w:hanging="360"/>
      </w:pPr>
      <w:rPr>
        <w:rFonts w:ascii="Symbol" w:hAnsi="Symbol" w:hint="default"/>
      </w:rPr>
    </w:lvl>
    <w:lvl w:ilvl="7" w:tplc="04260003" w:tentative="1">
      <w:start w:val="1"/>
      <w:numFmt w:val="bullet"/>
      <w:lvlText w:val="o"/>
      <w:lvlJc w:val="left"/>
      <w:pPr>
        <w:ind w:left="5741" w:hanging="360"/>
      </w:pPr>
      <w:rPr>
        <w:rFonts w:ascii="Courier New" w:hAnsi="Courier New" w:cs="Courier New" w:hint="default"/>
      </w:rPr>
    </w:lvl>
    <w:lvl w:ilvl="8" w:tplc="04260005" w:tentative="1">
      <w:start w:val="1"/>
      <w:numFmt w:val="bullet"/>
      <w:lvlText w:val=""/>
      <w:lvlJc w:val="left"/>
      <w:pPr>
        <w:ind w:left="6461" w:hanging="360"/>
      </w:pPr>
      <w:rPr>
        <w:rFonts w:ascii="Wingdings" w:hAnsi="Wingdings" w:hint="default"/>
      </w:rPr>
    </w:lvl>
  </w:abstractNum>
  <w:abstractNum w:abstractNumId="11" w15:restartNumberingAfterBreak="0">
    <w:nsid w:val="45947D18"/>
    <w:multiLevelType w:val="hybridMultilevel"/>
    <w:tmpl w:val="2438C2FA"/>
    <w:lvl w:ilvl="0" w:tplc="0630B5BA">
      <w:numFmt w:val="bullet"/>
      <w:lvlText w:val="-"/>
      <w:lvlJc w:val="left"/>
      <w:pPr>
        <w:ind w:left="467" w:hanging="360"/>
      </w:pPr>
      <w:rPr>
        <w:rFonts w:ascii="Times New Roman" w:eastAsia="Times New Roman" w:hAnsi="Times New Roman" w:cs="Times New Roman" w:hint="default"/>
      </w:rPr>
    </w:lvl>
    <w:lvl w:ilvl="1" w:tplc="04260003" w:tentative="1">
      <w:start w:val="1"/>
      <w:numFmt w:val="bullet"/>
      <w:lvlText w:val="o"/>
      <w:lvlJc w:val="left"/>
      <w:pPr>
        <w:ind w:left="1187" w:hanging="360"/>
      </w:pPr>
      <w:rPr>
        <w:rFonts w:ascii="Courier New" w:hAnsi="Courier New" w:cs="Courier New" w:hint="default"/>
      </w:rPr>
    </w:lvl>
    <w:lvl w:ilvl="2" w:tplc="04260005" w:tentative="1">
      <w:start w:val="1"/>
      <w:numFmt w:val="bullet"/>
      <w:lvlText w:val=""/>
      <w:lvlJc w:val="left"/>
      <w:pPr>
        <w:ind w:left="1907" w:hanging="360"/>
      </w:pPr>
      <w:rPr>
        <w:rFonts w:ascii="Wingdings" w:hAnsi="Wingdings" w:hint="default"/>
      </w:rPr>
    </w:lvl>
    <w:lvl w:ilvl="3" w:tplc="04260001" w:tentative="1">
      <w:start w:val="1"/>
      <w:numFmt w:val="bullet"/>
      <w:lvlText w:val=""/>
      <w:lvlJc w:val="left"/>
      <w:pPr>
        <w:ind w:left="2627" w:hanging="360"/>
      </w:pPr>
      <w:rPr>
        <w:rFonts w:ascii="Symbol" w:hAnsi="Symbol" w:hint="default"/>
      </w:rPr>
    </w:lvl>
    <w:lvl w:ilvl="4" w:tplc="04260003" w:tentative="1">
      <w:start w:val="1"/>
      <w:numFmt w:val="bullet"/>
      <w:lvlText w:val="o"/>
      <w:lvlJc w:val="left"/>
      <w:pPr>
        <w:ind w:left="3347" w:hanging="360"/>
      </w:pPr>
      <w:rPr>
        <w:rFonts w:ascii="Courier New" w:hAnsi="Courier New" w:cs="Courier New" w:hint="default"/>
      </w:rPr>
    </w:lvl>
    <w:lvl w:ilvl="5" w:tplc="04260005" w:tentative="1">
      <w:start w:val="1"/>
      <w:numFmt w:val="bullet"/>
      <w:lvlText w:val=""/>
      <w:lvlJc w:val="left"/>
      <w:pPr>
        <w:ind w:left="4067" w:hanging="360"/>
      </w:pPr>
      <w:rPr>
        <w:rFonts w:ascii="Wingdings" w:hAnsi="Wingdings" w:hint="default"/>
      </w:rPr>
    </w:lvl>
    <w:lvl w:ilvl="6" w:tplc="04260001" w:tentative="1">
      <w:start w:val="1"/>
      <w:numFmt w:val="bullet"/>
      <w:lvlText w:val=""/>
      <w:lvlJc w:val="left"/>
      <w:pPr>
        <w:ind w:left="4787" w:hanging="360"/>
      </w:pPr>
      <w:rPr>
        <w:rFonts w:ascii="Symbol" w:hAnsi="Symbol" w:hint="default"/>
      </w:rPr>
    </w:lvl>
    <w:lvl w:ilvl="7" w:tplc="04260003" w:tentative="1">
      <w:start w:val="1"/>
      <w:numFmt w:val="bullet"/>
      <w:lvlText w:val="o"/>
      <w:lvlJc w:val="left"/>
      <w:pPr>
        <w:ind w:left="5507" w:hanging="360"/>
      </w:pPr>
      <w:rPr>
        <w:rFonts w:ascii="Courier New" w:hAnsi="Courier New" w:cs="Courier New" w:hint="default"/>
      </w:rPr>
    </w:lvl>
    <w:lvl w:ilvl="8" w:tplc="04260005" w:tentative="1">
      <w:start w:val="1"/>
      <w:numFmt w:val="bullet"/>
      <w:lvlText w:val=""/>
      <w:lvlJc w:val="left"/>
      <w:pPr>
        <w:ind w:left="6227" w:hanging="360"/>
      </w:pPr>
      <w:rPr>
        <w:rFonts w:ascii="Wingdings" w:hAnsi="Wingdings" w:hint="default"/>
      </w:rPr>
    </w:lvl>
  </w:abstractNum>
  <w:abstractNum w:abstractNumId="12" w15:restartNumberingAfterBreak="0">
    <w:nsid w:val="48744A95"/>
    <w:multiLevelType w:val="hybridMultilevel"/>
    <w:tmpl w:val="FA345D46"/>
    <w:lvl w:ilvl="0" w:tplc="A49EE830">
      <w:start w:val="1"/>
      <w:numFmt w:val="decimal"/>
      <w:lvlText w:val="%1."/>
      <w:lvlJc w:val="left"/>
      <w:pPr>
        <w:tabs>
          <w:tab w:val="num" w:pos="720"/>
        </w:tabs>
        <w:ind w:left="720" w:hanging="360"/>
      </w:pPr>
      <w:rPr>
        <w:rFonts w:hint="default"/>
        <w:u w:val="none"/>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3" w15:restartNumberingAfterBreak="0">
    <w:nsid w:val="48D72F2E"/>
    <w:multiLevelType w:val="hybridMultilevel"/>
    <w:tmpl w:val="7B04B3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124FFD"/>
    <w:multiLevelType w:val="hybridMultilevel"/>
    <w:tmpl w:val="6B562544"/>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5" w15:restartNumberingAfterBreak="0">
    <w:nsid w:val="546D2BC9"/>
    <w:multiLevelType w:val="hybridMultilevel"/>
    <w:tmpl w:val="D75C78A0"/>
    <w:lvl w:ilvl="0" w:tplc="09C4E5D8">
      <w:start w:val="1"/>
      <w:numFmt w:val="bullet"/>
      <w:lvlText w:val="▌"/>
      <w:lvlJc w:val="left"/>
      <w:pPr>
        <w:tabs>
          <w:tab w:val="num" w:pos="720"/>
        </w:tabs>
        <w:ind w:left="720" w:hanging="360"/>
      </w:pPr>
      <w:rPr>
        <w:rFonts w:ascii="Times New Roman" w:hAnsi="Times New Roman" w:hint="default"/>
      </w:rPr>
    </w:lvl>
    <w:lvl w:ilvl="1" w:tplc="36FE28C0" w:tentative="1">
      <w:start w:val="1"/>
      <w:numFmt w:val="bullet"/>
      <w:lvlText w:val="▌"/>
      <w:lvlJc w:val="left"/>
      <w:pPr>
        <w:tabs>
          <w:tab w:val="num" w:pos="1440"/>
        </w:tabs>
        <w:ind w:left="1440" w:hanging="360"/>
      </w:pPr>
      <w:rPr>
        <w:rFonts w:ascii="Times New Roman" w:hAnsi="Times New Roman" w:hint="default"/>
      </w:rPr>
    </w:lvl>
    <w:lvl w:ilvl="2" w:tplc="9CC81F1C" w:tentative="1">
      <w:start w:val="1"/>
      <w:numFmt w:val="bullet"/>
      <w:lvlText w:val="▌"/>
      <w:lvlJc w:val="left"/>
      <w:pPr>
        <w:tabs>
          <w:tab w:val="num" w:pos="2160"/>
        </w:tabs>
        <w:ind w:left="2160" w:hanging="360"/>
      </w:pPr>
      <w:rPr>
        <w:rFonts w:ascii="Times New Roman" w:hAnsi="Times New Roman" w:hint="default"/>
      </w:rPr>
    </w:lvl>
    <w:lvl w:ilvl="3" w:tplc="E894F8A2" w:tentative="1">
      <w:start w:val="1"/>
      <w:numFmt w:val="bullet"/>
      <w:lvlText w:val="▌"/>
      <w:lvlJc w:val="left"/>
      <w:pPr>
        <w:tabs>
          <w:tab w:val="num" w:pos="2880"/>
        </w:tabs>
        <w:ind w:left="2880" w:hanging="360"/>
      </w:pPr>
      <w:rPr>
        <w:rFonts w:ascii="Times New Roman" w:hAnsi="Times New Roman" w:hint="default"/>
      </w:rPr>
    </w:lvl>
    <w:lvl w:ilvl="4" w:tplc="EB4EA872" w:tentative="1">
      <w:start w:val="1"/>
      <w:numFmt w:val="bullet"/>
      <w:lvlText w:val="▌"/>
      <w:lvlJc w:val="left"/>
      <w:pPr>
        <w:tabs>
          <w:tab w:val="num" w:pos="3600"/>
        </w:tabs>
        <w:ind w:left="3600" w:hanging="360"/>
      </w:pPr>
      <w:rPr>
        <w:rFonts w:ascii="Times New Roman" w:hAnsi="Times New Roman" w:hint="default"/>
      </w:rPr>
    </w:lvl>
    <w:lvl w:ilvl="5" w:tplc="89F4E01C" w:tentative="1">
      <w:start w:val="1"/>
      <w:numFmt w:val="bullet"/>
      <w:lvlText w:val="▌"/>
      <w:lvlJc w:val="left"/>
      <w:pPr>
        <w:tabs>
          <w:tab w:val="num" w:pos="4320"/>
        </w:tabs>
        <w:ind w:left="4320" w:hanging="360"/>
      </w:pPr>
      <w:rPr>
        <w:rFonts w:ascii="Times New Roman" w:hAnsi="Times New Roman" w:hint="default"/>
      </w:rPr>
    </w:lvl>
    <w:lvl w:ilvl="6" w:tplc="4CF4ADE6" w:tentative="1">
      <w:start w:val="1"/>
      <w:numFmt w:val="bullet"/>
      <w:lvlText w:val="▌"/>
      <w:lvlJc w:val="left"/>
      <w:pPr>
        <w:tabs>
          <w:tab w:val="num" w:pos="5040"/>
        </w:tabs>
        <w:ind w:left="5040" w:hanging="360"/>
      </w:pPr>
      <w:rPr>
        <w:rFonts w:ascii="Times New Roman" w:hAnsi="Times New Roman" w:hint="default"/>
      </w:rPr>
    </w:lvl>
    <w:lvl w:ilvl="7" w:tplc="C7661D1E" w:tentative="1">
      <w:start w:val="1"/>
      <w:numFmt w:val="bullet"/>
      <w:lvlText w:val="▌"/>
      <w:lvlJc w:val="left"/>
      <w:pPr>
        <w:tabs>
          <w:tab w:val="num" w:pos="5760"/>
        </w:tabs>
        <w:ind w:left="5760" w:hanging="360"/>
      </w:pPr>
      <w:rPr>
        <w:rFonts w:ascii="Times New Roman" w:hAnsi="Times New Roman" w:hint="default"/>
      </w:rPr>
    </w:lvl>
    <w:lvl w:ilvl="8" w:tplc="8E6C581E"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581C7582"/>
    <w:multiLevelType w:val="hybridMultilevel"/>
    <w:tmpl w:val="7ABE272A"/>
    <w:lvl w:ilvl="0" w:tplc="0426000D">
      <w:start w:val="1"/>
      <w:numFmt w:val="bullet"/>
      <w:lvlText w:val=""/>
      <w:lvlJc w:val="left"/>
      <w:pPr>
        <w:tabs>
          <w:tab w:val="num" w:pos="720"/>
        </w:tabs>
        <w:ind w:left="720" w:hanging="360"/>
      </w:pPr>
      <w:rPr>
        <w:rFonts w:ascii="Wingdings" w:hAnsi="Wingdings"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EC61899"/>
    <w:multiLevelType w:val="hybridMultilevel"/>
    <w:tmpl w:val="C4628448"/>
    <w:lvl w:ilvl="0" w:tplc="0426000D">
      <w:start w:val="1"/>
      <w:numFmt w:val="bullet"/>
      <w:lvlText w:val=""/>
      <w:lvlJc w:val="left"/>
      <w:pPr>
        <w:tabs>
          <w:tab w:val="num" w:pos="786"/>
        </w:tabs>
        <w:ind w:left="786" w:hanging="360"/>
      </w:pPr>
      <w:rPr>
        <w:rFonts w:ascii="Wingdings" w:hAnsi="Wingdings" w:hint="default"/>
      </w:rPr>
    </w:lvl>
    <w:lvl w:ilvl="1" w:tplc="04260003" w:tentative="1">
      <w:start w:val="1"/>
      <w:numFmt w:val="bullet"/>
      <w:lvlText w:val="o"/>
      <w:lvlJc w:val="left"/>
      <w:pPr>
        <w:tabs>
          <w:tab w:val="num" w:pos="1506"/>
        </w:tabs>
        <w:ind w:left="1506" w:hanging="360"/>
      </w:pPr>
      <w:rPr>
        <w:rFonts w:ascii="Courier New" w:hAnsi="Courier New" w:cs="Courier New" w:hint="default"/>
      </w:rPr>
    </w:lvl>
    <w:lvl w:ilvl="2" w:tplc="04260005" w:tentative="1">
      <w:start w:val="1"/>
      <w:numFmt w:val="bullet"/>
      <w:lvlText w:val=""/>
      <w:lvlJc w:val="left"/>
      <w:pPr>
        <w:tabs>
          <w:tab w:val="num" w:pos="2226"/>
        </w:tabs>
        <w:ind w:left="2226" w:hanging="360"/>
      </w:pPr>
      <w:rPr>
        <w:rFonts w:ascii="Wingdings" w:hAnsi="Wingdings" w:hint="default"/>
      </w:rPr>
    </w:lvl>
    <w:lvl w:ilvl="3" w:tplc="04260001" w:tentative="1">
      <w:start w:val="1"/>
      <w:numFmt w:val="bullet"/>
      <w:lvlText w:val=""/>
      <w:lvlJc w:val="left"/>
      <w:pPr>
        <w:tabs>
          <w:tab w:val="num" w:pos="2946"/>
        </w:tabs>
        <w:ind w:left="2946" w:hanging="360"/>
      </w:pPr>
      <w:rPr>
        <w:rFonts w:ascii="Symbol" w:hAnsi="Symbol" w:hint="default"/>
      </w:rPr>
    </w:lvl>
    <w:lvl w:ilvl="4" w:tplc="04260003" w:tentative="1">
      <w:start w:val="1"/>
      <w:numFmt w:val="bullet"/>
      <w:lvlText w:val="o"/>
      <w:lvlJc w:val="left"/>
      <w:pPr>
        <w:tabs>
          <w:tab w:val="num" w:pos="3666"/>
        </w:tabs>
        <w:ind w:left="3666" w:hanging="360"/>
      </w:pPr>
      <w:rPr>
        <w:rFonts w:ascii="Courier New" w:hAnsi="Courier New" w:cs="Courier New" w:hint="default"/>
      </w:rPr>
    </w:lvl>
    <w:lvl w:ilvl="5" w:tplc="04260005" w:tentative="1">
      <w:start w:val="1"/>
      <w:numFmt w:val="bullet"/>
      <w:lvlText w:val=""/>
      <w:lvlJc w:val="left"/>
      <w:pPr>
        <w:tabs>
          <w:tab w:val="num" w:pos="4386"/>
        </w:tabs>
        <w:ind w:left="4386" w:hanging="360"/>
      </w:pPr>
      <w:rPr>
        <w:rFonts w:ascii="Wingdings" w:hAnsi="Wingdings" w:hint="default"/>
      </w:rPr>
    </w:lvl>
    <w:lvl w:ilvl="6" w:tplc="04260001" w:tentative="1">
      <w:start w:val="1"/>
      <w:numFmt w:val="bullet"/>
      <w:lvlText w:val=""/>
      <w:lvlJc w:val="left"/>
      <w:pPr>
        <w:tabs>
          <w:tab w:val="num" w:pos="5106"/>
        </w:tabs>
        <w:ind w:left="5106" w:hanging="360"/>
      </w:pPr>
      <w:rPr>
        <w:rFonts w:ascii="Symbol" w:hAnsi="Symbol" w:hint="default"/>
      </w:rPr>
    </w:lvl>
    <w:lvl w:ilvl="7" w:tplc="04260003" w:tentative="1">
      <w:start w:val="1"/>
      <w:numFmt w:val="bullet"/>
      <w:lvlText w:val="o"/>
      <w:lvlJc w:val="left"/>
      <w:pPr>
        <w:tabs>
          <w:tab w:val="num" w:pos="5826"/>
        </w:tabs>
        <w:ind w:left="5826" w:hanging="360"/>
      </w:pPr>
      <w:rPr>
        <w:rFonts w:ascii="Courier New" w:hAnsi="Courier New" w:cs="Courier New" w:hint="default"/>
      </w:rPr>
    </w:lvl>
    <w:lvl w:ilvl="8" w:tplc="04260005" w:tentative="1">
      <w:start w:val="1"/>
      <w:numFmt w:val="bullet"/>
      <w:lvlText w:val=""/>
      <w:lvlJc w:val="left"/>
      <w:pPr>
        <w:tabs>
          <w:tab w:val="num" w:pos="6546"/>
        </w:tabs>
        <w:ind w:left="6546" w:hanging="360"/>
      </w:pPr>
      <w:rPr>
        <w:rFonts w:ascii="Wingdings" w:hAnsi="Wingdings" w:hint="default"/>
      </w:rPr>
    </w:lvl>
  </w:abstractNum>
  <w:abstractNum w:abstractNumId="18" w15:restartNumberingAfterBreak="0">
    <w:nsid w:val="60C23AF1"/>
    <w:multiLevelType w:val="multilevel"/>
    <w:tmpl w:val="CB0C163C"/>
    <w:lvl w:ilvl="0">
      <w:start w:val="4"/>
      <w:numFmt w:val="decimal"/>
      <w:lvlText w:val="%1."/>
      <w:lvlJc w:val="left"/>
      <w:pPr>
        <w:tabs>
          <w:tab w:val="num" w:pos="360"/>
        </w:tabs>
        <w:ind w:left="360" w:hanging="360"/>
      </w:pPr>
      <w:rPr>
        <w:rFonts w:hint="default"/>
      </w:rPr>
    </w:lvl>
    <w:lvl w:ilvl="1">
      <w:start w:val="8"/>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9" w15:restartNumberingAfterBreak="0">
    <w:nsid w:val="632A1A20"/>
    <w:multiLevelType w:val="hybridMultilevel"/>
    <w:tmpl w:val="CF5202E0"/>
    <w:lvl w:ilvl="0" w:tplc="8CA2CBC6">
      <w:start w:val="1"/>
      <w:numFmt w:val="bullet"/>
      <w:lvlText w:val="▌"/>
      <w:lvlJc w:val="left"/>
      <w:pPr>
        <w:tabs>
          <w:tab w:val="num" w:pos="720"/>
        </w:tabs>
        <w:ind w:left="720" w:hanging="360"/>
      </w:pPr>
      <w:rPr>
        <w:rFonts w:ascii="Times New Roman" w:hAnsi="Times New Roman" w:hint="default"/>
      </w:rPr>
    </w:lvl>
    <w:lvl w:ilvl="1" w:tplc="056C3BCA" w:tentative="1">
      <w:start w:val="1"/>
      <w:numFmt w:val="bullet"/>
      <w:lvlText w:val="▌"/>
      <w:lvlJc w:val="left"/>
      <w:pPr>
        <w:tabs>
          <w:tab w:val="num" w:pos="1440"/>
        </w:tabs>
        <w:ind w:left="1440" w:hanging="360"/>
      </w:pPr>
      <w:rPr>
        <w:rFonts w:ascii="Times New Roman" w:hAnsi="Times New Roman" w:hint="default"/>
      </w:rPr>
    </w:lvl>
    <w:lvl w:ilvl="2" w:tplc="3CFAB368" w:tentative="1">
      <w:start w:val="1"/>
      <w:numFmt w:val="bullet"/>
      <w:lvlText w:val="▌"/>
      <w:lvlJc w:val="left"/>
      <w:pPr>
        <w:tabs>
          <w:tab w:val="num" w:pos="2160"/>
        </w:tabs>
        <w:ind w:left="2160" w:hanging="360"/>
      </w:pPr>
      <w:rPr>
        <w:rFonts w:ascii="Times New Roman" w:hAnsi="Times New Roman" w:hint="default"/>
      </w:rPr>
    </w:lvl>
    <w:lvl w:ilvl="3" w:tplc="1DE063A6" w:tentative="1">
      <w:start w:val="1"/>
      <w:numFmt w:val="bullet"/>
      <w:lvlText w:val="▌"/>
      <w:lvlJc w:val="left"/>
      <w:pPr>
        <w:tabs>
          <w:tab w:val="num" w:pos="2880"/>
        </w:tabs>
        <w:ind w:left="2880" w:hanging="360"/>
      </w:pPr>
      <w:rPr>
        <w:rFonts w:ascii="Times New Roman" w:hAnsi="Times New Roman" w:hint="default"/>
      </w:rPr>
    </w:lvl>
    <w:lvl w:ilvl="4" w:tplc="3BA0E0DC" w:tentative="1">
      <w:start w:val="1"/>
      <w:numFmt w:val="bullet"/>
      <w:lvlText w:val="▌"/>
      <w:lvlJc w:val="left"/>
      <w:pPr>
        <w:tabs>
          <w:tab w:val="num" w:pos="3600"/>
        </w:tabs>
        <w:ind w:left="3600" w:hanging="360"/>
      </w:pPr>
      <w:rPr>
        <w:rFonts w:ascii="Times New Roman" w:hAnsi="Times New Roman" w:hint="default"/>
      </w:rPr>
    </w:lvl>
    <w:lvl w:ilvl="5" w:tplc="E618B692" w:tentative="1">
      <w:start w:val="1"/>
      <w:numFmt w:val="bullet"/>
      <w:lvlText w:val="▌"/>
      <w:lvlJc w:val="left"/>
      <w:pPr>
        <w:tabs>
          <w:tab w:val="num" w:pos="4320"/>
        </w:tabs>
        <w:ind w:left="4320" w:hanging="360"/>
      </w:pPr>
      <w:rPr>
        <w:rFonts w:ascii="Times New Roman" w:hAnsi="Times New Roman" w:hint="default"/>
      </w:rPr>
    </w:lvl>
    <w:lvl w:ilvl="6" w:tplc="911C8CF2" w:tentative="1">
      <w:start w:val="1"/>
      <w:numFmt w:val="bullet"/>
      <w:lvlText w:val="▌"/>
      <w:lvlJc w:val="left"/>
      <w:pPr>
        <w:tabs>
          <w:tab w:val="num" w:pos="5040"/>
        </w:tabs>
        <w:ind w:left="5040" w:hanging="360"/>
      </w:pPr>
      <w:rPr>
        <w:rFonts w:ascii="Times New Roman" w:hAnsi="Times New Roman" w:hint="default"/>
      </w:rPr>
    </w:lvl>
    <w:lvl w:ilvl="7" w:tplc="B6346DD6" w:tentative="1">
      <w:start w:val="1"/>
      <w:numFmt w:val="bullet"/>
      <w:lvlText w:val="▌"/>
      <w:lvlJc w:val="left"/>
      <w:pPr>
        <w:tabs>
          <w:tab w:val="num" w:pos="5760"/>
        </w:tabs>
        <w:ind w:left="5760" w:hanging="360"/>
      </w:pPr>
      <w:rPr>
        <w:rFonts w:ascii="Times New Roman" w:hAnsi="Times New Roman" w:hint="default"/>
      </w:rPr>
    </w:lvl>
    <w:lvl w:ilvl="8" w:tplc="24BA4D6C"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697451A0"/>
    <w:multiLevelType w:val="hybridMultilevel"/>
    <w:tmpl w:val="755A8692"/>
    <w:lvl w:ilvl="0" w:tplc="10889C08">
      <w:numFmt w:val="bullet"/>
      <w:lvlText w:val="-"/>
      <w:lvlJc w:val="left"/>
      <w:pPr>
        <w:ind w:left="417" w:hanging="360"/>
      </w:pPr>
      <w:rPr>
        <w:rFonts w:ascii="Times New Roman" w:eastAsia="Times New Roman" w:hAnsi="Times New Roman" w:cs="Times New Roman" w:hint="default"/>
      </w:rPr>
    </w:lvl>
    <w:lvl w:ilvl="1" w:tplc="04260003" w:tentative="1">
      <w:start w:val="1"/>
      <w:numFmt w:val="bullet"/>
      <w:lvlText w:val="o"/>
      <w:lvlJc w:val="left"/>
      <w:pPr>
        <w:ind w:left="1137" w:hanging="360"/>
      </w:pPr>
      <w:rPr>
        <w:rFonts w:ascii="Courier New" w:hAnsi="Courier New" w:cs="Courier New" w:hint="default"/>
      </w:rPr>
    </w:lvl>
    <w:lvl w:ilvl="2" w:tplc="04260005" w:tentative="1">
      <w:start w:val="1"/>
      <w:numFmt w:val="bullet"/>
      <w:lvlText w:val=""/>
      <w:lvlJc w:val="left"/>
      <w:pPr>
        <w:ind w:left="1857" w:hanging="360"/>
      </w:pPr>
      <w:rPr>
        <w:rFonts w:ascii="Wingdings" w:hAnsi="Wingdings" w:hint="default"/>
      </w:rPr>
    </w:lvl>
    <w:lvl w:ilvl="3" w:tplc="04260001" w:tentative="1">
      <w:start w:val="1"/>
      <w:numFmt w:val="bullet"/>
      <w:lvlText w:val=""/>
      <w:lvlJc w:val="left"/>
      <w:pPr>
        <w:ind w:left="2577" w:hanging="360"/>
      </w:pPr>
      <w:rPr>
        <w:rFonts w:ascii="Symbol" w:hAnsi="Symbol" w:hint="default"/>
      </w:rPr>
    </w:lvl>
    <w:lvl w:ilvl="4" w:tplc="04260003" w:tentative="1">
      <w:start w:val="1"/>
      <w:numFmt w:val="bullet"/>
      <w:lvlText w:val="o"/>
      <w:lvlJc w:val="left"/>
      <w:pPr>
        <w:ind w:left="3297" w:hanging="360"/>
      </w:pPr>
      <w:rPr>
        <w:rFonts w:ascii="Courier New" w:hAnsi="Courier New" w:cs="Courier New" w:hint="default"/>
      </w:rPr>
    </w:lvl>
    <w:lvl w:ilvl="5" w:tplc="04260005" w:tentative="1">
      <w:start w:val="1"/>
      <w:numFmt w:val="bullet"/>
      <w:lvlText w:val=""/>
      <w:lvlJc w:val="left"/>
      <w:pPr>
        <w:ind w:left="4017" w:hanging="360"/>
      </w:pPr>
      <w:rPr>
        <w:rFonts w:ascii="Wingdings" w:hAnsi="Wingdings" w:hint="default"/>
      </w:rPr>
    </w:lvl>
    <w:lvl w:ilvl="6" w:tplc="04260001" w:tentative="1">
      <w:start w:val="1"/>
      <w:numFmt w:val="bullet"/>
      <w:lvlText w:val=""/>
      <w:lvlJc w:val="left"/>
      <w:pPr>
        <w:ind w:left="4737" w:hanging="360"/>
      </w:pPr>
      <w:rPr>
        <w:rFonts w:ascii="Symbol" w:hAnsi="Symbol" w:hint="default"/>
      </w:rPr>
    </w:lvl>
    <w:lvl w:ilvl="7" w:tplc="04260003" w:tentative="1">
      <w:start w:val="1"/>
      <w:numFmt w:val="bullet"/>
      <w:lvlText w:val="o"/>
      <w:lvlJc w:val="left"/>
      <w:pPr>
        <w:ind w:left="5457" w:hanging="360"/>
      </w:pPr>
      <w:rPr>
        <w:rFonts w:ascii="Courier New" w:hAnsi="Courier New" w:cs="Courier New" w:hint="default"/>
      </w:rPr>
    </w:lvl>
    <w:lvl w:ilvl="8" w:tplc="04260005" w:tentative="1">
      <w:start w:val="1"/>
      <w:numFmt w:val="bullet"/>
      <w:lvlText w:val=""/>
      <w:lvlJc w:val="left"/>
      <w:pPr>
        <w:ind w:left="6177" w:hanging="360"/>
      </w:pPr>
      <w:rPr>
        <w:rFonts w:ascii="Wingdings" w:hAnsi="Wingdings" w:hint="default"/>
      </w:rPr>
    </w:lvl>
  </w:abstractNum>
  <w:num w:numId="1">
    <w:abstractNumId w:val="6"/>
  </w:num>
  <w:num w:numId="2">
    <w:abstractNumId w:val="18"/>
  </w:num>
  <w:num w:numId="3">
    <w:abstractNumId w:val="4"/>
  </w:num>
  <w:num w:numId="4">
    <w:abstractNumId w:val="2"/>
  </w:num>
  <w:num w:numId="5">
    <w:abstractNumId w:val="1"/>
  </w:num>
  <w:num w:numId="6">
    <w:abstractNumId w:val="15"/>
  </w:num>
  <w:num w:numId="7">
    <w:abstractNumId w:val="19"/>
  </w:num>
  <w:num w:numId="8">
    <w:abstractNumId w:val="12"/>
  </w:num>
  <w:num w:numId="9">
    <w:abstractNumId w:val="3"/>
  </w:num>
  <w:num w:numId="10">
    <w:abstractNumId w:val="13"/>
  </w:num>
  <w:num w:numId="11">
    <w:abstractNumId w:val="14"/>
  </w:num>
  <w:num w:numId="12">
    <w:abstractNumId w:val="16"/>
  </w:num>
  <w:num w:numId="13">
    <w:abstractNumId w:val="17"/>
  </w:num>
  <w:num w:numId="14">
    <w:abstractNumId w:val="5"/>
  </w:num>
  <w:num w:numId="15">
    <w:abstractNumId w:val="9"/>
  </w:num>
  <w:num w:numId="16">
    <w:abstractNumId w:val="7"/>
  </w:num>
  <w:num w:numId="17">
    <w:abstractNumId w:val="10"/>
  </w:num>
  <w:num w:numId="18">
    <w:abstractNumId w:val="11"/>
  </w:num>
  <w:num w:numId="19">
    <w:abstractNumId w:val="0"/>
  </w:num>
  <w:num w:numId="20">
    <w:abstractNumId w:val="20"/>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649"/>
    <w:rsid w:val="00004959"/>
    <w:rsid w:val="00006D7C"/>
    <w:rsid w:val="00007A3D"/>
    <w:rsid w:val="00007C62"/>
    <w:rsid w:val="00011D24"/>
    <w:rsid w:val="00013FF4"/>
    <w:rsid w:val="00015973"/>
    <w:rsid w:val="00020423"/>
    <w:rsid w:val="00020FE1"/>
    <w:rsid w:val="00022E13"/>
    <w:rsid w:val="00023E7C"/>
    <w:rsid w:val="00024A8D"/>
    <w:rsid w:val="000312DB"/>
    <w:rsid w:val="00032388"/>
    <w:rsid w:val="0003379D"/>
    <w:rsid w:val="00035CE2"/>
    <w:rsid w:val="00042899"/>
    <w:rsid w:val="00042D0E"/>
    <w:rsid w:val="00045178"/>
    <w:rsid w:val="00053445"/>
    <w:rsid w:val="00054A3F"/>
    <w:rsid w:val="0005553B"/>
    <w:rsid w:val="00056ED2"/>
    <w:rsid w:val="0005711F"/>
    <w:rsid w:val="000604D2"/>
    <w:rsid w:val="00061C83"/>
    <w:rsid w:val="00067B8A"/>
    <w:rsid w:val="000704C8"/>
    <w:rsid w:val="00084F2F"/>
    <w:rsid w:val="0008764A"/>
    <w:rsid w:val="0009005E"/>
    <w:rsid w:val="00091985"/>
    <w:rsid w:val="000941C5"/>
    <w:rsid w:val="00096A3E"/>
    <w:rsid w:val="000A2CD9"/>
    <w:rsid w:val="000A4B98"/>
    <w:rsid w:val="000A5505"/>
    <w:rsid w:val="000A5A22"/>
    <w:rsid w:val="000A624C"/>
    <w:rsid w:val="000A6451"/>
    <w:rsid w:val="000B038C"/>
    <w:rsid w:val="000B064E"/>
    <w:rsid w:val="000B0DBC"/>
    <w:rsid w:val="000B1D4D"/>
    <w:rsid w:val="000B22CF"/>
    <w:rsid w:val="000B4C1E"/>
    <w:rsid w:val="000B617F"/>
    <w:rsid w:val="000B65B3"/>
    <w:rsid w:val="000B69CF"/>
    <w:rsid w:val="000C4249"/>
    <w:rsid w:val="000C4941"/>
    <w:rsid w:val="000C7730"/>
    <w:rsid w:val="000C790C"/>
    <w:rsid w:val="000D0CE5"/>
    <w:rsid w:val="000D1C54"/>
    <w:rsid w:val="000D46AA"/>
    <w:rsid w:val="000D5B55"/>
    <w:rsid w:val="000D6BAF"/>
    <w:rsid w:val="000E21B9"/>
    <w:rsid w:val="000F061D"/>
    <w:rsid w:val="000F0E60"/>
    <w:rsid w:val="000F4794"/>
    <w:rsid w:val="000F4870"/>
    <w:rsid w:val="000F5697"/>
    <w:rsid w:val="000F6162"/>
    <w:rsid w:val="00100CB1"/>
    <w:rsid w:val="00102A15"/>
    <w:rsid w:val="00106417"/>
    <w:rsid w:val="0011244A"/>
    <w:rsid w:val="00113F3B"/>
    <w:rsid w:val="0011461E"/>
    <w:rsid w:val="001152DB"/>
    <w:rsid w:val="00117972"/>
    <w:rsid w:val="00120766"/>
    <w:rsid w:val="00124ADC"/>
    <w:rsid w:val="00124F12"/>
    <w:rsid w:val="001261F5"/>
    <w:rsid w:val="00126A07"/>
    <w:rsid w:val="001278E9"/>
    <w:rsid w:val="0013160C"/>
    <w:rsid w:val="001334C0"/>
    <w:rsid w:val="001373CC"/>
    <w:rsid w:val="00137D89"/>
    <w:rsid w:val="00141136"/>
    <w:rsid w:val="00142CB5"/>
    <w:rsid w:val="00144E3A"/>
    <w:rsid w:val="00146E24"/>
    <w:rsid w:val="0014765B"/>
    <w:rsid w:val="0015060C"/>
    <w:rsid w:val="00152AD6"/>
    <w:rsid w:val="00155AE8"/>
    <w:rsid w:val="0016018A"/>
    <w:rsid w:val="00161B0C"/>
    <w:rsid w:val="00161F0E"/>
    <w:rsid w:val="001627FF"/>
    <w:rsid w:val="00164AED"/>
    <w:rsid w:val="0016588C"/>
    <w:rsid w:val="00170E2A"/>
    <w:rsid w:val="0017683A"/>
    <w:rsid w:val="00177394"/>
    <w:rsid w:val="00177CF1"/>
    <w:rsid w:val="001813F5"/>
    <w:rsid w:val="00181F05"/>
    <w:rsid w:val="00182C18"/>
    <w:rsid w:val="0018387B"/>
    <w:rsid w:val="00183CC2"/>
    <w:rsid w:val="0018489C"/>
    <w:rsid w:val="001860E1"/>
    <w:rsid w:val="00187C74"/>
    <w:rsid w:val="00187E9D"/>
    <w:rsid w:val="001900E4"/>
    <w:rsid w:val="00190F88"/>
    <w:rsid w:val="00193E45"/>
    <w:rsid w:val="0019538C"/>
    <w:rsid w:val="00195D64"/>
    <w:rsid w:val="001A3F49"/>
    <w:rsid w:val="001A4066"/>
    <w:rsid w:val="001A4B82"/>
    <w:rsid w:val="001A6AE4"/>
    <w:rsid w:val="001A6FAE"/>
    <w:rsid w:val="001A7431"/>
    <w:rsid w:val="001B01FD"/>
    <w:rsid w:val="001B101F"/>
    <w:rsid w:val="001B20D9"/>
    <w:rsid w:val="001B2E01"/>
    <w:rsid w:val="001B31BD"/>
    <w:rsid w:val="001B4A71"/>
    <w:rsid w:val="001B6AB3"/>
    <w:rsid w:val="001B6DEF"/>
    <w:rsid w:val="001B75E2"/>
    <w:rsid w:val="001C25F1"/>
    <w:rsid w:val="001C4C84"/>
    <w:rsid w:val="001C74CD"/>
    <w:rsid w:val="001D05D6"/>
    <w:rsid w:val="001D0A1B"/>
    <w:rsid w:val="001D5AC1"/>
    <w:rsid w:val="001D5B54"/>
    <w:rsid w:val="001D7368"/>
    <w:rsid w:val="001E08CD"/>
    <w:rsid w:val="001E1DBF"/>
    <w:rsid w:val="001E3136"/>
    <w:rsid w:val="001E4639"/>
    <w:rsid w:val="001E4A7D"/>
    <w:rsid w:val="001E4D48"/>
    <w:rsid w:val="001E5B05"/>
    <w:rsid w:val="001F0085"/>
    <w:rsid w:val="001F2FA4"/>
    <w:rsid w:val="001F3263"/>
    <w:rsid w:val="001F43A8"/>
    <w:rsid w:val="001F5B7B"/>
    <w:rsid w:val="001F5CD6"/>
    <w:rsid w:val="001F7C6E"/>
    <w:rsid w:val="002059BF"/>
    <w:rsid w:val="00206A35"/>
    <w:rsid w:val="0021263D"/>
    <w:rsid w:val="002129DF"/>
    <w:rsid w:val="00213F0C"/>
    <w:rsid w:val="00214094"/>
    <w:rsid w:val="00215121"/>
    <w:rsid w:val="0021592D"/>
    <w:rsid w:val="00217B3F"/>
    <w:rsid w:val="00222D76"/>
    <w:rsid w:val="00223911"/>
    <w:rsid w:val="00223EB1"/>
    <w:rsid w:val="00225DA2"/>
    <w:rsid w:val="0022770D"/>
    <w:rsid w:val="00230647"/>
    <w:rsid w:val="00231344"/>
    <w:rsid w:val="00231365"/>
    <w:rsid w:val="00231B20"/>
    <w:rsid w:val="00231CAE"/>
    <w:rsid w:val="002326BB"/>
    <w:rsid w:val="002335E3"/>
    <w:rsid w:val="0023436E"/>
    <w:rsid w:val="0023442F"/>
    <w:rsid w:val="002347C0"/>
    <w:rsid w:val="00235A8B"/>
    <w:rsid w:val="0024130C"/>
    <w:rsid w:val="00241A6C"/>
    <w:rsid w:val="00242135"/>
    <w:rsid w:val="00242A6C"/>
    <w:rsid w:val="00242D2B"/>
    <w:rsid w:val="00244474"/>
    <w:rsid w:val="00250A0F"/>
    <w:rsid w:val="002512DC"/>
    <w:rsid w:val="00257FDB"/>
    <w:rsid w:val="00261E2B"/>
    <w:rsid w:val="002621B9"/>
    <w:rsid w:val="00262E2B"/>
    <w:rsid w:val="002643CF"/>
    <w:rsid w:val="00265F0D"/>
    <w:rsid w:val="00270429"/>
    <w:rsid w:val="002709C6"/>
    <w:rsid w:val="0027214E"/>
    <w:rsid w:val="002721B6"/>
    <w:rsid w:val="002723E9"/>
    <w:rsid w:val="00277929"/>
    <w:rsid w:val="00280D1A"/>
    <w:rsid w:val="00281FC1"/>
    <w:rsid w:val="00283B82"/>
    <w:rsid w:val="0028443C"/>
    <w:rsid w:val="002846E9"/>
    <w:rsid w:val="00284C34"/>
    <w:rsid w:val="002854D5"/>
    <w:rsid w:val="00287E5B"/>
    <w:rsid w:val="00290056"/>
    <w:rsid w:val="0029066C"/>
    <w:rsid w:val="00291645"/>
    <w:rsid w:val="00297520"/>
    <w:rsid w:val="00297D6E"/>
    <w:rsid w:val="002A1535"/>
    <w:rsid w:val="002A40B6"/>
    <w:rsid w:val="002A4964"/>
    <w:rsid w:val="002A61C9"/>
    <w:rsid w:val="002A777D"/>
    <w:rsid w:val="002B50DB"/>
    <w:rsid w:val="002C12AB"/>
    <w:rsid w:val="002C1A7A"/>
    <w:rsid w:val="002C7CAC"/>
    <w:rsid w:val="002D3306"/>
    <w:rsid w:val="002D3EAC"/>
    <w:rsid w:val="002D473F"/>
    <w:rsid w:val="002D48AA"/>
    <w:rsid w:val="002D7BAA"/>
    <w:rsid w:val="002D7F54"/>
    <w:rsid w:val="002E0E16"/>
    <w:rsid w:val="002E2D9B"/>
    <w:rsid w:val="002E3FF4"/>
    <w:rsid w:val="002E4FFE"/>
    <w:rsid w:val="002E7BCC"/>
    <w:rsid w:val="002E7C6E"/>
    <w:rsid w:val="002F3BB7"/>
    <w:rsid w:val="002F54BD"/>
    <w:rsid w:val="002F57C3"/>
    <w:rsid w:val="002F6B1E"/>
    <w:rsid w:val="002F78C8"/>
    <w:rsid w:val="002F7FFD"/>
    <w:rsid w:val="00301CF3"/>
    <w:rsid w:val="00301D2B"/>
    <w:rsid w:val="003078E4"/>
    <w:rsid w:val="003101A7"/>
    <w:rsid w:val="00312F59"/>
    <w:rsid w:val="00313560"/>
    <w:rsid w:val="00313AD1"/>
    <w:rsid w:val="00314C96"/>
    <w:rsid w:val="0032226E"/>
    <w:rsid w:val="003222D8"/>
    <w:rsid w:val="0032333B"/>
    <w:rsid w:val="003260A8"/>
    <w:rsid w:val="0032711D"/>
    <w:rsid w:val="0032715C"/>
    <w:rsid w:val="003307B1"/>
    <w:rsid w:val="00331E2B"/>
    <w:rsid w:val="00335CF7"/>
    <w:rsid w:val="00337CA5"/>
    <w:rsid w:val="00337CF8"/>
    <w:rsid w:val="003416C7"/>
    <w:rsid w:val="00343716"/>
    <w:rsid w:val="003439D8"/>
    <w:rsid w:val="003444D1"/>
    <w:rsid w:val="0034475A"/>
    <w:rsid w:val="0034495D"/>
    <w:rsid w:val="00362478"/>
    <w:rsid w:val="003642C0"/>
    <w:rsid w:val="00365984"/>
    <w:rsid w:val="00373439"/>
    <w:rsid w:val="0037481A"/>
    <w:rsid w:val="00375B25"/>
    <w:rsid w:val="0038330D"/>
    <w:rsid w:val="00384BFF"/>
    <w:rsid w:val="0039028B"/>
    <w:rsid w:val="003904F9"/>
    <w:rsid w:val="00396542"/>
    <w:rsid w:val="0039685B"/>
    <w:rsid w:val="003A0A64"/>
    <w:rsid w:val="003A12AD"/>
    <w:rsid w:val="003A2073"/>
    <w:rsid w:val="003A31A6"/>
    <w:rsid w:val="003A60BD"/>
    <w:rsid w:val="003A7F0C"/>
    <w:rsid w:val="003A7F79"/>
    <w:rsid w:val="003B0CF3"/>
    <w:rsid w:val="003B2B58"/>
    <w:rsid w:val="003B37A7"/>
    <w:rsid w:val="003B6404"/>
    <w:rsid w:val="003B6ED2"/>
    <w:rsid w:val="003C0BD6"/>
    <w:rsid w:val="003C3BAB"/>
    <w:rsid w:val="003C449B"/>
    <w:rsid w:val="003C52F2"/>
    <w:rsid w:val="003D16D6"/>
    <w:rsid w:val="003D21FF"/>
    <w:rsid w:val="003D5E4F"/>
    <w:rsid w:val="003E30FB"/>
    <w:rsid w:val="003E3C4B"/>
    <w:rsid w:val="003E44C9"/>
    <w:rsid w:val="003E63A7"/>
    <w:rsid w:val="003F0112"/>
    <w:rsid w:val="003F071A"/>
    <w:rsid w:val="003F0B3D"/>
    <w:rsid w:val="003F160B"/>
    <w:rsid w:val="003F230C"/>
    <w:rsid w:val="003F2D9D"/>
    <w:rsid w:val="003F5747"/>
    <w:rsid w:val="003F659B"/>
    <w:rsid w:val="00400032"/>
    <w:rsid w:val="004009B5"/>
    <w:rsid w:val="00400B5B"/>
    <w:rsid w:val="00400F32"/>
    <w:rsid w:val="0040443C"/>
    <w:rsid w:val="00404B62"/>
    <w:rsid w:val="00404F48"/>
    <w:rsid w:val="004053FE"/>
    <w:rsid w:val="00405762"/>
    <w:rsid w:val="00405A00"/>
    <w:rsid w:val="00405D86"/>
    <w:rsid w:val="0040629F"/>
    <w:rsid w:val="00407529"/>
    <w:rsid w:val="0041278A"/>
    <w:rsid w:val="004127A9"/>
    <w:rsid w:val="00414DB2"/>
    <w:rsid w:val="00420870"/>
    <w:rsid w:val="00420876"/>
    <w:rsid w:val="00426880"/>
    <w:rsid w:val="00426C37"/>
    <w:rsid w:val="0043240D"/>
    <w:rsid w:val="004367EE"/>
    <w:rsid w:val="00437385"/>
    <w:rsid w:val="0043791B"/>
    <w:rsid w:val="00440EBA"/>
    <w:rsid w:val="00441483"/>
    <w:rsid w:val="00441BCB"/>
    <w:rsid w:val="00441C28"/>
    <w:rsid w:val="004427D6"/>
    <w:rsid w:val="00443978"/>
    <w:rsid w:val="00445273"/>
    <w:rsid w:val="0045176A"/>
    <w:rsid w:val="00451F65"/>
    <w:rsid w:val="00452DE3"/>
    <w:rsid w:val="00456332"/>
    <w:rsid w:val="00461826"/>
    <w:rsid w:val="004624A3"/>
    <w:rsid w:val="004636C4"/>
    <w:rsid w:val="00466838"/>
    <w:rsid w:val="00470164"/>
    <w:rsid w:val="004746C8"/>
    <w:rsid w:val="00475203"/>
    <w:rsid w:val="00476B6F"/>
    <w:rsid w:val="004772F7"/>
    <w:rsid w:val="004800F9"/>
    <w:rsid w:val="004802BA"/>
    <w:rsid w:val="00485BB5"/>
    <w:rsid w:val="00487B0A"/>
    <w:rsid w:val="00487FED"/>
    <w:rsid w:val="0049065F"/>
    <w:rsid w:val="004910D1"/>
    <w:rsid w:val="0049134A"/>
    <w:rsid w:val="00491989"/>
    <w:rsid w:val="00491A89"/>
    <w:rsid w:val="004940BA"/>
    <w:rsid w:val="004942F6"/>
    <w:rsid w:val="004A1B92"/>
    <w:rsid w:val="004A58CB"/>
    <w:rsid w:val="004B1795"/>
    <w:rsid w:val="004B3D2B"/>
    <w:rsid w:val="004B56DD"/>
    <w:rsid w:val="004B6C7E"/>
    <w:rsid w:val="004C020F"/>
    <w:rsid w:val="004C1AFD"/>
    <w:rsid w:val="004C558B"/>
    <w:rsid w:val="004C58AF"/>
    <w:rsid w:val="004D016C"/>
    <w:rsid w:val="004D33E5"/>
    <w:rsid w:val="004D618C"/>
    <w:rsid w:val="004D7A1E"/>
    <w:rsid w:val="004E31E0"/>
    <w:rsid w:val="004E3748"/>
    <w:rsid w:val="004F16ED"/>
    <w:rsid w:val="004F1F88"/>
    <w:rsid w:val="004F3414"/>
    <w:rsid w:val="004F5F1B"/>
    <w:rsid w:val="00502374"/>
    <w:rsid w:val="005060A1"/>
    <w:rsid w:val="005101C8"/>
    <w:rsid w:val="005123A5"/>
    <w:rsid w:val="00514C7E"/>
    <w:rsid w:val="005152C1"/>
    <w:rsid w:val="00516072"/>
    <w:rsid w:val="00516697"/>
    <w:rsid w:val="00521535"/>
    <w:rsid w:val="00527C93"/>
    <w:rsid w:val="0053284D"/>
    <w:rsid w:val="005331BA"/>
    <w:rsid w:val="005332EC"/>
    <w:rsid w:val="00534418"/>
    <w:rsid w:val="00534F05"/>
    <w:rsid w:val="005353AB"/>
    <w:rsid w:val="00537C87"/>
    <w:rsid w:val="0054236A"/>
    <w:rsid w:val="00544CC2"/>
    <w:rsid w:val="00545943"/>
    <w:rsid w:val="005477F7"/>
    <w:rsid w:val="00550853"/>
    <w:rsid w:val="00551541"/>
    <w:rsid w:val="00552DDA"/>
    <w:rsid w:val="00553017"/>
    <w:rsid w:val="005560BC"/>
    <w:rsid w:val="005573BE"/>
    <w:rsid w:val="00560E2F"/>
    <w:rsid w:val="005610E2"/>
    <w:rsid w:val="00561A37"/>
    <w:rsid w:val="005641E4"/>
    <w:rsid w:val="00567A16"/>
    <w:rsid w:val="00570AA6"/>
    <w:rsid w:val="00572700"/>
    <w:rsid w:val="00572A7A"/>
    <w:rsid w:val="00573E98"/>
    <w:rsid w:val="00580468"/>
    <w:rsid w:val="00580FB7"/>
    <w:rsid w:val="0058603B"/>
    <w:rsid w:val="00587B9C"/>
    <w:rsid w:val="0059390D"/>
    <w:rsid w:val="0059431B"/>
    <w:rsid w:val="005947E4"/>
    <w:rsid w:val="00596363"/>
    <w:rsid w:val="005A086D"/>
    <w:rsid w:val="005A39CC"/>
    <w:rsid w:val="005A6D78"/>
    <w:rsid w:val="005A7FB1"/>
    <w:rsid w:val="005B017F"/>
    <w:rsid w:val="005B3373"/>
    <w:rsid w:val="005B4730"/>
    <w:rsid w:val="005C23A4"/>
    <w:rsid w:val="005D0E10"/>
    <w:rsid w:val="005D2D14"/>
    <w:rsid w:val="005E0222"/>
    <w:rsid w:val="005E05D7"/>
    <w:rsid w:val="005E0E6E"/>
    <w:rsid w:val="005E1EE5"/>
    <w:rsid w:val="005E41E7"/>
    <w:rsid w:val="005E450F"/>
    <w:rsid w:val="005E66B4"/>
    <w:rsid w:val="005E7D3F"/>
    <w:rsid w:val="005F5D61"/>
    <w:rsid w:val="005F5E2C"/>
    <w:rsid w:val="005F5F55"/>
    <w:rsid w:val="00601B5E"/>
    <w:rsid w:val="00602599"/>
    <w:rsid w:val="00604166"/>
    <w:rsid w:val="00605E8E"/>
    <w:rsid w:val="00612F7F"/>
    <w:rsid w:val="00616859"/>
    <w:rsid w:val="00620F03"/>
    <w:rsid w:val="00622790"/>
    <w:rsid w:val="0062298A"/>
    <w:rsid w:val="00623F65"/>
    <w:rsid w:val="00624ED5"/>
    <w:rsid w:val="0062512B"/>
    <w:rsid w:val="006264EF"/>
    <w:rsid w:val="00626514"/>
    <w:rsid w:val="00626589"/>
    <w:rsid w:val="0062761F"/>
    <w:rsid w:val="006339A0"/>
    <w:rsid w:val="006413A8"/>
    <w:rsid w:val="0064293B"/>
    <w:rsid w:val="00642E56"/>
    <w:rsid w:val="00644331"/>
    <w:rsid w:val="006444E4"/>
    <w:rsid w:val="006446A4"/>
    <w:rsid w:val="00651E00"/>
    <w:rsid w:val="00652825"/>
    <w:rsid w:val="006570D6"/>
    <w:rsid w:val="006624F1"/>
    <w:rsid w:val="00664750"/>
    <w:rsid w:val="006648BB"/>
    <w:rsid w:val="00666AC0"/>
    <w:rsid w:val="00666B88"/>
    <w:rsid w:val="00667FE4"/>
    <w:rsid w:val="00674572"/>
    <w:rsid w:val="00674F6D"/>
    <w:rsid w:val="006863CD"/>
    <w:rsid w:val="00686A22"/>
    <w:rsid w:val="00686C2D"/>
    <w:rsid w:val="00687763"/>
    <w:rsid w:val="00690E61"/>
    <w:rsid w:val="006915DA"/>
    <w:rsid w:val="00691C30"/>
    <w:rsid w:val="00692B0D"/>
    <w:rsid w:val="00692DBC"/>
    <w:rsid w:val="00693E0E"/>
    <w:rsid w:val="00696F5F"/>
    <w:rsid w:val="006A0A17"/>
    <w:rsid w:val="006A1AE3"/>
    <w:rsid w:val="006A27A9"/>
    <w:rsid w:val="006B2F2A"/>
    <w:rsid w:val="006B7689"/>
    <w:rsid w:val="006B7C94"/>
    <w:rsid w:val="006C2A82"/>
    <w:rsid w:val="006C2C96"/>
    <w:rsid w:val="006C30E1"/>
    <w:rsid w:val="006C391E"/>
    <w:rsid w:val="006C4607"/>
    <w:rsid w:val="006C4D33"/>
    <w:rsid w:val="006C6F53"/>
    <w:rsid w:val="006C7451"/>
    <w:rsid w:val="006C7561"/>
    <w:rsid w:val="006D0FF9"/>
    <w:rsid w:val="006D1F55"/>
    <w:rsid w:val="006D48F1"/>
    <w:rsid w:val="006D5702"/>
    <w:rsid w:val="006E1380"/>
    <w:rsid w:val="006E25D2"/>
    <w:rsid w:val="006E2CA1"/>
    <w:rsid w:val="006E2DF2"/>
    <w:rsid w:val="006E3CB8"/>
    <w:rsid w:val="006E3FB0"/>
    <w:rsid w:val="006E7EB7"/>
    <w:rsid w:val="006F05D4"/>
    <w:rsid w:val="006F3D17"/>
    <w:rsid w:val="006F45BE"/>
    <w:rsid w:val="006F5782"/>
    <w:rsid w:val="007004FC"/>
    <w:rsid w:val="007005F0"/>
    <w:rsid w:val="00700DBC"/>
    <w:rsid w:val="00704877"/>
    <w:rsid w:val="00706670"/>
    <w:rsid w:val="0070698A"/>
    <w:rsid w:val="007069BD"/>
    <w:rsid w:val="00706FE3"/>
    <w:rsid w:val="00711003"/>
    <w:rsid w:val="00715412"/>
    <w:rsid w:val="00717E44"/>
    <w:rsid w:val="00717E74"/>
    <w:rsid w:val="0072170E"/>
    <w:rsid w:val="007225F5"/>
    <w:rsid w:val="00723E79"/>
    <w:rsid w:val="00723F65"/>
    <w:rsid w:val="0072417C"/>
    <w:rsid w:val="00726B33"/>
    <w:rsid w:val="00727E79"/>
    <w:rsid w:val="00730575"/>
    <w:rsid w:val="00734450"/>
    <w:rsid w:val="0073452D"/>
    <w:rsid w:val="007351FE"/>
    <w:rsid w:val="007363E4"/>
    <w:rsid w:val="00736E73"/>
    <w:rsid w:val="00737857"/>
    <w:rsid w:val="007408C9"/>
    <w:rsid w:val="00741322"/>
    <w:rsid w:val="00743F6E"/>
    <w:rsid w:val="00745F67"/>
    <w:rsid w:val="00747AAB"/>
    <w:rsid w:val="0075039E"/>
    <w:rsid w:val="00751422"/>
    <w:rsid w:val="00752D9D"/>
    <w:rsid w:val="00754784"/>
    <w:rsid w:val="00756837"/>
    <w:rsid w:val="00757C6E"/>
    <w:rsid w:val="00760EC3"/>
    <w:rsid w:val="00762BDA"/>
    <w:rsid w:val="00764AE2"/>
    <w:rsid w:val="00766200"/>
    <w:rsid w:val="007666FB"/>
    <w:rsid w:val="00767F08"/>
    <w:rsid w:val="00773094"/>
    <w:rsid w:val="00773408"/>
    <w:rsid w:val="00773F7F"/>
    <w:rsid w:val="00777D88"/>
    <w:rsid w:val="00777FA2"/>
    <w:rsid w:val="007805FD"/>
    <w:rsid w:val="00780A39"/>
    <w:rsid w:val="00781565"/>
    <w:rsid w:val="007840F1"/>
    <w:rsid w:val="00784190"/>
    <w:rsid w:val="00784422"/>
    <w:rsid w:val="00784C61"/>
    <w:rsid w:val="00785DB4"/>
    <w:rsid w:val="00791D71"/>
    <w:rsid w:val="007921BB"/>
    <w:rsid w:val="00792B7C"/>
    <w:rsid w:val="00792EDE"/>
    <w:rsid w:val="00795072"/>
    <w:rsid w:val="0079607B"/>
    <w:rsid w:val="00796293"/>
    <w:rsid w:val="007A012B"/>
    <w:rsid w:val="007A30FA"/>
    <w:rsid w:val="007A3124"/>
    <w:rsid w:val="007A4ED3"/>
    <w:rsid w:val="007B0170"/>
    <w:rsid w:val="007B0BE0"/>
    <w:rsid w:val="007B3B54"/>
    <w:rsid w:val="007B3FA0"/>
    <w:rsid w:val="007B466F"/>
    <w:rsid w:val="007B519D"/>
    <w:rsid w:val="007B6E26"/>
    <w:rsid w:val="007B7A7D"/>
    <w:rsid w:val="007C0F2C"/>
    <w:rsid w:val="007C2BCC"/>
    <w:rsid w:val="007C4EF0"/>
    <w:rsid w:val="007C67E3"/>
    <w:rsid w:val="007C6B53"/>
    <w:rsid w:val="007D099D"/>
    <w:rsid w:val="007D0CB8"/>
    <w:rsid w:val="007D4345"/>
    <w:rsid w:val="007D5EDF"/>
    <w:rsid w:val="007D6961"/>
    <w:rsid w:val="007E0E1B"/>
    <w:rsid w:val="007E2664"/>
    <w:rsid w:val="007E3ABF"/>
    <w:rsid w:val="007E4BC7"/>
    <w:rsid w:val="007E5BFA"/>
    <w:rsid w:val="007E6689"/>
    <w:rsid w:val="007E6F90"/>
    <w:rsid w:val="007E71B1"/>
    <w:rsid w:val="007E731C"/>
    <w:rsid w:val="007E7409"/>
    <w:rsid w:val="007E7A7A"/>
    <w:rsid w:val="007F0092"/>
    <w:rsid w:val="007F0A03"/>
    <w:rsid w:val="007F2BAB"/>
    <w:rsid w:val="007F5E40"/>
    <w:rsid w:val="007F7299"/>
    <w:rsid w:val="007F75DA"/>
    <w:rsid w:val="008004A5"/>
    <w:rsid w:val="00804310"/>
    <w:rsid w:val="008059CB"/>
    <w:rsid w:val="00810040"/>
    <w:rsid w:val="008104BF"/>
    <w:rsid w:val="008104E0"/>
    <w:rsid w:val="00811B43"/>
    <w:rsid w:val="0081299B"/>
    <w:rsid w:val="00813373"/>
    <w:rsid w:val="008134A7"/>
    <w:rsid w:val="00816A82"/>
    <w:rsid w:val="008176C5"/>
    <w:rsid w:val="0082023A"/>
    <w:rsid w:val="00821A7A"/>
    <w:rsid w:val="00822E04"/>
    <w:rsid w:val="008253F8"/>
    <w:rsid w:val="00827E9F"/>
    <w:rsid w:val="008310B4"/>
    <w:rsid w:val="00831902"/>
    <w:rsid w:val="008325E4"/>
    <w:rsid w:val="00832A2B"/>
    <w:rsid w:val="00832FA8"/>
    <w:rsid w:val="00834F23"/>
    <w:rsid w:val="00836927"/>
    <w:rsid w:val="0083727C"/>
    <w:rsid w:val="00842721"/>
    <w:rsid w:val="00842733"/>
    <w:rsid w:val="00844B60"/>
    <w:rsid w:val="00845811"/>
    <w:rsid w:val="00845936"/>
    <w:rsid w:val="00845CE6"/>
    <w:rsid w:val="00846994"/>
    <w:rsid w:val="00850451"/>
    <w:rsid w:val="0085101A"/>
    <w:rsid w:val="00851458"/>
    <w:rsid w:val="00852042"/>
    <w:rsid w:val="008525D6"/>
    <w:rsid w:val="008534C9"/>
    <w:rsid w:val="008542BA"/>
    <w:rsid w:val="008550FB"/>
    <w:rsid w:val="0085599D"/>
    <w:rsid w:val="0085721E"/>
    <w:rsid w:val="00865C66"/>
    <w:rsid w:val="008678A9"/>
    <w:rsid w:val="00871F5C"/>
    <w:rsid w:val="00873300"/>
    <w:rsid w:val="0087510C"/>
    <w:rsid w:val="00875637"/>
    <w:rsid w:val="00875A6F"/>
    <w:rsid w:val="0087752C"/>
    <w:rsid w:val="008779C6"/>
    <w:rsid w:val="008824CB"/>
    <w:rsid w:val="00884487"/>
    <w:rsid w:val="00885DF9"/>
    <w:rsid w:val="008863B5"/>
    <w:rsid w:val="00891910"/>
    <w:rsid w:val="008937A7"/>
    <w:rsid w:val="00893D7F"/>
    <w:rsid w:val="00895AE0"/>
    <w:rsid w:val="008963AB"/>
    <w:rsid w:val="008967DB"/>
    <w:rsid w:val="0089738E"/>
    <w:rsid w:val="008A02EE"/>
    <w:rsid w:val="008A7B33"/>
    <w:rsid w:val="008B1FD2"/>
    <w:rsid w:val="008B23C8"/>
    <w:rsid w:val="008B45E2"/>
    <w:rsid w:val="008B5A90"/>
    <w:rsid w:val="008B5CD1"/>
    <w:rsid w:val="008B5DB9"/>
    <w:rsid w:val="008B5FDB"/>
    <w:rsid w:val="008B610E"/>
    <w:rsid w:val="008C440F"/>
    <w:rsid w:val="008C50F4"/>
    <w:rsid w:val="008C5649"/>
    <w:rsid w:val="008C5C24"/>
    <w:rsid w:val="008C7DCE"/>
    <w:rsid w:val="008D1E68"/>
    <w:rsid w:val="008D5E9E"/>
    <w:rsid w:val="008D5F3B"/>
    <w:rsid w:val="008D6977"/>
    <w:rsid w:val="008D6D66"/>
    <w:rsid w:val="008E0E15"/>
    <w:rsid w:val="008E2BF2"/>
    <w:rsid w:val="008E3127"/>
    <w:rsid w:val="008E44A2"/>
    <w:rsid w:val="008E697D"/>
    <w:rsid w:val="008E6A10"/>
    <w:rsid w:val="008F1EFC"/>
    <w:rsid w:val="008F26EE"/>
    <w:rsid w:val="008F2E7A"/>
    <w:rsid w:val="00901D64"/>
    <w:rsid w:val="00902797"/>
    <w:rsid w:val="0090291B"/>
    <w:rsid w:val="00903263"/>
    <w:rsid w:val="00906A21"/>
    <w:rsid w:val="009079C3"/>
    <w:rsid w:val="00910462"/>
    <w:rsid w:val="00910B14"/>
    <w:rsid w:val="00912A6D"/>
    <w:rsid w:val="00913F76"/>
    <w:rsid w:val="0091476F"/>
    <w:rsid w:val="00914FAF"/>
    <w:rsid w:val="00915AB1"/>
    <w:rsid w:val="00917532"/>
    <w:rsid w:val="00920073"/>
    <w:rsid w:val="00920BFB"/>
    <w:rsid w:val="00920E33"/>
    <w:rsid w:val="009235BA"/>
    <w:rsid w:val="00924023"/>
    <w:rsid w:val="009242B6"/>
    <w:rsid w:val="00924B5C"/>
    <w:rsid w:val="00924CE2"/>
    <w:rsid w:val="009256E6"/>
    <w:rsid w:val="00925A54"/>
    <w:rsid w:val="00925B9F"/>
    <w:rsid w:val="009302E0"/>
    <w:rsid w:val="00931AED"/>
    <w:rsid w:val="00933DE5"/>
    <w:rsid w:val="009356C2"/>
    <w:rsid w:val="0093754C"/>
    <w:rsid w:val="009408E4"/>
    <w:rsid w:val="00946B12"/>
    <w:rsid w:val="009476A3"/>
    <w:rsid w:val="0095334F"/>
    <w:rsid w:val="0095467D"/>
    <w:rsid w:val="00955DE4"/>
    <w:rsid w:val="00965897"/>
    <w:rsid w:val="00966AE6"/>
    <w:rsid w:val="0096765C"/>
    <w:rsid w:val="00967DBC"/>
    <w:rsid w:val="00967EF4"/>
    <w:rsid w:val="009727E4"/>
    <w:rsid w:val="009741D8"/>
    <w:rsid w:val="00980B2E"/>
    <w:rsid w:val="009835BD"/>
    <w:rsid w:val="00987819"/>
    <w:rsid w:val="00990A6C"/>
    <w:rsid w:val="009934C5"/>
    <w:rsid w:val="00994356"/>
    <w:rsid w:val="00994C0F"/>
    <w:rsid w:val="009964C8"/>
    <w:rsid w:val="009A3F76"/>
    <w:rsid w:val="009A5C53"/>
    <w:rsid w:val="009B0F7B"/>
    <w:rsid w:val="009B22D7"/>
    <w:rsid w:val="009B369F"/>
    <w:rsid w:val="009B3854"/>
    <w:rsid w:val="009B554C"/>
    <w:rsid w:val="009B72ED"/>
    <w:rsid w:val="009C08B3"/>
    <w:rsid w:val="009C198E"/>
    <w:rsid w:val="009C2F4A"/>
    <w:rsid w:val="009C32F1"/>
    <w:rsid w:val="009C4606"/>
    <w:rsid w:val="009C4885"/>
    <w:rsid w:val="009C5675"/>
    <w:rsid w:val="009C694B"/>
    <w:rsid w:val="009C6DEB"/>
    <w:rsid w:val="009D3DB0"/>
    <w:rsid w:val="009D44F9"/>
    <w:rsid w:val="009D6504"/>
    <w:rsid w:val="009D7946"/>
    <w:rsid w:val="009E12D7"/>
    <w:rsid w:val="009E3892"/>
    <w:rsid w:val="009E3FA4"/>
    <w:rsid w:val="009E4496"/>
    <w:rsid w:val="009E5925"/>
    <w:rsid w:val="009E661A"/>
    <w:rsid w:val="009F1CD4"/>
    <w:rsid w:val="009F3195"/>
    <w:rsid w:val="009F5102"/>
    <w:rsid w:val="009F7D2B"/>
    <w:rsid w:val="00A0162F"/>
    <w:rsid w:val="00A06781"/>
    <w:rsid w:val="00A074C3"/>
    <w:rsid w:val="00A145FE"/>
    <w:rsid w:val="00A1509C"/>
    <w:rsid w:val="00A16443"/>
    <w:rsid w:val="00A2250D"/>
    <w:rsid w:val="00A23DDB"/>
    <w:rsid w:val="00A23ECB"/>
    <w:rsid w:val="00A2489F"/>
    <w:rsid w:val="00A26BA0"/>
    <w:rsid w:val="00A34260"/>
    <w:rsid w:val="00A34517"/>
    <w:rsid w:val="00A36AC7"/>
    <w:rsid w:val="00A4360F"/>
    <w:rsid w:val="00A442FD"/>
    <w:rsid w:val="00A524DE"/>
    <w:rsid w:val="00A52FFD"/>
    <w:rsid w:val="00A5554C"/>
    <w:rsid w:val="00A62D80"/>
    <w:rsid w:val="00A639E5"/>
    <w:rsid w:val="00A64ACE"/>
    <w:rsid w:val="00A65481"/>
    <w:rsid w:val="00A70CFD"/>
    <w:rsid w:val="00A7162F"/>
    <w:rsid w:val="00A72A0B"/>
    <w:rsid w:val="00A735A2"/>
    <w:rsid w:val="00A7399A"/>
    <w:rsid w:val="00A77BC5"/>
    <w:rsid w:val="00A77E71"/>
    <w:rsid w:val="00A8185D"/>
    <w:rsid w:val="00A81E42"/>
    <w:rsid w:val="00A82B20"/>
    <w:rsid w:val="00A8598A"/>
    <w:rsid w:val="00A864FE"/>
    <w:rsid w:val="00A86F41"/>
    <w:rsid w:val="00A87137"/>
    <w:rsid w:val="00A879CD"/>
    <w:rsid w:val="00A87D04"/>
    <w:rsid w:val="00A92B3F"/>
    <w:rsid w:val="00A950C5"/>
    <w:rsid w:val="00A955A5"/>
    <w:rsid w:val="00A95C41"/>
    <w:rsid w:val="00A963F6"/>
    <w:rsid w:val="00A97152"/>
    <w:rsid w:val="00AA03B6"/>
    <w:rsid w:val="00AA0A1F"/>
    <w:rsid w:val="00AA1D25"/>
    <w:rsid w:val="00AA39D7"/>
    <w:rsid w:val="00AA4AD1"/>
    <w:rsid w:val="00AA521B"/>
    <w:rsid w:val="00AA5415"/>
    <w:rsid w:val="00AA6524"/>
    <w:rsid w:val="00AB002C"/>
    <w:rsid w:val="00AB05DA"/>
    <w:rsid w:val="00AB2472"/>
    <w:rsid w:val="00AB2A1B"/>
    <w:rsid w:val="00AB2B1A"/>
    <w:rsid w:val="00AB397F"/>
    <w:rsid w:val="00AB3CED"/>
    <w:rsid w:val="00AB51CA"/>
    <w:rsid w:val="00AB521D"/>
    <w:rsid w:val="00AB5832"/>
    <w:rsid w:val="00AB6C60"/>
    <w:rsid w:val="00AC4F4A"/>
    <w:rsid w:val="00AC51F2"/>
    <w:rsid w:val="00AC698B"/>
    <w:rsid w:val="00AD36B7"/>
    <w:rsid w:val="00AD7C24"/>
    <w:rsid w:val="00AD7C3B"/>
    <w:rsid w:val="00AE5066"/>
    <w:rsid w:val="00AE5E24"/>
    <w:rsid w:val="00AE61B7"/>
    <w:rsid w:val="00AE6B1E"/>
    <w:rsid w:val="00AE6CBA"/>
    <w:rsid w:val="00AE6D64"/>
    <w:rsid w:val="00AE79AD"/>
    <w:rsid w:val="00AF2793"/>
    <w:rsid w:val="00AF35E4"/>
    <w:rsid w:val="00AF5CDE"/>
    <w:rsid w:val="00B051B0"/>
    <w:rsid w:val="00B05BA6"/>
    <w:rsid w:val="00B068F0"/>
    <w:rsid w:val="00B069D1"/>
    <w:rsid w:val="00B11A57"/>
    <w:rsid w:val="00B12A9E"/>
    <w:rsid w:val="00B13568"/>
    <w:rsid w:val="00B143FC"/>
    <w:rsid w:val="00B164B7"/>
    <w:rsid w:val="00B176BD"/>
    <w:rsid w:val="00B17767"/>
    <w:rsid w:val="00B211C3"/>
    <w:rsid w:val="00B221D3"/>
    <w:rsid w:val="00B25597"/>
    <w:rsid w:val="00B25DE1"/>
    <w:rsid w:val="00B267B9"/>
    <w:rsid w:val="00B31909"/>
    <w:rsid w:val="00B33E09"/>
    <w:rsid w:val="00B34440"/>
    <w:rsid w:val="00B34B28"/>
    <w:rsid w:val="00B363F2"/>
    <w:rsid w:val="00B407CC"/>
    <w:rsid w:val="00B50708"/>
    <w:rsid w:val="00B509F1"/>
    <w:rsid w:val="00B50C68"/>
    <w:rsid w:val="00B51293"/>
    <w:rsid w:val="00B524C2"/>
    <w:rsid w:val="00B52B1E"/>
    <w:rsid w:val="00B545A4"/>
    <w:rsid w:val="00B54D7B"/>
    <w:rsid w:val="00B55481"/>
    <w:rsid w:val="00B56122"/>
    <w:rsid w:val="00B567A4"/>
    <w:rsid w:val="00B56C32"/>
    <w:rsid w:val="00B56F98"/>
    <w:rsid w:val="00B572E0"/>
    <w:rsid w:val="00B57ACF"/>
    <w:rsid w:val="00B60CA0"/>
    <w:rsid w:val="00B631A9"/>
    <w:rsid w:val="00B63E0F"/>
    <w:rsid w:val="00B64BB1"/>
    <w:rsid w:val="00B73166"/>
    <w:rsid w:val="00B833C5"/>
    <w:rsid w:val="00B8426C"/>
    <w:rsid w:val="00B842FD"/>
    <w:rsid w:val="00B868DE"/>
    <w:rsid w:val="00B87A70"/>
    <w:rsid w:val="00B90271"/>
    <w:rsid w:val="00B91B8D"/>
    <w:rsid w:val="00B924F5"/>
    <w:rsid w:val="00B93B99"/>
    <w:rsid w:val="00B94E90"/>
    <w:rsid w:val="00B956F9"/>
    <w:rsid w:val="00BA0D9E"/>
    <w:rsid w:val="00BA15AB"/>
    <w:rsid w:val="00BA1C48"/>
    <w:rsid w:val="00BA23D3"/>
    <w:rsid w:val="00BB0A82"/>
    <w:rsid w:val="00BB42CA"/>
    <w:rsid w:val="00BB67D2"/>
    <w:rsid w:val="00BB7989"/>
    <w:rsid w:val="00BB7C94"/>
    <w:rsid w:val="00BC0A9D"/>
    <w:rsid w:val="00BC14F1"/>
    <w:rsid w:val="00BC2F4F"/>
    <w:rsid w:val="00BC484C"/>
    <w:rsid w:val="00BC4E46"/>
    <w:rsid w:val="00BC7336"/>
    <w:rsid w:val="00BD4448"/>
    <w:rsid w:val="00BD5D51"/>
    <w:rsid w:val="00BD63F2"/>
    <w:rsid w:val="00BD7CCD"/>
    <w:rsid w:val="00BE2540"/>
    <w:rsid w:val="00BF05EB"/>
    <w:rsid w:val="00BF40ED"/>
    <w:rsid w:val="00BF5BC2"/>
    <w:rsid w:val="00BF7637"/>
    <w:rsid w:val="00C111BB"/>
    <w:rsid w:val="00C1133D"/>
    <w:rsid w:val="00C11761"/>
    <w:rsid w:val="00C13494"/>
    <w:rsid w:val="00C144B7"/>
    <w:rsid w:val="00C175ED"/>
    <w:rsid w:val="00C176FA"/>
    <w:rsid w:val="00C24C9E"/>
    <w:rsid w:val="00C27A08"/>
    <w:rsid w:val="00C31312"/>
    <w:rsid w:val="00C326C6"/>
    <w:rsid w:val="00C35295"/>
    <w:rsid w:val="00C36ADD"/>
    <w:rsid w:val="00C36E74"/>
    <w:rsid w:val="00C40595"/>
    <w:rsid w:val="00C41621"/>
    <w:rsid w:val="00C419D8"/>
    <w:rsid w:val="00C449FA"/>
    <w:rsid w:val="00C5384F"/>
    <w:rsid w:val="00C56964"/>
    <w:rsid w:val="00C65021"/>
    <w:rsid w:val="00C656D5"/>
    <w:rsid w:val="00C66D7D"/>
    <w:rsid w:val="00C67103"/>
    <w:rsid w:val="00C71BB9"/>
    <w:rsid w:val="00C72E81"/>
    <w:rsid w:val="00C734D9"/>
    <w:rsid w:val="00C73507"/>
    <w:rsid w:val="00C74061"/>
    <w:rsid w:val="00C760BC"/>
    <w:rsid w:val="00C762A5"/>
    <w:rsid w:val="00C76315"/>
    <w:rsid w:val="00C844DC"/>
    <w:rsid w:val="00C94C28"/>
    <w:rsid w:val="00CA1220"/>
    <w:rsid w:val="00CA2D4F"/>
    <w:rsid w:val="00CA4EB9"/>
    <w:rsid w:val="00CA5D2D"/>
    <w:rsid w:val="00CA7339"/>
    <w:rsid w:val="00CA795D"/>
    <w:rsid w:val="00CA7B65"/>
    <w:rsid w:val="00CB0247"/>
    <w:rsid w:val="00CB0831"/>
    <w:rsid w:val="00CB3409"/>
    <w:rsid w:val="00CB3440"/>
    <w:rsid w:val="00CB4051"/>
    <w:rsid w:val="00CB5FD4"/>
    <w:rsid w:val="00CB6531"/>
    <w:rsid w:val="00CC045A"/>
    <w:rsid w:val="00CC14FD"/>
    <w:rsid w:val="00CC1692"/>
    <w:rsid w:val="00CC2D72"/>
    <w:rsid w:val="00CC5164"/>
    <w:rsid w:val="00CC57EF"/>
    <w:rsid w:val="00CC7DF4"/>
    <w:rsid w:val="00CD045E"/>
    <w:rsid w:val="00CD0767"/>
    <w:rsid w:val="00CD11DC"/>
    <w:rsid w:val="00CD138B"/>
    <w:rsid w:val="00CD3E31"/>
    <w:rsid w:val="00CD74A3"/>
    <w:rsid w:val="00CE0527"/>
    <w:rsid w:val="00CE0E80"/>
    <w:rsid w:val="00CE1061"/>
    <w:rsid w:val="00CE12B8"/>
    <w:rsid w:val="00CE1D10"/>
    <w:rsid w:val="00CE501B"/>
    <w:rsid w:val="00CE5B23"/>
    <w:rsid w:val="00CE5C01"/>
    <w:rsid w:val="00CF028D"/>
    <w:rsid w:val="00CF70AD"/>
    <w:rsid w:val="00CF7729"/>
    <w:rsid w:val="00D00059"/>
    <w:rsid w:val="00D0113A"/>
    <w:rsid w:val="00D0181A"/>
    <w:rsid w:val="00D107FA"/>
    <w:rsid w:val="00D11F3B"/>
    <w:rsid w:val="00D12275"/>
    <w:rsid w:val="00D12766"/>
    <w:rsid w:val="00D13936"/>
    <w:rsid w:val="00D15797"/>
    <w:rsid w:val="00D15F3B"/>
    <w:rsid w:val="00D16159"/>
    <w:rsid w:val="00D20FF4"/>
    <w:rsid w:val="00D24D2C"/>
    <w:rsid w:val="00D32928"/>
    <w:rsid w:val="00D3323D"/>
    <w:rsid w:val="00D33884"/>
    <w:rsid w:val="00D33AF2"/>
    <w:rsid w:val="00D35881"/>
    <w:rsid w:val="00D40C36"/>
    <w:rsid w:val="00D4313E"/>
    <w:rsid w:val="00D44F56"/>
    <w:rsid w:val="00D45045"/>
    <w:rsid w:val="00D458FC"/>
    <w:rsid w:val="00D45F07"/>
    <w:rsid w:val="00D46D1E"/>
    <w:rsid w:val="00D47E0A"/>
    <w:rsid w:val="00D553E5"/>
    <w:rsid w:val="00D572E6"/>
    <w:rsid w:val="00D63123"/>
    <w:rsid w:val="00D6514E"/>
    <w:rsid w:val="00D663FB"/>
    <w:rsid w:val="00D7399A"/>
    <w:rsid w:val="00D76406"/>
    <w:rsid w:val="00D85642"/>
    <w:rsid w:val="00D856A1"/>
    <w:rsid w:val="00D9307E"/>
    <w:rsid w:val="00D9350C"/>
    <w:rsid w:val="00D93C45"/>
    <w:rsid w:val="00D945D9"/>
    <w:rsid w:val="00D94A16"/>
    <w:rsid w:val="00D97223"/>
    <w:rsid w:val="00DA5F93"/>
    <w:rsid w:val="00DA7DA5"/>
    <w:rsid w:val="00DB073B"/>
    <w:rsid w:val="00DB09FC"/>
    <w:rsid w:val="00DB1732"/>
    <w:rsid w:val="00DB78F0"/>
    <w:rsid w:val="00DC29AA"/>
    <w:rsid w:val="00DC2E43"/>
    <w:rsid w:val="00DC4EEC"/>
    <w:rsid w:val="00DD095C"/>
    <w:rsid w:val="00DD1020"/>
    <w:rsid w:val="00DD1330"/>
    <w:rsid w:val="00DD1AB3"/>
    <w:rsid w:val="00DD3397"/>
    <w:rsid w:val="00DD58A1"/>
    <w:rsid w:val="00DD6827"/>
    <w:rsid w:val="00DE0B83"/>
    <w:rsid w:val="00DE1664"/>
    <w:rsid w:val="00DE1A81"/>
    <w:rsid w:val="00DE1C13"/>
    <w:rsid w:val="00DE277D"/>
    <w:rsid w:val="00DE356F"/>
    <w:rsid w:val="00DE4543"/>
    <w:rsid w:val="00DE4E10"/>
    <w:rsid w:val="00DF0168"/>
    <w:rsid w:val="00DF2694"/>
    <w:rsid w:val="00DF5DB6"/>
    <w:rsid w:val="00DF644D"/>
    <w:rsid w:val="00DF6A69"/>
    <w:rsid w:val="00E00C5D"/>
    <w:rsid w:val="00E00D78"/>
    <w:rsid w:val="00E02ABF"/>
    <w:rsid w:val="00E07C35"/>
    <w:rsid w:val="00E116CF"/>
    <w:rsid w:val="00E143B0"/>
    <w:rsid w:val="00E14576"/>
    <w:rsid w:val="00E14995"/>
    <w:rsid w:val="00E14D4D"/>
    <w:rsid w:val="00E15FA9"/>
    <w:rsid w:val="00E16E9A"/>
    <w:rsid w:val="00E179CD"/>
    <w:rsid w:val="00E22401"/>
    <w:rsid w:val="00E224CC"/>
    <w:rsid w:val="00E23E8D"/>
    <w:rsid w:val="00E250F7"/>
    <w:rsid w:val="00E2557D"/>
    <w:rsid w:val="00E25E02"/>
    <w:rsid w:val="00E30957"/>
    <w:rsid w:val="00E3159B"/>
    <w:rsid w:val="00E35726"/>
    <w:rsid w:val="00E37F98"/>
    <w:rsid w:val="00E41E74"/>
    <w:rsid w:val="00E45110"/>
    <w:rsid w:val="00E46559"/>
    <w:rsid w:val="00E504E5"/>
    <w:rsid w:val="00E55C52"/>
    <w:rsid w:val="00E56083"/>
    <w:rsid w:val="00E571AD"/>
    <w:rsid w:val="00E61E48"/>
    <w:rsid w:val="00E6670C"/>
    <w:rsid w:val="00E70DDC"/>
    <w:rsid w:val="00E7374E"/>
    <w:rsid w:val="00E7656A"/>
    <w:rsid w:val="00E768A0"/>
    <w:rsid w:val="00E76B96"/>
    <w:rsid w:val="00E776E8"/>
    <w:rsid w:val="00E80776"/>
    <w:rsid w:val="00E80FC2"/>
    <w:rsid w:val="00E81339"/>
    <w:rsid w:val="00E82EF6"/>
    <w:rsid w:val="00E84871"/>
    <w:rsid w:val="00E84E03"/>
    <w:rsid w:val="00E8529D"/>
    <w:rsid w:val="00E8539B"/>
    <w:rsid w:val="00E856D1"/>
    <w:rsid w:val="00E8688F"/>
    <w:rsid w:val="00E92C1F"/>
    <w:rsid w:val="00E95D4B"/>
    <w:rsid w:val="00E95EBA"/>
    <w:rsid w:val="00E97AAF"/>
    <w:rsid w:val="00EA0679"/>
    <w:rsid w:val="00EA0B61"/>
    <w:rsid w:val="00EA7EEC"/>
    <w:rsid w:val="00EB0FD8"/>
    <w:rsid w:val="00EB199F"/>
    <w:rsid w:val="00EB3569"/>
    <w:rsid w:val="00EB5F1A"/>
    <w:rsid w:val="00EC08AE"/>
    <w:rsid w:val="00EC23F7"/>
    <w:rsid w:val="00EC4BD8"/>
    <w:rsid w:val="00EC63EB"/>
    <w:rsid w:val="00EC7D47"/>
    <w:rsid w:val="00ED1073"/>
    <w:rsid w:val="00ED1AB5"/>
    <w:rsid w:val="00ED412F"/>
    <w:rsid w:val="00ED57AE"/>
    <w:rsid w:val="00ED6ED2"/>
    <w:rsid w:val="00ED7059"/>
    <w:rsid w:val="00EE4C1C"/>
    <w:rsid w:val="00EF1A7B"/>
    <w:rsid w:val="00EF1DF6"/>
    <w:rsid w:val="00EF1F0C"/>
    <w:rsid w:val="00EF36B2"/>
    <w:rsid w:val="00EF4D83"/>
    <w:rsid w:val="00EF6EAB"/>
    <w:rsid w:val="00F02863"/>
    <w:rsid w:val="00F03F96"/>
    <w:rsid w:val="00F11FA5"/>
    <w:rsid w:val="00F13F47"/>
    <w:rsid w:val="00F14FB1"/>
    <w:rsid w:val="00F1506E"/>
    <w:rsid w:val="00F1723D"/>
    <w:rsid w:val="00F201D8"/>
    <w:rsid w:val="00F201EC"/>
    <w:rsid w:val="00F208A9"/>
    <w:rsid w:val="00F20CDF"/>
    <w:rsid w:val="00F31E83"/>
    <w:rsid w:val="00F32297"/>
    <w:rsid w:val="00F32F30"/>
    <w:rsid w:val="00F33C58"/>
    <w:rsid w:val="00F35F7F"/>
    <w:rsid w:val="00F3693C"/>
    <w:rsid w:val="00F41D6D"/>
    <w:rsid w:val="00F41D75"/>
    <w:rsid w:val="00F43918"/>
    <w:rsid w:val="00F466EE"/>
    <w:rsid w:val="00F467EF"/>
    <w:rsid w:val="00F47BE1"/>
    <w:rsid w:val="00F50B4D"/>
    <w:rsid w:val="00F51250"/>
    <w:rsid w:val="00F5139D"/>
    <w:rsid w:val="00F51BEB"/>
    <w:rsid w:val="00F52175"/>
    <w:rsid w:val="00F5297F"/>
    <w:rsid w:val="00F5435E"/>
    <w:rsid w:val="00F567F3"/>
    <w:rsid w:val="00F56F2D"/>
    <w:rsid w:val="00F60FDD"/>
    <w:rsid w:val="00F63074"/>
    <w:rsid w:val="00F63DAC"/>
    <w:rsid w:val="00F64E50"/>
    <w:rsid w:val="00F64EF2"/>
    <w:rsid w:val="00F65B25"/>
    <w:rsid w:val="00F72B39"/>
    <w:rsid w:val="00F72EE7"/>
    <w:rsid w:val="00F7454F"/>
    <w:rsid w:val="00F77988"/>
    <w:rsid w:val="00F77F48"/>
    <w:rsid w:val="00F801EC"/>
    <w:rsid w:val="00F83E78"/>
    <w:rsid w:val="00F909A0"/>
    <w:rsid w:val="00F964F8"/>
    <w:rsid w:val="00F9700E"/>
    <w:rsid w:val="00FA2343"/>
    <w:rsid w:val="00FA60A5"/>
    <w:rsid w:val="00FA63D3"/>
    <w:rsid w:val="00FA6C3B"/>
    <w:rsid w:val="00FB1995"/>
    <w:rsid w:val="00FB2207"/>
    <w:rsid w:val="00FB30F1"/>
    <w:rsid w:val="00FB53E7"/>
    <w:rsid w:val="00FB5A1E"/>
    <w:rsid w:val="00FC0635"/>
    <w:rsid w:val="00FC1BD1"/>
    <w:rsid w:val="00FC466D"/>
    <w:rsid w:val="00FC4AFA"/>
    <w:rsid w:val="00FC554D"/>
    <w:rsid w:val="00FD11BB"/>
    <w:rsid w:val="00FD1A00"/>
    <w:rsid w:val="00FD2F0E"/>
    <w:rsid w:val="00FD4D0A"/>
    <w:rsid w:val="00FD5F30"/>
    <w:rsid w:val="00FD7109"/>
    <w:rsid w:val="00FD76CC"/>
    <w:rsid w:val="00FD7C7B"/>
    <w:rsid w:val="00FE01FE"/>
    <w:rsid w:val="00FE0BEB"/>
    <w:rsid w:val="00FE19EF"/>
    <w:rsid w:val="00FE3865"/>
    <w:rsid w:val="00FE4483"/>
    <w:rsid w:val="00FE56E7"/>
    <w:rsid w:val="00FE6328"/>
    <w:rsid w:val="00FE7CD9"/>
    <w:rsid w:val="00FF017B"/>
    <w:rsid w:val="00FF227D"/>
    <w:rsid w:val="00FF2D6E"/>
    <w:rsid w:val="00FF54CC"/>
    <w:rsid w:val="00FF5A7F"/>
    <w:rsid w:val="00FF71E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2049"/>
    <o:shapelayout v:ext="edit">
      <o:idmap v:ext="edit" data="1"/>
    </o:shapelayout>
  </w:shapeDefaults>
  <w:decimalSymbol w:val="."/>
  <w:listSeparator w:val=";"/>
  <w14:docId w14:val="7391CC15"/>
  <w15:docId w15:val="{BC18A695-6FB3-4B0F-905B-5F002497F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564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C5649"/>
    <w:pPr>
      <w:tabs>
        <w:tab w:val="center" w:pos="4153"/>
        <w:tab w:val="right" w:pos="8306"/>
      </w:tabs>
    </w:pPr>
  </w:style>
  <w:style w:type="character" w:styleId="PageNumber">
    <w:name w:val="page number"/>
    <w:basedOn w:val="DefaultParagraphFont"/>
    <w:rsid w:val="008C5649"/>
  </w:style>
  <w:style w:type="paragraph" w:customStyle="1" w:styleId="naisf">
    <w:name w:val="naisf"/>
    <w:basedOn w:val="Normal"/>
    <w:rsid w:val="008C5649"/>
    <w:pPr>
      <w:spacing w:before="75" w:after="75"/>
      <w:ind w:firstLine="375"/>
      <w:jc w:val="both"/>
    </w:pPr>
  </w:style>
  <w:style w:type="paragraph" w:customStyle="1" w:styleId="naisnod">
    <w:name w:val="naisnod"/>
    <w:basedOn w:val="Normal"/>
    <w:rsid w:val="008C5649"/>
    <w:pPr>
      <w:spacing w:before="150" w:after="150"/>
      <w:jc w:val="center"/>
    </w:pPr>
    <w:rPr>
      <w:b/>
      <w:bCs/>
    </w:rPr>
  </w:style>
  <w:style w:type="paragraph" w:customStyle="1" w:styleId="naislab">
    <w:name w:val="naislab"/>
    <w:basedOn w:val="Normal"/>
    <w:rsid w:val="008C5649"/>
    <w:pPr>
      <w:spacing w:before="75" w:after="75"/>
      <w:jc w:val="right"/>
    </w:pPr>
  </w:style>
  <w:style w:type="paragraph" w:customStyle="1" w:styleId="naiskr">
    <w:name w:val="naiskr"/>
    <w:basedOn w:val="Normal"/>
    <w:rsid w:val="008C5649"/>
    <w:pPr>
      <w:spacing w:before="75" w:after="75"/>
    </w:pPr>
  </w:style>
  <w:style w:type="paragraph" w:customStyle="1" w:styleId="naisc">
    <w:name w:val="naisc"/>
    <w:basedOn w:val="Normal"/>
    <w:rsid w:val="008C5649"/>
    <w:pPr>
      <w:spacing w:before="75" w:after="75"/>
      <w:jc w:val="center"/>
    </w:pPr>
  </w:style>
  <w:style w:type="character" w:customStyle="1" w:styleId="th1">
    <w:name w:val="th1"/>
    <w:rsid w:val="008C5649"/>
    <w:rPr>
      <w:b/>
      <w:bCs/>
      <w:color w:val="333333"/>
    </w:rPr>
  </w:style>
  <w:style w:type="character" w:styleId="CommentReference">
    <w:name w:val="annotation reference"/>
    <w:uiPriority w:val="99"/>
    <w:semiHidden/>
    <w:rsid w:val="008C5649"/>
    <w:rPr>
      <w:sz w:val="16"/>
      <w:szCs w:val="16"/>
    </w:rPr>
  </w:style>
  <w:style w:type="paragraph" w:styleId="CommentText">
    <w:name w:val="annotation text"/>
    <w:basedOn w:val="Normal"/>
    <w:link w:val="CommentTextChar"/>
    <w:uiPriority w:val="99"/>
    <w:rsid w:val="008C5649"/>
    <w:rPr>
      <w:sz w:val="20"/>
      <w:szCs w:val="20"/>
    </w:rPr>
  </w:style>
  <w:style w:type="character" w:customStyle="1" w:styleId="CommentTextChar">
    <w:name w:val="Comment Text Char"/>
    <w:link w:val="CommentText"/>
    <w:rsid w:val="008C5649"/>
    <w:rPr>
      <w:lang w:val="lv-LV" w:eastAsia="lv-LV" w:bidi="ar-SA"/>
    </w:rPr>
  </w:style>
  <w:style w:type="paragraph" w:styleId="BalloonText">
    <w:name w:val="Balloon Text"/>
    <w:basedOn w:val="Normal"/>
    <w:semiHidden/>
    <w:rsid w:val="008C5649"/>
    <w:rPr>
      <w:rFonts w:ascii="Tahoma" w:hAnsi="Tahoma" w:cs="Tahoma"/>
      <w:sz w:val="16"/>
      <w:szCs w:val="16"/>
    </w:rPr>
  </w:style>
  <w:style w:type="table" w:styleId="TableGrid">
    <w:name w:val="Table Grid"/>
    <w:basedOn w:val="TableNormal"/>
    <w:rsid w:val="008C56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ußnotentext Char,Fußnotentext Char1 Char1,Fußnotentext Char Char Char Char,Fußnotentext Char1 Char Char Char,Fußnotentext Char Char,Fußnotentext Char1 Char Char Char Char,Fußnotentext Char Char Char Char Char Char,Fußnotentext Char1,Fußn"/>
    <w:basedOn w:val="Normal"/>
    <w:link w:val="FootnoteTextChar"/>
    <w:uiPriority w:val="99"/>
    <w:semiHidden/>
    <w:rsid w:val="008C5649"/>
    <w:rPr>
      <w:sz w:val="20"/>
      <w:szCs w:val="20"/>
    </w:rPr>
  </w:style>
  <w:style w:type="character" w:styleId="FootnoteReference">
    <w:name w:val="footnote reference"/>
    <w:aliases w:val="Footnote Reference Number,SUPERS"/>
    <w:uiPriority w:val="99"/>
    <w:semiHidden/>
    <w:rsid w:val="008C5649"/>
    <w:rPr>
      <w:vertAlign w:val="superscript"/>
    </w:rPr>
  </w:style>
  <w:style w:type="paragraph" w:styleId="CommentSubject">
    <w:name w:val="annotation subject"/>
    <w:basedOn w:val="CommentText"/>
    <w:next w:val="CommentText"/>
    <w:semiHidden/>
    <w:rsid w:val="00262E2B"/>
    <w:rPr>
      <w:b/>
      <w:bCs/>
    </w:rPr>
  </w:style>
  <w:style w:type="paragraph" w:styleId="Footer">
    <w:name w:val="footer"/>
    <w:basedOn w:val="Normal"/>
    <w:link w:val="FooterChar"/>
    <w:uiPriority w:val="99"/>
    <w:rsid w:val="00262E2B"/>
    <w:pPr>
      <w:tabs>
        <w:tab w:val="center" w:pos="4153"/>
        <w:tab w:val="right" w:pos="8306"/>
      </w:tabs>
    </w:pPr>
  </w:style>
  <w:style w:type="character" w:customStyle="1" w:styleId="FooterChar">
    <w:name w:val="Footer Char"/>
    <w:link w:val="Footer"/>
    <w:uiPriority w:val="99"/>
    <w:rsid w:val="00231344"/>
    <w:rPr>
      <w:sz w:val="24"/>
      <w:szCs w:val="24"/>
      <w:lang w:val="lv-LV" w:eastAsia="lv-LV" w:bidi="ar-SA"/>
    </w:rPr>
  </w:style>
  <w:style w:type="character" w:styleId="Hyperlink">
    <w:name w:val="Hyperlink"/>
    <w:uiPriority w:val="99"/>
    <w:rsid w:val="007004FC"/>
    <w:rPr>
      <w:color w:val="0000FF"/>
      <w:u w:val="single"/>
    </w:rPr>
  </w:style>
  <w:style w:type="paragraph" w:styleId="DocumentMap">
    <w:name w:val="Document Map"/>
    <w:basedOn w:val="Normal"/>
    <w:semiHidden/>
    <w:rsid w:val="00846994"/>
    <w:pPr>
      <w:shd w:val="clear" w:color="auto" w:fill="000080"/>
    </w:pPr>
    <w:rPr>
      <w:rFonts w:ascii="Tahoma" w:hAnsi="Tahoma" w:cs="Tahoma"/>
      <w:sz w:val="20"/>
      <w:szCs w:val="20"/>
    </w:rPr>
  </w:style>
  <w:style w:type="paragraph" w:styleId="BodyTextIndent3">
    <w:name w:val="Body Text Indent 3"/>
    <w:basedOn w:val="Normal"/>
    <w:link w:val="BodyTextIndent3Char"/>
    <w:rsid w:val="008937A7"/>
    <w:pPr>
      <w:spacing w:after="120"/>
      <w:ind w:left="283"/>
    </w:pPr>
    <w:rPr>
      <w:sz w:val="16"/>
      <w:szCs w:val="16"/>
      <w:lang w:val="en-US" w:eastAsia="x-none"/>
    </w:rPr>
  </w:style>
  <w:style w:type="character" w:customStyle="1" w:styleId="BodyTextIndent3Char">
    <w:name w:val="Body Text Indent 3 Char"/>
    <w:link w:val="BodyTextIndent3"/>
    <w:rsid w:val="008937A7"/>
    <w:rPr>
      <w:sz w:val="16"/>
      <w:szCs w:val="16"/>
      <w:lang w:val="en-US"/>
    </w:rPr>
  </w:style>
  <w:style w:type="paragraph" w:customStyle="1" w:styleId="RakstzRakstzRakstzCharCharChar1CharChar">
    <w:name w:val="Rakstz. Rakstz. Rakstz. Char Char Char1 Char Char"/>
    <w:basedOn w:val="Normal"/>
    <w:rsid w:val="000B65B3"/>
    <w:pPr>
      <w:spacing w:before="40"/>
    </w:pPr>
    <w:rPr>
      <w:lang w:val="pl-PL" w:eastAsia="pl-PL"/>
    </w:rPr>
  </w:style>
  <w:style w:type="paragraph" w:customStyle="1" w:styleId="tvhtml">
    <w:name w:val="tv_html"/>
    <w:basedOn w:val="Normal"/>
    <w:rsid w:val="006570D6"/>
    <w:pPr>
      <w:spacing w:before="100" w:beforeAutospacing="1" w:after="100" w:afterAutospacing="1"/>
    </w:pPr>
    <w:rPr>
      <w:rFonts w:ascii="Verdana" w:hAnsi="Verdana"/>
      <w:sz w:val="18"/>
      <w:szCs w:val="18"/>
      <w:lang w:val="en-US" w:eastAsia="en-US"/>
    </w:rPr>
  </w:style>
  <w:style w:type="character" w:styleId="Strong">
    <w:name w:val="Strong"/>
    <w:uiPriority w:val="22"/>
    <w:qFormat/>
    <w:rsid w:val="003C3BAB"/>
    <w:rPr>
      <w:b/>
      <w:bCs/>
    </w:rPr>
  </w:style>
  <w:style w:type="character" w:styleId="FollowedHyperlink">
    <w:name w:val="FollowedHyperlink"/>
    <w:rsid w:val="00551541"/>
    <w:rPr>
      <w:color w:val="800080"/>
      <w:u w:val="single"/>
    </w:rPr>
  </w:style>
  <w:style w:type="character" w:customStyle="1" w:styleId="AigarsS">
    <w:name w:val="AigarsS"/>
    <w:semiHidden/>
    <w:rsid w:val="00D7399A"/>
    <w:rPr>
      <w:rFonts w:ascii="Arial" w:hAnsi="Arial" w:cs="Arial"/>
      <w:color w:val="000080"/>
      <w:sz w:val="20"/>
      <w:szCs w:val="20"/>
    </w:rPr>
  </w:style>
  <w:style w:type="paragraph" w:styleId="BodyText">
    <w:name w:val="Body Text"/>
    <w:basedOn w:val="Normal"/>
    <w:link w:val="BodyTextChar"/>
    <w:rsid w:val="00343716"/>
    <w:pPr>
      <w:spacing w:after="120"/>
    </w:pPr>
  </w:style>
  <w:style w:type="character" w:customStyle="1" w:styleId="BodyTextChar">
    <w:name w:val="Body Text Char"/>
    <w:link w:val="BodyText"/>
    <w:rsid w:val="00343716"/>
    <w:rPr>
      <w:sz w:val="24"/>
      <w:szCs w:val="24"/>
      <w:lang w:val="lv-LV" w:eastAsia="lv-LV"/>
    </w:rPr>
  </w:style>
  <w:style w:type="paragraph" w:styleId="BodyTextIndent2">
    <w:name w:val="Body Text Indent 2"/>
    <w:basedOn w:val="Normal"/>
    <w:link w:val="BodyTextIndent2Char"/>
    <w:rsid w:val="00343716"/>
    <w:pPr>
      <w:spacing w:after="120" w:line="480" w:lineRule="auto"/>
      <w:ind w:left="283"/>
    </w:pPr>
  </w:style>
  <w:style w:type="character" w:customStyle="1" w:styleId="BodyTextIndent2Char">
    <w:name w:val="Body Text Indent 2 Char"/>
    <w:link w:val="BodyTextIndent2"/>
    <w:rsid w:val="00343716"/>
    <w:rPr>
      <w:sz w:val="24"/>
      <w:szCs w:val="24"/>
      <w:lang w:val="lv-LV" w:eastAsia="lv-LV"/>
    </w:rPr>
  </w:style>
  <w:style w:type="paragraph" w:styleId="BlockText">
    <w:name w:val="Block Text"/>
    <w:basedOn w:val="Normal"/>
    <w:rsid w:val="00343716"/>
    <w:pPr>
      <w:ind w:left="567" w:right="3777"/>
      <w:jc w:val="both"/>
    </w:pPr>
    <w:rPr>
      <w:szCs w:val="20"/>
    </w:rPr>
  </w:style>
  <w:style w:type="paragraph" w:styleId="ListParagraph">
    <w:name w:val="List Paragraph"/>
    <w:basedOn w:val="Normal"/>
    <w:uiPriority w:val="34"/>
    <w:qFormat/>
    <w:rsid w:val="005477F7"/>
    <w:pPr>
      <w:ind w:left="720"/>
      <w:contextualSpacing/>
    </w:pPr>
    <w:rPr>
      <w:lang w:val="en-GB" w:eastAsia="en-US"/>
    </w:rPr>
  </w:style>
  <w:style w:type="paragraph" w:customStyle="1" w:styleId="Default">
    <w:name w:val="Default"/>
    <w:rsid w:val="00D16159"/>
    <w:pPr>
      <w:autoSpaceDE w:val="0"/>
      <w:autoSpaceDN w:val="0"/>
      <w:adjustRightInd w:val="0"/>
    </w:pPr>
    <w:rPr>
      <w:rFonts w:ascii="EUAlbertina" w:hAnsi="EUAlbertina" w:cs="EUAlbertina"/>
      <w:color w:val="000000"/>
      <w:sz w:val="24"/>
      <w:szCs w:val="24"/>
    </w:rPr>
  </w:style>
  <w:style w:type="paragraph" w:customStyle="1" w:styleId="CM4">
    <w:name w:val="CM4"/>
    <w:basedOn w:val="Default"/>
    <w:next w:val="Default"/>
    <w:uiPriority w:val="99"/>
    <w:rsid w:val="00D16159"/>
    <w:rPr>
      <w:rFonts w:cs="Times New Roman"/>
      <w:color w:val="auto"/>
    </w:rPr>
  </w:style>
  <w:style w:type="character" w:customStyle="1" w:styleId="FootnoteTextChar">
    <w:name w:val="Footnote Text Char"/>
    <w:aliases w:val="Fußnotentext Char Char1,Fußnotentext Char1 Char1 Char,Fußnotentext Char Char Char Char Char,Fußnotentext Char1 Char Char Char Char1,Fußnotentext Char Char Char,Fußnotentext Char1 Char Char Char Char Char,Fußnotentext Char1 Char"/>
    <w:basedOn w:val="DefaultParagraphFont"/>
    <w:link w:val="FootnoteText"/>
    <w:uiPriority w:val="99"/>
    <w:semiHidden/>
    <w:locked/>
    <w:rsid w:val="003D5E4F"/>
  </w:style>
  <w:style w:type="paragraph" w:customStyle="1" w:styleId="doc-ti">
    <w:name w:val="doc-ti"/>
    <w:basedOn w:val="Normal"/>
    <w:rsid w:val="00405762"/>
    <w:pPr>
      <w:spacing w:before="100" w:beforeAutospacing="1" w:after="100" w:afterAutospacing="1"/>
    </w:pPr>
  </w:style>
  <w:style w:type="character" w:styleId="UnresolvedMention">
    <w:name w:val="Unresolved Mention"/>
    <w:basedOn w:val="DefaultParagraphFont"/>
    <w:uiPriority w:val="99"/>
    <w:semiHidden/>
    <w:unhideWhenUsed/>
    <w:rsid w:val="00A92B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854231">
      <w:bodyDiv w:val="1"/>
      <w:marLeft w:val="0"/>
      <w:marRight w:val="0"/>
      <w:marTop w:val="0"/>
      <w:marBottom w:val="0"/>
      <w:divBdr>
        <w:top w:val="none" w:sz="0" w:space="0" w:color="auto"/>
        <w:left w:val="none" w:sz="0" w:space="0" w:color="auto"/>
        <w:bottom w:val="none" w:sz="0" w:space="0" w:color="auto"/>
        <w:right w:val="none" w:sz="0" w:space="0" w:color="auto"/>
      </w:divBdr>
    </w:div>
    <w:div w:id="608775032">
      <w:bodyDiv w:val="1"/>
      <w:marLeft w:val="0"/>
      <w:marRight w:val="0"/>
      <w:marTop w:val="0"/>
      <w:marBottom w:val="0"/>
      <w:divBdr>
        <w:top w:val="none" w:sz="0" w:space="0" w:color="auto"/>
        <w:left w:val="none" w:sz="0" w:space="0" w:color="auto"/>
        <w:bottom w:val="none" w:sz="0" w:space="0" w:color="auto"/>
        <w:right w:val="none" w:sz="0" w:space="0" w:color="auto"/>
      </w:divBdr>
    </w:div>
    <w:div w:id="619605294">
      <w:bodyDiv w:val="1"/>
      <w:marLeft w:val="0"/>
      <w:marRight w:val="0"/>
      <w:marTop w:val="0"/>
      <w:marBottom w:val="0"/>
      <w:divBdr>
        <w:top w:val="none" w:sz="0" w:space="0" w:color="auto"/>
        <w:left w:val="none" w:sz="0" w:space="0" w:color="auto"/>
        <w:bottom w:val="none" w:sz="0" w:space="0" w:color="auto"/>
        <w:right w:val="none" w:sz="0" w:space="0" w:color="auto"/>
      </w:divBdr>
    </w:div>
    <w:div w:id="1626545815">
      <w:bodyDiv w:val="1"/>
      <w:marLeft w:val="0"/>
      <w:marRight w:val="0"/>
      <w:marTop w:val="0"/>
      <w:marBottom w:val="0"/>
      <w:divBdr>
        <w:top w:val="none" w:sz="0" w:space="0" w:color="auto"/>
        <w:left w:val="none" w:sz="0" w:space="0" w:color="auto"/>
        <w:bottom w:val="none" w:sz="0" w:space="0" w:color="auto"/>
        <w:right w:val="none" w:sz="0" w:space="0" w:color="auto"/>
      </w:divBdr>
    </w:div>
    <w:div w:id="1774091019">
      <w:bodyDiv w:val="1"/>
      <w:marLeft w:val="0"/>
      <w:marRight w:val="0"/>
      <w:marTop w:val="0"/>
      <w:marBottom w:val="0"/>
      <w:divBdr>
        <w:top w:val="none" w:sz="0" w:space="0" w:color="auto"/>
        <w:left w:val="none" w:sz="0" w:space="0" w:color="auto"/>
        <w:bottom w:val="none" w:sz="0" w:space="0" w:color="auto"/>
        <w:right w:val="none" w:sz="0" w:space="0" w:color="auto"/>
      </w:divBdr>
    </w:div>
    <w:div w:id="1865749311">
      <w:bodyDiv w:val="1"/>
      <w:marLeft w:val="0"/>
      <w:marRight w:val="0"/>
      <w:marTop w:val="0"/>
      <w:marBottom w:val="0"/>
      <w:divBdr>
        <w:top w:val="none" w:sz="0" w:space="0" w:color="auto"/>
        <w:left w:val="none" w:sz="0" w:space="0" w:color="auto"/>
        <w:bottom w:val="none" w:sz="0" w:space="0" w:color="auto"/>
        <w:right w:val="none" w:sz="0" w:space="0" w:color="auto"/>
      </w:divBdr>
    </w:div>
    <w:div w:id="2003972343">
      <w:bodyDiv w:val="1"/>
      <w:marLeft w:val="0"/>
      <w:marRight w:val="0"/>
      <w:marTop w:val="0"/>
      <w:marBottom w:val="0"/>
      <w:divBdr>
        <w:top w:val="none" w:sz="0" w:space="0" w:color="auto"/>
        <w:left w:val="none" w:sz="0" w:space="0" w:color="auto"/>
        <w:bottom w:val="none" w:sz="0" w:space="0" w:color="auto"/>
        <w:right w:val="none" w:sz="0" w:space="0" w:color="auto"/>
      </w:divBdr>
      <w:divsChild>
        <w:div w:id="77873457">
          <w:marLeft w:val="0"/>
          <w:marRight w:val="0"/>
          <w:marTop w:val="0"/>
          <w:marBottom w:val="0"/>
          <w:divBdr>
            <w:top w:val="none" w:sz="0" w:space="0" w:color="auto"/>
            <w:left w:val="none" w:sz="0" w:space="0" w:color="auto"/>
            <w:bottom w:val="none" w:sz="0" w:space="0" w:color="auto"/>
            <w:right w:val="none" w:sz="0" w:space="0" w:color="auto"/>
          </w:divBdr>
        </w:div>
        <w:div w:id="82724685">
          <w:marLeft w:val="0"/>
          <w:marRight w:val="0"/>
          <w:marTop w:val="0"/>
          <w:marBottom w:val="0"/>
          <w:divBdr>
            <w:top w:val="none" w:sz="0" w:space="0" w:color="auto"/>
            <w:left w:val="none" w:sz="0" w:space="0" w:color="auto"/>
            <w:bottom w:val="none" w:sz="0" w:space="0" w:color="auto"/>
            <w:right w:val="none" w:sz="0" w:space="0" w:color="auto"/>
          </w:divBdr>
        </w:div>
        <w:div w:id="5456007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gov.lv/lv/diskusiju-dokumenti"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k.gov.lv/lv/ministru-kabineta-diskusiju-dokumenti"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4455E-210D-4AE2-A459-77DD32107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8788</Words>
  <Characters>5010</Characters>
  <Application>Microsoft Office Word</Application>
  <DocSecurity>0</DocSecurity>
  <Lines>41</Lines>
  <Paragraphs>27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Ministru kabineta noteikumu projekts</vt:lpstr>
      <vt:lpstr>Ministru kabineta instrukcijas projekts “Tiesību akta projekta sākotnējās ietekmes izvērtēšanas kārtība”</vt:lpstr>
    </vt:vector>
  </TitlesOfParts>
  <Company>Ekonomikas Ministrija</Company>
  <LinksUpToDate>false</LinksUpToDate>
  <CharactersWithSpaces>13771</CharactersWithSpaces>
  <SharedDoc>false</SharedDoc>
  <HLinks>
    <vt:vector size="12" baseType="variant">
      <vt:variant>
        <vt:i4>3932179</vt:i4>
      </vt:variant>
      <vt:variant>
        <vt:i4>3</vt:i4>
      </vt:variant>
      <vt:variant>
        <vt:i4>0</vt:i4>
      </vt:variant>
      <vt:variant>
        <vt:i4>5</vt:i4>
      </vt:variant>
      <vt:variant>
        <vt:lpwstr>mailto:Elga.Bucinska@em.gov.lv</vt:lpwstr>
      </vt:variant>
      <vt:variant>
        <vt:lpwstr/>
      </vt:variant>
      <vt:variant>
        <vt:i4>7798910</vt:i4>
      </vt:variant>
      <vt:variant>
        <vt:i4>0</vt:i4>
      </vt:variant>
      <vt:variant>
        <vt:i4>0</vt:i4>
      </vt:variant>
      <vt:variant>
        <vt:i4>5</vt:i4>
      </vt:variant>
      <vt:variant>
        <vt:lpwstr>http://www.lvs.lv/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projekts</dc:title>
  <dc:subject/>
  <dc:creator>Jānis Rozītis</dc:creator>
  <cp:keywords/>
  <cp:lastModifiedBy>Inese Karpoviča</cp:lastModifiedBy>
  <cp:revision>7</cp:revision>
  <cp:lastPrinted>2016-06-10T12:33:00Z</cp:lastPrinted>
  <dcterms:created xsi:type="dcterms:W3CDTF">2021-08-13T11:40:00Z</dcterms:created>
  <dcterms:modified xsi:type="dcterms:W3CDTF">2021-08-13T12:40:00Z</dcterms:modified>
</cp:coreProperties>
</file>