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89190" w14:textId="77777777" w:rsidR="001652C3" w:rsidRDefault="001652C3" w:rsidP="00606FEC">
      <w:pPr>
        <w:pStyle w:val="NoSpacing"/>
        <w:jc w:val="center"/>
        <w:rPr>
          <w:rFonts w:ascii="Times New Roman" w:hAnsi="Times New Roman"/>
          <w:b/>
          <w:bCs/>
          <w:sz w:val="28"/>
          <w:szCs w:val="28"/>
          <w:lang w:eastAsia="lv-LV"/>
        </w:rPr>
      </w:pPr>
      <w:bookmarkStart w:id="0" w:name="OLE_LINK1"/>
      <w:bookmarkStart w:id="1" w:name="OLE_LINK2"/>
      <w:bookmarkStart w:id="2" w:name="OLE_LINK4"/>
      <w:bookmarkStart w:id="3" w:name="OLE_LINK5"/>
    </w:p>
    <w:p w14:paraId="759CAE06" w14:textId="36BE5B62" w:rsidR="007C5781" w:rsidRPr="007D6ED7" w:rsidRDefault="00363BB6" w:rsidP="00606FEC">
      <w:pPr>
        <w:pStyle w:val="NoSpacing"/>
        <w:jc w:val="center"/>
        <w:rPr>
          <w:rFonts w:ascii="Times New Roman" w:hAnsi="Times New Roman"/>
          <w:b/>
          <w:bCs/>
          <w:sz w:val="28"/>
          <w:szCs w:val="28"/>
          <w:lang w:eastAsia="lv-LV"/>
        </w:rPr>
      </w:pPr>
      <w:r w:rsidRPr="007D6ED7">
        <w:rPr>
          <w:rFonts w:ascii="Times New Roman" w:hAnsi="Times New Roman"/>
          <w:b/>
          <w:bCs/>
          <w:sz w:val="28"/>
          <w:szCs w:val="28"/>
          <w:lang w:eastAsia="lv-LV"/>
        </w:rPr>
        <w:t>Mini</w:t>
      </w:r>
      <w:r w:rsidR="00144F4C" w:rsidRPr="007D6ED7">
        <w:rPr>
          <w:rFonts w:ascii="Times New Roman" w:hAnsi="Times New Roman"/>
          <w:b/>
          <w:bCs/>
          <w:sz w:val="28"/>
          <w:szCs w:val="28"/>
          <w:lang w:eastAsia="lv-LV"/>
        </w:rPr>
        <w:t>stru kabineta noteikumu projekt</w:t>
      </w:r>
      <w:bookmarkEnd w:id="0"/>
      <w:bookmarkEnd w:id="1"/>
      <w:r w:rsidR="00F37362" w:rsidRPr="007D6ED7">
        <w:rPr>
          <w:rFonts w:ascii="Times New Roman" w:hAnsi="Times New Roman"/>
          <w:b/>
          <w:bCs/>
          <w:sz w:val="28"/>
          <w:szCs w:val="28"/>
          <w:lang w:eastAsia="lv-LV"/>
        </w:rPr>
        <w:t>a</w:t>
      </w:r>
      <w:r w:rsidR="0044261E" w:rsidRPr="007D6ED7">
        <w:rPr>
          <w:rFonts w:ascii="Times New Roman" w:hAnsi="Times New Roman"/>
          <w:b/>
          <w:bCs/>
          <w:sz w:val="28"/>
          <w:szCs w:val="28"/>
          <w:lang w:eastAsia="lv-LV"/>
        </w:rPr>
        <w:t xml:space="preserve"> </w:t>
      </w:r>
      <w:r w:rsidR="00F37362" w:rsidRPr="007D6ED7">
        <w:rPr>
          <w:rFonts w:ascii="Times New Roman" w:hAnsi="Times New Roman"/>
          <w:b/>
          <w:bCs/>
          <w:sz w:val="28"/>
          <w:szCs w:val="28"/>
          <w:lang w:eastAsia="lv-LV"/>
        </w:rPr>
        <w:t>“</w:t>
      </w:r>
      <w:r w:rsidR="00842E44" w:rsidRPr="00842E44">
        <w:rPr>
          <w:rFonts w:ascii="Times New Roman" w:hAnsi="Times New Roman"/>
          <w:b/>
          <w:bCs/>
          <w:sz w:val="28"/>
          <w:szCs w:val="28"/>
          <w:lang w:eastAsia="lv-LV"/>
        </w:rPr>
        <w:t>Noteikumi par atbalstu dzīvojamo īres māju būvniecībai</w:t>
      </w:r>
      <w:r w:rsidR="00F37362" w:rsidRPr="007D6ED7">
        <w:rPr>
          <w:rFonts w:ascii="Times New Roman" w:hAnsi="Times New Roman"/>
          <w:b/>
          <w:bCs/>
          <w:sz w:val="28"/>
          <w:szCs w:val="28"/>
          <w:lang w:eastAsia="lv-LV"/>
        </w:rPr>
        <w:t>”</w:t>
      </w:r>
      <w:r w:rsidR="0044261E" w:rsidRPr="007D6ED7">
        <w:rPr>
          <w:rFonts w:ascii="Times New Roman" w:hAnsi="Times New Roman"/>
          <w:b/>
          <w:bCs/>
          <w:sz w:val="28"/>
          <w:szCs w:val="28"/>
          <w:lang w:eastAsia="lv-LV"/>
        </w:rPr>
        <w:t xml:space="preserve"> </w:t>
      </w:r>
      <w:r w:rsidRPr="007D6ED7">
        <w:rPr>
          <w:rFonts w:ascii="Times New Roman" w:hAnsi="Times New Roman"/>
          <w:b/>
          <w:bCs/>
          <w:sz w:val="28"/>
          <w:szCs w:val="28"/>
        </w:rPr>
        <w:t>sākotnējās ietekmes novērtējuma ziņojums (anotācija)</w:t>
      </w:r>
      <w:bookmarkEnd w:id="2"/>
      <w:bookmarkEnd w:id="3"/>
    </w:p>
    <w:p w14:paraId="2D62E8D4" w14:textId="77777777" w:rsidR="001652C3" w:rsidRPr="007D6ED7" w:rsidRDefault="001652C3" w:rsidP="00842E44">
      <w:pPr>
        <w:spacing w:after="0" w:line="240" w:lineRule="auto"/>
        <w:rPr>
          <w:rFonts w:ascii="Times New Roman" w:hAnsi="Times New Roman"/>
          <w:b/>
          <w:bCs/>
          <w:sz w:val="28"/>
          <w:szCs w:val="28"/>
        </w:rPr>
      </w:pPr>
    </w:p>
    <w:tbl>
      <w:tblPr>
        <w:tblW w:w="554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2"/>
        <w:gridCol w:w="7097"/>
      </w:tblGrid>
      <w:tr w:rsidR="000937E4" w:rsidRPr="007D6ED7" w14:paraId="7B0FA8A8" w14:textId="77777777" w:rsidTr="00671A68">
        <w:trPr>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hideMark/>
          </w:tcPr>
          <w:p w14:paraId="2221859D" w14:textId="77777777" w:rsidR="000937E4" w:rsidRPr="007D6ED7" w:rsidRDefault="000937E4" w:rsidP="00605078">
            <w:pPr>
              <w:spacing w:after="0" w:line="240" w:lineRule="auto"/>
              <w:jc w:val="center"/>
              <w:rPr>
                <w:rFonts w:ascii="Times New Roman" w:eastAsia="Times New Roman" w:hAnsi="Times New Roman"/>
                <w:b/>
                <w:bCs/>
                <w:iCs/>
                <w:sz w:val="24"/>
                <w:szCs w:val="24"/>
                <w:lang w:eastAsia="lv-LV"/>
              </w:rPr>
            </w:pPr>
            <w:r w:rsidRPr="007D6ED7">
              <w:rPr>
                <w:rFonts w:ascii="Times New Roman" w:eastAsia="Times New Roman" w:hAnsi="Times New Roman"/>
                <w:b/>
                <w:bCs/>
                <w:iCs/>
                <w:sz w:val="24"/>
                <w:szCs w:val="24"/>
                <w:lang w:eastAsia="lv-LV"/>
              </w:rPr>
              <w:t>Tiesību akta projekta anotācijas kopsavilkums</w:t>
            </w:r>
          </w:p>
        </w:tc>
      </w:tr>
      <w:tr w:rsidR="000937E4" w:rsidRPr="007D6ED7" w14:paraId="066B0BE9" w14:textId="77777777" w:rsidTr="003550D8">
        <w:trPr>
          <w:tblCellSpacing w:w="15" w:type="dxa"/>
        </w:trPr>
        <w:tc>
          <w:tcPr>
            <w:tcW w:w="1554" w:type="pct"/>
            <w:tcBorders>
              <w:top w:val="outset" w:sz="6" w:space="0" w:color="auto"/>
              <w:left w:val="outset" w:sz="6" w:space="0" w:color="auto"/>
              <w:bottom w:val="outset" w:sz="6" w:space="0" w:color="auto"/>
              <w:right w:val="outset" w:sz="6" w:space="0" w:color="auto"/>
            </w:tcBorders>
            <w:hideMark/>
          </w:tcPr>
          <w:p w14:paraId="22C61FF5" w14:textId="77777777" w:rsidR="000937E4" w:rsidRPr="007D6ED7" w:rsidRDefault="000937E4" w:rsidP="00605078">
            <w:pPr>
              <w:spacing w:after="0" w:line="240" w:lineRule="auto"/>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Mērķis, risinājums un projekta spēkā stāšanās laiks (500 zīmes bez atstarpēm)</w:t>
            </w:r>
          </w:p>
        </w:tc>
        <w:tc>
          <w:tcPr>
            <w:tcW w:w="3403" w:type="pct"/>
            <w:tcBorders>
              <w:top w:val="outset" w:sz="6" w:space="0" w:color="auto"/>
              <w:left w:val="outset" w:sz="6" w:space="0" w:color="auto"/>
              <w:bottom w:val="outset" w:sz="6" w:space="0" w:color="auto"/>
              <w:right w:val="outset" w:sz="6" w:space="0" w:color="auto"/>
            </w:tcBorders>
            <w:hideMark/>
          </w:tcPr>
          <w:p w14:paraId="0679C00B" w14:textId="7503BD0E" w:rsidR="00BB12A3" w:rsidRPr="00842E44" w:rsidRDefault="00BB12A3" w:rsidP="001B208F">
            <w:pPr>
              <w:spacing w:after="0" w:line="240" w:lineRule="auto"/>
              <w:ind w:firstLine="516"/>
              <w:jc w:val="both"/>
              <w:rPr>
                <w:rFonts w:ascii="Times New Roman" w:eastAsia="Times New Roman" w:hAnsi="Times New Roman"/>
                <w:iCs/>
                <w:sz w:val="24"/>
                <w:szCs w:val="24"/>
                <w:highlight w:val="yellow"/>
                <w:lang w:eastAsia="lv-LV"/>
              </w:rPr>
            </w:pPr>
            <w:r w:rsidRPr="007D6ED7">
              <w:rPr>
                <w:rFonts w:ascii="Times New Roman" w:eastAsia="Times New Roman" w:hAnsi="Times New Roman"/>
                <w:iCs/>
                <w:sz w:val="24"/>
                <w:szCs w:val="24"/>
                <w:lang w:eastAsia="lv-LV"/>
              </w:rPr>
              <w:t>Ministru kabineta noteikumu projekta “</w:t>
            </w:r>
            <w:r w:rsidR="00842E44" w:rsidRPr="00842E44">
              <w:rPr>
                <w:rFonts w:ascii="Times New Roman" w:eastAsia="Times New Roman" w:hAnsi="Times New Roman"/>
                <w:iCs/>
                <w:sz w:val="24"/>
                <w:szCs w:val="24"/>
                <w:lang w:eastAsia="lv-LV"/>
              </w:rPr>
              <w:t>Noteikumi par atbalstu dzīvojamo īres māju būvniecībai</w:t>
            </w:r>
            <w:r w:rsidRPr="007D6ED7">
              <w:rPr>
                <w:rFonts w:ascii="Times New Roman" w:eastAsia="Times New Roman" w:hAnsi="Times New Roman"/>
                <w:iCs/>
                <w:sz w:val="24"/>
                <w:szCs w:val="24"/>
                <w:lang w:eastAsia="lv-LV"/>
              </w:rPr>
              <w:t xml:space="preserve">” (turpmāk </w:t>
            </w:r>
            <w:r w:rsidR="00066D1F" w:rsidRPr="007D6ED7">
              <w:rPr>
                <w:rFonts w:ascii="Times New Roman" w:eastAsia="Times New Roman" w:hAnsi="Times New Roman"/>
                <w:iCs/>
                <w:sz w:val="24"/>
                <w:szCs w:val="24"/>
                <w:lang w:eastAsia="lv-LV"/>
              </w:rPr>
              <w:t>–</w:t>
            </w:r>
            <w:r w:rsidRPr="007D6ED7">
              <w:rPr>
                <w:rFonts w:ascii="Times New Roman" w:eastAsia="Times New Roman" w:hAnsi="Times New Roman"/>
                <w:iCs/>
                <w:sz w:val="24"/>
                <w:szCs w:val="24"/>
                <w:lang w:eastAsia="lv-LV"/>
              </w:rPr>
              <w:t xml:space="preserve"> </w:t>
            </w:r>
            <w:r w:rsidR="00066D1F" w:rsidRPr="007D6ED7">
              <w:rPr>
                <w:rFonts w:ascii="Times New Roman" w:eastAsia="Times New Roman" w:hAnsi="Times New Roman"/>
                <w:iCs/>
                <w:sz w:val="24"/>
                <w:szCs w:val="24"/>
                <w:lang w:eastAsia="lv-LV"/>
              </w:rPr>
              <w:t xml:space="preserve">Noteikumu </w:t>
            </w:r>
            <w:r w:rsidRPr="007D6ED7">
              <w:rPr>
                <w:rFonts w:ascii="Times New Roman" w:eastAsia="Times New Roman" w:hAnsi="Times New Roman"/>
                <w:iCs/>
                <w:sz w:val="24"/>
                <w:szCs w:val="24"/>
                <w:lang w:eastAsia="lv-LV"/>
              </w:rPr>
              <w:t>projekts) mērķis</w:t>
            </w:r>
            <w:r w:rsidR="00041895" w:rsidRPr="007D6ED7">
              <w:rPr>
                <w:rFonts w:ascii="Times New Roman" w:eastAsia="Times New Roman" w:hAnsi="Times New Roman"/>
                <w:iCs/>
                <w:sz w:val="24"/>
                <w:szCs w:val="24"/>
                <w:lang w:eastAsia="lv-LV"/>
              </w:rPr>
              <w:t xml:space="preserve"> </w:t>
            </w:r>
            <w:r w:rsidR="00842E44">
              <w:rPr>
                <w:rFonts w:ascii="Times New Roman" w:eastAsia="Times New Roman" w:hAnsi="Times New Roman"/>
                <w:iCs/>
                <w:sz w:val="24"/>
                <w:szCs w:val="24"/>
                <w:lang w:eastAsia="lv-LV"/>
              </w:rPr>
              <w:t xml:space="preserve">ir </w:t>
            </w:r>
            <w:r w:rsidR="00842E44" w:rsidRPr="00842E44">
              <w:rPr>
                <w:rFonts w:ascii="Times New Roman" w:eastAsia="Times New Roman" w:hAnsi="Times New Roman"/>
                <w:iCs/>
                <w:sz w:val="24"/>
                <w:szCs w:val="24"/>
                <w:lang w:eastAsia="lv-LV"/>
              </w:rPr>
              <w:t>dzīvojamo īres māju būvniecība ar mērķi veicināt būvniecības standartiem un energoefektivitātes prasībām atbilstošu zemas īres maksas mājokļu pieejamību mājsaimniecībām</w:t>
            </w:r>
            <w:r w:rsidR="00842E44">
              <w:rPr>
                <w:rFonts w:ascii="Times New Roman" w:eastAsia="Times New Roman" w:hAnsi="Times New Roman"/>
                <w:iCs/>
                <w:sz w:val="24"/>
                <w:szCs w:val="24"/>
                <w:lang w:eastAsia="lv-LV"/>
              </w:rPr>
              <w:t xml:space="preserve">, kas nevar atļauties mājokli uz tirgus nosacījumiem. </w:t>
            </w:r>
          </w:p>
          <w:p w14:paraId="25C4B546" w14:textId="54C9C505" w:rsidR="001806BF" w:rsidRPr="007D6ED7" w:rsidRDefault="00BB12A3" w:rsidP="007F59E0">
            <w:pPr>
              <w:spacing w:after="0" w:line="240" w:lineRule="auto"/>
              <w:ind w:firstLine="516"/>
              <w:jc w:val="both"/>
              <w:rPr>
                <w:rFonts w:ascii="Times New Roman" w:eastAsia="Times New Roman" w:hAnsi="Times New Roman"/>
                <w:iCs/>
                <w:sz w:val="24"/>
                <w:szCs w:val="24"/>
                <w:lang w:eastAsia="lv-LV"/>
              </w:rPr>
            </w:pPr>
            <w:r w:rsidRPr="00842E44">
              <w:rPr>
                <w:rFonts w:ascii="Times New Roman" w:eastAsia="Times New Roman" w:hAnsi="Times New Roman"/>
                <w:iCs/>
                <w:sz w:val="24"/>
                <w:szCs w:val="24"/>
                <w:lang w:eastAsia="lv-LV"/>
              </w:rPr>
              <w:t>Noteikumu projekts stāsies spēkā pēc tā publicēšanas Latvijas Vēstnesī.</w:t>
            </w:r>
          </w:p>
        </w:tc>
      </w:tr>
    </w:tbl>
    <w:p w14:paraId="4D039481" w14:textId="4A424DE0" w:rsidR="00247BA4" w:rsidRPr="007D6ED7" w:rsidRDefault="00247BA4" w:rsidP="004B33BE">
      <w:pPr>
        <w:spacing w:after="0" w:line="240" w:lineRule="auto"/>
        <w:outlineLvl w:val="3"/>
        <w:rPr>
          <w:rFonts w:ascii="Times New Roman" w:eastAsia="Times New Roman" w:hAnsi="Times New Roman"/>
          <w:b/>
          <w:bCs/>
          <w:sz w:val="24"/>
          <w:szCs w:val="24"/>
          <w:lang w:eastAsia="lv-LV"/>
        </w:rPr>
      </w:pPr>
    </w:p>
    <w:p w14:paraId="6CB265EF" w14:textId="77777777" w:rsidR="009666A7" w:rsidRPr="007D6ED7" w:rsidRDefault="009666A7" w:rsidP="004B33BE">
      <w:pPr>
        <w:spacing w:after="0" w:line="240" w:lineRule="auto"/>
        <w:outlineLvl w:val="3"/>
        <w:rPr>
          <w:rFonts w:ascii="Times New Roman" w:eastAsia="Times New Roman" w:hAnsi="Times New Roman"/>
          <w:b/>
          <w:bCs/>
          <w:sz w:val="24"/>
          <w:szCs w:val="24"/>
          <w:lang w:eastAsia="lv-LV"/>
        </w:rPr>
      </w:pPr>
    </w:p>
    <w:tbl>
      <w:tblPr>
        <w:tblStyle w:val="TableGrid"/>
        <w:tblpPr w:leftFromText="180" w:rightFromText="180" w:vertAnchor="text" w:tblpX="-572" w:tblpY="1"/>
        <w:tblOverlap w:val="never"/>
        <w:tblW w:w="5533" w:type="pct"/>
        <w:tblLook w:val="04A0" w:firstRow="1" w:lastRow="0" w:firstColumn="1" w:lastColumn="0" w:noHBand="0" w:noVBand="1"/>
      </w:tblPr>
      <w:tblGrid>
        <w:gridCol w:w="396"/>
        <w:gridCol w:w="2248"/>
        <w:gridCol w:w="7698"/>
      </w:tblGrid>
      <w:tr w:rsidR="00925F9E" w:rsidRPr="007D6ED7" w14:paraId="2E5C4833" w14:textId="77777777" w:rsidTr="09E35D4E">
        <w:tc>
          <w:tcPr>
            <w:tcW w:w="5000" w:type="pct"/>
            <w:gridSpan w:val="3"/>
            <w:hideMark/>
          </w:tcPr>
          <w:p w14:paraId="79A4479D" w14:textId="77777777" w:rsidR="00392D00" w:rsidRPr="007D6ED7" w:rsidRDefault="00363BB6" w:rsidP="005B2BF1">
            <w:pPr>
              <w:spacing w:after="0" w:line="240" w:lineRule="auto"/>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I. Tiesību akta projekta izstrādes nepieciešamība</w:t>
            </w:r>
          </w:p>
        </w:tc>
      </w:tr>
      <w:tr w:rsidR="00D11F74" w:rsidRPr="007D6ED7" w14:paraId="48059241" w14:textId="77777777" w:rsidTr="09E35D4E">
        <w:trPr>
          <w:trHeight w:val="843"/>
        </w:trPr>
        <w:tc>
          <w:tcPr>
            <w:tcW w:w="191" w:type="pct"/>
            <w:hideMark/>
          </w:tcPr>
          <w:p w14:paraId="254A913D"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1.</w:t>
            </w:r>
          </w:p>
        </w:tc>
        <w:tc>
          <w:tcPr>
            <w:tcW w:w="1520" w:type="pct"/>
            <w:hideMark/>
          </w:tcPr>
          <w:p w14:paraId="38B29A4A"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Pamatojums</w:t>
            </w:r>
          </w:p>
        </w:tc>
        <w:tc>
          <w:tcPr>
            <w:tcW w:w="3289" w:type="pct"/>
            <w:hideMark/>
          </w:tcPr>
          <w:p w14:paraId="44791637" w14:textId="77777777" w:rsidR="00A849F9" w:rsidRPr="007D6ED7" w:rsidRDefault="001B5032" w:rsidP="00D11F74">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Noteikumu p</w:t>
            </w:r>
            <w:r w:rsidR="00F37362" w:rsidRPr="007D6ED7">
              <w:rPr>
                <w:rFonts w:ascii="Times New Roman" w:eastAsia="Times New Roman" w:hAnsi="Times New Roman"/>
                <w:sz w:val="24"/>
                <w:szCs w:val="24"/>
                <w:lang w:eastAsia="lv-LV"/>
              </w:rPr>
              <w:t>rojekts</w:t>
            </w:r>
            <w:r w:rsidR="00363BB6" w:rsidRPr="007D6ED7">
              <w:rPr>
                <w:rFonts w:ascii="Times New Roman" w:eastAsia="Times New Roman" w:hAnsi="Times New Roman"/>
                <w:sz w:val="24"/>
                <w:szCs w:val="24"/>
                <w:lang w:eastAsia="lv-LV"/>
              </w:rPr>
              <w:t xml:space="preserve"> </w:t>
            </w:r>
            <w:r w:rsidR="00B720F6" w:rsidRPr="007D6ED7">
              <w:rPr>
                <w:rFonts w:ascii="Times New Roman" w:eastAsia="Times New Roman" w:hAnsi="Times New Roman"/>
                <w:sz w:val="24"/>
                <w:szCs w:val="24"/>
                <w:lang w:eastAsia="lv-LV"/>
              </w:rPr>
              <w:t>ir izstrādāt</w:t>
            </w:r>
            <w:r w:rsidR="0033013A" w:rsidRPr="007D6ED7">
              <w:rPr>
                <w:rFonts w:ascii="Times New Roman" w:eastAsia="Times New Roman" w:hAnsi="Times New Roman"/>
                <w:sz w:val="24"/>
                <w:szCs w:val="24"/>
                <w:lang w:eastAsia="lv-LV"/>
              </w:rPr>
              <w:t>s</w:t>
            </w:r>
            <w:r w:rsidR="00AE54F1" w:rsidRPr="007D6ED7">
              <w:rPr>
                <w:rFonts w:ascii="Times New Roman" w:eastAsia="Times New Roman" w:hAnsi="Times New Roman"/>
                <w:sz w:val="24"/>
                <w:szCs w:val="24"/>
                <w:lang w:eastAsia="lv-LV"/>
              </w:rPr>
              <w:t xml:space="preserve"> pamatojoties uz</w:t>
            </w:r>
            <w:r w:rsidR="007232D7" w:rsidRPr="007D6ED7">
              <w:rPr>
                <w:rFonts w:ascii="Times New Roman" w:eastAsia="Times New Roman" w:hAnsi="Times New Roman"/>
                <w:sz w:val="24"/>
                <w:szCs w:val="24"/>
                <w:lang w:eastAsia="lv-LV"/>
              </w:rPr>
              <w:t>:</w:t>
            </w:r>
          </w:p>
          <w:p w14:paraId="21D70A94" w14:textId="14E4E774" w:rsidR="001652C3" w:rsidRPr="007D6ED7" w:rsidRDefault="00A849F9" w:rsidP="00CB5463">
            <w:pPr>
              <w:pStyle w:val="ListParagraph"/>
              <w:numPr>
                <w:ilvl w:val="0"/>
                <w:numId w:val="2"/>
              </w:numPr>
              <w:spacing w:after="0" w:line="240" w:lineRule="auto"/>
              <w:ind w:left="643"/>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Likuma par budžetu un finanšu vadību 19.</w:t>
            </w:r>
            <w:r w:rsidRPr="007D6ED7">
              <w:rPr>
                <w:rFonts w:ascii="Times New Roman" w:eastAsia="Times New Roman" w:hAnsi="Times New Roman"/>
                <w:sz w:val="24"/>
                <w:szCs w:val="24"/>
                <w:vertAlign w:val="superscript"/>
                <w:lang w:eastAsia="lv-LV"/>
              </w:rPr>
              <w:t>3</w:t>
            </w:r>
            <w:r w:rsidRPr="007D6ED7">
              <w:rPr>
                <w:rFonts w:ascii="Times New Roman" w:eastAsia="Times New Roman" w:hAnsi="Times New Roman"/>
                <w:sz w:val="24"/>
                <w:szCs w:val="24"/>
                <w:lang w:eastAsia="lv-LV"/>
              </w:rPr>
              <w:t xml:space="preserve"> panta otro daļu</w:t>
            </w:r>
            <w:r w:rsidR="001652C3" w:rsidRPr="007D6ED7">
              <w:rPr>
                <w:rFonts w:ascii="Times New Roman" w:eastAsia="Times New Roman" w:hAnsi="Times New Roman"/>
                <w:sz w:val="24"/>
                <w:szCs w:val="24"/>
                <w:lang w:eastAsia="lv-LV"/>
              </w:rPr>
              <w:t>, kas paredz, ka Ministru kabinets nosaka Eiropas Atveseļošanas un noturības mehānisma ieviešanas un nacionālā ekonomikas atveseļošanas un noturības plāna īstenošanas un uzraudzības kārtību un nepieciešamās informācijas sistēmas izveides un izmantošanas kārtību, kā arī šā mehānisma ieviešanā iesaistīto institūciju tiesības pieprasīt un saņemt tiešu pieeju datiem valsts informācijas sistēmās tādā apjomā, kāds nepieciešams un kādā to paredz Ministru kabinets attiecīgo pienākumu izpildei;</w:t>
            </w:r>
          </w:p>
          <w:p w14:paraId="74C57B9E" w14:textId="0E0C2815" w:rsidR="00934DB7" w:rsidRPr="007D6ED7" w:rsidRDefault="00934DB7" w:rsidP="00CB5463">
            <w:pPr>
              <w:pStyle w:val="ListParagraph"/>
              <w:numPr>
                <w:ilvl w:val="0"/>
                <w:numId w:val="2"/>
              </w:numPr>
              <w:spacing w:after="0" w:line="240" w:lineRule="auto"/>
              <w:ind w:left="643"/>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Attīstības finanšu institūcijas likuma 12. panta ceturt</w:t>
            </w:r>
            <w:r w:rsidR="00624DC0" w:rsidRPr="007D6ED7">
              <w:rPr>
                <w:rFonts w:ascii="Times New Roman" w:eastAsia="Times New Roman" w:hAnsi="Times New Roman"/>
                <w:sz w:val="24"/>
                <w:szCs w:val="24"/>
                <w:lang w:eastAsia="lv-LV"/>
              </w:rPr>
              <w:t>o</w:t>
            </w:r>
            <w:r w:rsidRPr="007D6ED7">
              <w:rPr>
                <w:rFonts w:ascii="Times New Roman" w:eastAsia="Times New Roman" w:hAnsi="Times New Roman"/>
                <w:sz w:val="24"/>
                <w:szCs w:val="24"/>
                <w:lang w:eastAsia="lv-LV"/>
              </w:rPr>
              <w:t xml:space="preserve"> daļ</w:t>
            </w:r>
            <w:r w:rsidR="00243355" w:rsidRPr="007D6ED7">
              <w:rPr>
                <w:rFonts w:ascii="Times New Roman" w:eastAsia="Times New Roman" w:hAnsi="Times New Roman"/>
                <w:sz w:val="24"/>
                <w:szCs w:val="24"/>
                <w:lang w:eastAsia="lv-LV"/>
              </w:rPr>
              <w:t xml:space="preserve">u, kas </w:t>
            </w:r>
            <w:r w:rsidR="00293724" w:rsidRPr="007D6ED7">
              <w:t xml:space="preserve"> </w:t>
            </w:r>
            <w:r w:rsidR="00293724" w:rsidRPr="007D6ED7">
              <w:rPr>
                <w:rFonts w:ascii="Times New Roman" w:hAnsi="Times New Roman"/>
                <w:sz w:val="24"/>
                <w:szCs w:val="24"/>
              </w:rPr>
              <w:t>paredz, ka</w:t>
            </w:r>
            <w:r w:rsidR="00293724" w:rsidRPr="007D6ED7">
              <w:t xml:space="preserve"> </w:t>
            </w:r>
            <w:r w:rsidR="00293724" w:rsidRPr="007D6ED7">
              <w:rPr>
                <w:rFonts w:ascii="Times New Roman" w:eastAsia="Times New Roman" w:hAnsi="Times New Roman"/>
                <w:sz w:val="24"/>
                <w:szCs w:val="24"/>
                <w:lang w:eastAsia="lv-LV"/>
              </w:rPr>
              <w:t>Ministru kabinets apstiprina programmas un nosaka to īstenošanas kārtību, finansējumu</w:t>
            </w:r>
            <w:r w:rsidR="008C50CA" w:rsidRPr="007D6ED7">
              <w:rPr>
                <w:rFonts w:ascii="Times New Roman" w:eastAsia="Times New Roman" w:hAnsi="Times New Roman"/>
                <w:sz w:val="24"/>
                <w:szCs w:val="24"/>
                <w:lang w:eastAsia="lv-LV"/>
              </w:rPr>
              <w:t xml:space="preserve"> un</w:t>
            </w:r>
            <w:r w:rsidR="00293724" w:rsidRPr="007D6ED7">
              <w:rPr>
                <w:rFonts w:ascii="Times New Roman" w:eastAsia="Times New Roman" w:hAnsi="Times New Roman"/>
                <w:sz w:val="24"/>
                <w:szCs w:val="24"/>
                <w:lang w:eastAsia="lv-LV"/>
              </w:rPr>
              <w:t xml:space="preserve"> atbalstām</w:t>
            </w:r>
            <w:r w:rsidR="008C50CA" w:rsidRPr="007D6ED7">
              <w:rPr>
                <w:rFonts w:ascii="Times New Roman" w:eastAsia="Times New Roman" w:hAnsi="Times New Roman"/>
                <w:sz w:val="24"/>
                <w:szCs w:val="24"/>
                <w:lang w:eastAsia="lv-LV"/>
              </w:rPr>
              <w:t>ās</w:t>
            </w:r>
            <w:r w:rsidR="00293724" w:rsidRPr="007D6ED7">
              <w:rPr>
                <w:rFonts w:ascii="Times New Roman" w:eastAsia="Times New Roman" w:hAnsi="Times New Roman"/>
                <w:sz w:val="24"/>
                <w:szCs w:val="24"/>
                <w:lang w:eastAsia="lv-LV"/>
              </w:rPr>
              <w:t xml:space="preserve"> darbīb</w:t>
            </w:r>
            <w:r w:rsidR="008C50CA" w:rsidRPr="007D6ED7">
              <w:rPr>
                <w:rFonts w:ascii="Times New Roman" w:eastAsia="Times New Roman" w:hAnsi="Times New Roman"/>
                <w:sz w:val="24"/>
                <w:szCs w:val="24"/>
                <w:lang w:eastAsia="lv-LV"/>
              </w:rPr>
              <w:t>as</w:t>
            </w:r>
            <w:r w:rsidR="00293724" w:rsidRPr="007D6ED7">
              <w:rPr>
                <w:rFonts w:ascii="Times New Roman" w:eastAsia="Times New Roman" w:hAnsi="Times New Roman"/>
                <w:sz w:val="24"/>
                <w:szCs w:val="24"/>
                <w:lang w:eastAsia="lv-LV"/>
              </w:rPr>
              <w:t>, tai skaitā finansējumu Finanšu institūcijas izdevumu segšanai</w:t>
            </w:r>
            <w:r w:rsidR="00842E44">
              <w:rPr>
                <w:rFonts w:ascii="Times New Roman" w:eastAsia="Times New Roman" w:hAnsi="Times New Roman"/>
                <w:sz w:val="24"/>
                <w:szCs w:val="24"/>
                <w:lang w:eastAsia="lv-LV"/>
              </w:rPr>
              <w:t>.</w:t>
            </w:r>
          </w:p>
          <w:p w14:paraId="36D5ED83" w14:textId="6F55FBE4" w:rsidR="002C1EC2" w:rsidRPr="007D6ED7" w:rsidRDefault="002C1EC2" w:rsidP="00B84F74">
            <w:pPr>
              <w:spacing w:after="0" w:line="240" w:lineRule="auto"/>
              <w:jc w:val="both"/>
              <w:rPr>
                <w:rFonts w:ascii="Times New Roman" w:eastAsia="Times New Roman" w:hAnsi="Times New Roman"/>
                <w:sz w:val="24"/>
                <w:szCs w:val="24"/>
                <w:lang w:eastAsia="lv-LV"/>
              </w:rPr>
            </w:pPr>
          </w:p>
        </w:tc>
      </w:tr>
      <w:tr w:rsidR="00D11F74" w:rsidRPr="007D6ED7" w14:paraId="47891B61" w14:textId="77777777" w:rsidTr="09E35D4E">
        <w:tc>
          <w:tcPr>
            <w:tcW w:w="191" w:type="pct"/>
            <w:hideMark/>
          </w:tcPr>
          <w:p w14:paraId="18C8B563" w14:textId="4ADC08F4"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2.</w:t>
            </w:r>
          </w:p>
        </w:tc>
        <w:tc>
          <w:tcPr>
            <w:tcW w:w="1520" w:type="pct"/>
            <w:hideMark/>
          </w:tcPr>
          <w:p w14:paraId="7F1C5F9B" w14:textId="51DEFA86" w:rsidR="00392D00" w:rsidRPr="007D6ED7" w:rsidRDefault="00363BB6" w:rsidP="005B2BF1">
            <w:pPr>
              <w:spacing w:after="0" w:line="240" w:lineRule="auto"/>
              <w:jc w:val="both"/>
              <w:rPr>
                <w:rFonts w:ascii="Times New Roman" w:eastAsia="Times New Roman" w:hAnsi="Times New Roman"/>
                <w:sz w:val="24"/>
                <w:szCs w:val="24"/>
                <w:lang w:eastAsia="lv-LV"/>
              </w:rPr>
            </w:pPr>
            <w:r w:rsidRPr="007D6ED7">
              <w:rPr>
                <w:rFonts w:ascii="Times New Roman" w:hAnsi="Times New Roman"/>
                <w:sz w:val="24"/>
                <w:szCs w:val="24"/>
              </w:rPr>
              <w:t>Pašreizējā situācija un problēmas, kuru risināšanai tiesību akta projekts izstrādāts, tiesiskā regulējuma mērķis un būtība</w:t>
            </w:r>
          </w:p>
        </w:tc>
        <w:tc>
          <w:tcPr>
            <w:tcW w:w="3289" w:type="pct"/>
            <w:hideMark/>
          </w:tcPr>
          <w:p w14:paraId="5815F14F" w14:textId="46F664F0" w:rsidR="00B3101F" w:rsidRDefault="00B3101F" w:rsidP="00B3101F">
            <w:pPr>
              <w:shd w:val="clear" w:color="auto" w:fill="FFFFFF"/>
              <w:tabs>
                <w:tab w:val="left" w:pos="426"/>
              </w:tabs>
              <w:spacing w:line="240" w:lineRule="auto"/>
              <w:jc w:val="both"/>
              <w:rPr>
                <w:rFonts w:ascii="Times New Roman" w:hAnsi="Times New Roman"/>
                <w:sz w:val="24"/>
                <w:szCs w:val="24"/>
              </w:rPr>
            </w:pPr>
            <w:r w:rsidRPr="00FF7CD1">
              <w:rPr>
                <w:rFonts w:ascii="Times New Roman" w:hAnsi="Times New Roman"/>
                <w:sz w:val="24"/>
                <w:szCs w:val="24"/>
              </w:rPr>
              <w:t xml:space="preserve">Viens no izaicinājumiem Latvijā ir </w:t>
            </w:r>
            <w:r>
              <w:rPr>
                <w:rFonts w:ascii="Times New Roman" w:hAnsi="Times New Roman"/>
                <w:sz w:val="24"/>
                <w:szCs w:val="24"/>
              </w:rPr>
              <w:t xml:space="preserve">mūsdienu būvniecības standartiem un energoefektivitātes prasībām atbilstošu </w:t>
            </w:r>
            <w:r w:rsidRPr="00A063B3">
              <w:rPr>
                <w:rFonts w:ascii="Times New Roman" w:hAnsi="Times New Roman"/>
                <w:sz w:val="24"/>
                <w:szCs w:val="24"/>
              </w:rPr>
              <w:t>un</w:t>
            </w:r>
            <w:r w:rsidRPr="005C1AE2">
              <w:rPr>
                <w:rFonts w:ascii="Times New Roman" w:hAnsi="Times New Roman"/>
                <w:b/>
                <w:bCs/>
                <w:sz w:val="24"/>
                <w:szCs w:val="24"/>
              </w:rPr>
              <w:t xml:space="preserve"> </w:t>
            </w:r>
            <w:r w:rsidRPr="00B3101F">
              <w:rPr>
                <w:rFonts w:ascii="Times New Roman" w:hAnsi="Times New Roman"/>
                <w:sz w:val="24"/>
                <w:szCs w:val="24"/>
              </w:rPr>
              <w:t xml:space="preserve">par pieejamu cenu mājokļu </w:t>
            </w:r>
            <w:r w:rsidRPr="00FF7CD1">
              <w:rPr>
                <w:rFonts w:ascii="Times New Roman" w:hAnsi="Times New Roman"/>
                <w:sz w:val="24"/>
                <w:szCs w:val="24"/>
              </w:rPr>
              <w:t>pieejamības nodrošināšana, kas ir viena no iedzīvotāju pamatvajadzībām, tāpēc mūsdienu dzīves prasībām atbilstoša mājokļa pieejamība ir viena no šī brīža valsts prioritātēm.</w:t>
            </w:r>
          </w:p>
          <w:p w14:paraId="79F26416" w14:textId="28F6D632" w:rsidR="00B3101F" w:rsidRDefault="00B3101F" w:rsidP="00B3101F">
            <w:pPr>
              <w:shd w:val="clear" w:color="auto" w:fill="FFFFFF"/>
              <w:tabs>
                <w:tab w:val="left" w:pos="426"/>
              </w:tabs>
              <w:spacing w:after="0" w:line="240" w:lineRule="auto"/>
              <w:jc w:val="both"/>
              <w:rPr>
                <w:rFonts w:ascii="Times New Roman" w:hAnsi="Times New Roman"/>
                <w:sz w:val="24"/>
                <w:szCs w:val="24"/>
                <w:shd w:val="clear" w:color="auto" w:fill="FFFFFF"/>
              </w:rPr>
            </w:pPr>
            <w:r w:rsidRPr="003D129A">
              <w:rPr>
                <w:rFonts w:ascii="Times New Roman" w:hAnsi="Times New Roman"/>
                <w:sz w:val="24"/>
                <w:szCs w:val="24"/>
                <w:shd w:val="clear" w:color="auto" w:fill="FFFFFF"/>
              </w:rPr>
              <w:t>Lai arī mājsaimniecību ienākumi pieaug pakāpeniski (2018.</w:t>
            </w:r>
            <w:r>
              <w:rPr>
                <w:rFonts w:ascii="Times New Roman" w:hAnsi="Times New Roman"/>
                <w:sz w:val="24"/>
                <w:szCs w:val="24"/>
                <w:shd w:val="clear" w:color="auto" w:fill="FFFFFF"/>
              </w:rPr>
              <w:t> </w:t>
            </w:r>
            <w:r w:rsidRPr="003D129A">
              <w:rPr>
                <w:rFonts w:ascii="Times New Roman" w:hAnsi="Times New Roman"/>
                <w:sz w:val="24"/>
                <w:szCs w:val="24"/>
                <w:shd w:val="clear" w:color="auto" w:fill="FFFFFF"/>
              </w:rPr>
              <w:t xml:space="preserve">gadā mājsaimniecību ienākumi, salīdzinot ar 2017.gadu, pieauga par </w:t>
            </w:r>
            <w:r>
              <w:rPr>
                <w:rFonts w:ascii="Times New Roman" w:hAnsi="Times New Roman"/>
                <w:sz w:val="24"/>
                <w:szCs w:val="24"/>
                <w:shd w:val="clear" w:color="auto" w:fill="FFFFFF"/>
              </w:rPr>
              <w:t>9</w:t>
            </w:r>
            <w:r w:rsidRPr="003D129A">
              <w:rPr>
                <w:rFonts w:ascii="Times New Roman" w:hAnsi="Times New Roman"/>
                <w:sz w:val="24"/>
                <w:szCs w:val="24"/>
                <w:shd w:val="clear" w:color="auto" w:fill="FFFFFF"/>
              </w:rPr>
              <w:t>,</w:t>
            </w:r>
            <w:r>
              <w:rPr>
                <w:rFonts w:ascii="Times New Roman" w:hAnsi="Times New Roman"/>
                <w:sz w:val="24"/>
                <w:szCs w:val="24"/>
                <w:shd w:val="clear" w:color="auto" w:fill="FFFFFF"/>
              </w:rPr>
              <w:t>9</w:t>
            </w:r>
            <w:r w:rsidRPr="003D129A">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vidējiem mājsaimniecību ienākumiem </w:t>
            </w:r>
            <w:r w:rsidRPr="003D129A">
              <w:rPr>
                <w:rFonts w:ascii="Times New Roman" w:hAnsi="Times New Roman"/>
                <w:sz w:val="24"/>
                <w:szCs w:val="24"/>
                <w:shd w:val="clear" w:color="auto" w:fill="FFFFFF"/>
              </w:rPr>
              <w:t xml:space="preserve">sasniedzot </w:t>
            </w:r>
            <w:r w:rsidRPr="001C58C2">
              <w:rPr>
                <w:rFonts w:ascii="Times New Roman" w:hAnsi="Times New Roman"/>
                <w:sz w:val="24"/>
                <w:szCs w:val="24"/>
                <w:shd w:val="clear" w:color="auto" w:fill="FFFFFF"/>
              </w:rPr>
              <w:t>1229</w:t>
            </w:r>
            <w:r>
              <w:rPr>
                <w:rFonts w:ascii="Times New Roman" w:hAnsi="Times New Roman"/>
                <w:sz w:val="24"/>
                <w:szCs w:val="24"/>
                <w:shd w:val="clear" w:color="auto" w:fill="FFFFFF"/>
              </w:rPr>
              <w:t xml:space="preserve"> </w:t>
            </w:r>
            <w:r w:rsidRPr="00B3101F">
              <w:rPr>
                <w:rFonts w:ascii="Times New Roman" w:hAnsi="Times New Roman"/>
                <w:i/>
                <w:iCs/>
                <w:sz w:val="24"/>
                <w:szCs w:val="24"/>
                <w:shd w:val="clear" w:color="auto" w:fill="FFFFFF"/>
              </w:rPr>
              <w:t>euro</w:t>
            </w:r>
            <w:r>
              <w:rPr>
                <w:rStyle w:val="FootnoteReference"/>
                <w:rFonts w:ascii="Times New Roman" w:hAnsi="Times New Roman"/>
                <w:sz w:val="24"/>
                <w:szCs w:val="24"/>
                <w:shd w:val="clear" w:color="auto" w:fill="FFFFFF"/>
              </w:rPr>
              <w:footnoteReference w:id="2"/>
            </w:r>
            <w:r w:rsidRPr="003D129A">
              <w:rPr>
                <w:rFonts w:ascii="Times New Roman" w:hAnsi="Times New Roman"/>
                <w:sz w:val="24"/>
                <w:szCs w:val="24"/>
                <w:shd w:val="clear" w:color="auto" w:fill="FFFFFF"/>
              </w:rPr>
              <w:t>), tie joprojām ir zemi, lai veidotu nozīmīgus uzkrājumus kvalitatīvāka mājokļa iegādei vai kvalitatīva mājokļa īrei tirgū, jo šādu mājokļu cenas nav atbilstošas iedzīvotāju ienākumiem</w:t>
            </w:r>
            <w:r w:rsidRPr="003D129A">
              <w:rPr>
                <w:rStyle w:val="FootnoteReference"/>
                <w:rFonts w:ascii="Times New Roman" w:hAnsi="Times New Roman"/>
                <w:sz w:val="24"/>
                <w:szCs w:val="24"/>
                <w:shd w:val="clear" w:color="auto" w:fill="FFFFFF"/>
              </w:rPr>
              <w:footnoteReference w:id="3"/>
            </w:r>
            <w:r w:rsidRPr="003D129A">
              <w:rPr>
                <w:rFonts w:ascii="Times New Roman" w:hAnsi="Times New Roman"/>
                <w:sz w:val="24"/>
                <w:szCs w:val="24"/>
                <w:shd w:val="clear" w:color="auto" w:fill="FFFFFF"/>
              </w:rPr>
              <w:t>.</w:t>
            </w:r>
          </w:p>
          <w:p w14:paraId="0527C33B" w14:textId="7BD069B1" w:rsidR="00B3101F" w:rsidRPr="003D129A" w:rsidRDefault="00B3101F" w:rsidP="00B3101F">
            <w:pPr>
              <w:shd w:val="clear" w:color="auto" w:fill="FFFFFF"/>
              <w:tabs>
                <w:tab w:val="left" w:pos="426"/>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S</w:t>
            </w:r>
            <w:r w:rsidRPr="003D129A">
              <w:rPr>
                <w:rFonts w:ascii="Times New Roman" w:hAnsi="Times New Roman"/>
                <w:sz w:val="24"/>
                <w:szCs w:val="24"/>
                <w:shd w:val="clear" w:color="auto" w:fill="FFFFFF"/>
              </w:rPr>
              <w:t>alīdzinoši ar citām Eiropas Savienības dalībvalstīm, Latvijā ir viens no zemākajiem mājsaimniecību ienākumu līmeņiem (skatīt attēlu</w:t>
            </w:r>
            <w:r>
              <w:rPr>
                <w:rFonts w:ascii="Times New Roman" w:hAnsi="Times New Roman"/>
                <w:sz w:val="24"/>
                <w:szCs w:val="24"/>
                <w:shd w:val="clear" w:color="auto" w:fill="FFFFFF"/>
              </w:rPr>
              <w:t xml:space="preserve"> </w:t>
            </w:r>
            <w:r w:rsidRPr="00A063B3">
              <w:rPr>
                <w:rFonts w:ascii="Times New Roman" w:hAnsi="Times New Roman"/>
                <w:sz w:val="24"/>
                <w:szCs w:val="24"/>
                <w:shd w:val="clear" w:color="auto" w:fill="FFFFFF"/>
              </w:rPr>
              <w:t>“Mājsaimniecību ienākumu sadalījums pēc pirktspējas ES dalībvalstīs 2018.gadā”).</w:t>
            </w:r>
            <w:r>
              <w:rPr>
                <w:rFonts w:ascii="Times New Roman" w:hAnsi="Times New Roman"/>
                <w:sz w:val="24"/>
                <w:szCs w:val="24"/>
                <w:shd w:val="clear" w:color="auto" w:fill="FFFFFF"/>
              </w:rPr>
              <w:t xml:space="preserve"> Atbilstoši Eurostat datiem par 2018.gadu, mājsaimniecību </w:t>
            </w:r>
            <w:r>
              <w:rPr>
                <w:rFonts w:ascii="Times New Roman" w:hAnsi="Times New Roman"/>
                <w:sz w:val="24"/>
                <w:szCs w:val="24"/>
                <w:shd w:val="clear" w:color="auto" w:fill="FFFFFF"/>
              </w:rPr>
              <w:lastRenderedPageBreak/>
              <w:t>ienākumu līmenis Latvijā pēc pirktspējas paritātes</w:t>
            </w:r>
            <w:r>
              <w:rPr>
                <w:rStyle w:val="FootnoteReference"/>
                <w:rFonts w:ascii="Times New Roman" w:hAnsi="Times New Roman"/>
                <w:sz w:val="24"/>
                <w:szCs w:val="24"/>
                <w:shd w:val="clear" w:color="auto" w:fill="FFFFFF"/>
              </w:rPr>
              <w:footnoteReference w:id="4"/>
            </w:r>
            <w:r>
              <w:rPr>
                <w:rFonts w:ascii="Times New Roman" w:hAnsi="Times New Roman"/>
                <w:sz w:val="24"/>
                <w:szCs w:val="24"/>
                <w:shd w:val="clear" w:color="auto" w:fill="FFFFFF"/>
              </w:rPr>
              <w:t xml:space="preserve"> veido tikai 59% no Eiropas Savienības vidējā mājsaimniecību ienākuma rādītāja.</w:t>
            </w:r>
          </w:p>
          <w:p w14:paraId="61795FCF" w14:textId="77777777" w:rsidR="00B3101F" w:rsidRDefault="00B3101F" w:rsidP="00B3101F">
            <w:pPr>
              <w:shd w:val="clear" w:color="auto" w:fill="FFFFFF"/>
              <w:tabs>
                <w:tab w:val="left" w:pos="426"/>
              </w:tabs>
              <w:spacing w:after="0" w:line="240" w:lineRule="auto"/>
              <w:jc w:val="both"/>
              <w:rPr>
                <w:rFonts w:ascii="Times New Roman" w:hAnsi="Times New Roman"/>
                <w:sz w:val="24"/>
                <w:szCs w:val="24"/>
              </w:rPr>
            </w:pPr>
          </w:p>
          <w:p w14:paraId="085D7CF1" w14:textId="77777777" w:rsidR="00B3101F" w:rsidRPr="0042261A" w:rsidRDefault="00B3101F" w:rsidP="00B3101F">
            <w:pPr>
              <w:spacing w:after="0" w:line="240" w:lineRule="auto"/>
              <w:jc w:val="center"/>
              <w:rPr>
                <w:rFonts w:ascii="Times New Roman" w:hAnsi="Times New Roman"/>
                <w:b/>
                <w:bCs/>
                <w:noProof/>
              </w:rPr>
            </w:pPr>
            <w:r w:rsidRPr="0042261A">
              <w:rPr>
                <w:rFonts w:ascii="Times New Roman" w:hAnsi="Times New Roman"/>
                <w:b/>
                <w:bCs/>
                <w:noProof/>
              </w:rPr>
              <w:t xml:space="preserve">Mājsaimniecību ienākumu sadalījums </w:t>
            </w:r>
            <w:r>
              <w:rPr>
                <w:rFonts w:ascii="Times New Roman" w:hAnsi="Times New Roman"/>
                <w:b/>
                <w:bCs/>
                <w:noProof/>
              </w:rPr>
              <w:t xml:space="preserve">pēc pirktspējas </w:t>
            </w:r>
            <w:r w:rsidRPr="0042261A">
              <w:rPr>
                <w:rFonts w:ascii="Times New Roman" w:hAnsi="Times New Roman"/>
                <w:b/>
                <w:bCs/>
                <w:noProof/>
              </w:rPr>
              <w:t>ES dalībvalstīs</w:t>
            </w:r>
            <w:r>
              <w:rPr>
                <w:rFonts w:ascii="Times New Roman" w:hAnsi="Times New Roman"/>
                <w:b/>
                <w:bCs/>
                <w:noProof/>
              </w:rPr>
              <w:t xml:space="preserve"> 2018.gadā</w:t>
            </w:r>
            <w:r>
              <w:rPr>
                <w:rStyle w:val="FootnoteReference"/>
                <w:rFonts w:ascii="Times New Roman" w:hAnsi="Times New Roman"/>
                <w:b/>
                <w:bCs/>
                <w:noProof/>
              </w:rPr>
              <w:footnoteReference w:id="5"/>
            </w:r>
          </w:p>
          <w:p w14:paraId="54BC6779" w14:textId="6E638AE0" w:rsidR="00B3101F" w:rsidRPr="00B3101F" w:rsidRDefault="00B3101F" w:rsidP="00B3101F">
            <w:pPr>
              <w:spacing w:after="0" w:line="240" w:lineRule="auto"/>
              <w:jc w:val="center"/>
              <w:rPr>
                <w:rFonts w:ascii="Times New Roman" w:hAnsi="Times New Roman"/>
                <w:noProof/>
                <w:sz w:val="20"/>
                <w:szCs w:val="20"/>
              </w:rPr>
            </w:pPr>
            <w:r w:rsidRPr="0042261A">
              <w:rPr>
                <w:rFonts w:ascii="Times New Roman" w:hAnsi="Times New Roman"/>
                <w:noProof/>
                <w:sz w:val="20"/>
                <w:szCs w:val="20"/>
              </w:rPr>
              <w:t>izlīdzināto neto ienākumu mediāna pēc PPS, ES-27=100</w:t>
            </w:r>
          </w:p>
          <w:p w14:paraId="20840E5D" w14:textId="64F79707" w:rsidR="00B3101F" w:rsidRDefault="00B3101F" w:rsidP="00B3101F">
            <w:pPr>
              <w:shd w:val="clear" w:color="auto" w:fill="FFFFFF"/>
              <w:tabs>
                <w:tab w:val="left" w:pos="426"/>
              </w:tabs>
              <w:spacing w:after="0" w:line="240" w:lineRule="auto"/>
              <w:jc w:val="center"/>
              <w:rPr>
                <w:rFonts w:ascii="Times New Roman" w:hAnsi="Times New Roman"/>
                <w:sz w:val="24"/>
                <w:szCs w:val="24"/>
                <w:shd w:val="clear" w:color="auto" w:fill="FFFFFF"/>
              </w:rPr>
            </w:pPr>
            <w:r>
              <w:rPr>
                <w:rFonts w:ascii="Times New Roman" w:hAnsi="Times New Roman"/>
                <w:noProof/>
                <w:sz w:val="24"/>
                <w:szCs w:val="24"/>
                <w:shd w:val="clear" w:color="auto" w:fill="FFFFFF"/>
              </w:rPr>
              <w:drawing>
                <wp:inline distT="0" distB="0" distL="0" distR="0" wp14:anchorId="0969C309" wp14:editId="64BBA7AF">
                  <wp:extent cx="4204806" cy="1955800"/>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4626" cy="1983624"/>
                          </a:xfrm>
                          <a:prstGeom prst="rect">
                            <a:avLst/>
                          </a:prstGeom>
                          <a:noFill/>
                        </pic:spPr>
                      </pic:pic>
                    </a:graphicData>
                  </a:graphic>
                </wp:inline>
              </w:drawing>
            </w:r>
          </w:p>
          <w:p w14:paraId="14697BB3" w14:textId="438EE65B" w:rsidR="00D11F74" w:rsidRPr="00FF7CD1" w:rsidRDefault="00D11F74" w:rsidP="00D11F74">
            <w:pPr>
              <w:shd w:val="clear" w:color="auto" w:fill="FFFFFF"/>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Izvērtējot mājokļu pieejamības kontekstā esošā dzīvojamā fonda </w:t>
            </w:r>
            <w:r w:rsidRPr="00FF7CD1">
              <w:rPr>
                <w:rFonts w:ascii="Times New Roman" w:hAnsi="Times New Roman"/>
                <w:sz w:val="24"/>
                <w:szCs w:val="24"/>
              </w:rPr>
              <w:t xml:space="preserve">situāciju kopumā, jāuzsver, </w:t>
            </w:r>
            <w:r>
              <w:rPr>
                <w:rFonts w:ascii="Times New Roman" w:hAnsi="Times New Roman"/>
                <w:sz w:val="24"/>
                <w:szCs w:val="24"/>
              </w:rPr>
              <w:t xml:space="preserve">ka </w:t>
            </w:r>
            <w:r w:rsidRPr="00FF7CD1">
              <w:rPr>
                <w:rFonts w:ascii="Times New Roman" w:hAnsi="Times New Roman"/>
                <w:sz w:val="24"/>
                <w:szCs w:val="24"/>
              </w:rPr>
              <w:t xml:space="preserve">šī brīža dzīvojamais fonds ir </w:t>
            </w:r>
            <w:r w:rsidRPr="00D11F74">
              <w:rPr>
                <w:rFonts w:ascii="Times New Roman" w:hAnsi="Times New Roman"/>
                <w:sz w:val="24"/>
                <w:szCs w:val="24"/>
              </w:rPr>
              <w:t>būtiski novecojis, kas palielina tā uzturēšanas izmaksas un, ņemot vērā zemos mājsaimniecību ienākumus, ir ierobežotas tā atjaunošanas perspektīvas. Atbilstoši Centrālās statistikas pārvaldes datiem līdz 1941.gadam Latvijā uzbūvēti 45% no visa daudzdzīvokļu ēku skaita, savukārt no 1961. līdz 1992. gadam Latvijā uzcelti 51% no dzīvojamā fonda, bet kopš 1993.gada no jauna uzbūvēto daudzdzīvokļu dzīvojamo māju īpatsvars ir tikai 4%</w:t>
            </w:r>
            <w:r>
              <w:rPr>
                <w:rFonts w:ascii="Times New Roman" w:hAnsi="Times New Roman"/>
                <w:sz w:val="24"/>
                <w:szCs w:val="24"/>
              </w:rPr>
              <w:t xml:space="preserve"> (skatīt attēlu)</w:t>
            </w:r>
            <w:r w:rsidRPr="00D11F74">
              <w:rPr>
                <w:rFonts w:ascii="Times New Roman" w:hAnsi="Times New Roman"/>
                <w:sz w:val="24"/>
                <w:szCs w:val="24"/>
              </w:rPr>
              <w:t>.</w:t>
            </w:r>
          </w:p>
          <w:p w14:paraId="324AFF09" w14:textId="77777777" w:rsidR="00D11F74" w:rsidRDefault="00D11F74" w:rsidP="00D11F74">
            <w:pPr>
              <w:spacing w:after="0" w:line="240" w:lineRule="auto"/>
              <w:jc w:val="center"/>
              <w:rPr>
                <w:rFonts w:asciiTheme="majorHAnsi" w:hAnsiTheme="majorHAnsi"/>
                <w:color w:val="984806" w:themeColor="accent6" w:themeShade="80"/>
                <w:sz w:val="24"/>
              </w:rPr>
            </w:pPr>
          </w:p>
          <w:p w14:paraId="758B2EEA" w14:textId="7706359E" w:rsidR="00B3101F" w:rsidRPr="00D11F74" w:rsidRDefault="00D11F74" w:rsidP="00D11F74">
            <w:pPr>
              <w:spacing w:after="0" w:line="240" w:lineRule="auto"/>
              <w:jc w:val="center"/>
              <w:rPr>
                <w:rFonts w:ascii="Times New Roman" w:hAnsi="Times New Roman"/>
                <w:b/>
                <w:bCs/>
                <w:noProof/>
              </w:rPr>
            </w:pPr>
            <w:r w:rsidRPr="00D11F74">
              <w:rPr>
                <w:rFonts w:ascii="Times New Roman" w:hAnsi="Times New Roman"/>
                <w:b/>
                <w:bCs/>
                <w:noProof/>
              </w:rPr>
              <w:t>Daudzdzīvokļu namu sadalījums pēc to ekspluatācijā nodošanas gada</w:t>
            </w:r>
            <w:r>
              <w:rPr>
                <w:rStyle w:val="FootnoteReference"/>
                <w:rFonts w:ascii="Times New Roman" w:hAnsi="Times New Roman"/>
                <w:b/>
                <w:bCs/>
                <w:noProof/>
              </w:rPr>
              <w:footnoteReference w:id="6"/>
            </w:r>
          </w:p>
          <w:p w14:paraId="149B8805" w14:textId="215CCAB6" w:rsidR="00B3101F" w:rsidRPr="00D11F74" w:rsidRDefault="00D11F74" w:rsidP="00D11F74">
            <w:pPr>
              <w:spacing w:after="0" w:line="240" w:lineRule="auto"/>
              <w:rPr>
                <w:rFonts w:asciiTheme="majorHAnsi" w:hAnsiTheme="majorHAnsi"/>
                <w:color w:val="984806" w:themeColor="accent6" w:themeShade="80"/>
              </w:rPr>
            </w:pPr>
            <w:r w:rsidRPr="00003C43">
              <w:rPr>
                <w:rFonts w:asciiTheme="majorHAnsi" w:hAnsiTheme="majorHAnsi"/>
                <w:noProof/>
                <w:lang w:eastAsia="lv-LV"/>
              </w:rPr>
              <w:drawing>
                <wp:inline distT="0" distB="0" distL="0" distR="0" wp14:anchorId="281FB30E" wp14:editId="6324DB34">
                  <wp:extent cx="3835400" cy="1758950"/>
                  <wp:effectExtent l="0" t="0" r="0" b="0"/>
                  <wp:docPr id="25" name="Chart 25">
                    <a:extLst xmlns:a="http://schemas.openxmlformats.org/drawingml/2006/main">
                      <a:ext uri="{FF2B5EF4-FFF2-40B4-BE49-F238E27FC236}">
                        <a16:creationId xmlns:a16="http://schemas.microsoft.com/office/drawing/2014/main" id="{1B90B66C-C084-497D-8E3C-3F3F48345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61C931" w14:textId="1449B7AA" w:rsidR="00385929" w:rsidRDefault="00D11F74" w:rsidP="00D11F74">
            <w:pPr>
              <w:shd w:val="clear" w:color="auto" w:fill="FFFFFF"/>
              <w:tabs>
                <w:tab w:val="left" w:pos="426"/>
              </w:tabs>
              <w:spacing w:after="0" w:line="240" w:lineRule="auto"/>
              <w:jc w:val="both"/>
              <w:rPr>
                <w:rFonts w:ascii="Times New Roman" w:hAnsi="Times New Roman"/>
                <w:sz w:val="24"/>
                <w:szCs w:val="24"/>
              </w:rPr>
            </w:pPr>
            <w:r w:rsidRPr="00EF22F7">
              <w:rPr>
                <w:rFonts w:ascii="Times New Roman" w:hAnsi="Times New Roman"/>
                <w:sz w:val="24"/>
                <w:szCs w:val="24"/>
              </w:rPr>
              <w:t>Viens no īres tirgus attīstības primārajiem šķēršļiem</w:t>
            </w:r>
            <w:r w:rsidR="00385929">
              <w:rPr>
                <w:rFonts w:ascii="Times New Roman" w:hAnsi="Times New Roman"/>
                <w:sz w:val="24"/>
                <w:szCs w:val="24"/>
              </w:rPr>
              <w:t>, jo īpaši reģionos,</w:t>
            </w:r>
            <w:r w:rsidRPr="00EF22F7">
              <w:rPr>
                <w:rFonts w:ascii="Times New Roman" w:hAnsi="Times New Roman"/>
                <w:sz w:val="24"/>
                <w:szCs w:val="24"/>
              </w:rPr>
              <w:t xml:space="preserve"> ir nepietiekama iedzīvotāju pirktspēja (</w:t>
            </w:r>
            <w:r>
              <w:rPr>
                <w:rFonts w:ascii="Times New Roman" w:hAnsi="Times New Roman"/>
                <w:sz w:val="24"/>
                <w:szCs w:val="24"/>
              </w:rPr>
              <w:t xml:space="preserve">ienākumi Latvijā ir </w:t>
            </w:r>
            <w:r w:rsidRPr="00EF22F7">
              <w:rPr>
                <w:rFonts w:ascii="Times New Roman" w:hAnsi="Times New Roman"/>
                <w:sz w:val="24"/>
                <w:szCs w:val="24"/>
              </w:rPr>
              <w:t>vien</w:t>
            </w:r>
            <w:r>
              <w:rPr>
                <w:rFonts w:ascii="Times New Roman" w:hAnsi="Times New Roman"/>
                <w:sz w:val="24"/>
                <w:szCs w:val="24"/>
              </w:rPr>
              <w:t>i</w:t>
            </w:r>
            <w:r w:rsidRPr="00EF22F7">
              <w:rPr>
                <w:rFonts w:ascii="Times New Roman" w:hAnsi="Times New Roman"/>
                <w:sz w:val="24"/>
                <w:szCs w:val="24"/>
              </w:rPr>
              <w:t xml:space="preserve"> no zemākajām Eiropas Savienībā, skatīt attēlu</w:t>
            </w:r>
            <w:r>
              <w:rPr>
                <w:rFonts w:ascii="Times New Roman" w:hAnsi="Times New Roman"/>
                <w:sz w:val="24"/>
                <w:szCs w:val="24"/>
              </w:rPr>
              <w:t xml:space="preserve"> </w:t>
            </w:r>
            <w:r w:rsidRPr="001C61A2">
              <w:rPr>
                <w:rFonts w:ascii="Times New Roman" w:hAnsi="Times New Roman"/>
                <w:sz w:val="24"/>
                <w:szCs w:val="24"/>
              </w:rPr>
              <w:t>“</w:t>
            </w:r>
            <w:r w:rsidRPr="00A063B3">
              <w:rPr>
                <w:rFonts w:ascii="Times New Roman" w:hAnsi="Times New Roman"/>
                <w:sz w:val="24"/>
                <w:szCs w:val="24"/>
              </w:rPr>
              <w:t>Mājsaimniecību ienākumu sadalījums</w:t>
            </w:r>
            <w:r w:rsidRPr="001C61A2">
              <w:rPr>
                <w:rFonts w:ascii="Times New Roman" w:hAnsi="Times New Roman"/>
                <w:sz w:val="24"/>
                <w:szCs w:val="24"/>
              </w:rPr>
              <w:t xml:space="preserve"> </w:t>
            </w:r>
            <w:r w:rsidRPr="004267EB">
              <w:rPr>
                <w:rFonts w:ascii="Times New Roman" w:hAnsi="Times New Roman"/>
                <w:sz w:val="24"/>
                <w:szCs w:val="24"/>
              </w:rPr>
              <w:t>pēc pirktspējas ES dalībvalstīs 2018.gadā”</w:t>
            </w:r>
            <w:r w:rsidRPr="00A063B3">
              <w:rPr>
                <w:rFonts w:ascii="Times New Roman" w:hAnsi="Times New Roman"/>
                <w:sz w:val="24"/>
                <w:szCs w:val="24"/>
              </w:rPr>
              <w:t>),</w:t>
            </w:r>
            <w:r w:rsidRPr="00EF22F7">
              <w:rPr>
                <w:rFonts w:ascii="Times New Roman" w:hAnsi="Times New Roman"/>
                <w:sz w:val="24"/>
                <w:szCs w:val="24"/>
              </w:rPr>
              <w:t xml:space="preserve"> kas nosaka, ka šobrīd privātā sektora investīcijas īres namu būvniecībā ir nepietiekamas. </w:t>
            </w:r>
            <w:r w:rsidR="00385929">
              <w:rPr>
                <w:rFonts w:ascii="Times New Roman" w:hAnsi="Times New Roman"/>
                <w:sz w:val="24"/>
                <w:szCs w:val="24"/>
              </w:rPr>
              <w:t>Tirgū p</w:t>
            </w:r>
            <w:r w:rsidRPr="00EF22F7">
              <w:rPr>
                <w:rFonts w:ascii="Times New Roman" w:hAnsi="Times New Roman"/>
                <w:sz w:val="24"/>
                <w:szCs w:val="24"/>
              </w:rPr>
              <w:t xml:space="preserve">ieejamie kreditēšanas termiņi ir būtiski īsāki par ēkas ekspluatācijas termiņu, </w:t>
            </w:r>
            <w:r w:rsidR="00385929">
              <w:rPr>
                <w:rFonts w:ascii="Times New Roman" w:hAnsi="Times New Roman"/>
                <w:sz w:val="24"/>
                <w:szCs w:val="24"/>
              </w:rPr>
              <w:t>kā rezultātā palielinās</w:t>
            </w:r>
            <w:r w:rsidRPr="00EF22F7">
              <w:rPr>
                <w:rFonts w:ascii="Times New Roman" w:hAnsi="Times New Roman"/>
                <w:sz w:val="24"/>
                <w:szCs w:val="24"/>
              </w:rPr>
              <w:t xml:space="preserve"> izmaksas par dzīvojamo telpu īri</w:t>
            </w:r>
            <w:r w:rsidR="00385929">
              <w:rPr>
                <w:rFonts w:ascii="Times New Roman" w:hAnsi="Times New Roman"/>
                <w:sz w:val="24"/>
                <w:szCs w:val="24"/>
              </w:rPr>
              <w:t xml:space="preserve"> un mājsaimniecībām ar nepietiekamiem ienākumiem ir ierobežota pieejamība šādiem īres dzīvokļiem</w:t>
            </w:r>
            <w:r w:rsidRPr="00EF22F7">
              <w:rPr>
                <w:rFonts w:ascii="Times New Roman" w:hAnsi="Times New Roman"/>
                <w:sz w:val="24"/>
                <w:szCs w:val="24"/>
              </w:rPr>
              <w:t xml:space="preserve">. </w:t>
            </w:r>
          </w:p>
          <w:p w14:paraId="47C1635D" w14:textId="39C34CB0" w:rsidR="00B3101F" w:rsidRPr="00D11F74" w:rsidRDefault="00D11F74" w:rsidP="00D11F74">
            <w:pPr>
              <w:shd w:val="clear" w:color="auto" w:fill="FFFFFF"/>
              <w:tabs>
                <w:tab w:val="left" w:pos="426"/>
              </w:tabs>
              <w:spacing w:after="0" w:line="240" w:lineRule="auto"/>
              <w:jc w:val="both"/>
              <w:rPr>
                <w:rFonts w:ascii="Times New Roman" w:hAnsi="Times New Roman"/>
                <w:sz w:val="24"/>
                <w:szCs w:val="24"/>
              </w:rPr>
            </w:pPr>
            <w:r w:rsidRPr="00EF22F7">
              <w:rPr>
                <w:rFonts w:ascii="Times New Roman" w:hAnsi="Times New Roman"/>
                <w:sz w:val="24"/>
                <w:szCs w:val="24"/>
              </w:rPr>
              <w:t xml:space="preserve">Latvijā novērojama ļoti lēna daudzdzīvokļu dzīvojamā fonda atjaunošanās. Salīdzinājumā ar citām OECD dalībvalstīm, Latvijā jau ilgstoši ir viens no </w:t>
            </w:r>
            <w:r w:rsidRPr="00EF22F7">
              <w:rPr>
                <w:rFonts w:ascii="Times New Roman" w:hAnsi="Times New Roman"/>
                <w:sz w:val="24"/>
                <w:szCs w:val="24"/>
              </w:rPr>
              <w:lastRenderedPageBreak/>
              <w:t>zemākajiem ekspluatācijā nodoto dzīvokļu īpatsvariem pret kopējo dzīvojamo fondu - 2015.gadā ekspluatācijā tika nodoti tikai 0,2% dzīvokļu no kopējā dzīvokļu fonda.</w:t>
            </w:r>
          </w:p>
          <w:p w14:paraId="278D6A99" w14:textId="4C789FC8" w:rsidR="00D11F74" w:rsidRDefault="00D11F74" w:rsidP="00E737A4">
            <w:pPr>
              <w:spacing w:after="0" w:line="240" w:lineRule="auto"/>
              <w:jc w:val="both"/>
              <w:rPr>
                <w:rFonts w:ascii="Times New Roman" w:hAnsi="Times New Roman"/>
                <w:sz w:val="24"/>
                <w:szCs w:val="24"/>
                <w:highlight w:val="yellow"/>
              </w:rPr>
            </w:pPr>
          </w:p>
          <w:p w14:paraId="69868188" w14:textId="4FF0BA4E" w:rsidR="00B3101F" w:rsidRPr="00D11F74" w:rsidRDefault="00D11F74" w:rsidP="00E737A4">
            <w:pPr>
              <w:spacing w:after="0" w:line="240" w:lineRule="auto"/>
              <w:jc w:val="both"/>
              <w:rPr>
                <w:rFonts w:ascii="Times New Roman" w:hAnsi="Times New Roman"/>
                <w:sz w:val="24"/>
                <w:szCs w:val="24"/>
              </w:rPr>
            </w:pPr>
            <w:r w:rsidRPr="00D11F74">
              <w:rPr>
                <w:rFonts w:ascii="Times New Roman" w:hAnsi="Times New Roman"/>
                <w:noProof/>
                <w:sz w:val="24"/>
                <w:szCs w:val="24"/>
              </w:rPr>
              <w:drawing>
                <wp:inline distT="0" distB="0" distL="0" distR="0" wp14:anchorId="0602E901" wp14:editId="65A394D1">
                  <wp:extent cx="4751524"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009" cy="1925866"/>
                          </a:xfrm>
                          <a:prstGeom prst="rect">
                            <a:avLst/>
                          </a:prstGeom>
                          <a:noFill/>
                          <a:ln>
                            <a:noFill/>
                          </a:ln>
                        </pic:spPr>
                      </pic:pic>
                    </a:graphicData>
                  </a:graphic>
                </wp:inline>
              </w:drawing>
            </w:r>
          </w:p>
          <w:p w14:paraId="4FF8EA10" w14:textId="1B383657" w:rsidR="00B3101F" w:rsidRPr="00D11F74" w:rsidRDefault="00B3101F" w:rsidP="00E737A4">
            <w:pPr>
              <w:spacing w:after="0" w:line="240" w:lineRule="auto"/>
              <w:jc w:val="both"/>
              <w:rPr>
                <w:rFonts w:ascii="Times New Roman" w:hAnsi="Times New Roman"/>
                <w:sz w:val="24"/>
                <w:szCs w:val="24"/>
              </w:rPr>
            </w:pPr>
          </w:p>
          <w:p w14:paraId="4D213EA8" w14:textId="5AEDD5D8" w:rsidR="00FC2A88" w:rsidRPr="00FF7CD1" w:rsidRDefault="00FC2A88" w:rsidP="00FC2A88">
            <w:pPr>
              <w:shd w:val="clear" w:color="auto" w:fill="FFFFFF"/>
              <w:tabs>
                <w:tab w:val="left" w:pos="426"/>
              </w:tabs>
              <w:spacing w:after="0" w:line="240" w:lineRule="auto"/>
              <w:jc w:val="both"/>
              <w:rPr>
                <w:rFonts w:ascii="Times New Roman" w:hAnsi="Times New Roman"/>
                <w:sz w:val="24"/>
                <w:szCs w:val="24"/>
              </w:rPr>
            </w:pPr>
            <w:r w:rsidRPr="00FF7CD1">
              <w:rPr>
                <w:rFonts w:ascii="Times New Roman" w:hAnsi="Times New Roman"/>
                <w:sz w:val="24"/>
                <w:szCs w:val="24"/>
              </w:rPr>
              <w:t>Pašlaik privātais sektors nav ieinteresēts veikt investīcijas īres namu būvniecībā reģionos, jo ņemot vērā augstās būvniecības izmaksas un attīstītāja vēlamo investīciju atmaksāšanās periodu, īres maksa no jauna uzbūvētos mājokļos pārsniedz iedzīvotāju maksātspēju</w:t>
            </w:r>
            <w:r>
              <w:rPr>
                <w:rFonts w:ascii="Times New Roman" w:hAnsi="Times New Roman"/>
                <w:sz w:val="24"/>
                <w:szCs w:val="24"/>
              </w:rPr>
              <w:t>.</w:t>
            </w:r>
            <w:r w:rsidRPr="00FF7CD1">
              <w:rPr>
                <w:rFonts w:ascii="Times New Roman" w:hAnsi="Times New Roman"/>
                <w:sz w:val="24"/>
                <w:szCs w:val="24"/>
              </w:rPr>
              <w:t xml:space="preserve"> To parāda statistika par uzbūvētās dzīvojamās platības apmēriem kopš 2010. līdz 2017.gadam – 91,8% no jaunu mājokļu dzīvojamās platības uzbūvēti Rīgā, Jūrmalā un Pierīgas pašvaldībās.</w:t>
            </w:r>
          </w:p>
          <w:p w14:paraId="568968DE" w14:textId="7088EE81" w:rsidR="00B3101F" w:rsidRPr="00D11F74" w:rsidRDefault="00B3101F" w:rsidP="00E737A4">
            <w:pPr>
              <w:spacing w:after="0" w:line="240" w:lineRule="auto"/>
              <w:jc w:val="both"/>
              <w:rPr>
                <w:rFonts w:ascii="Times New Roman" w:hAnsi="Times New Roman"/>
                <w:sz w:val="24"/>
                <w:szCs w:val="24"/>
              </w:rPr>
            </w:pPr>
          </w:p>
          <w:p w14:paraId="7B46B72E" w14:textId="6C6E978D" w:rsidR="00B3101F" w:rsidRPr="00FC2A88" w:rsidRDefault="00FC2A88" w:rsidP="00CE669C">
            <w:pPr>
              <w:spacing w:after="0" w:line="240" w:lineRule="auto"/>
              <w:jc w:val="center"/>
              <w:rPr>
                <w:rFonts w:ascii="Times New Roman" w:hAnsi="Times New Roman"/>
                <w:sz w:val="24"/>
                <w:szCs w:val="24"/>
              </w:rPr>
            </w:pPr>
            <w:r w:rsidRPr="00FC2A88">
              <w:rPr>
                <w:rFonts w:ascii="Times New Roman" w:hAnsi="Times New Roman"/>
                <w:noProof/>
                <w:sz w:val="24"/>
                <w:szCs w:val="24"/>
              </w:rPr>
              <w:drawing>
                <wp:inline distT="0" distB="0" distL="0" distR="0" wp14:anchorId="53079BF8" wp14:editId="7539DD99">
                  <wp:extent cx="4603750" cy="282761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5833" cy="2828891"/>
                          </a:xfrm>
                          <a:prstGeom prst="rect">
                            <a:avLst/>
                          </a:prstGeom>
                          <a:noFill/>
                          <a:ln>
                            <a:noFill/>
                          </a:ln>
                        </pic:spPr>
                      </pic:pic>
                    </a:graphicData>
                  </a:graphic>
                </wp:inline>
              </w:drawing>
            </w:r>
          </w:p>
          <w:p w14:paraId="7693ABF8" w14:textId="77777777" w:rsidR="00FC2A88" w:rsidRDefault="00FC2A88" w:rsidP="00FC2A88">
            <w:pPr>
              <w:shd w:val="clear" w:color="auto" w:fill="FFFFFF"/>
              <w:tabs>
                <w:tab w:val="left" w:pos="426"/>
              </w:tabs>
              <w:spacing w:after="0" w:line="240" w:lineRule="auto"/>
              <w:jc w:val="both"/>
              <w:rPr>
                <w:rFonts w:ascii="Times New Roman" w:hAnsi="Times New Roman"/>
                <w:sz w:val="24"/>
                <w:szCs w:val="24"/>
              </w:rPr>
            </w:pPr>
          </w:p>
          <w:p w14:paraId="087E10E1" w14:textId="072D657F" w:rsidR="00FC2A88" w:rsidRPr="00FF7CD1" w:rsidRDefault="00FC2A88" w:rsidP="00FC2A88">
            <w:pPr>
              <w:shd w:val="clear" w:color="auto" w:fill="FFFFFF"/>
              <w:tabs>
                <w:tab w:val="left" w:pos="426"/>
              </w:tabs>
              <w:spacing w:after="0" w:line="240" w:lineRule="auto"/>
              <w:jc w:val="both"/>
              <w:rPr>
                <w:rFonts w:ascii="Times New Roman" w:hAnsi="Times New Roman"/>
                <w:sz w:val="24"/>
                <w:szCs w:val="24"/>
              </w:rPr>
            </w:pPr>
            <w:r w:rsidRPr="00FF7CD1">
              <w:rPr>
                <w:rFonts w:ascii="Times New Roman" w:hAnsi="Times New Roman"/>
                <w:sz w:val="24"/>
                <w:szCs w:val="24"/>
              </w:rPr>
              <w:t>Mājokļa pieejamība uzsvērta arī OECD Ekonomikas pārskatā</w:t>
            </w:r>
            <w:r w:rsidRPr="00FF7CD1">
              <w:rPr>
                <w:rStyle w:val="FootnoteReference"/>
                <w:rFonts w:ascii="Times New Roman" w:hAnsi="Times New Roman"/>
                <w:sz w:val="24"/>
                <w:szCs w:val="24"/>
              </w:rPr>
              <w:footnoteReference w:id="7"/>
            </w:r>
            <w:r w:rsidRPr="00FF7CD1">
              <w:rPr>
                <w:rFonts w:ascii="Times New Roman" w:hAnsi="Times New Roman"/>
                <w:sz w:val="24"/>
                <w:szCs w:val="24"/>
              </w:rPr>
              <w:t xml:space="preserve"> par Latviju, kur statistika par iedzīvotāju labklājību Latvijā, salīdzinājumā ar OECD vidējo rādītāju, ir viena no zemākajām tieši ienākumu un mājokļu pieejamības kategorijās. </w:t>
            </w:r>
          </w:p>
          <w:p w14:paraId="7F359E73" w14:textId="77777777" w:rsidR="00FC2A88" w:rsidRDefault="00FC2A88" w:rsidP="00CE669C">
            <w:pPr>
              <w:spacing w:line="240" w:lineRule="auto"/>
              <w:jc w:val="both"/>
              <w:rPr>
                <w:rFonts w:ascii="Times New Roman" w:hAnsi="Times New Roman"/>
                <w:sz w:val="24"/>
                <w:szCs w:val="24"/>
              </w:rPr>
            </w:pPr>
            <w:r w:rsidRPr="00FF7CD1">
              <w:rPr>
                <w:rFonts w:ascii="Times New Roman" w:hAnsi="Times New Roman"/>
                <w:sz w:val="24"/>
                <w:szCs w:val="24"/>
              </w:rPr>
              <w:t>Tāpat būtiski uzsvērt, ka atbilstoši Eurostat</w:t>
            </w:r>
            <w:r w:rsidRPr="00FF7CD1">
              <w:rPr>
                <w:rStyle w:val="FootnoteReference"/>
                <w:rFonts w:ascii="Times New Roman" w:hAnsi="Times New Roman"/>
                <w:sz w:val="24"/>
                <w:szCs w:val="24"/>
              </w:rPr>
              <w:footnoteReference w:id="8"/>
            </w:r>
            <w:r w:rsidRPr="00FF7CD1">
              <w:rPr>
                <w:rFonts w:ascii="Times New Roman" w:hAnsi="Times New Roman"/>
                <w:i/>
                <w:iCs/>
                <w:sz w:val="24"/>
                <w:szCs w:val="24"/>
              </w:rPr>
              <w:t xml:space="preserve"> </w:t>
            </w:r>
            <w:r w:rsidRPr="00FF7CD1">
              <w:rPr>
                <w:rFonts w:ascii="Times New Roman" w:hAnsi="Times New Roman"/>
                <w:sz w:val="24"/>
                <w:szCs w:val="24"/>
              </w:rPr>
              <w:t xml:space="preserve">datiem par iedzīvotāju iedalījumu pēc mājokļa īpašumtiesību statusa, </w:t>
            </w:r>
            <w:r w:rsidRPr="004267EB">
              <w:rPr>
                <w:rFonts w:ascii="Times New Roman" w:hAnsi="Times New Roman"/>
                <w:sz w:val="24"/>
                <w:szCs w:val="24"/>
              </w:rPr>
              <w:t xml:space="preserve">2018.gadā Latvijā tikai 7,5% iedzīvotāju īrē mājokli atbilstoši tirgus cenas vērtībai, pie tam lielākā daļa šo īrnieku īrē </w:t>
            </w:r>
            <w:r w:rsidRPr="004267EB">
              <w:rPr>
                <w:rFonts w:ascii="Times New Roman" w:hAnsi="Times New Roman"/>
                <w:sz w:val="24"/>
                <w:szCs w:val="24"/>
              </w:rPr>
              <w:lastRenderedPageBreak/>
              <w:t xml:space="preserve">dzīvokli sekundārajā tirgū, padomju laiku tipveida apbūvē, kas nav atbilstoša mūsdienu būvniecības, energoefektivitātes un labiekārtotības standartiem. </w:t>
            </w:r>
          </w:p>
          <w:p w14:paraId="05E2B620" w14:textId="22E4FDE1" w:rsidR="00CE669C" w:rsidRDefault="00CE669C" w:rsidP="00CE669C">
            <w:pPr>
              <w:shd w:val="clear" w:color="auto" w:fill="FFFFFF"/>
              <w:tabs>
                <w:tab w:val="left" w:pos="426"/>
              </w:tabs>
              <w:spacing w:line="240" w:lineRule="auto"/>
              <w:jc w:val="both"/>
              <w:rPr>
                <w:rFonts w:ascii="Times New Roman" w:hAnsi="Times New Roman"/>
                <w:sz w:val="24"/>
                <w:szCs w:val="24"/>
              </w:rPr>
            </w:pPr>
            <w:r w:rsidRPr="00FF7CD1">
              <w:rPr>
                <w:rFonts w:ascii="Times New Roman" w:hAnsi="Times New Roman"/>
                <w:sz w:val="24"/>
                <w:szCs w:val="24"/>
              </w:rPr>
              <w:t xml:space="preserve">Tādējādi ir secināms, ka šobrīd tirgū ir vērojams izmaksu ziņā pieejamu mājokļu trūkums, ko kā problēmu ir uzsvērusi arī Eiropas Komisija 2019.gada ziņojumā par Latviju. Par izmaksu ziņā pieejamu mājokļu trūkumu uzsver arī OECD 2020.gada 17.jūnijā publicētajā pētījumā “Politikas virzieni mājokļu pieejamības veicināšanai Latvijā”, norādot, ka ir novērots privāto investīciju trūkums daudzdzīvokļu īres māju celtniecībā un norādot, ka tikai 20% no mājsaimniecībām var atļauties dzīvot īrētā dzīvoklī uz tirgus nosacījumiem. Savukārt tirgū </w:t>
            </w:r>
            <w:r w:rsidR="003E045E">
              <w:rPr>
                <w:rFonts w:ascii="Times New Roman" w:hAnsi="Times New Roman"/>
                <w:sz w:val="24"/>
                <w:szCs w:val="24"/>
              </w:rPr>
              <w:t xml:space="preserve">ir </w:t>
            </w:r>
            <w:r w:rsidRPr="00FF7CD1">
              <w:rPr>
                <w:rFonts w:ascii="Times New Roman" w:hAnsi="Times New Roman"/>
                <w:sz w:val="24"/>
                <w:szCs w:val="24"/>
              </w:rPr>
              <w:t>novērojams pieprasījums pēc cenu ziņā pieejamiem īres mājokļiem. Nelielā komerciālā īres tirgus rezultātā šīm mājsaimniecībām trūkst izmaksu ziņā pieejamu mājokļu alternatīvu.</w:t>
            </w:r>
          </w:p>
          <w:p w14:paraId="607025DD" w14:textId="4D04BBF7" w:rsidR="00385929" w:rsidRPr="00FF7CD1" w:rsidRDefault="00385929" w:rsidP="00CE669C">
            <w:pPr>
              <w:shd w:val="clear" w:color="auto" w:fill="FFFFFF"/>
              <w:tabs>
                <w:tab w:val="left" w:pos="426"/>
              </w:tabs>
              <w:spacing w:line="240" w:lineRule="auto"/>
              <w:jc w:val="both"/>
              <w:rPr>
                <w:rFonts w:ascii="Times New Roman" w:hAnsi="Times New Roman"/>
                <w:sz w:val="24"/>
                <w:szCs w:val="24"/>
              </w:rPr>
            </w:pPr>
            <w:r>
              <w:rPr>
                <w:rFonts w:ascii="Times New Roman" w:hAnsi="Times New Roman"/>
                <w:sz w:val="24"/>
                <w:szCs w:val="24"/>
              </w:rPr>
              <w:t>Papildus jānorāda, ka Ekonomikas ministrija</w:t>
            </w:r>
            <w:r w:rsidR="003E045E">
              <w:rPr>
                <w:rFonts w:ascii="Times New Roman" w:hAnsi="Times New Roman"/>
                <w:sz w:val="24"/>
                <w:szCs w:val="24"/>
              </w:rPr>
              <w:t xml:space="preserve"> 2021.gada februārī veica pašvaldību aptauju (izņēmums Rīga un pašvaldības, kas robežojas ar Rīgu), lai identificētu pieprasījumu pēc zemas īres maksas mājokļiem, kā rezultātā pašvaldības norādīja uz lielu zemu izmaksu īres mājokļu nepieciešamību (aptuveni 1400 dzīvokļi nepieciešami uz šo brīdi). </w:t>
            </w:r>
          </w:p>
          <w:p w14:paraId="7937AC0D" w14:textId="6BE293D3" w:rsidR="00CE669C" w:rsidRDefault="00CE669C" w:rsidP="00CF4BEA">
            <w:pPr>
              <w:shd w:val="clear" w:color="auto" w:fill="FFFFFF"/>
              <w:tabs>
                <w:tab w:val="left" w:pos="426"/>
              </w:tabs>
              <w:spacing w:line="240" w:lineRule="auto"/>
              <w:jc w:val="both"/>
              <w:rPr>
                <w:rFonts w:ascii="Times New Roman" w:hAnsi="Times New Roman"/>
                <w:sz w:val="24"/>
                <w:szCs w:val="24"/>
              </w:rPr>
            </w:pPr>
            <w:r w:rsidRPr="00FF7CD1">
              <w:rPr>
                <w:rFonts w:ascii="Times New Roman" w:hAnsi="Times New Roman"/>
                <w:sz w:val="24"/>
                <w:szCs w:val="24"/>
              </w:rPr>
              <w:t xml:space="preserve">Ievērojot </w:t>
            </w:r>
            <w:r>
              <w:rPr>
                <w:rFonts w:ascii="Times New Roman" w:hAnsi="Times New Roman"/>
                <w:sz w:val="24"/>
                <w:szCs w:val="24"/>
              </w:rPr>
              <w:t>augstāk</w:t>
            </w:r>
            <w:r w:rsidRPr="00FF7CD1">
              <w:rPr>
                <w:rFonts w:ascii="Times New Roman" w:hAnsi="Times New Roman"/>
                <w:sz w:val="24"/>
                <w:szCs w:val="24"/>
              </w:rPr>
              <w:t xml:space="preserve"> minēto, ir pamatoti konstatēt tirgus nepilnības izmaksu ziņā pieejamu </w:t>
            </w:r>
            <w:r>
              <w:rPr>
                <w:rFonts w:ascii="Times New Roman" w:hAnsi="Times New Roman"/>
                <w:sz w:val="24"/>
                <w:szCs w:val="24"/>
              </w:rPr>
              <w:t xml:space="preserve">īres </w:t>
            </w:r>
            <w:r w:rsidRPr="00FF7CD1">
              <w:rPr>
                <w:rFonts w:ascii="Times New Roman" w:hAnsi="Times New Roman"/>
                <w:sz w:val="24"/>
                <w:szCs w:val="24"/>
              </w:rPr>
              <w:t xml:space="preserve">mājokļu piedāvājumā sabiedrības daļai, kuru ienākumu līmenis nedod iespēju </w:t>
            </w:r>
            <w:r>
              <w:rPr>
                <w:rFonts w:ascii="Times New Roman" w:hAnsi="Times New Roman"/>
                <w:sz w:val="24"/>
                <w:szCs w:val="24"/>
              </w:rPr>
              <w:t>īrēt</w:t>
            </w:r>
            <w:r>
              <w:rPr>
                <w:rFonts w:ascii="Times New Roman" w:hAnsi="Times New Roman"/>
                <w:sz w:val="24"/>
                <w:szCs w:val="24"/>
              </w:rPr>
              <w:t xml:space="preserve"> kvalitatīvu</w:t>
            </w:r>
            <w:r w:rsidRPr="00FF7CD1">
              <w:rPr>
                <w:rFonts w:ascii="Times New Roman" w:hAnsi="Times New Roman"/>
                <w:sz w:val="24"/>
                <w:szCs w:val="24"/>
              </w:rPr>
              <w:t xml:space="preserve"> mājokli</w:t>
            </w:r>
            <w:r>
              <w:rPr>
                <w:rFonts w:ascii="Times New Roman" w:hAnsi="Times New Roman"/>
                <w:sz w:val="24"/>
                <w:szCs w:val="24"/>
              </w:rPr>
              <w:t xml:space="preserve"> uz tirgus nosacījumiem</w:t>
            </w:r>
            <w:r w:rsidRPr="00FF7CD1">
              <w:rPr>
                <w:rFonts w:ascii="Times New Roman" w:hAnsi="Times New Roman"/>
                <w:sz w:val="24"/>
                <w:szCs w:val="24"/>
              </w:rPr>
              <w:t xml:space="preserve">. </w:t>
            </w:r>
            <w:r>
              <w:rPr>
                <w:rFonts w:ascii="Times New Roman" w:hAnsi="Times New Roman"/>
                <w:sz w:val="24"/>
                <w:szCs w:val="24"/>
              </w:rPr>
              <w:t xml:space="preserve">Noteikumu projekta ietvaros atbalsta programmas īstenošana veicinās </w:t>
            </w:r>
            <w:r w:rsidR="003E045E">
              <w:rPr>
                <w:rFonts w:ascii="Times New Roman" w:hAnsi="Times New Roman"/>
                <w:sz w:val="24"/>
                <w:szCs w:val="24"/>
              </w:rPr>
              <w:t>šīs</w:t>
            </w:r>
            <w:r>
              <w:rPr>
                <w:rFonts w:ascii="Times New Roman" w:hAnsi="Times New Roman"/>
                <w:sz w:val="24"/>
                <w:szCs w:val="24"/>
              </w:rPr>
              <w:t xml:space="preserve"> tirgus nepilnības mazināšanos. </w:t>
            </w:r>
            <w:r w:rsidRPr="00FF7CD1">
              <w:rPr>
                <w:rFonts w:ascii="Times New Roman" w:hAnsi="Times New Roman"/>
                <w:sz w:val="24"/>
                <w:szCs w:val="24"/>
              </w:rPr>
              <w:t xml:space="preserve"> </w:t>
            </w:r>
          </w:p>
          <w:p w14:paraId="7D9C5341" w14:textId="7D50EF6A" w:rsidR="00CF4BEA" w:rsidRDefault="007B02F6" w:rsidP="00CF4BEA">
            <w:pPr>
              <w:tabs>
                <w:tab w:val="left" w:pos="851"/>
              </w:tabs>
              <w:spacing w:after="240" w:line="240" w:lineRule="auto"/>
              <w:jc w:val="both"/>
              <w:rPr>
                <w:rFonts w:ascii="Times New Roman" w:hAnsi="Times New Roman"/>
                <w:sz w:val="24"/>
                <w:szCs w:val="24"/>
              </w:rPr>
            </w:pPr>
            <w:r w:rsidRPr="007B02F6">
              <w:rPr>
                <w:rFonts w:ascii="Times New Roman" w:hAnsi="Times New Roman"/>
                <w:sz w:val="24"/>
                <w:szCs w:val="24"/>
              </w:rPr>
              <w:t>Noteikumu projekta ietvaros atbalst</w:t>
            </w:r>
            <w:r w:rsidR="003E4D6A">
              <w:rPr>
                <w:rFonts w:ascii="Times New Roman" w:hAnsi="Times New Roman"/>
                <w:sz w:val="24"/>
                <w:szCs w:val="24"/>
              </w:rPr>
              <w:t>u</w:t>
            </w:r>
            <w:r w:rsidR="000C25BC">
              <w:rPr>
                <w:rFonts w:ascii="Times New Roman" w:hAnsi="Times New Roman"/>
                <w:sz w:val="24"/>
                <w:szCs w:val="24"/>
              </w:rPr>
              <w:t xml:space="preserve"> nekustamā īpašuma attīstītājiem zemas īres maksas dzīvojamās īres mājas būvniecībai kā </w:t>
            </w:r>
            <w:r w:rsidRPr="000C25BC">
              <w:rPr>
                <w:rFonts w:ascii="Times New Roman" w:hAnsi="Times New Roman"/>
                <w:sz w:val="24"/>
                <w:szCs w:val="24"/>
              </w:rPr>
              <w:t>aizdevum</w:t>
            </w:r>
            <w:r w:rsidR="003E4D6A">
              <w:rPr>
                <w:rFonts w:ascii="Times New Roman" w:hAnsi="Times New Roman"/>
                <w:sz w:val="24"/>
                <w:szCs w:val="24"/>
              </w:rPr>
              <w:t>u</w:t>
            </w:r>
            <w:r w:rsidRPr="000C25BC">
              <w:rPr>
                <w:rFonts w:ascii="Times New Roman" w:hAnsi="Times New Roman"/>
                <w:sz w:val="24"/>
                <w:szCs w:val="24"/>
              </w:rPr>
              <w:t xml:space="preserve"> un kapitāla atlaid</w:t>
            </w:r>
            <w:r w:rsidR="003E4D6A">
              <w:rPr>
                <w:rFonts w:ascii="Times New Roman" w:hAnsi="Times New Roman"/>
                <w:sz w:val="24"/>
                <w:szCs w:val="24"/>
              </w:rPr>
              <w:t>i</w:t>
            </w:r>
            <w:r w:rsidRPr="000C25BC">
              <w:rPr>
                <w:rFonts w:ascii="Times New Roman" w:hAnsi="Times New Roman"/>
                <w:sz w:val="24"/>
                <w:szCs w:val="24"/>
              </w:rPr>
              <w:t xml:space="preserve"> </w:t>
            </w:r>
            <w:r w:rsidR="003E045E">
              <w:rPr>
                <w:rFonts w:ascii="Times New Roman" w:hAnsi="Times New Roman"/>
                <w:sz w:val="24"/>
                <w:szCs w:val="24"/>
              </w:rPr>
              <w:t xml:space="preserve">(līdz 30 % apmērā no projekta kopējām attiecināmajām izmaksām) </w:t>
            </w:r>
            <w:r w:rsidRPr="000C25BC">
              <w:rPr>
                <w:rFonts w:ascii="Times New Roman" w:hAnsi="Times New Roman"/>
                <w:sz w:val="24"/>
                <w:szCs w:val="24"/>
              </w:rPr>
              <w:t>aizdevuma pamatsummas daļējai dzēšanai dzīvojamās īres mājas būvniecībai</w:t>
            </w:r>
            <w:r w:rsidR="003E4D6A">
              <w:rPr>
                <w:rFonts w:ascii="Times New Roman" w:hAnsi="Times New Roman"/>
                <w:sz w:val="24"/>
                <w:szCs w:val="24"/>
              </w:rPr>
              <w:t xml:space="preserve"> snie</w:t>
            </w:r>
            <w:r w:rsidR="00CF4BEA">
              <w:rPr>
                <w:rFonts w:ascii="Times New Roman" w:hAnsi="Times New Roman"/>
                <w:sz w:val="24"/>
                <w:szCs w:val="24"/>
              </w:rPr>
              <w:t>dz</w:t>
            </w:r>
            <w:r w:rsidR="003E4D6A">
              <w:rPr>
                <w:rFonts w:ascii="Times New Roman" w:hAnsi="Times New Roman"/>
                <w:sz w:val="24"/>
                <w:szCs w:val="24"/>
              </w:rPr>
              <w:t xml:space="preserve"> akciju sabiedrība “Attīstības finanšu institūcija Altum” (turpmāk – sabiedrība “Altum”)</w:t>
            </w:r>
            <w:r w:rsidR="000C25BC">
              <w:rPr>
                <w:rFonts w:ascii="Times New Roman" w:hAnsi="Times New Roman"/>
                <w:sz w:val="24"/>
                <w:szCs w:val="24"/>
              </w:rPr>
              <w:t xml:space="preserve">. </w:t>
            </w:r>
          </w:p>
          <w:p w14:paraId="7D5CFB47" w14:textId="389EE88F" w:rsidR="00CF4BEA" w:rsidRDefault="003E045E" w:rsidP="00CF4BEA">
            <w:pPr>
              <w:tabs>
                <w:tab w:val="left" w:pos="851"/>
              </w:tabs>
              <w:spacing w:after="240" w:line="240" w:lineRule="auto"/>
              <w:jc w:val="both"/>
              <w:rPr>
                <w:rFonts w:ascii="Times New Roman" w:hAnsi="Times New Roman"/>
                <w:sz w:val="24"/>
                <w:szCs w:val="24"/>
              </w:rPr>
            </w:pPr>
            <w:r>
              <w:rPr>
                <w:rFonts w:ascii="Times New Roman" w:hAnsi="Times New Roman"/>
                <w:sz w:val="24"/>
                <w:szCs w:val="24"/>
              </w:rPr>
              <w:t>Noteikumu projekts paredz, ka s</w:t>
            </w:r>
            <w:r w:rsidR="00CF4BEA">
              <w:rPr>
                <w:rFonts w:ascii="Times New Roman" w:hAnsi="Times New Roman"/>
                <w:sz w:val="24"/>
                <w:szCs w:val="24"/>
              </w:rPr>
              <w:t xml:space="preserve">abiedrības “Altum” aizdevums var tikt strukturēts kopā arī ar </w:t>
            </w:r>
            <w:r w:rsidR="00CF4BEA" w:rsidRPr="00CF4BEA">
              <w:rPr>
                <w:rFonts w:ascii="Times New Roman" w:hAnsi="Times New Roman"/>
                <w:sz w:val="24"/>
                <w:szCs w:val="24"/>
              </w:rPr>
              <w:t xml:space="preserve">kredītiestādes vai citas starptautiskas finanšu institūcijas aizdevumu, </w:t>
            </w:r>
            <w:r w:rsidR="00CF4BEA">
              <w:rPr>
                <w:rFonts w:ascii="Times New Roman" w:hAnsi="Times New Roman"/>
                <w:sz w:val="24"/>
                <w:szCs w:val="24"/>
              </w:rPr>
              <w:t>un tādā gadījumā</w:t>
            </w:r>
            <w:r w:rsidR="00CF4BEA" w:rsidRPr="00CF4BEA">
              <w:rPr>
                <w:rFonts w:ascii="Times New Roman" w:hAnsi="Times New Roman"/>
                <w:sz w:val="24"/>
                <w:szCs w:val="24"/>
              </w:rPr>
              <w:t xml:space="preserve"> sabiedrības “Altum” sniegtais aizdevums ir subordinēts attiecībā pret kredītiestādes vai citas starptautiskas finanšu institūcijas sniegto ilgtermiņa kredītu un ir pastiprināts ar zemāku nodrošinājuma kārtu nekā kredītiestādes vai citas starptautiskas finanšu institūcijas sniegtais ilgtermiņa kredīts. </w:t>
            </w:r>
            <w:r w:rsidR="00E67D14">
              <w:rPr>
                <w:rFonts w:ascii="Times New Roman" w:hAnsi="Times New Roman"/>
                <w:sz w:val="24"/>
                <w:szCs w:val="24"/>
              </w:rPr>
              <w:t xml:space="preserve">Noteikumu projekts neierobežo nekustamā īpašuma attīstītājam piesaistīt pašvaldību garantijas. </w:t>
            </w:r>
          </w:p>
          <w:p w14:paraId="02E4F5CE" w14:textId="00D2469D" w:rsidR="000C25BC" w:rsidRDefault="000C25BC" w:rsidP="00CF4BEA">
            <w:pPr>
              <w:tabs>
                <w:tab w:val="left" w:pos="851"/>
              </w:tabs>
              <w:spacing w:line="240" w:lineRule="auto"/>
              <w:jc w:val="both"/>
              <w:rPr>
                <w:rFonts w:ascii="Times New Roman" w:hAnsi="Times New Roman"/>
                <w:sz w:val="24"/>
                <w:szCs w:val="24"/>
              </w:rPr>
            </w:pPr>
            <w:r>
              <w:rPr>
                <w:rFonts w:ascii="Times New Roman" w:hAnsi="Times New Roman"/>
                <w:sz w:val="24"/>
                <w:szCs w:val="24"/>
              </w:rPr>
              <w:t>Nekustamā īpašuma attīstītāji n</w:t>
            </w:r>
            <w:r w:rsidRPr="000C25BC">
              <w:rPr>
                <w:rFonts w:ascii="Times New Roman" w:hAnsi="Times New Roman"/>
                <w:sz w:val="24"/>
                <w:szCs w:val="24"/>
              </w:rPr>
              <w:t xml:space="preserve">oteikumu projekta ietvaros ir </w:t>
            </w:r>
            <w:r w:rsidRPr="000C25BC">
              <w:rPr>
                <w:rFonts w:ascii="Times New Roman" w:hAnsi="Times New Roman"/>
                <w:sz w:val="24"/>
                <w:szCs w:val="24"/>
              </w:rPr>
              <w:t>kapitālsabiedrība</w:t>
            </w:r>
            <w:r w:rsidRPr="000C25BC">
              <w:rPr>
                <w:rFonts w:ascii="Times New Roman" w:hAnsi="Times New Roman"/>
                <w:sz w:val="24"/>
                <w:szCs w:val="24"/>
              </w:rPr>
              <w:t>s</w:t>
            </w:r>
            <w:r w:rsidRPr="000C25BC">
              <w:rPr>
                <w:rFonts w:ascii="Times New Roman" w:hAnsi="Times New Roman"/>
                <w:sz w:val="24"/>
                <w:szCs w:val="24"/>
              </w:rPr>
              <w:t xml:space="preserve"> vai kooperatīvā</w:t>
            </w:r>
            <w:r>
              <w:rPr>
                <w:rFonts w:ascii="Times New Roman" w:hAnsi="Times New Roman"/>
                <w:sz w:val="24"/>
                <w:szCs w:val="24"/>
              </w:rPr>
              <w:t>s</w:t>
            </w:r>
            <w:r w:rsidRPr="000C25BC">
              <w:rPr>
                <w:rFonts w:ascii="Times New Roman" w:hAnsi="Times New Roman"/>
                <w:sz w:val="24"/>
                <w:szCs w:val="24"/>
              </w:rPr>
              <w:t xml:space="preserve"> sabiedrība</w:t>
            </w:r>
            <w:r w:rsidRPr="000C25BC">
              <w:rPr>
                <w:rFonts w:ascii="Times New Roman" w:hAnsi="Times New Roman"/>
                <w:sz w:val="24"/>
                <w:szCs w:val="24"/>
              </w:rPr>
              <w:t>s</w:t>
            </w:r>
            <w:r w:rsidRPr="000C25BC">
              <w:rPr>
                <w:rFonts w:ascii="Times New Roman" w:hAnsi="Times New Roman"/>
                <w:sz w:val="24"/>
                <w:szCs w:val="24"/>
              </w:rPr>
              <w:t xml:space="preserve">. </w:t>
            </w:r>
          </w:p>
          <w:p w14:paraId="6953BA22" w14:textId="382587A0" w:rsidR="003E4D6A" w:rsidRDefault="003E4D6A" w:rsidP="003E045E">
            <w:pPr>
              <w:spacing w:line="240" w:lineRule="auto"/>
              <w:jc w:val="both"/>
              <w:rPr>
                <w:rFonts w:ascii="Times New Roman" w:hAnsi="Times New Roman"/>
                <w:sz w:val="24"/>
                <w:szCs w:val="24"/>
              </w:rPr>
            </w:pPr>
            <w:r>
              <w:rPr>
                <w:rFonts w:ascii="Times New Roman" w:hAnsi="Times New Roman"/>
                <w:sz w:val="24"/>
                <w:szCs w:val="24"/>
              </w:rPr>
              <w:t xml:space="preserve">Minētais </w:t>
            </w:r>
            <w:r w:rsidRPr="000C25BC">
              <w:rPr>
                <w:rFonts w:ascii="Times New Roman" w:hAnsi="Times New Roman"/>
                <w:sz w:val="24"/>
                <w:szCs w:val="24"/>
              </w:rPr>
              <w:t>atbalsts tik</w:t>
            </w:r>
            <w:r>
              <w:rPr>
                <w:rFonts w:ascii="Times New Roman" w:hAnsi="Times New Roman"/>
                <w:sz w:val="24"/>
                <w:szCs w:val="24"/>
              </w:rPr>
              <w:t>s</w:t>
            </w:r>
            <w:r w:rsidRPr="000C25BC">
              <w:rPr>
                <w:rFonts w:ascii="Times New Roman" w:hAnsi="Times New Roman"/>
                <w:sz w:val="24"/>
                <w:szCs w:val="24"/>
              </w:rPr>
              <w:t xml:space="preserve"> sniegts un finansēts Latvijas Atveseļošanas un noturības mehānisma plāna 3.1.1.4. investīcijas “Finansēšanas fonda izveide zemas īres mājokļu būvniecībai” ietvaros un tam pieejamā finansējuma apmērs ir 42 900 000 </w:t>
            </w:r>
            <w:r w:rsidRPr="003E4D6A">
              <w:rPr>
                <w:rFonts w:ascii="Times New Roman" w:hAnsi="Times New Roman"/>
                <w:i/>
                <w:iCs/>
                <w:sz w:val="24"/>
                <w:szCs w:val="24"/>
              </w:rPr>
              <w:t>euro</w:t>
            </w:r>
            <w:r w:rsidRPr="000C25BC">
              <w:rPr>
                <w:rFonts w:ascii="Times New Roman" w:hAnsi="Times New Roman"/>
                <w:sz w:val="24"/>
                <w:szCs w:val="24"/>
              </w:rPr>
              <w:t xml:space="preserve">. </w:t>
            </w:r>
            <w:r>
              <w:rPr>
                <w:rFonts w:ascii="Times New Roman" w:hAnsi="Times New Roman"/>
                <w:sz w:val="24"/>
                <w:szCs w:val="24"/>
              </w:rPr>
              <w:t>Papildus noteikumu projekts paredz, ka i</w:t>
            </w:r>
            <w:r w:rsidRPr="000C25BC">
              <w:rPr>
                <w:rFonts w:ascii="Times New Roman" w:hAnsi="Times New Roman"/>
                <w:sz w:val="24"/>
                <w:szCs w:val="24"/>
              </w:rPr>
              <w:t>zmaksām, ko nevar</w:t>
            </w:r>
            <w:r>
              <w:rPr>
                <w:rFonts w:ascii="Times New Roman" w:hAnsi="Times New Roman"/>
                <w:sz w:val="24"/>
                <w:szCs w:val="24"/>
              </w:rPr>
              <w:t>ēs</w:t>
            </w:r>
            <w:r w:rsidRPr="000C25BC">
              <w:rPr>
                <w:rFonts w:ascii="Times New Roman" w:hAnsi="Times New Roman"/>
                <w:sz w:val="24"/>
                <w:szCs w:val="24"/>
              </w:rPr>
              <w:t xml:space="preserve"> finansēt no Eiropas Atveseļošanas un noturības mehānisma plāna, sabiedrība “Altum” var piesaistīt valsts aizdevumu līdz 10 000 000 </w:t>
            </w:r>
            <w:r w:rsidRPr="003E4D6A">
              <w:rPr>
                <w:rFonts w:ascii="Times New Roman" w:hAnsi="Times New Roman"/>
                <w:i/>
                <w:iCs/>
                <w:sz w:val="24"/>
                <w:szCs w:val="24"/>
              </w:rPr>
              <w:t>euro</w:t>
            </w:r>
            <w:r w:rsidRPr="000C25BC">
              <w:rPr>
                <w:rFonts w:ascii="Times New Roman" w:hAnsi="Times New Roman"/>
                <w:sz w:val="24"/>
                <w:szCs w:val="24"/>
              </w:rPr>
              <w:t xml:space="preserve"> apmērā kredītlīnijas veidā vai piesaistīt aizdevumu no </w:t>
            </w:r>
            <w:r w:rsidRPr="000C25BC">
              <w:rPr>
                <w:rFonts w:ascii="Times New Roman" w:hAnsi="Times New Roman"/>
                <w:sz w:val="24"/>
                <w:szCs w:val="24"/>
              </w:rPr>
              <w:lastRenderedPageBreak/>
              <w:t>starptautiskajām finanšu institūcijām, vai emitēt obligācijas.</w:t>
            </w:r>
            <w:r>
              <w:rPr>
                <w:rFonts w:ascii="Times New Roman" w:hAnsi="Times New Roman"/>
                <w:sz w:val="24"/>
                <w:szCs w:val="24"/>
              </w:rPr>
              <w:t xml:space="preserve"> Šād</w:t>
            </w:r>
            <w:r w:rsidR="003E045E">
              <w:rPr>
                <w:rFonts w:ascii="Times New Roman" w:hAnsi="Times New Roman"/>
                <w:sz w:val="24"/>
                <w:szCs w:val="24"/>
              </w:rPr>
              <w:t>u</w:t>
            </w:r>
            <w:r>
              <w:rPr>
                <w:rFonts w:ascii="Times New Roman" w:hAnsi="Times New Roman"/>
                <w:sz w:val="24"/>
                <w:szCs w:val="24"/>
              </w:rPr>
              <w:t xml:space="preserve"> papildus finansējuma pieejamības nepieciešamību pamato tas, ka Atveseļošanās un noturības </w:t>
            </w:r>
            <w:r w:rsidRPr="003E4D6A">
              <w:rPr>
                <w:rFonts w:ascii="Times New Roman" w:hAnsi="Times New Roman"/>
                <w:sz w:val="24"/>
                <w:szCs w:val="24"/>
              </w:rPr>
              <w:t>mehānisma plāna</w:t>
            </w:r>
            <w:r w:rsidRPr="003E4D6A">
              <w:rPr>
                <w:rFonts w:ascii="Times New Roman" w:hAnsi="Times New Roman"/>
                <w:sz w:val="24"/>
                <w:szCs w:val="24"/>
              </w:rPr>
              <w:t xml:space="preserve"> finansējuma </w:t>
            </w:r>
            <w:r w:rsidRPr="003E4D6A">
              <w:rPr>
                <w:rFonts w:ascii="Times New Roman" w:hAnsi="Times New Roman"/>
                <w:sz w:val="24"/>
                <w:szCs w:val="24"/>
              </w:rPr>
              <w:t xml:space="preserve">ietvaros </w:t>
            </w:r>
            <w:r w:rsidRPr="003E4D6A">
              <w:rPr>
                <w:rFonts w:ascii="Times New Roman" w:hAnsi="Times New Roman"/>
                <w:sz w:val="24"/>
                <w:szCs w:val="24"/>
              </w:rPr>
              <w:t xml:space="preserve">nav attiecināmas </w:t>
            </w:r>
            <w:r w:rsidRPr="003E4D6A">
              <w:rPr>
                <w:rFonts w:ascii="Times New Roman" w:hAnsi="Times New Roman"/>
                <w:sz w:val="24"/>
                <w:szCs w:val="24"/>
              </w:rPr>
              <w:t xml:space="preserve">pievienotās </w:t>
            </w:r>
            <w:r w:rsidRPr="003E4D6A">
              <w:rPr>
                <w:rFonts w:ascii="Times New Roman" w:hAnsi="Times New Roman"/>
                <w:sz w:val="24"/>
                <w:szCs w:val="24"/>
              </w:rPr>
              <w:t xml:space="preserve"> </w:t>
            </w:r>
            <w:r w:rsidRPr="003E4D6A">
              <w:rPr>
                <w:rFonts w:ascii="Times New Roman" w:hAnsi="Times New Roman"/>
                <w:sz w:val="24"/>
                <w:szCs w:val="24"/>
              </w:rPr>
              <w:t xml:space="preserve">vērtības nodokļa </w:t>
            </w:r>
            <w:r w:rsidRPr="003E4D6A">
              <w:rPr>
                <w:rFonts w:ascii="Times New Roman" w:hAnsi="Times New Roman"/>
                <w:sz w:val="24"/>
                <w:szCs w:val="24"/>
              </w:rPr>
              <w:t xml:space="preserve">izmaksas, taču </w:t>
            </w:r>
            <w:r w:rsidRPr="003E4D6A">
              <w:rPr>
                <w:rFonts w:ascii="Times New Roman" w:hAnsi="Times New Roman"/>
                <w:sz w:val="24"/>
                <w:szCs w:val="24"/>
              </w:rPr>
              <w:t>nekustamā īpašuma attīstītājiem kā projektu īstenotājiem ir</w:t>
            </w:r>
            <w:r w:rsidRPr="003E4D6A">
              <w:rPr>
                <w:rFonts w:ascii="Times New Roman" w:hAnsi="Times New Roman"/>
                <w:sz w:val="24"/>
                <w:szCs w:val="24"/>
              </w:rPr>
              <w:t xml:space="preserve"> nepieciešams finansējums, lai segtu</w:t>
            </w:r>
            <w:r w:rsidRPr="003E4D6A">
              <w:rPr>
                <w:rFonts w:ascii="Times New Roman" w:hAnsi="Times New Roman"/>
                <w:sz w:val="24"/>
                <w:szCs w:val="24"/>
              </w:rPr>
              <w:t xml:space="preserve"> šīs izmaksas. </w:t>
            </w:r>
          </w:p>
          <w:p w14:paraId="001A25CD" w14:textId="36FB0D05" w:rsidR="00992A7E" w:rsidRPr="00EC783F" w:rsidRDefault="00992A7E" w:rsidP="003E045E">
            <w:pPr>
              <w:tabs>
                <w:tab w:val="left" w:pos="851"/>
              </w:tabs>
              <w:spacing w:after="240" w:line="240" w:lineRule="auto"/>
              <w:jc w:val="both"/>
              <w:rPr>
                <w:rFonts w:ascii="Times New Roman" w:hAnsi="Times New Roman"/>
                <w:sz w:val="24"/>
                <w:szCs w:val="24"/>
              </w:rPr>
            </w:pPr>
            <w:r>
              <w:rPr>
                <w:rFonts w:ascii="Times New Roman" w:hAnsi="Times New Roman"/>
                <w:sz w:val="24"/>
                <w:szCs w:val="24"/>
              </w:rPr>
              <w:t>Noteikumu projekta ietvaros</w:t>
            </w:r>
            <w:r w:rsidRPr="00EC783F">
              <w:rPr>
                <w:rFonts w:ascii="Times New Roman" w:hAnsi="Times New Roman"/>
                <w:sz w:val="24"/>
                <w:szCs w:val="24"/>
              </w:rPr>
              <w:t xml:space="preserve"> īres mājokļu nodrošināšana mājsaimniecībām, </w:t>
            </w:r>
            <w:r w:rsidRPr="00EC783F">
              <w:rPr>
                <w:rFonts w:ascii="Times New Roman" w:hAnsi="Times New Roman"/>
                <w:sz w:val="24"/>
                <w:szCs w:val="24"/>
              </w:rPr>
              <w:t>ko sniedz</w:t>
            </w:r>
            <w:r w:rsidRPr="00EC783F">
              <w:rPr>
                <w:rFonts w:ascii="Times New Roman" w:hAnsi="Times New Roman"/>
                <w:sz w:val="24"/>
                <w:szCs w:val="24"/>
              </w:rPr>
              <w:t xml:space="preserve"> nekustamā īpašuma attīstītāji</w:t>
            </w:r>
            <w:r w:rsidRPr="00EC783F">
              <w:rPr>
                <w:rFonts w:ascii="Times New Roman" w:hAnsi="Times New Roman"/>
                <w:sz w:val="24"/>
                <w:szCs w:val="24"/>
              </w:rPr>
              <w:t xml:space="preserve">, ir definēta kā </w:t>
            </w:r>
            <w:r w:rsidRPr="00EC783F">
              <w:rPr>
                <w:rFonts w:ascii="Times New Roman" w:hAnsi="Times New Roman"/>
                <w:sz w:val="24"/>
                <w:szCs w:val="24"/>
              </w:rPr>
              <w:t>sabiedriskais pakalpojums, kas tiek sniegts atbilstoši Eiropas Komisijas lēmumam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 (turpmāk – Eiropas Komisijas lēmums)</w:t>
            </w:r>
            <w:r w:rsidRPr="00EC783F">
              <w:rPr>
                <w:rFonts w:ascii="Times New Roman" w:hAnsi="Times New Roman"/>
                <w:sz w:val="24"/>
                <w:szCs w:val="24"/>
              </w:rPr>
              <w:t xml:space="preserve">. Attiecīgi Noteikumu projekts paredz visas tās prasības, kas izriet no Eiropas Komisijas lēmuma, tā piemēram, </w:t>
            </w:r>
            <w:r w:rsidR="003E045E">
              <w:rPr>
                <w:rFonts w:ascii="Times New Roman" w:hAnsi="Times New Roman"/>
                <w:sz w:val="24"/>
                <w:szCs w:val="24"/>
              </w:rPr>
              <w:t>mājsaimniecību</w:t>
            </w:r>
            <w:r w:rsidRPr="00EC783F">
              <w:rPr>
                <w:rFonts w:ascii="Times New Roman" w:hAnsi="Times New Roman"/>
                <w:sz w:val="24"/>
                <w:szCs w:val="24"/>
              </w:rPr>
              <w:t xml:space="preserve"> ienākumu līmeņ</w:t>
            </w:r>
            <w:r w:rsidR="003E045E">
              <w:rPr>
                <w:rFonts w:ascii="Times New Roman" w:hAnsi="Times New Roman"/>
                <w:sz w:val="24"/>
                <w:szCs w:val="24"/>
              </w:rPr>
              <w:t>u ierobežojumus, lai pretendētu uz īres mājokli</w:t>
            </w:r>
            <w:r w:rsidRPr="00EC783F">
              <w:rPr>
                <w:rFonts w:ascii="Times New Roman" w:hAnsi="Times New Roman"/>
                <w:sz w:val="24"/>
                <w:szCs w:val="24"/>
              </w:rPr>
              <w:t>, nosacījumus Pilnvarojuma līguma</w:t>
            </w:r>
            <w:r w:rsidR="003E045E">
              <w:rPr>
                <w:rFonts w:ascii="Times New Roman" w:hAnsi="Times New Roman"/>
                <w:sz w:val="24"/>
                <w:szCs w:val="24"/>
              </w:rPr>
              <w:t>m</w:t>
            </w:r>
            <w:r w:rsidR="00EC783F" w:rsidRPr="00EC783F">
              <w:rPr>
                <w:rFonts w:ascii="Times New Roman" w:hAnsi="Times New Roman"/>
                <w:sz w:val="24"/>
                <w:szCs w:val="24"/>
              </w:rPr>
              <w:t>, kas noslēgts starp nekustamā īpašuma attīstītāju un pašvaldību</w:t>
            </w:r>
            <w:r w:rsidRPr="00EC783F">
              <w:rPr>
                <w:rFonts w:ascii="Times New Roman" w:hAnsi="Times New Roman"/>
                <w:sz w:val="24"/>
                <w:szCs w:val="24"/>
              </w:rPr>
              <w:t xml:space="preserve"> </w:t>
            </w:r>
            <w:r w:rsidR="00EC783F">
              <w:rPr>
                <w:rFonts w:ascii="Times New Roman" w:hAnsi="Times New Roman"/>
                <w:sz w:val="24"/>
                <w:szCs w:val="24"/>
              </w:rPr>
              <w:t>par sabiedriskā pakalpojuma sniegšanu</w:t>
            </w:r>
            <w:r w:rsidR="003E045E">
              <w:rPr>
                <w:rFonts w:ascii="Times New Roman" w:hAnsi="Times New Roman"/>
                <w:sz w:val="24"/>
                <w:szCs w:val="24"/>
              </w:rPr>
              <w:t>,</w:t>
            </w:r>
            <w:r w:rsidR="00EC783F">
              <w:rPr>
                <w:rFonts w:ascii="Times New Roman" w:hAnsi="Times New Roman"/>
                <w:sz w:val="24"/>
                <w:szCs w:val="24"/>
              </w:rPr>
              <w:t xml:space="preserve"> kompensācijas un citus nosacījumus. </w:t>
            </w:r>
          </w:p>
          <w:p w14:paraId="256C8C8F" w14:textId="77777777" w:rsidR="00CF4BEA" w:rsidRDefault="00CF4BEA" w:rsidP="00980FFF">
            <w:pPr>
              <w:tabs>
                <w:tab w:val="left" w:pos="851"/>
              </w:tabs>
              <w:spacing w:after="0" w:line="240" w:lineRule="auto"/>
              <w:jc w:val="both"/>
              <w:rPr>
                <w:rFonts w:ascii="Times New Roman" w:hAnsi="Times New Roman"/>
                <w:sz w:val="24"/>
                <w:szCs w:val="24"/>
              </w:rPr>
            </w:pPr>
            <w:r>
              <w:rPr>
                <w:rFonts w:ascii="Times New Roman" w:hAnsi="Times New Roman"/>
                <w:sz w:val="24"/>
                <w:szCs w:val="24"/>
              </w:rPr>
              <w:t>Noteikumu projekts paredz šādus atbalsta programmas pamatnosacījumus:</w:t>
            </w:r>
          </w:p>
          <w:p w14:paraId="62E9A67B" w14:textId="018EE435" w:rsidR="00DA3FEA" w:rsidRPr="00DA3FEA" w:rsidRDefault="00CF4BEA" w:rsidP="00CB5463">
            <w:pPr>
              <w:pStyle w:val="ListParagraph"/>
              <w:numPr>
                <w:ilvl w:val="0"/>
                <w:numId w:val="3"/>
              </w:numPr>
              <w:tabs>
                <w:tab w:val="left" w:pos="360"/>
              </w:tabs>
              <w:spacing w:after="240" w:line="240" w:lineRule="auto"/>
              <w:jc w:val="both"/>
              <w:rPr>
                <w:rFonts w:ascii="Times New Roman" w:hAnsi="Times New Roman"/>
                <w:sz w:val="24"/>
                <w:szCs w:val="24"/>
              </w:rPr>
            </w:pPr>
            <w:r w:rsidRPr="00CF4BEA">
              <w:rPr>
                <w:rFonts w:ascii="Times New Roman" w:hAnsi="Times New Roman"/>
                <w:sz w:val="24"/>
                <w:szCs w:val="24"/>
              </w:rPr>
              <w:t xml:space="preserve"> </w:t>
            </w:r>
            <w:r>
              <w:rPr>
                <w:rFonts w:ascii="Times New Roman" w:hAnsi="Times New Roman"/>
                <w:sz w:val="24"/>
                <w:szCs w:val="24"/>
              </w:rPr>
              <w:t xml:space="preserve">Zemas īres maksas mājokļi ir pieejami mājsaimniecībām, </w:t>
            </w:r>
            <w:r w:rsidR="00DA3FEA">
              <w:rPr>
                <w:rFonts w:ascii="Times New Roman" w:hAnsi="Times New Roman"/>
                <w:sz w:val="24"/>
                <w:szCs w:val="24"/>
              </w:rPr>
              <w:t xml:space="preserve">kuru ienākumi </w:t>
            </w:r>
            <w:r w:rsidR="00DA3FEA" w:rsidRPr="00DA3FEA">
              <w:rPr>
                <w:rFonts w:ascii="Times New Roman" w:hAnsi="Times New Roman"/>
                <w:sz w:val="24"/>
                <w:szCs w:val="24"/>
              </w:rPr>
              <w:t>iepriekšējā taksācijas gadā uz dzīvojamās telpas piešķiršanas brīdi izīrēšanai ir šādi:</w:t>
            </w:r>
          </w:p>
          <w:p w14:paraId="08AF0AA7" w14:textId="77777777" w:rsidR="00DA3FEA" w:rsidRDefault="00DA3FEA" w:rsidP="00CB5463">
            <w:pPr>
              <w:pStyle w:val="ListParagraph"/>
              <w:numPr>
                <w:ilvl w:val="1"/>
                <w:numId w:val="4"/>
              </w:numPr>
              <w:tabs>
                <w:tab w:val="left" w:pos="851"/>
              </w:tabs>
              <w:spacing w:after="240" w:line="240" w:lineRule="auto"/>
              <w:jc w:val="both"/>
              <w:rPr>
                <w:rFonts w:ascii="Times New Roman" w:hAnsi="Times New Roman"/>
                <w:sz w:val="24"/>
                <w:szCs w:val="24"/>
              </w:rPr>
            </w:pPr>
            <w:r>
              <w:rPr>
                <w:rFonts w:ascii="Times New Roman" w:hAnsi="Times New Roman"/>
                <w:sz w:val="24"/>
                <w:szCs w:val="24"/>
              </w:rPr>
              <w:t xml:space="preserve">) </w:t>
            </w:r>
            <w:r w:rsidRPr="00DA3FEA">
              <w:rPr>
                <w:rFonts w:ascii="Times New Roman" w:hAnsi="Times New Roman"/>
                <w:sz w:val="24"/>
                <w:szCs w:val="24"/>
              </w:rPr>
              <w:t>nepārsniedz 980 euro vienas istabas dzīvoklim;</w:t>
            </w:r>
          </w:p>
          <w:p w14:paraId="2F8A9DF5" w14:textId="77777777" w:rsidR="00DA3FEA" w:rsidRDefault="00DA3FEA" w:rsidP="00CB5463">
            <w:pPr>
              <w:pStyle w:val="ListParagraph"/>
              <w:numPr>
                <w:ilvl w:val="1"/>
                <w:numId w:val="4"/>
              </w:numPr>
              <w:tabs>
                <w:tab w:val="left" w:pos="851"/>
              </w:tabs>
              <w:spacing w:after="240" w:line="240" w:lineRule="auto"/>
              <w:jc w:val="both"/>
              <w:rPr>
                <w:rFonts w:ascii="Times New Roman" w:hAnsi="Times New Roman"/>
                <w:sz w:val="24"/>
                <w:szCs w:val="24"/>
              </w:rPr>
            </w:pPr>
            <w:r>
              <w:rPr>
                <w:rFonts w:ascii="Times New Roman" w:hAnsi="Times New Roman"/>
                <w:sz w:val="24"/>
                <w:szCs w:val="24"/>
              </w:rPr>
              <w:t xml:space="preserve">) </w:t>
            </w:r>
            <w:r w:rsidRPr="00DA3FEA">
              <w:rPr>
                <w:rFonts w:ascii="Times New Roman" w:hAnsi="Times New Roman"/>
                <w:sz w:val="24"/>
                <w:szCs w:val="24"/>
              </w:rPr>
              <w:t>nepārsniedz 1635 euro divu istabu dzīvoklim;</w:t>
            </w:r>
          </w:p>
          <w:p w14:paraId="301EBEFF" w14:textId="22D715F4" w:rsidR="00DA3FEA" w:rsidRPr="00DA3FEA" w:rsidRDefault="00DA3FEA" w:rsidP="00CB5463">
            <w:pPr>
              <w:pStyle w:val="ListParagraph"/>
              <w:numPr>
                <w:ilvl w:val="1"/>
                <w:numId w:val="4"/>
              </w:numPr>
              <w:tabs>
                <w:tab w:val="left" w:pos="851"/>
              </w:tabs>
              <w:spacing w:after="240" w:line="240" w:lineRule="auto"/>
              <w:jc w:val="both"/>
              <w:rPr>
                <w:rFonts w:ascii="Times New Roman" w:hAnsi="Times New Roman"/>
                <w:sz w:val="24"/>
                <w:szCs w:val="24"/>
              </w:rPr>
            </w:pPr>
            <w:r>
              <w:rPr>
                <w:rFonts w:ascii="Times New Roman" w:hAnsi="Times New Roman"/>
                <w:sz w:val="24"/>
                <w:szCs w:val="24"/>
              </w:rPr>
              <w:t xml:space="preserve">) </w:t>
            </w:r>
            <w:r w:rsidRPr="00DA3FEA">
              <w:rPr>
                <w:rFonts w:ascii="Times New Roman" w:hAnsi="Times New Roman"/>
                <w:sz w:val="24"/>
                <w:szCs w:val="24"/>
              </w:rPr>
              <w:t>nepārsniedz 2450 euro trīs un vairāk istabu dzīvoklim.</w:t>
            </w:r>
          </w:p>
          <w:p w14:paraId="26921833" w14:textId="2D8CD7F1" w:rsidR="00DA3FEA" w:rsidRDefault="00DA3FEA" w:rsidP="00980FFF">
            <w:pPr>
              <w:pStyle w:val="ListParagraph"/>
              <w:tabs>
                <w:tab w:val="left" w:pos="851"/>
              </w:tabs>
              <w:spacing w:after="240" w:line="240" w:lineRule="auto"/>
              <w:jc w:val="both"/>
              <w:rPr>
                <w:rFonts w:ascii="Times New Roman" w:hAnsi="Times New Roman"/>
                <w:sz w:val="24"/>
                <w:szCs w:val="24"/>
              </w:rPr>
            </w:pPr>
            <w:r>
              <w:rPr>
                <w:rFonts w:ascii="Times New Roman" w:hAnsi="Times New Roman"/>
                <w:sz w:val="24"/>
                <w:szCs w:val="24"/>
              </w:rPr>
              <w:t>1.4.) </w:t>
            </w:r>
            <w:r w:rsidRPr="00DA3FEA">
              <w:rPr>
                <w:rFonts w:ascii="Times New Roman" w:hAnsi="Times New Roman"/>
                <w:sz w:val="24"/>
                <w:szCs w:val="24"/>
              </w:rPr>
              <w:t>trīs un vairāk istabu dzīvokļi ir pieejami tām mājsaimniecībām, kuras veido vismaz divas personas</w:t>
            </w:r>
            <w:r>
              <w:rPr>
                <w:rFonts w:ascii="Times New Roman" w:hAnsi="Times New Roman"/>
                <w:sz w:val="24"/>
                <w:szCs w:val="24"/>
              </w:rPr>
              <w:t>.</w:t>
            </w:r>
          </w:p>
          <w:p w14:paraId="096BD0B9" w14:textId="02E6E5D3" w:rsidR="00DA3FEA" w:rsidRPr="00DA3FEA" w:rsidRDefault="00DA3FEA" w:rsidP="00980FFF">
            <w:pPr>
              <w:pStyle w:val="ListParagraph"/>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Lai atbalsta programmas īstenošanas laikā nodrošinātu ienākumu sliekšņu atbilstību aktuālajai ekonomiskajai situācijai, sākot </w:t>
            </w:r>
            <w:r w:rsidRPr="00DA3FEA">
              <w:rPr>
                <w:rFonts w:ascii="Times New Roman" w:hAnsi="Times New Roman"/>
                <w:sz w:val="24"/>
                <w:szCs w:val="24"/>
              </w:rPr>
              <w:t xml:space="preserve">no 2022.gada 1.janvāra un turpmāk katru gadu </w:t>
            </w:r>
            <w:r w:rsidRPr="00DA3FEA">
              <w:rPr>
                <w:rFonts w:ascii="Times New Roman" w:hAnsi="Times New Roman"/>
                <w:sz w:val="24"/>
                <w:szCs w:val="24"/>
              </w:rPr>
              <w:t>ienākumu sliekšņus ir</w:t>
            </w:r>
            <w:r>
              <w:rPr>
                <w:rFonts w:ascii="Times New Roman" w:hAnsi="Times New Roman"/>
                <w:sz w:val="24"/>
                <w:szCs w:val="24"/>
              </w:rPr>
              <w:t xml:space="preserve"> paredzēts indeksēt atbilstoši valsts inflācijas līmenim.</w:t>
            </w:r>
          </w:p>
          <w:p w14:paraId="04AFAA17" w14:textId="77777777" w:rsidR="00DA3FEA" w:rsidRDefault="00DA3FEA" w:rsidP="00980FFF">
            <w:pPr>
              <w:tabs>
                <w:tab w:val="left" w:pos="851"/>
              </w:tabs>
              <w:spacing w:after="0" w:line="240" w:lineRule="auto"/>
              <w:ind w:left="359"/>
              <w:jc w:val="both"/>
              <w:rPr>
                <w:rFonts w:ascii="Times New Roman" w:hAnsi="Times New Roman"/>
                <w:sz w:val="24"/>
                <w:szCs w:val="24"/>
              </w:rPr>
            </w:pPr>
            <w:r>
              <w:rPr>
                <w:rFonts w:ascii="Times New Roman" w:hAnsi="Times New Roman"/>
                <w:sz w:val="24"/>
                <w:szCs w:val="24"/>
              </w:rPr>
              <w:t>2) Ī</w:t>
            </w:r>
            <w:r w:rsidRPr="00DA3FEA">
              <w:rPr>
                <w:rFonts w:ascii="Times New Roman" w:hAnsi="Times New Roman"/>
                <w:sz w:val="24"/>
                <w:szCs w:val="24"/>
              </w:rPr>
              <w:t>res maks</w:t>
            </w:r>
            <w:r>
              <w:rPr>
                <w:rFonts w:ascii="Times New Roman" w:hAnsi="Times New Roman"/>
                <w:sz w:val="24"/>
                <w:szCs w:val="24"/>
              </w:rPr>
              <w:t xml:space="preserve">a </w:t>
            </w:r>
            <w:r w:rsidRPr="00DA3FEA">
              <w:rPr>
                <w:rFonts w:ascii="Times New Roman" w:hAnsi="Times New Roman"/>
                <w:sz w:val="24"/>
                <w:szCs w:val="24"/>
              </w:rPr>
              <w:t>nepārsniedz 5,5 EUR/m</w:t>
            </w:r>
            <w:r w:rsidRPr="00DA3FEA">
              <w:rPr>
                <w:rFonts w:ascii="Times New Roman" w:hAnsi="Times New Roman"/>
                <w:sz w:val="24"/>
                <w:szCs w:val="24"/>
                <w:vertAlign w:val="superscript"/>
              </w:rPr>
              <w:t>2</w:t>
            </w:r>
            <w:r w:rsidRPr="00DA3FEA">
              <w:rPr>
                <w:rFonts w:ascii="Times New Roman" w:hAnsi="Times New Roman"/>
                <w:sz w:val="24"/>
                <w:szCs w:val="24"/>
              </w:rPr>
              <w:t xml:space="preserve"> mēnesī, </w:t>
            </w:r>
            <w:r>
              <w:rPr>
                <w:rFonts w:ascii="Times New Roman" w:hAnsi="Times New Roman"/>
                <w:sz w:val="24"/>
                <w:szCs w:val="24"/>
              </w:rPr>
              <w:t>un</w:t>
            </w:r>
            <w:r w:rsidRPr="00DA3FEA">
              <w:rPr>
                <w:rFonts w:ascii="Times New Roman" w:hAnsi="Times New Roman"/>
                <w:sz w:val="24"/>
                <w:szCs w:val="24"/>
              </w:rPr>
              <w:t xml:space="preserve"> ir noteikta  atbilstoši Dzīvojamo telpu īres likumā noteiktajai kārtībai, un ietver dzīvojamās īres mājas nekustamā īpašuma nodokli un apdrošināšanu.</w:t>
            </w:r>
            <w:r>
              <w:rPr>
                <w:rFonts w:ascii="Times New Roman" w:hAnsi="Times New Roman"/>
                <w:sz w:val="24"/>
                <w:szCs w:val="24"/>
              </w:rPr>
              <w:t xml:space="preserve"> Noteikumu projekts paredz īres maksas palielināšanu šādos gadījumos: </w:t>
            </w:r>
            <w:bookmarkStart w:id="5" w:name="_Hlk78802622"/>
          </w:p>
          <w:p w14:paraId="72C43186" w14:textId="77777777" w:rsidR="00B87A7A" w:rsidRDefault="00DA3FEA" w:rsidP="00980FFF">
            <w:pPr>
              <w:tabs>
                <w:tab w:val="left" w:pos="851"/>
              </w:tabs>
              <w:spacing w:after="0" w:line="240" w:lineRule="auto"/>
              <w:ind w:left="784"/>
              <w:jc w:val="both"/>
              <w:rPr>
                <w:rFonts w:ascii="Times New Roman" w:hAnsi="Times New Roman"/>
                <w:sz w:val="24"/>
                <w:szCs w:val="24"/>
              </w:rPr>
            </w:pPr>
            <w:r>
              <w:rPr>
                <w:rFonts w:ascii="Times New Roman" w:hAnsi="Times New Roman"/>
                <w:sz w:val="24"/>
                <w:szCs w:val="24"/>
              </w:rPr>
              <w:t xml:space="preserve">2.1.) </w:t>
            </w:r>
            <w:r w:rsidRPr="00DA3FEA">
              <w:rPr>
                <w:rFonts w:ascii="Times New Roman" w:hAnsi="Times New Roman"/>
                <w:sz w:val="24"/>
                <w:szCs w:val="24"/>
              </w:rPr>
              <w:t xml:space="preserve">reizi piecos gados veicot </w:t>
            </w:r>
            <w:bookmarkEnd w:id="5"/>
            <w:r w:rsidRPr="00DA3FEA">
              <w:rPr>
                <w:rFonts w:ascii="Times New Roman" w:hAnsi="Times New Roman"/>
                <w:sz w:val="24"/>
                <w:szCs w:val="24"/>
              </w:rPr>
              <w:t>indeksāciju saskaņā ar valsts inflācijas līmeni</w:t>
            </w:r>
            <w:r w:rsidR="00B87A7A">
              <w:rPr>
                <w:rFonts w:ascii="Times New Roman" w:hAnsi="Times New Roman"/>
                <w:sz w:val="24"/>
                <w:szCs w:val="24"/>
              </w:rPr>
              <w:t>;</w:t>
            </w:r>
          </w:p>
          <w:p w14:paraId="5BCB1505" w14:textId="7D1483A8" w:rsidR="00DA3FEA" w:rsidRDefault="00B87A7A" w:rsidP="00980FFF">
            <w:pPr>
              <w:tabs>
                <w:tab w:val="left" w:pos="851"/>
              </w:tabs>
              <w:spacing w:after="0" w:line="240" w:lineRule="auto"/>
              <w:ind w:left="784"/>
              <w:jc w:val="both"/>
              <w:rPr>
                <w:rFonts w:ascii="Times New Roman" w:hAnsi="Times New Roman"/>
                <w:sz w:val="24"/>
                <w:szCs w:val="24"/>
              </w:rPr>
            </w:pPr>
            <w:r>
              <w:rPr>
                <w:rFonts w:ascii="Times New Roman" w:hAnsi="Times New Roman"/>
                <w:sz w:val="24"/>
                <w:szCs w:val="24"/>
              </w:rPr>
              <w:t xml:space="preserve">2.2.) </w:t>
            </w:r>
            <w:r w:rsidR="00DA3FEA" w:rsidRPr="00B87A7A">
              <w:rPr>
                <w:rFonts w:ascii="Times New Roman" w:hAnsi="Times New Roman"/>
                <w:sz w:val="24"/>
                <w:szCs w:val="24"/>
              </w:rPr>
              <w:t>veicot kompleksus ēkas atjaunošanas darbus atbilstoši ēkas uzturēšanas plānam.</w:t>
            </w:r>
          </w:p>
          <w:p w14:paraId="56DB3A8D" w14:textId="40261974" w:rsidR="00DF1DC2" w:rsidRDefault="00DF1DC2" w:rsidP="00980FFF">
            <w:pPr>
              <w:spacing w:after="240" w:line="240" w:lineRule="auto"/>
              <w:ind w:left="359"/>
              <w:jc w:val="both"/>
              <w:rPr>
                <w:rFonts w:ascii="Times New Roman" w:hAnsi="Times New Roman"/>
                <w:sz w:val="24"/>
                <w:szCs w:val="24"/>
              </w:rPr>
            </w:pPr>
            <w:r>
              <w:rPr>
                <w:rFonts w:ascii="Times New Roman" w:hAnsi="Times New Roman"/>
                <w:sz w:val="24"/>
                <w:szCs w:val="24"/>
              </w:rPr>
              <w:t>3) Attiecinām</w:t>
            </w:r>
            <w:r w:rsidR="00980FFF">
              <w:rPr>
                <w:rFonts w:ascii="Times New Roman" w:hAnsi="Times New Roman"/>
                <w:sz w:val="24"/>
                <w:szCs w:val="24"/>
              </w:rPr>
              <w:t xml:space="preserve">o izmaksu apmērs </w:t>
            </w:r>
            <w:r>
              <w:rPr>
                <w:rFonts w:ascii="Times New Roman" w:hAnsi="Times New Roman"/>
                <w:sz w:val="24"/>
                <w:szCs w:val="24"/>
              </w:rPr>
              <w:t xml:space="preserve">nepārsniedz </w:t>
            </w:r>
            <w:r w:rsidRPr="00DF1DC2">
              <w:rPr>
                <w:rFonts w:ascii="Times New Roman" w:hAnsi="Times New Roman"/>
                <w:sz w:val="24"/>
                <w:szCs w:val="24"/>
              </w:rPr>
              <w:t xml:space="preserve">1400 </w:t>
            </w:r>
            <w:r w:rsidRPr="00DF1DC2">
              <w:rPr>
                <w:rFonts w:ascii="Times New Roman" w:hAnsi="Times New Roman"/>
                <w:i/>
                <w:iCs/>
                <w:sz w:val="24"/>
                <w:szCs w:val="24"/>
              </w:rPr>
              <w:t>euro</w:t>
            </w:r>
            <w:r w:rsidRPr="00DF1DC2">
              <w:rPr>
                <w:rFonts w:ascii="Times New Roman" w:hAnsi="Times New Roman"/>
                <w:sz w:val="24"/>
                <w:szCs w:val="24"/>
              </w:rPr>
              <w:t xml:space="preserve"> ar pievienotās vērtības nodokli par kvadrātmetru, rēķinot uz lietderīgo dzīvojamās īres mājas platību. </w:t>
            </w:r>
          </w:p>
          <w:p w14:paraId="1AB7EC1D" w14:textId="27EE62BD" w:rsidR="009F60F2" w:rsidRDefault="00DF1DC2" w:rsidP="00980FFF">
            <w:pPr>
              <w:spacing w:after="240" w:line="240" w:lineRule="auto"/>
              <w:jc w:val="both"/>
              <w:rPr>
                <w:rFonts w:ascii="Times New Roman" w:hAnsi="Times New Roman"/>
                <w:sz w:val="24"/>
                <w:szCs w:val="24"/>
              </w:rPr>
            </w:pPr>
            <w:r>
              <w:rPr>
                <w:rFonts w:ascii="Times New Roman" w:hAnsi="Times New Roman"/>
                <w:sz w:val="24"/>
                <w:szCs w:val="24"/>
              </w:rPr>
              <w:t xml:space="preserve">Lai nodrošinātu, ka dzīvojamā īres māja tiek izmantota atbilstoši </w:t>
            </w:r>
            <w:r w:rsidR="00980FFF">
              <w:rPr>
                <w:rFonts w:ascii="Times New Roman" w:hAnsi="Times New Roman"/>
                <w:sz w:val="24"/>
                <w:szCs w:val="24"/>
              </w:rPr>
              <w:t xml:space="preserve">atbalsta programmas </w:t>
            </w:r>
            <w:r>
              <w:rPr>
                <w:rFonts w:ascii="Times New Roman" w:hAnsi="Times New Roman"/>
                <w:sz w:val="24"/>
                <w:szCs w:val="24"/>
              </w:rPr>
              <w:t>mērķim, aizdevuma darījumam starp nekustamā īpašuma attīstītāju un sabiedrību “Altum”  tiks ierakstīta aizlieguma atzīme (tiesību aprobežojums), kas aizliegs</w:t>
            </w:r>
            <w:r w:rsidR="00980FFF">
              <w:rPr>
                <w:rFonts w:ascii="Times New Roman" w:hAnsi="Times New Roman"/>
                <w:sz w:val="24"/>
                <w:szCs w:val="24"/>
              </w:rPr>
              <w:t>, tā piemēram,</w:t>
            </w:r>
            <w:r>
              <w:rPr>
                <w:rFonts w:ascii="Times New Roman" w:hAnsi="Times New Roman"/>
                <w:sz w:val="24"/>
                <w:szCs w:val="24"/>
              </w:rPr>
              <w:t xml:space="preserve"> īres mājas dzīvokļus nodot apakšīrei un nodot īrei uz izpirkuma tiesībām. </w:t>
            </w:r>
          </w:p>
          <w:p w14:paraId="0D2AEC28" w14:textId="6103FC78" w:rsidR="000C25BC" w:rsidRPr="00980FFF" w:rsidRDefault="009F60F2" w:rsidP="00980FFF">
            <w:pPr>
              <w:tabs>
                <w:tab w:val="left" w:pos="851"/>
              </w:tabs>
              <w:spacing w:line="240" w:lineRule="auto"/>
              <w:jc w:val="both"/>
              <w:rPr>
                <w:rFonts w:ascii="Times New Roman" w:hAnsi="Times New Roman"/>
                <w:sz w:val="24"/>
                <w:szCs w:val="24"/>
              </w:rPr>
            </w:pPr>
            <w:r w:rsidRPr="00980FFF">
              <w:rPr>
                <w:rFonts w:ascii="Times New Roman" w:hAnsi="Times New Roman"/>
                <w:sz w:val="24"/>
                <w:szCs w:val="24"/>
              </w:rPr>
              <w:lastRenderedPageBreak/>
              <w:t xml:space="preserve">Ņemot vērā mājokļu pieejamības problemātikas apmēru, un lai nodrošinātu finansējuma pieejamību ilgtermiņā, Noteikumu projekts paredz izveidot </w:t>
            </w:r>
            <w:r w:rsidRPr="00980FFF">
              <w:rPr>
                <w:rFonts w:ascii="Times New Roman" w:hAnsi="Times New Roman"/>
                <w:sz w:val="24"/>
                <w:szCs w:val="24"/>
              </w:rPr>
              <w:t>mājokļu pieejamības fond</w:t>
            </w:r>
            <w:r w:rsidRPr="00980FFF">
              <w:rPr>
                <w:rFonts w:ascii="Times New Roman" w:hAnsi="Times New Roman"/>
                <w:sz w:val="24"/>
                <w:szCs w:val="24"/>
              </w:rPr>
              <w:t xml:space="preserve">u, kurā finansējumu veidos </w:t>
            </w:r>
            <w:r w:rsidRPr="00980FFF">
              <w:rPr>
                <w:rFonts w:ascii="Times New Roman" w:hAnsi="Times New Roman"/>
                <w:sz w:val="24"/>
                <w:szCs w:val="24"/>
              </w:rPr>
              <w:t>Atveseļošanās un noturības mehānisma plāna finansējum</w:t>
            </w:r>
            <w:r w:rsidRPr="00980FFF">
              <w:rPr>
                <w:rFonts w:ascii="Times New Roman" w:hAnsi="Times New Roman"/>
                <w:sz w:val="24"/>
                <w:szCs w:val="24"/>
              </w:rPr>
              <w:t xml:space="preserve">s, </w:t>
            </w:r>
            <w:r w:rsidRPr="00980FFF">
              <w:rPr>
                <w:rFonts w:ascii="Times New Roman" w:hAnsi="Times New Roman"/>
                <w:sz w:val="24"/>
                <w:szCs w:val="24"/>
              </w:rPr>
              <w:t xml:space="preserve"> sabiedrības “Altum” </w:t>
            </w:r>
            <w:r w:rsidRPr="00980FFF">
              <w:rPr>
                <w:rFonts w:ascii="Times New Roman" w:hAnsi="Times New Roman"/>
                <w:sz w:val="24"/>
                <w:szCs w:val="24"/>
              </w:rPr>
              <w:t xml:space="preserve">Noteikumu projekta ietvaros </w:t>
            </w:r>
            <w:r w:rsidRPr="00980FFF">
              <w:rPr>
                <w:rFonts w:ascii="Times New Roman" w:hAnsi="Times New Roman"/>
                <w:sz w:val="24"/>
                <w:szCs w:val="24"/>
              </w:rPr>
              <w:t>izsniegto aizdevumu pamatsummu atmaksas un iemaksas no īres maksas 50 % apmērā</w:t>
            </w:r>
            <w:r w:rsidRPr="00980FFF">
              <w:rPr>
                <w:rFonts w:ascii="Times New Roman" w:hAnsi="Times New Roman"/>
                <w:sz w:val="24"/>
                <w:szCs w:val="24"/>
              </w:rPr>
              <w:t xml:space="preserve"> pēc sabiedrības “Altum” aizdevumu atmaksas</w:t>
            </w:r>
            <w:r w:rsidRPr="00980FFF">
              <w:rPr>
                <w:rFonts w:ascii="Times New Roman" w:hAnsi="Times New Roman"/>
                <w:sz w:val="24"/>
                <w:szCs w:val="24"/>
              </w:rPr>
              <w:t>.</w:t>
            </w:r>
          </w:p>
          <w:p w14:paraId="137D433C" w14:textId="447EDDB6" w:rsidR="005B6C49" w:rsidRPr="00842E44" w:rsidRDefault="005B6C49" w:rsidP="009F60F2">
            <w:pPr>
              <w:spacing w:after="0" w:line="240" w:lineRule="auto"/>
              <w:jc w:val="both"/>
              <w:rPr>
                <w:rFonts w:ascii="Times New Roman" w:hAnsi="Times New Roman"/>
                <w:sz w:val="24"/>
                <w:szCs w:val="24"/>
                <w:highlight w:val="yellow"/>
              </w:rPr>
            </w:pPr>
          </w:p>
        </w:tc>
      </w:tr>
      <w:tr w:rsidR="00D11F74" w:rsidRPr="007D6ED7" w14:paraId="7F7EC0F0" w14:textId="77777777" w:rsidTr="09E35D4E">
        <w:tc>
          <w:tcPr>
            <w:tcW w:w="191" w:type="pct"/>
          </w:tcPr>
          <w:p w14:paraId="71EC361F" w14:textId="00BE42D0"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lastRenderedPageBreak/>
              <w:t>3.</w:t>
            </w:r>
          </w:p>
        </w:tc>
        <w:tc>
          <w:tcPr>
            <w:tcW w:w="1520" w:type="pct"/>
          </w:tcPr>
          <w:p w14:paraId="0DE533F5" w14:textId="31E4F016" w:rsidR="004B33BE"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izstrādē iesaistītās institūcijas un publiskas personas kapitālsabiedrības</w:t>
            </w:r>
          </w:p>
        </w:tc>
        <w:tc>
          <w:tcPr>
            <w:tcW w:w="3289" w:type="pct"/>
          </w:tcPr>
          <w:p w14:paraId="2D06F8AD" w14:textId="39849F61" w:rsidR="00392D00" w:rsidRPr="007D6ED7" w:rsidRDefault="00480B38" w:rsidP="005B2BF1">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bCs/>
                <w:sz w:val="24"/>
                <w:szCs w:val="24"/>
                <w:lang w:eastAsia="lv-LV"/>
              </w:rPr>
              <w:t xml:space="preserve">Ekonomikas ministrija, </w:t>
            </w:r>
            <w:r w:rsidR="004158AA" w:rsidRPr="007D6ED7">
              <w:rPr>
                <w:rFonts w:ascii="Times New Roman" w:eastAsia="Times New Roman" w:hAnsi="Times New Roman"/>
                <w:bCs/>
                <w:sz w:val="24"/>
                <w:szCs w:val="24"/>
                <w:lang w:eastAsia="lv-LV"/>
              </w:rPr>
              <w:t>sabiedrība “</w:t>
            </w:r>
            <w:r w:rsidR="00820B25" w:rsidRPr="007D6ED7">
              <w:rPr>
                <w:rFonts w:ascii="Times New Roman" w:eastAsia="Times New Roman" w:hAnsi="Times New Roman"/>
                <w:bCs/>
                <w:sz w:val="24"/>
                <w:szCs w:val="24"/>
                <w:lang w:eastAsia="lv-LV"/>
              </w:rPr>
              <w:t>Altum</w:t>
            </w:r>
            <w:r w:rsidR="004158AA" w:rsidRPr="007D6ED7">
              <w:rPr>
                <w:rFonts w:ascii="Times New Roman" w:eastAsia="Times New Roman" w:hAnsi="Times New Roman"/>
                <w:bCs/>
                <w:sz w:val="24"/>
                <w:szCs w:val="24"/>
                <w:lang w:eastAsia="lv-LV"/>
              </w:rPr>
              <w:t>”</w:t>
            </w:r>
            <w:r w:rsidR="00464421">
              <w:rPr>
                <w:rFonts w:ascii="Times New Roman" w:eastAsia="Times New Roman" w:hAnsi="Times New Roman"/>
                <w:bCs/>
                <w:sz w:val="24"/>
                <w:szCs w:val="24"/>
                <w:lang w:eastAsia="lv-LV"/>
              </w:rPr>
              <w:t xml:space="preserve">, </w:t>
            </w:r>
            <w:r w:rsidR="00031D26" w:rsidRPr="00031D26">
              <w:rPr>
                <w:rFonts w:ascii="Times New Roman" w:eastAsia="Times New Roman" w:hAnsi="Times New Roman"/>
                <w:bCs/>
                <w:sz w:val="24"/>
                <w:szCs w:val="24"/>
                <w:lang w:eastAsia="lv-LV"/>
              </w:rPr>
              <w:t xml:space="preserve"> </w:t>
            </w:r>
            <w:r w:rsidR="00031D26" w:rsidRPr="00031D26">
              <w:rPr>
                <w:rFonts w:ascii="Times New Roman" w:eastAsia="Times New Roman" w:hAnsi="Times New Roman"/>
                <w:bCs/>
                <w:sz w:val="24"/>
                <w:szCs w:val="24"/>
                <w:lang w:eastAsia="lv-LV"/>
              </w:rPr>
              <w:t>sabiedrībai ar ierobežotu atbildību “Publisko aktīvu pārvaldītājs Possessor”</w:t>
            </w:r>
            <w:r w:rsidR="00917EF7">
              <w:rPr>
                <w:rFonts w:ascii="Times New Roman" w:eastAsia="Times New Roman" w:hAnsi="Times New Roman"/>
                <w:bCs/>
                <w:sz w:val="24"/>
                <w:szCs w:val="24"/>
                <w:lang w:eastAsia="lv-LV"/>
              </w:rPr>
              <w:t xml:space="preserve"> (turpmāk – “Possessor”)</w:t>
            </w:r>
            <w:r w:rsidR="00031D26">
              <w:rPr>
                <w:rFonts w:ascii="Times New Roman" w:eastAsia="Times New Roman" w:hAnsi="Times New Roman"/>
                <w:bCs/>
                <w:sz w:val="24"/>
                <w:szCs w:val="24"/>
                <w:lang w:eastAsia="lv-LV"/>
              </w:rPr>
              <w:t>.</w:t>
            </w:r>
          </w:p>
        </w:tc>
      </w:tr>
      <w:tr w:rsidR="00D11F74" w:rsidRPr="007D6ED7" w14:paraId="175958CA" w14:textId="77777777" w:rsidTr="09E35D4E">
        <w:tc>
          <w:tcPr>
            <w:tcW w:w="191" w:type="pct"/>
          </w:tcPr>
          <w:p w14:paraId="3CBCAAF4" w14:textId="7FD7A2D5"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4.</w:t>
            </w:r>
          </w:p>
        </w:tc>
        <w:tc>
          <w:tcPr>
            <w:tcW w:w="1520" w:type="pct"/>
          </w:tcPr>
          <w:p w14:paraId="2CF71E8B" w14:textId="77777777" w:rsidR="00392D00" w:rsidRPr="007D6ED7" w:rsidRDefault="00363BB6" w:rsidP="005B2BF1">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3289" w:type="pct"/>
          </w:tcPr>
          <w:p w14:paraId="1F5B946A" w14:textId="032430F6" w:rsidR="00577216" w:rsidRPr="007D6ED7" w:rsidRDefault="00363BB6" w:rsidP="005B2BF1">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Nav.</w:t>
            </w:r>
          </w:p>
        </w:tc>
      </w:tr>
    </w:tbl>
    <w:p w14:paraId="0D0D29A7" w14:textId="0C87B762" w:rsidR="00247BA4" w:rsidRPr="007D6ED7" w:rsidRDefault="00247BA4" w:rsidP="001652C3">
      <w:pPr>
        <w:spacing w:after="0" w:line="240" w:lineRule="auto"/>
        <w:rPr>
          <w:rFonts w:ascii="Times New Roman" w:hAnsi="Times New Roman"/>
          <w:i/>
          <w:sz w:val="24"/>
          <w:szCs w:val="24"/>
        </w:rPr>
      </w:pPr>
    </w:p>
    <w:p w14:paraId="4D92EF93" w14:textId="77777777" w:rsidR="004C3B26" w:rsidRPr="007D6ED7" w:rsidRDefault="004C3B26" w:rsidP="001652C3">
      <w:pPr>
        <w:spacing w:after="0" w:line="240" w:lineRule="auto"/>
        <w:rPr>
          <w:rFonts w:ascii="Times New Roman" w:hAnsi="Times New Roman"/>
          <w:i/>
          <w:sz w:val="24"/>
          <w:szCs w:val="24"/>
        </w:rPr>
      </w:pPr>
    </w:p>
    <w:tbl>
      <w:tblPr>
        <w:tblW w:w="5646" w:type="pct"/>
        <w:tblInd w:w="-72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451"/>
        <w:gridCol w:w="3234"/>
        <w:gridCol w:w="6805"/>
        <w:gridCol w:w="11"/>
        <w:gridCol w:w="38"/>
      </w:tblGrid>
      <w:tr w:rsidR="00925F9E" w:rsidRPr="007D6ED7" w14:paraId="74EC6D5A" w14:textId="77777777" w:rsidTr="00495097">
        <w:trPr>
          <w:gridBefore w:val="1"/>
          <w:gridAfter w:val="2"/>
          <w:wBefore w:w="4" w:type="pct"/>
          <w:wAfter w:w="23" w:type="pct"/>
          <w:trHeight w:val="555"/>
        </w:trPr>
        <w:tc>
          <w:tcPr>
            <w:tcW w:w="4973" w:type="pct"/>
            <w:gridSpan w:val="3"/>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7D6ED7" w:rsidRDefault="00363BB6" w:rsidP="005B26B7">
            <w:pPr>
              <w:spacing w:before="100" w:beforeAutospacing="1" w:after="100" w:afterAutospacing="1" w:line="293" w:lineRule="atLeast"/>
              <w:jc w:val="center"/>
              <w:rPr>
                <w:rFonts w:ascii="Times New Roman" w:hAnsi="Times New Roman"/>
                <w:b/>
                <w:bCs/>
                <w:sz w:val="24"/>
                <w:szCs w:val="24"/>
              </w:rPr>
            </w:pPr>
            <w:r w:rsidRPr="007D6ED7">
              <w:rPr>
                <w:rFonts w:ascii="Times New Roman" w:hAnsi="Times New Roman"/>
                <w:sz w:val="24"/>
                <w:szCs w:val="24"/>
              </w:rPr>
              <w:t> </w:t>
            </w:r>
            <w:r w:rsidRPr="007D6ED7">
              <w:rPr>
                <w:rFonts w:ascii="Times New Roman" w:hAnsi="Times New Roman"/>
                <w:b/>
                <w:bCs/>
                <w:sz w:val="24"/>
                <w:szCs w:val="24"/>
              </w:rPr>
              <w:t>II. Tiesību akta projekta ietekme uz sabiedrību, tautsaimniecības attīstību un administratīvo slogu</w:t>
            </w:r>
          </w:p>
        </w:tc>
      </w:tr>
      <w:tr w:rsidR="00925F9E" w:rsidRPr="007D6ED7" w14:paraId="2F8AE82F" w14:textId="77777777" w:rsidTr="00495097">
        <w:trPr>
          <w:gridBefore w:val="1"/>
          <w:gridAfter w:val="2"/>
          <w:wBefore w:w="4" w:type="pct"/>
          <w:wAfter w:w="23" w:type="pct"/>
          <w:trHeight w:val="465"/>
        </w:trPr>
        <w:tc>
          <w:tcPr>
            <w:tcW w:w="214" w:type="pct"/>
            <w:tcBorders>
              <w:top w:val="outset" w:sz="6" w:space="0" w:color="414142"/>
              <w:left w:val="outset" w:sz="6" w:space="0" w:color="414142"/>
              <w:bottom w:val="outset" w:sz="6" w:space="0" w:color="414142"/>
              <w:right w:val="outset" w:sz="6" w:space="0" w:color="414142"/>
            </w:tcBorders>
            <w:hideMark/>
          </w:tcPr>
          <w:p w14:paraId="2D2C002B"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1.</w:t>
            </w:r>
          </w:p>
        </w:tc>
        <w:tc>
          <w:tcPr>
            <w:tcW w:w="1533" w:type="pct"/>
            <w:tcBorders>
              <w:top w:val="outset" w:sz="6" w:space="0" w:color="414142"/>
              <w:left w:val="outset" w:sz="6" w:space="0" w:color="414142"/>
              <w:bottom w:val="outset" w:sz="6" w:space="0" w:color="414142"/>
              <w:right w:val="outset" w:sz="6" w:space="0" w:color="414142"/>
            </w:tcBorders>
            <w:hideMark/>
          </w:tcPr>
          <w:p w14:paraId="0C0F4FCF"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Sabiedrības mērķgrupas, kuras tiesiskais regulējums ietekmē vai varētu ietekmēt</w:t>
            </w:r>
          </w:p>
        </w:tc>
        <w:tc>
          <w:tcPr>
            <w:tcW w:w="3226" w:type="pct"/>
            <w:tcBorders>
              <w:top w:val="outset" w:sz="6" w:space="0" w:color="414142"/>
              <w:left w:val="outset" w:sz="6" w:space="0" w:color="414142"/>
              <w:bottom w:val="outset" w:sz="6" w:space="0" w:color="414142"/>
              <w:right w:val="outset" w:sz="6" w:space="0" w:color="414142"/>
            </w:tcBorders>
          </w:tcPr>
          <w:p w14:paraId="4275780A" w14:textId="0D5E9D31" w:rsidR="001B53A6" w:rsidRPr="007D6ED7" w:rsidRDefault="00031D26" w:rsidP="001B374C">
            <w:pPr>
              <w:spacing w:after="0" w:line="240" w:lineRule="auto"/>
              <w:ind w:right="106"/>
              <w:jc w:val="both"/>
              <w:rPr>
                <w:rFonts w:ascii="Times New Roman" w:hAnsi="Times New Roman"/>
                <w:sz w:val="24"/>
                <w:szCs w:val="24"/>
              </w:rPr>
            </w:pPr>
            <w:r>
              <w:rPr>
                <w:rFonts w:ascii="Times New Roman" w:hAnsi="Times New Roman"/>
                <w:sz w:val="24"/>
                <w:szCs w:val="24"/>
              </w:rPr>
              <w:t>Mājsaimniecības, nekustamā īpašuma attīstītāji (kapitālsabiedrības vai kooperatīvās sabiedrības).</w:t>
            </w:r>
          </w:p>
        </w:tc>
      </w:tr>
      <w:tr w:rsidR="00925F9E" w:rsidRPr="007D6ED7" w14:paraId="65A5AF99"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7EFA10A9"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2.</w:t>
            </w:r>
          </w:p>
        </w:tc>
        <w:tc>
          <w:tcPr>
            <w:tcW w:w="1533" w:type="pct"/>
            <w:tcBorders>
              <w:top w:val="outset" w:sz="6" w:space="0" w:color="414142"/>
              <w:left w:val="outset" w:sz="6" w:space="0" w:color="414142"/>
              <w:bottom w:val="outset" w:sz="6" w:space="0" w:color="414142"/>
              <w:right w:val="outset" w:sz="6" w:space="0" w:color="414142"/>
            </w:tcBorders>
            <w:hideMark/>
          </w:tcPr>
          <w:p w14:paraId="5A5E2F6F"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Tiesiskā regulējuma ietekme uz tautsaimniecību un administratīvo slogu</w:t>
            </w:r>
          </w:p>
        </w:tc>
        <w:tc>
          <w:tcPr>
            <w:tcW w:w="3226" w:type="pct"/>
            <w:tcBorders>
              <w:top w:val="outset" w:sz="6" w:space="0" w:color="414142"/>
              <w:left w:val="outset" w:sz="6" w:space="0" w:color="414142"/>
              <w:bottom w:val="outset" w:sz="6" w:space="0" w:color="414142"/>
              <w:right w:val="outset" w:sz="6" w:space="0" w:color="414142"/>
            </w:tcBorders>
          </w:tcPr>
          <w:p w14:paraId="4FE137FE" w14:textId="77777777" w:rsidR="005B38A0" w:rsidRDefault="001B374C" w:rsidP="001B374C">
            <w:pPr>
              <w:spacing w:after="0" w:line="240" w:lineRule="auto"/>
              <w:ind w:right="106"/>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Noteikumu projekts p</w:t>
            </w:r>
            <w:r w:rsidR="00031D26">
              <w:rPr>
                <w:rFonts w:ascii="Times New Roman" w:eastAsia="Times New Roman" w:hAnsi="Times New Roman"/>
                <w:iCs/>
                <w:color w:val="000000" w:themeColor="text1"/>
                <w:sz w:val="24"/>
                <w:szCs w:val="24"/>
                <w:lang w:eastAsia="lv-LV"/>
              </w:rPr>
              <w:t xml:space="preserve">aredz pozitīvu </w:t>
            </w:r>
            <w:r w:rsidRPr="007D6ED7">
              <w:rPr>
                <w:rFonts w:ascii="Times New Roman" w:eastAsia="Times New Roman" w:hAnsi="Times New Roman"/>
                <w:iCs/>
                <w:color w:val="000000" w:themeColor="text1"/>
                <w:sz w:val="24"/>
                <w:szCs w:val="24"/>
                <w:lang w:eastAsia="lv-LV"/>
              </w:rPr>
              <w:t>ietekm</w:t>
            </w:r>
            <w:r w:rsidR="00031D26">
              <w:rPr>
                <w:rFonts w:ascii="Times New Roman" w:eastAsia="Times New Roman" w:hAnsi="Times New Roman"/>
                <w:iCs/>
                <w:color w:val="000000" w:themeColor="text1"/>
                <w:sz w:val="24"/>
                <w:szCs w:val="24"/>
                <w:lang w:eastAsia="lv-LV"/>
              </w:rPr>
              <w:t>i uz</w:t>
            </w:r>
            <w:r w:rsidRPr="007D6ED7">
              <w:rPr>
                <w:rFonts w:ascii="Times New Roman" w:eastAsia="Times New Roman" w:hAnsi="Times New Roman"/>
                <w:iCs/>
                <w:color w:val="000000" w:themeColor="text1"/>
                <w:sz w:val="24"/>
                <w:szCs w:val="24"/>
                <w:lang w:eastAsia="lv-LV"/>
              </w:rPr>
              <w:t xml:space="preserve"> tautsaimniecību</w:t>
            </w:r>
            <w:r w:rsidR="00031D26">
              <w:rPr>
                <w:rFonts w:ascii="Times New Roman" w:eastAsia="Times New Roman" w:hAnsi="Times New Roman"/>
                <w:iCs/>
                <w:color w:val="000000" w:themeColor="text1"/>
                <w:sz w:val="24"/>
                <w:szCs w:val="24"/>
                <w:lang w:eastAsia="lv-LV"/>
              </w:rPr>
              <w:t>, jo veicinās mājokļu pieejamību mājsaimniecībām.</w:t>
            </w:r>
          </w:p>
          <w:p w14:paraId="6A4EA1E5" w14:textId="706FD581" w:rsidR="00031D26" w:rsidRPr="007D6ED7" w:rsidRDefault="00031D26" w:rsidP="001B374C">
            <w:pPr>
              <w:spacing w:after="0" w:line="240" w:lineRule="auto"/>
              <w:ind w:right="106"/>
              <w:jc w:val="both"/>
              <w:rPr>
                <w:rFonts w:ascii="Times New Roman" w:hAnsi="Times New Roman"/>
                <w:sz w:val="24"/>
                <w:szCs w:val="24"/>
              </w:rPr>
            </w:pPr>
            <w:r>
              <w:rPr>
                <w:rFonts w:ascii="Times New Roman" w:hAnsi="Times New Roman"/>
                <w:sz w:val="24"/>
                <w:szCs w:val="24"/>
              </w:rPr>
              <w:t xml:space="preserve">Noteikumu projekts neparedz ietekmi uz administratīvo slogu. </w:t>
            </w:r>
          </w:p>
        </w:tc>
      </w:tr>
      <w:tr w:rsidR="00925F9E" w:rsidRPr="007D6ED7" w14:paraId="25A2AD93"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204E5F85" w14:textId="7BFB22B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3.</w:t>
            </w:r>
          </w:p>
        </w:tc>
        <w:tc>
          <w:tcPr>
            <w:tcW w:w="1533" w:type="pct"/>
            <w:tcBorders>
              <w:top w:val="outset" w:sz="6" w:space="0" w:color="414142"/>
              <w:left w:val="outset" w:sz="6" w:space="0" w:color="414142"/>
              <w:bottom w:val="outset" w:sz="6" w:space="0" w:color="414142"/>
              <w:right w:val="outset" w:sz="6" w:space="0" w:color="414142"/>
            </w:tcBorders>
            <w:hideMark/>
          </w:tcPr>
          <w:p w14:paraId="79B32A1C"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Administratīvo izmaksu monetārs novērtējums</w:t>
            </w:r>
          </w:p>
        </w:tc>
        <w:tc>
          <w:tcPr>
            <w:tcW w:w="3226" w:type="pct"/>
            <w:tcBorders>
              <w:top w:val="outset" w:sz="6" w:space="0" w:color="414142"/>
              <w:left w:val="outset" w:sz="6" w:space="0" w:color="414142"/>
              <w:bottom w:val="outset" w:sz="6" w:space="0" w:color="414142"/>
              <w:right w:val="outset" w:sz="6" w:space="0" w:color="414142"/>
            </w:tcBorders>
            <w:hideMark/>
          </w:tcPr>
          <w:p w14:paraId="6963683C" w14:textId="2A2F8A56" w:rsidR="00DF450B" w:rsidRPr="007D6ED7" w:rsidRDefault="000F45CE" w:rsidP="001B374C">
            <w:pPr>
              <w:spacing w:after="0"/>
              <w:ind w:right="106"/>
              <w:jc w:val="both"/>
              <w:rPr>
                <w:rFonts w:ascii="Times New Roman" w:hAnsi="Times New Roman"/>
                <w:sz w:val="24"/>
                <w:szCs w:val="24"/>
              </w:rPr>
            </w:pPr>
            <w:r w:rsidRPr="007D6ED7">
              <w:rPr>
                <w:rFonts w:ascii="Times New Roman" w:hAnsi="Times New Roman"/>
                <w:iCs/>
                <w:sz w:val="24"/>
                <w:szCs w:val="24"/>
              </w:rPr>
              <w:t>Noteikumu p</w:t>
            </w:r>
            <w:r w:rsidR="00826020" w:rsidRPr="007D6ED7">
              <w:rPr>
                <w:rFonts w:ascii="Times New Roman" w:hAnsi="Times New Roman"/>
                <w:iCs/>
                <w:sz w:val="24"/>
                <w:szCs w:val="24"/>
              </w:rPr>
              <w:t>rojekts šo jomu neskar.</w:t>
            </w:r>
          </w:p>
        </w:tc>
      </w:tr>
      <w:tr w:rsidR="001B374C" w:rsidRPr="007D6ED7" w14:paraId="1074DD46"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tcPr>
          <w:p w14:paraId="33EB2809" w14:textId="3622E440" w:rsidR="001B374C" w:rsidRPr="007D6ED7" w:rsidRDefault="001B374C" w:rsidP="005B26B7">
            <w:pPr>
              <w:spacing w:after="0" w:line="240" w:lineRule="auto"/>
              <w:rPr>
                <w:rFonts w:ascii="Times New Roman" w:hAnsi="Times New Roman"/>
                <w:sz w:val="24"/>
                <w:szCs w:val="24"/>
              </w:rPr>
            </w:pPr>
            <w:r w:rsidRPr="007D6ED7">
              <w:rPr>
                <w:rFonts w:ascii="Times New Roman" w:hAnsi="Times New Roman"/>
                <w:sz w:val="24"/>
                <w:szCs w:val="24"/>
              </w:rPr>
              <w:t>4.</w:t>
            </w:r>
          </w:p>
        </w:tc>
        <w:tc>
          <w:tcPr>
            <w:tcW w:w="1533" w:type="pct"/>
            <w:tcBorders>
              <w:top w:val="outset" w:sz="6" w:space="0" w:color="414142"/>
              <w:left w:val="outset" w:sz="6" w:space="0" w:color="414142"/>
              <w:bottom w:val="outset" w:sz="6" w:space="0" w:color="414142"/>
              <w:right w:val="outset" w:sz="6" w:space="0" w:color="414142"/>
            </w:tcBorders>
          </w:tcPr>
          <w:p w14:paraId="5F6BA6F4" w14:textId="3A9D747B" w:rsidR="001B374C" w:rsidRPr="007D6ED7" w:rsidRDefault="001B374C" w:rsidP="005B26B7">
            <w:pPr>
              <w:spacing w:after="0" w:line="240" w:lineRule="auto"/>
              <w:rPr>
                <w:rFonts w:ascii="Times New Roman" w:hAnsi="Times New Roman"/>
                <w:sz w:val="24"/>
                <w:szCs w:val="24"/>
              </w:rPr>
            </w:pPr>
            <w:r w:rsidRPr="007D6ED7">
              <w:rPr>
                <w:rFonts w:ascii="Times New Roman" w:eastAsia="Times New Roman" w:hAnsi="Times New Roman"/>
                <w:iCs/>
                <w:color w:val="000000" w:themeColor="text1"/>
                <w:sz w:val="24"/>
                <w:szCs w:val="24"/>
                <w:lang w:eastAsia="lv-LV"/>
              </w:rPr>
              <w:t>Atbilstības izmaksu monetārs novērtējums</w:t>
            </w:r>
          </w:p>
        </w:tc>
        <w:tc>
          <w:tcPr>
            <w:tcW w:w="3226" w:type="pct"/>
            <w:tcBorders>
              <w:top w:val="outset" w:sz="6" w:space="0" w:color="414142"/>
              <w:left w:val="outset" w:sz="6" w:space="0" w:color="414142"/>
              <w:bottom w:val="outset" w:sz="6" w:space="0" w:color="414142"/>
              <w:right w:val="outset" w:sz="6" w:space="0" w:color="414142"/>
            </w:tcBorders>
          </w:tcPr>
          <w:p w14:paraId="3FF0B5A2" w14:textId="36113BCA" w:rsidR="001B374C" w:rsidRPr="007D6ED7" w:rsidRDefault="000F45CE" w:rsidP="001B374C">
            <w:pPr>
              <w:spacing w:after="0"/>
              <w:ind w:right="106"/>
              <w:jc w:val="both"/>
              <w:rPr>
                <w:rFonts w:ascii="Times New Roman" w:hAnsi="Times New Roman"/>
                <w:sz w:val="24"/>
                <w:szCs w:val="24"/>
              </w:rPr>
            </w:pPr>
            <w:r w:rsidRPr="007D6ED7">
              <w:rPr>
                <w:rFonts w:ascii="Times New Roman" w:hAnsi="Times New Roman"/>
                <w:iCs/>
                <w:sz w:val="24"/>
                <w:szCs w:val="24"/>
              </w:rPr>
              <w:t xml:space="preserve">Noteikumu projekts </w:t>
            </w:r>
            <w:r w:rsidR="00826020" w:rsidRPr="007D6ED7">
              <w:rPr>
                <w:rFonts w:ascii="Times New Roman" w:eastAsia="Times New Roman" w:hAnsi="Times New Roman"/>
                <w:iCs/>
                <w:color w:val="000000" w:themeColor="text1"/>
                <w:sz w:val="24"/>
                <w:szCs w:val="24"/>
                <w:lang w:eastAsia="lv-LV"/>
              </w:rPr>
              <w:t>šo jomu neskar.</w:t>
            </w:r>
          </w:p>
        </w:tc>
      </w:tr>
      <w:tr w:rsidR="00925F9E" w:rsidRPr="007D6ED7" w14:paraId="27129247" w14:textId="77777777" w:rsidTr="00495097">
        <w:trPr>
          <w:gridBefore w:val="1"/>
          <w:gridAfter w:val="2"/>
          <w:wBefore w:w="4" w:type="pct"/>
          <w:wAfter w:w="23" w:type="pct"/>
          <w:trHeight w:val="345"/>
        </w:trPr>
        <w:tc>
          <w:tcPr>
            <w:tcW w:w="214" w:type="pct"/>
            <w:tcBorders>
              <w:top w:val="outset" w:sz="6" w:space="0" w:color="414142"/>
              <w:left w:val="outset" w:sz="6" w:space="0" w:color="414142"/>
              <w:bottom w:val="single" w:sz="4" w:space="0" w:color="auto"/>
              <w:right w:val="outset" w:sz="6" w:space="0" w:color="414142"/>
            </w:tcBorders>
            <w:hideMark/>
          </w:tcPr>
          <w:p w14:paraId="6CE9A9D4" w14:textId="10694431" w:rsidR="001B53A6" w:rsidRPr="007D6ED7" w:rsidRDefault="00F70AE9" w:rsidP="005B26B7">
            <w:pPr>
              <w:spacing w:after="0" w:line="240" w:lineRule="auto"/>
              <w:rPr>
                <w:rFonts w:ascii="Times New Roman" w:hAnsi="Times New Roman"/>
                <w:sz w:val="24"/>
                <w:szCs w:val="24"/>
              </w:rPr>
            </w:pPr>
            <w:r w:rsidRPr="007D6ED7">
              <w:rPr>
                <w:rFonts w:ascii="Times New Roman" w:hAnsi="Times New Roman"/>
                <w:sz w:val="24"/>
                <w:szCs w:val="24"/>
              </w:rPr>
              <w:t>5</w:t>
            </w:r>
            <w:r w:rsidR="00363BB6" w:rsidRPr="007D6ED7">
              <w:rPr>
                <w:rFonts w:ascii="Times New Roman" w:hAnsi="Times New Roman"/>
                <w:sz w:val="24"/>
                <w:szCs w:val="24"/>
              </w:rPr>
              <w:t>.</w:t>
            </w:r>
          </w:p>
        </w:tc>
        <w:tc>
          <w:tcPr>
            <w:tcW w:w="1533" w:type="pct"/>
            <w:tcBorders>
              <w:top w:val="outset" w:sz="6" w:space="0" w:color="414142"/>
              <w:left w:val="outset" w:sz="6" w:space="0" w:color="414142"/>
              <w:bottom w:val="single" w:sz="4" w:space="0" w:color="auto"/>
              <w:right w:val="outset" w:sz="6" w:space="0" w:color="414142"/>
            </w:tcBorders>
            <w:hideMark/>
          </w:tcPr>
          <w:p w14:paraId="5B252A84" w14:textId="77777777" w:rsidR="001B53A6" w:rsidRPr="007D6ED7" w:rsidRDefault="00363BB6" w:rsidP="005B26B7">
            <w:pPr>
              <w:spacing w:after="0" w:line="240" w:lineRule="auto"/>
              <w:rPr>
                <w:rFonts w:ascii="Times New Roman" w:hAnsi="Times New Roman"/>
                <w:sz w:val="24"/>
                <w:szCs w:val="24"/>
              </w:rPr>
            </w:pPr>
            <w:r w:rsidRPr="007D6ED7">
              <w:rPr>
                <w:rFonts w:ascii="Times New Roman" w:hAnsi="Times New Roman"/>
                <w:sz w:val="24"/>
                <w:szCs w:val="24"/>
              </w:rPr>
              <w:t>Cita informācija</w:t>
            </w:r>
          </w:p>
        </w:tc>
        <w:tc>
          <w:tcPr>
            <w:tcW w:w="3226" w:type="pct"/>
            <w:tcBorders>
              <w:top w:val="outset" w:sz="6" w:space="0" w:color="414142"/>
              <w:left w:val="outset" w:sz="6" w:space="0" w:color="414142"/>
              <w:bottom w:val="single" w:sz="4" w:space="0" w:color="auto"/>
              <w:right w:val="outset" w:sz="6" w:space="0" w:color="414142"/>
            </w:tcBorders>
            <w:hideMark/>
          </w:tcPr>
          <w:p w14:paraId="3BDCF793" w14:textId="77777777" w:rsidR="001B53A6" w:rsidRPr="007D6ED7" w:rsidRDefault="00363BB6" w:rsidP="005B26B7">
            <w:pPr>
              <w:spacing w:before="100" w:beforeAutospacing="1" w:after="100" w:afterAutospacing="1" w:line="293" w:lineRule="atLeast"/>
              <w:rPr>
                <w:rFonts w:ascii="Times New Roman" w:hAnsi="Times New Roman"/>
                <w:sz w:val="24"/>
                <w:szCs w:val="24"/>
              </w:rPr>
            </w:pPr>
            <w:r w:rsidRPr="007D6ED7">
              <w:rPr>
                <w:rFonts w:ascii="Times New Roman" w:hAnsi="Times New Roman"/>
                <w:sz w:val="24"/>
                <w:szCs w:val="24"/>
              </w:rPr>
              <w:t>Nav</w:t>
            </w:r>
          </w:p>
        </w:tc>
      </w:tr>
      <w:tr w:rsidR="00086514" w:rsidRPr="007D6ED7" w14:paraId="604B445B" w14:textId="77777777" w:rsidTr="00495097">
        <w:trPr>
          <w:gridBefore w:val="1"/>
          <w:gridAfter w:val="2"/>
          <w:wBefore w:w="4" w:type="pct"/>
          <w:wAfter w:w="23" w:type="pct"/>
          <w:trHeight w:val="345"/>
        </w:trPr>
        <w:tc>
          <w:tcPr>
            <w:tcW w:w="214" w:type="pct"/>
            <w:tcBorders>
              <w:top w:val="single" w:sz="4" w:space="0" w:color="auto"/>
              <w:left w:val="nil"/>
              <w:bottom w:val="nil"/>
              <w:right w:val="nil"/>
            </w:tcBorders>
          </w:tcPr>
          <w:p w14:paraId="0A579486" w14:textId="5004B396" w:rsidR="00086514" w:rsidRPr="007D6ED7" w:rsidRDefault="00086514" w:rsidP="005B26B7">
            <w:pPr>
              <w:spacing w:after="0" w:line="240" w:lineRule="auto"/>
              <w:rPr>
                <w:rFonts w:ascii="Times New Roman" w:hAnsi="Times New Roman"/>
                <w:sz w:val="24"/>
                <w:szCs w:val="24"/>
              </w:rPr>
            </w:pPr>
          </w:p>
        </w:tc>
        <w:tc>
          <w:tcPr>
            <w:tcW w:w="1533" w:type="pct"/>
            <w:tcBorders>
              <w:top w:val="single" w:sz="4" w:space="0" w:color="auto"/>
              <w:left w:val="nil"/>
              <w:bottom w:val="nil"/>
              <w:right w:val="nil"/>
            </w:tcBorders>
          </w:tcPr>
          <w:p w14:paraId="7BE04A1E" w14:textId="77777777" w:rsidR="00086514" w:rsidRPr="007D6ED7" w:rsidRDefault="00086514" w:rsidP="005B26B7">
            <w:pPr>
              <w:spacing w:after="0" w:line="240" w:lineRule="auto"/>
              <w:rPr>
                <w:rFonts w:ascii="Times New Roman" w:hAnsi="Times New Roman"/>
                <w:sz w:val="24"/>
                <w:szCs w:val="24"/>
              </w:rPr>
            </w:pPr>
          </w:p>
          <w:p w14:paraId="5CE98ABB" w14:textId="1D2DAA05" w:rsidR="004C3B26" w:rsidRPr="007D6ED7" w:rsidRDefault="004C3B26" w:rsidP="005B26B7">
            <w:pPr>
              <w:spacing w:after="0" w:line="240" w:lineRule="auto"/>
              <w:rPr>
                <w:rFonts w:ascii="Times New Roman" w:hAnsi="Times New Roman"/>
                <w:sz w:val="24"/>
                <w:szCs w:val="24"/>
              </w:rPr>
            </w:pPr>
          </w:p>
        </w:tc>
        <w:tc>
          <w:tcPr>
            <w:tcW w:w="3226" w:type="pct"/>
            <w:tcBorders>
              <w:top w:val="single" w:sz="4" w:space="0" w:color="auto"/>
              <w:left w:val="nil"/>
              <w:bottom w:val="nil"/>
              <w:right w:val="nil"/>
            </w:tcBorders>
          </w:tcPr>
          <w:p w14:paraId="067C0EAA" w14:textId="77777777" w:rsidR="00086514" w:rsidRPr="007D6ED7" w:rsidRDefault="00086514" w:rsidP="005B26B7">
            <w:pPr>
              <w:spacing w:before="100" w:beforeAutospacing="1" w:after="100" w:afterAutospacing="1" w:line="293" w:lineRule="atLeast"/>
              <w:rPr>
                <w:rFonts w:ascii="Times New Roman" w:hAnsi="Times New Roman"/>
                <w:sz w:val="24"/>
                <w:szCs w:val="24"/>
              </w:rPr>
            </w:pPr>
          </w:p>
        </w:tc>
      </w:tr>
      <w:tr w:rsidR="00495097" w:rsidRPr="007D6ED7" w14:paraId="0D0D1C81" w14:textId="77777777" w:rsidTr="004950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wBefore w:w="4" w:type="pct"/>
          <w:trHeight w:val="249"/>
        </w:trPr>
        <w:tc>
          <w:tcPr>
            <w:tcW w:w="4996" w:type="pct"/>
            <w:gridSpan w:val="5"/>
            <w:tcBorders>
              <w:top w:val="single" w:sz="4" w:space="0" w:color="auto"/>
              <w:left w:val="single" w:sz="4" w:space="0" w:color="auto"/>
              <w:bottom w:val="single" w:sz="4" w:space="0" w:color="auto"/>
              <w:right w:val="single" w:sz="4" w:space="0" w:color="auto"/>
            </w:tcBorders>
            <w:shd w:val="clear" w:color="auto" w:fill="auto"/>
          </w:tcPr>
          <w:p w14:paraId="22E3825E" w14:textId="77777777" w:rsidR="00495097" w:rsidRPr="007D6ED7" w:rsidRDefault="00495097" w:rsidP="0006213D">
            <w:pPr>
              <w:contextualSpacing/>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III. Tiesību akta projekta ietekme uz valsts budžetu un pašvaldību budžetiem</w:t>
            </w:r>
          </w:p>
        </w:tc>
      </w:tr>
      <w:tr w:rsidR="00C74F63" w:rsidRPr="007D6ED7" w14:paraId="63E810F1" w14:textId="77777777" w:rsidTr="0006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Before w:val="1"/>
          <w:wBefore w:w="4" w:type="pct"/>
          <w:cantSplit/>
          <w:trHeight w:val="42"/>
        </w:trPr>
        <w:tc>
          <w:tcPr>
            <w:tcW w:w="4996" w:type="pct"/>
            <w:gridSpan w:val="5"/>
            <w:tcBorders>
              <w:top w:val="single" w:sz="4" w:space="0" w:color="auto"/>
              <w:left w:val="single" w:sz="4" w:space="0" w:color="auto"/>
              <w:bottom w:val="single" w:sz="4" w:space="0" w:color="auto"/>
              <w:right w:val="single" w:sz="4" w:space="0" w:color="auto"/>
            </w:tcBorders>
            <w:shd w:val="clear" w:color="auto" w:fill="auto"/>
            <w:hideMark/>
          </w:tcPr>
          <w:p w14:paraId="4605B470" w14:textId="54155105" w:rsidR="00C74F63" w:rsidRPr="007D6ED7" w:rsidRDefault="001B208F" w:rsidP="0006213D">
            <w:pPr>
              <w:spacing w:after="0"/>
              <w:jc w:val="center"/>
              <w:rPr>
                <w:rFonts w:ascii="Times New Roman" w:hAnsi="Times New Roman"/>
                <w:sz w:val="24"/>
                <w:szCs w:val="24"/>
              </w:rPr>
            </w:pPr>
            <w:r w:rsidRPr="007D6ED7">
              <w:rPr>
                <w:rFonts w:ascii="Times New Roman" w:hAnsi="Times New Roman"/>
                <w:sz w:val="24"/>
                <w:szCs w:val="24"/>
              </w:rPr>
              <w:t>TBC</w:t>
            </w:r>
          </w:p>
        </w:tc>
      </w:tr>
      <w:tr w:rsidR="004C3B26" w:rsidRPr="007D6ED7" w14:paraId="2794EC91" w14:textId="77777777" w:rsidTr="00063D02">
        <w:trPr>
          <w:gridBefore w:val="1"/>
          <w:gridAfter w:val="2"/>
          <w:wBefore w:w="4" w:type="pct"/>
          <w:wAfter w:w="23" w:type="pct"/>
          <w:trHeight w:val="345"/>
        </w:trPr>
        <w:tc>
          <w:tcPr>
            <w:tcW w:w="214" w:type="pct"/>
            <w:tcBorders>
              <w:top w:val="single" w:sz="4" w:space="0" w:color="auto"/>
              <w:left w:val="nil"/>
              <w:bottom w:val="nil"/>
              <w:right w:val="nil"/>
            </w:tcBorders>
          </w:tcPr>
          <w:p w14:paraId="14124D56" w14:textId="77777777" w:rsidR="004C3B26" w:rsidRPr="007D6ED7" w:rsidRDefault="004C3B26" w:rsidP="00063D02">
            <w:pPr>
              <w:spacing w:after="0" w:line="240" w:lineRule="auto"/>
              <w:rPr>
                <w:rFonts w:ascii="Times New Roman" w:hAnsi="Times New Roman"/>
                <w:sz w:val="24"/>
                <w:szCs w:val="24"/>
              </w:rPr>
            </w:pPr>
          </w:p>
          <w:p w14:paraId="390FDCA8" w14:textId="12063B01" w:rsidR="004C3B26" w:rsidRPr="007D6ED7" w:rsidRDefault="004C3B26" w:rsidP="00063D02">
            <w:pPr>
              <w:spacing w:after="0" w:line="240" w:lineRule="auto"/>
              <w:rPr>
                <w:rFonts w:ascii="Times New Roman" w:hAnsi="Times New Roman"/>
                <w:sz w:val="24"/>
                <w:szCs w:val="24"/>
              </w:rPr>
            </w:pPr>
          </w:p>
        </w:tc>
        <w:tc>
          <w:tcPr>
            <w:tcW w:w="1533" w:type="pct"/>
            <w:tcBorders>
              <w:top w:val="single" w:sz="4" w:space="0" w:color="auto"/>
              <w:left w:val="nil"/>
              <w:bottom w:val="nil"/>
              <w:right w:val="nil"/>
            </w:tcBorders>
          </w:tcPr>
          <w:p w14:paraId="3090FE1C" w14:textId="77777777" w:rsidR="004C3B26" w:rsidRPr="007D6ED7" w:rsidRDefault="004C3B26" w:rsidP="00063D02">
            <w:pPr>
              <w:spacing w:after="0" w:line="240" w:lineRule="auto"/>
              <w:rPr>
                <w:rFonts w:ascii="Times New Roman" w:hAnsi="Times New Roman"/>
                <w:sz w:val="24"/>
                <w:szCs w:val="24"/>
              </w:rPr>
            </w:pPr>
          </w:p>
        </w:tc>
        <w:tc>
          <w:tcPr>
            <w:tcW w:w="3226" w:type="pct"/>
            <w:tcBorders>
              <w:top w:val="single" w:sz="4" w:space="0" w:color="auto"/>
              <w:left w:val="nil"/>
              <w:bottom w:val="nil"/>
              <w:right w:val="nil"/>
            </w:tcBorders>
          </w:tcPr>
          <w:p w14:paraId="45715349" w14:textId="77777777" w:rsidR="004C3B26" w:rsidRPr="007D6ED7" w:rsidRDefault="004C3B26" w:rsidP="00063D02">
            <w:pPr>
              <w:spacing w:before="100" w:beforeAutospacing="1" w:after="100" w:afterAutospacing="1" w:line="293" w:lineRule="atLeast"/>
              <w:rPr>
                <w:rFonts w:ascii="Times New Roman" w:hAnsi="Times New Roman"/>
                <w:sz w:val="24"/>
                <w:szCs w:val="24"/>
              </w:rPr>
            </w:pPr>
          </w:p>
        </w:tc>
      </w:tr>
      <w:tr w:rsidR="004C3B26" w:rsidRPr="007D6ED7" w14:paraId="7D155057"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vAlign w:val="center"/>
            <w:hideMark/>
          </w:tcPr>
          <w:p w14:paraId="32763D2A" w14:textId="77777777" w:rsidR="004C3B26" w:rsidRPr="007D6ED7" w:rsidRDefault="004C3B26" w:rsidP="00063D02">
            <w:pPr>
              <w:spacing w:after="0" w:line="240" w:lineRule="auto"/>
              <w:jc w:val="center"/>
              <w:rPr>
                <w:rFonts w:ascii="Times New Roman" w:eastAsia="Times New Roman" w:hAnsi="Times New Roman"/>
                <w:b/>
                <w:bCs/>
                <w:iCs/>
                <w:sz w:val="24"/>
                <w:szCs w:val="24"/>
                <w:lang w:eastAsia="lv-LV"/>
              </w:rPr>
            </w:pPr>
            <w:r w:rsidRPr="007D6ED7">
              <w:rPr>
                <w:rFonts w:ascii="Times New Roman" w:eastAsia="Times New Roman" w:hAnsi="Times New Roman"/>
                <w:b/>
                <w:bCs/>
                <w:iCs/>
                <w:sz w:val="24"/>
                <w:szCs w:val="24"/>
                <w:lang w:eastAsia="lv-LV"/>
              </w:rPr>
              <w:t>IV. Tiesību akta projekta ietekme uz spēkā esošo tiesību normu sistēmu</w:t>
            </w:r>
          </w:p>
        </w:tc>
      </w:tr>
      <w:tr w:rsidR="004C3B26" w:rsidRPr="007D6ED7" w14:paraId="741EBC38"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hideMark/>
          </w:tcPr>
          <w:p w14:paraId="35B822E0" w14:textId="77777777" w:rsidR="004C3B26" w:rsidRPr="007D6ED7" w:rsidRDefault="004C3B26" w:rsidP="00063D02">
            <w:pPr>
              <w:tabs>
                <w:tab w:val="left" w:pos="3615"/>
              </w:tabs>
              <w:spacing w:after="0" w:line="240" w:lineRule="auto"/>
              <w:jc w:val="both"/>
              <w:rPr>
                <w:rFonts w:ascii="Times New Roman" w:eastAsia="Times New Roman" w:hAnsi="Times New Roman"/>
                <w:iCs/>
                <w:sz w:val="24"/>
                <w:szCs w:val="24"/>
                <w:lang w:eastAsia="lv-LV"/>
              </w:rPr>
            </w:pPr>
            <w:r w:rsidRPr="007D6ED7">
              <w:rPr>
                <w:rFonts w:ascii="Times New Roman" w:eastAsia="Times New Roman" w:hAnsi="Times New Roman"/>
                <w:iCs/>
                <w:sz w:val="24"/>
                <w:szCs w:val="24"/>
                <w:lang w:eastAsia="lv-LV"/>
              </w:rPr>
              <w:tab/>
            </w:r>
            <w:r w:rsidRPr="007D6ED7">
              <w:rPr>
                <w:rFonts w:ascii="Times New Roman" w:eastAsia="Times New Roman" w:hAnsi="Times New Roman"/>
                <w:iCs/>
                <w:color w:val="000000" w:themeColor="text1"/>
                <w:sz w:val="24"/>
                <w:szCs w:val="24"/>
                <w:lang w:eastAsia="lv-LV"/>
              </w:rPr>
              <w:t>Projekts šo jomu neskar.</w:t>
            </w:r>
          </w:p>
        </w:tc>
      </w:tr>
    </w:tbl>
    <w:p w14:paraId="23C4FA13" w14:textId="729EEEE5" w:rsidR="007B3152" w:rsidRPr="007D6ED7" w:rsidRDefault="007B3152" w:rsidP="000E1A83">
      <w:pPr>
        <w:spacing w:after="0" w:line="240" w:lineRule="auto"/>
        <w:rPr>
          <w:rFonts w:ascii="Times New Roman" w:eastAsia="Times New Roman" w:hAnsi="Times New Roman"/>
          <w:sz w:val="24"/>
          <w:szCs w:val="24"/>
          <w:lang w:eastAsia="lv-LV"/>
        </w:rPr>
      </w:pPr>
    </w:p>
    <w:p w14:paraId="563FC5F8"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36"/>
        <w:gridCol w:w="2551"/>
        <w:gridCol w:w="6804"/>
      </w:tblGrid>
      <w:tr w:rsidR="00E47C64" w:rsidRPr="007D6ED7" w14:paraId="0B16FF00" w14:textId="77777777" w:rsidTr="00E47C64">
        <w:tc>
          <w:tcPr>
            <w:tcW w:w="5000" w:type="pct"/>
            <w:gridSpan w:val="3"/>
            <w:tcBorders>
              <w:top w:val="outset" w:sz="6" w:space="0" w:color="414142"/>
              <w:left w:val="outset" w:sz="6" w:space="0" w:color="414142"/>
              <w:bottom w:val="outset" w:sz="6" w:space="0" w:color="414142"/>
              <w:right w:val="outset" w:sz="6" w:space="0" w:color="414142"/>
            </w:tcBorders>
            <w:hideMark/>
          </w:tcPr>
          <w:p w14:paraId="625C5432" w14:textId="77777777" w:rsidR="00E47C64" w:rsidRPr="007D6ED7" w:rsidRDefault="00E47C64" w:rsidP="00E47C64">
            <w:pPr>
              <w:spacing w:after="0" w:line="293" w:lineRule="atLeast"/>
              <w:jc w:val="center"/>
              <w:rPr>
                <w:rFonts w:ascii="Times New Roman" w:hAnsi="Times New Roman"/>
                <w:b/>
                <w:bCs/>
                <w:sz w:val="24"/>
                <w:szCs w:val="24"/>
              </w:rPr>
            </w:pPr>
            <w:r w:rsidRPr="007D6ED7">
              <w:rPr>
                <w:rFonts w:ascii="Times New Roman" w:hAnsi="Times New Roman"/>
                <w:b/>
                <w:bCs/>
                <w:sz w:val="24"/>
                <w:szCs w:val="24"/>
              </w:rPr>
              <w:t>V. Tiesību akta projekta atbilstība Latvijas Republikas starptautiskajām saistībām</w:t>
            </w:r>
          </w:p>
        </w:tc>
      </w:tr>
      <w:tr w:rsidR="00E47C64" w:rsidRPr="007D6ED7" w14:paraId="42AC3B0D"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C4147A5" w14:textId="77777777" w:rsidR="00E47C64" w:rsidRPr="007D6ED7"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1.</w:t>
            </w:r>
          </w:p>
        </w:tc>
        <w:tc>
          <w:tcPr>
            <w:tcW w:w="1216" w:type="pct"/>
            <w:tcBorders>
              <w:top w:val="outset" w:sz="6" w:space="0" w:color="414142"/>
              <w:left w:val="outset" w:sz="6" w:space="0" w:color="414142"/>
              <w:bottom w:val="outset" w:sz="6" w:space="0" w:color="414142"/>
              <w:right w:val="outset" w:sz="6" w:space="0" w:color="414142"/>
            </w:tcBorders>
            <w:hideMark/>
          </w:tcPr>
          <w:p w14:paraId="3F663199" w14:textId="77777777" w:rsidR="00E47C64" w:rsidRPr="007D6ED7"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Saistības pret Eiropas Savienību</w:t>
            </w:r>
          </w:p>
        </w:tc>
        <w:tc>
          <w:tcPr>
            <w:tcW w:w="3243" w:type="pct"/>
            <w:tcBorders>
              <w:top w:val="outset" w:sz="6" w:space="0" w:color="414142"/>
              <w:left w:val="outset" w:sz="6" w:space="0" w:color="414142"/>
              <w:bottom w:val="outset" w:sz="6" w:space="0" w:color="414142"/>
              <w:right w:val="outset" w:sz="6" w:space="0" w:color="414142"/>
            </w:tcBorders>
            <w:hideMark/>
          </w:tcPr>
          <w:p w14:paraId="0FD32975" w14:textId="77777777" w:rsidR="00031D26" w:rsidRDefault="00031D26" w:rsidP="00CB5463">
            <w:pPr>
              <w:pStyle w:val="ListParagraph"/>
              <w:numPr>
                <w:ilvl w:val="0"/>
                <w:numId w:val="5"/>
              </w:numPr>
              <w:tabs>
                <w:tab w:val="left" w:pos="3615"/>
              </w:tabs>
              <w:spacing w:after="0" w:line="240" w:lineRule="auto"/>
              <w:jc w:val="both"/>
              <w:rPr>
                <w:rFonts w:ascii="Times New Roman" w:eastAsia="Times New Roman" w:hAnsi="Times New Roman"/>
                <w:iCs/>
                <w:color w:val="000000" w:themeColor="text1"/>
                <w:sz w:val="24"/>
                <w:szCs w:val="24"/>
                <w:lang w:eastAsia="lv-LV"/>
              </w:rPr>
            </w:pPr>
            <w:r w:rsidRPr="00031D26">
              <w:rPr>
                <w:rFonts w:ascii="Times New Roman" w:eastAsia="Times New Roman" w:hAnsi="Times New Roman"/>
                <w:iCs/>
                <w:color w:val="000000" w:themeColor="text1"/>
                <w:sz w:val="24"/>
                <w:szCs w:val="24"/>
                <w:lang w:eastAsia="lv-LV"/>
              </w:rPr>
              <w:t>Eiropas Komisijas lēmum</w:t>
            </w:r>
            <w:r>
              <w:rPr>
                <w:rFonts w:ascii="Times New Roman" w:eastAsia="Times New Roman" w:hAnsi="Times New Roman"/>
                <w:iCs/>
                <w:color w:val="000000" w:themeColor="text1"/>
                <w:sz w:val="24"/>
                <w:szCs w:val="24"/>
                <w:lang w:eastAsia="lv-LV"/>
              </w:rPr>
              <w:t>s</w:t>
            </w:r>
            <w:r w:rsidRPr="00031D26">
              <w:rPr>
                <w:rFonts w:ascii="Times New Roman" w:eastAsia="Times New Roman" w:hAnsi="Times New Roman"/>
                <w:iCs/>
                <w:color w:val="000000" w:themeColor="text1"/>
                <w:sz w:val="24"/>
                <w:szCs w:val="24"/>
                <w:lang w:eastAsia="lv-LV"/>
              </w:rPr>
              <w:t xml:space="preserve"> (2011.gada 20.decembris) par Līguma par Eiropas Savienības darbību 106. panta 2. punkta piemērošanu valsts atbalstam attiecībā uz kompensāciju par sabiedriskajiem pakalpojumiem dažiem uzņēmumiem, kuriem uzticēts sniegt pakalpojumus ar vispārēju tautsaimniecisku nozīmi (2012/21/ES) (turpmāk – Eiropas Komisijas lēmums)</w:t>
            </w:r>
            <w:r>
              <w:rPr>
                <w:rFonts w:ascii="Times New Roman" w:eastAsia="Times New Roman" w:hAnsi="Times New Roman"/>
                <w:iCs/>
                <w:color w:val="000000" w:themeColor="text1"/>
                <w:sz w:val="24"/>
                <w:szCs w:val="24"/>
                <w:lang w:eastAsia="lv-LV"/>
              </w:rPr>
              <w:t>.</w:t>
            </w:r>
          </w:p>
          <w:p w14:paraId="3DDC2CB7" w14:textId="2852B410" w:rsidR="00E47C64" w:rsidRPr="00031D26" w:rsidRDefault="00031D26" w:rsidP="00CB5463">
            <w:pPr>
              <w:pStyle w:val="ListParagraph"/>
              <w:numPr>
                <w:ilvl w:val="0"/>
                <w:numId w:val="5"/>
              </w:numPr>
              <w:tabs>
                <w:tab w:val="left" w:pos="3615"/>
              </w:tabs>
              <w:spacing w:after="0" w:line="240" w:lineRule="auto"/>
              <w:jc w:val="both"/>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TBC.</w:t>
            </w:r>
            <w:r w:rsidRPr="00031D26">
              <w:rPr>
                <w:rFonts w:ascii="Times New Roman" w:eastAsia="Times New Roman" w:hAnsi="Times New Roman"/>
                <w:iCs/>
                <w:color w:val="000000" w:themeColor="text1"/>
                <w:sz w:val="24"/>
                <w:szCs w:val="24"/>
                <w:lang w:eastAsia="lv-LV"/>
              </w:rPr>
              <w:t xml:space="preserve"> </w:t>
            </w:r>
          </w:p>
        </w:tc>
      </w:tr>
      <w:tr w:rsidR="00E47C64" w:rsidRPr="007D6ED7" w14:paraId="7DF3D6D9"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64624201" w14:textId="77777777" w:rsidR="00E47C64" w:rsidRPr="007D6ED7" w:rsidRDefault="00E47C64" w:rsidP="00495097">
            <w:pPr>
              <w:contextualSpacing/>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lastRenderedPageBreak/>
              <w:t>2.</w:t>
            </w:r>
          </w:p>
        </w:tc>
        <w:tc>
          <w:tcPr>
            <w:tcW w:w="1216" w:type="pct"/>
            <w:tcBorders>
              <w:top w:val="outset" w:sz="6" w:space="0" w:color="414142"/>
              <w:left w:val="outset" w:sz="6" w:space="0" w:color="414142"/>
              <w:bottom w:val="outset" w:sz="6" w:space="0" w:color="414142"/>
              <w:right w:val="outset" w:sz="6" w:space="0" w:color="414142"/>
            </w:tcBorders>
            <w:hideMark/>
          </w:tcPr>
          <w:p w14:paraId="288B09DD"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Citas starptautiskās saistības</w:t>
            </w:r>
          </w:p>
        </w:tc>
        <w:tc>
          <w:tcPr>
            <w:tcW w:w="3243" w:type="pct"/>
            <w:tcBorders>
              <w:top w:val="outset" w:sz="6" w:space="0" w:color="414142"/>
              <w:left w:val="outset" w:sz="6" w:space="0" w:color="414142"/>
              <w:bottom w:val="outset" w:sz="6" w:space="0" w:color="414142"/>
              <w:right w:val="outset" w:sz="6" w:space="0" w:color="414142"/>
            </w:tcBorders>
            <w:hideMark/>
          </w:tcPr>
          <w:p w14:paraId="79063388" w14:textId="184EE7D7" w:rsidR="00E47C64" w:rsidRPr="007D6ED7" w:rsidRDefault="000F45CE"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hAnsi="Times New Roman"/>
                <w:iCs/>
                <w:sz w:val="24"/>
                <w:szCs w:val="24"/>
              </w:rPr>
              <w:t xml:space="preserve">Noteikumu projekts </w:t>
            </w:r>
            <w:r w:rsidR="00E47C64" w:rsidRPr="007D6ED7">
              <w:rPr>
                <w:rFonts w:ascii="Times New Roman" w:eastAsia="Times New Roman" w:hAnsi="Times New Roman"/>
                <w:iCs/>
                <w:color w:val="000000" w:themeColor="text1"/>
                <w:sz w:val="24"/>
                <w:szCs w:val="24"/>
                <w:lang w:eastAsia="lv-LV"/>
              </w:rPr>
              <w:t>šo jomu neskar.</w:t>
            </w:r>
          </w:p>
        </w:tc>
      </w:tr>
      <w:tr w:rsidR="00E47C64" w:rsidRPr="007D6ED7" w14:paraId="6A83A1E6"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E863926" w14:textId="77777777" w:rsidR="00E47C64" w:rsidRPr="007D6ED7" w:rsidRDefault="00E47C64" w:rsidP="00495097">
            <w:pPr>
              <w:contextualSpacing/>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3.</w:t>
            </w:r>
          </w:p>
        </w:tc>
        <w:tc>
          <w:tcPr>
            <w:tcW w:w="1216" w:type="pct"/>
            <w:tcBorders>
              <w:top w:val="outset" w:sz="6" w:space="0" w:color="414142"/>
              <w:left w:val="outset" w:sz="6" w:space="0" w:color="414142"/>
              <w:bottom w:val="outset" w:sz="6" w:space="0" w:color="414142"/>
              <w:right w:val="outset" w:sz="6" w:space="0" w:color="414142"/>
            </w:tcBorders>
            <w:hideMark/>
          </w:tcPr>
          <w:p w14:paraId="4E4B1316"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Cita informācija</w:t>
            </w:r>
          </w:p>
        </w:tc>
        <w:tc>
          <w:tcPr>
            <w:tcW w:w="3243" w:type="pct"/>
            <w:tcBorders>
              <w:top w:val="outset" w:sz="6" w:space="0" w:color="414142"/>
              <w:left w:val="outset" w:sz="6" w:space="0" w:color="414142"/>
              <w:bottom w:val="outset" w:sz="6" w:space="0" w:color="414142"/>
              <w:right w:val="outset" w:sz="6" w:space="0" w:color="414142"/>
            </w:tcBorders>
            <w:hideMark/>
          </w:tcPr>
          <w:p w14:paraId="31281A3F" w14:textId="77777777" w:rsidR="00E47C64" w:rsidRPr="007D6ED7" w:rsidRDefault="00E47C64" w:rsidP="00495097">
            <w:pPr>
              <w:contextualSpacing/>
              <w:jc w:val="both"/>
              <w:rPr>
                <w:rFonts w:ascii="Times New Roman" w:eastAsia="Times New Roman" w:hAnsi="Times New Roman"/>
                <w:iCs/>
                <w:color w:val="000000" w:themeColor="text1"/>
                <w:sz w:val="24"/>
                <w:szCs w:val="24"/>
                <w:lang w:eastAsia="lv-LV"/>
              </w:rPr>
            </w:pPr>
            <w:r w:rsidRPr="007D6ED7">
              <w:rPr>
                <w:rFonts w:ascii="Times New Roman" w:eastAsia="Times New Roman" w:hAnsi="Times New Roman"/>
                <w:iCs/>
                <w:color w:val="000000" w:themeColor="text1"/>
                <w:sz w:val="24"/>
                <w:szCs w:val="24"/>
                <w:lang w:eastAsia="lv-LV"/>
              </w:rPr>
              <w:t>Nav</w:t>
            </w:r>
          </w:p>
        </w:tc>
      </w:tr>
    </w:tbl>
    <w:p w14:paraId="1E0223B1" w14:textId="418503A6" w:rsidR="000E1A83" w:rsidRPr="007D6ED7" w:rsidRDefault="000E1A83" w:rsidP="000E1A83">
      <w:pPr>
        <w:spacing w:after="0" w:line="240" w:lineRule="auto"/>
        <w:rPr>
          <w:rFonts w:ascii="Times New Roman" w:eastAsia="Times New Roman" w:hAnsi="Times New Roman"/>
          <w:sz w:val="24"/>
          <w:szCs w:val="24"/>
          <w:lang w:eastAsia="lv-LV"/>
        </w:rPr>
      </w:pPr>
    </w:p>
    <w:p w14:paraId="26E9CE60"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053"/>
        <w:gridCol w:w="2335"/>
        <w:gridCol w:w="2335"/>
        <w:gridCol w:w="2768"/>
      </w:tblGrid>
      <w:tr w:rsidR="00495D3B" w:rsidRPr="007D6ED7" w14:paraId="05F5FE35" w14:textId="77777777" w:rsidTr="00495D3B">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CB985"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1. tabula</w:t>
            </w:r>
            <w:r w:rsidRPr="007D6ED7">
              <w:rPr>
                <w:rFonts w:ascii="Times New Roman" w:eastAsia="Times New Roman" w:hAnsi="Times New Roman"/>
                <w:b/>
                <w:bCs/>
                <w:sz w:val="24"/>
                <w:szCs w:val="24"/>
                <w:lang w:eastAsia="lv-LV"/>
              </w:rPr>
              <w:br/>
              <w:t>Tiesību akta projekta atbilstība ES tiesību aktiem</w:t>
            </w:r>
          </w:p>
        </w:tc>
      </w:tr>
      <w:tr w:rsidR="00495D3B" w:rsidRPr="007D6ED7" w14:paraId="5A63F654"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4925F764"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Attiecīgā ES tiesību akta datums, numurs un nosaukums</w:t>
            </w:r>
          </w:p>
        </w:tc>
        <w:tc>
          <w:tcPr>
            <w:tcW w:w="3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090A3C0" w14:textId="77777777" w:rsidR="00495D3B" w:rsidRPr="007D6ED7" w:rsidRDefault="00495D3B" w:rsidP="00495D3B">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Ar Noteikumu projektu tiek ieviestas šādas Eiropas Savienības tiesību aktu prasības:</w:t>
            </w:r>
          </w:p>
          <w:p w14:paraId="36C85BBA" w14:textId="5B687659" w:rsidR="00495D3B" w:rsidRPr="007D6ED7" w:rsidRDefault="00031D26" w:rsidP="00CB5463">
            <w:pPr>
              <w:numPr>
                <w:ilvl w:val="0"/>
                <w:numId w:val="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lv-LV"/>
              </w:rPr>
              <w:t>Eiropas Komisijas lēmums;</w:t>
            </w:r>
          </w:p>
          <w:p w14:paraId="4247DFDD" w14:textId="0E74DED3" w:rsidR="00495D3B" w:rsidRPr="007D6ED7" w:rsidRDefault="00826D82" w:rsidP="00CB5463">
            <w:pPr>
              <w:numPr>
                <w:ilvl w:val="0"/>
                <w:numId w:val="1"/>
              </w:num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lang w:eastAsia="lv-LV"/>
              </w:rPr>
              <w:t>TBC</w:t>
            </w:r>
            <w:r w:rsidR="00495D3B" w:rsidRPr="007D6ED7">
              <w:rPr>
                <w:rFonts w:ascii="Times New Roman" w:eastAsia="Times New Roman" w:hAnsi="Times New Roman"/>
                <w:sz w:val="24"/>
                <w:szCs w:val="24"/>
                <w:lang w:eastAsia="lv-LV"/>
              </w:rPr>
              <w:t>.</w:t>
            </w:r>
          </w:p>
        </w:tc>
      </w:tr>
      <w:tr w:rsidR="00B40CE4" w:rsidRPr="007D6ED7" w14:paraId="2E86379E" w14:textId="77777777" w:rsidTr="00495D3B">
        <w:tc>
          <w:tcPr>
            <w:tcW w:w="14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7EDD493"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A</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A00E000"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B</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E9E163F"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w:t>
            </w:r>
          </w:p>
        </w:tc>
        <w:tc>
          <w:tcPr>
            <w:tcW w:w="131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71C85C34" w14:textId="77777777" w:rsidR="00495D3B" w:rsidRPr="007D6ED7"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D</w:t>
            </w:r>
          </w:p>
        </w:tc>
      </w:tr>
      <w:tr w:rsidR="00495D3B" w:rsidRPr="007D6ED7" w14:paraId="6EFCED16"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E1084A2" w14:textId="5D84BA87" w:rsidR="00495D3B" w:rsidRPr="007D6ED7" w:rsidRDefault="00495D3B" w:rsidP="00495D3B">
            <w:pPr>
              <w:spacing w:after="0" w:line="240" w:lineRule="auto"/>
              <w:rPr>
                <w:rFonts w:ascii="Times New Roman" w:hAnsi="Times New Roman"/>
                <w:sz w:val="24"/>
                <w:szCs w:val="24"/>
              </w:rPr>
            </w:pP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ABD2BB2" w14:textId="3506372C" w:rsidR="00495D3B" w:rsidRPr="007D6ED7" w:rsidRDefault="00495D3B" w:rsidP="00495D3B">
            <w:pPr>
              <w:spacing w:after="0" w:line="240" w:lineRule="auto"/>
              <w:rPr>
                <w:rFonts w:ascii="Times New Roman" w:hAnsi="Times New Roman"/>
                <w:sz w:val="24"/>
                <w:szCs w:val="24"/>
              </w:rPr>
            </w:pPr>
            <w:r w:rsidRPr="007D6ED7">
              <w:rPr>
                <w:rFonts w:ascii="Times New Roman" w:hAnsi="Times New Roman"/>
                <w:sz w:val="24"/>
                <w:szCs w:val="24"/>
              </w:rPr>
              <w:t xml:space="preserve">Noteikumu projekta </w:t>
            </w:r>
            <w:r w:rsidR="002D6B58" w:rsidRPr="007D6ED7">
              <w:rPr>
                <w:rFonts w:ascii="Times New Roman" w:hAnsi="Times New Roman"/>
                <w:sz w:val="24"/>
                <w:szCs w:val="24"/>
              </w:rPr>
              <w:t>____</w:t>
            </w:r>
            <w:r w:rsidRPr="007D6ED7">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642146C" w14:textId="77777777" w:rsidR="00495D3B" w:rsidRPr="007D6ED7" w:rsidRDefault="00495D3B" w:rsidP="00495D3B">
            <w:pPr>
              <w:spacing w:after="0" w:line="240" w:lineRule="auto"/>
              <w:rPr>
                <w:rFonts w:ascii="Times New Roman" w:hAnsi="Times New Roman"/>
                <w:i/>
                <w:iCs/>
                <w:sz w:val="24"/>
                <w:szCs w:val="24"/>
              </w:rPr>
            </w:pPr>
            <w:r w:rsidRPr="007D6ED7">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0163507" w14:textId="77777777" w:rsidR="00495D3B" w:rsidRPr="007D6ED7" w:rsidRDefault="00495D3B" w:rsidP="00495D3B">
            <w:pPr>
              <w:spacing w:after="0" w:line="240" w:lineRule="auto"/>
              <w:rPr>
                <w:rFonts w:ascii="Times New Roman" w:hAnsi="Times New Roman"/>
                <w:i/>
                <w:iCs/>
                <w:sz w:val="24"/>
                <w:szCs w:val="24"/>
              </w:rPr>
            </w:pPr>
            <w:r w:rsidRPr="007D6ED7">
              <w:rPr>
                <w:rFonts w:ascii="Times New Roman" w:hAnsi="Times New Roman"/>
                <w:i/>
                <w:iCs/>
                <w:sz w:val="24"/>
                <w:szCs w:val="24"/>
              </w:rPr>
              <w:t>Neparedz stingrākas prasības.</w:t>
            </w:r>
          </w:p>
        </w:tc>
      </w:tr>
      <w:tr w:rsidR="00917EF7" w:rsidRPr="007D6ED7" w14:paraId="1EFAFA34"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A953175" w14:textId="0F2EF78E" w:rsidR="00917EF7" w:rsidRPr="007D6ED7" w:rsidRDefault="008B3F73" w:rsidP="00495D3B">
            <w:pPr>
              <w:spacing w:after="0" w:line="240" w:lineRule="auto"/>
              <w:rPr>
                <w:rFonts w:ascii="Times New Roman" w:hAnsi="Times New Roman"/>
                <w:sz w:val="24"/>
                <w:szCs w:val="24"/>
              </w:rPr>
            </w:pPr>
            <w:r>
              <w:rPr>
                <w:rFonts w:ascii="Times New Roman" w:hAnsi="Times New Roman"/>
                <w:sz w:val="24"/>
                <w:szCs w:val="24"/>
              </w:rPr>
              <w:t xml:space="preserve">Eiropas </w:t>
            </w:r>
            <w:r w:rsidR="00917EF7">
              <w:rPr>
                <w:rFonts w:ascii="Times New Roman" w:hAnsi="Times New Roman"/>
                <w:sz w:val="24"/>
                <w:szCs w:val="24"/>
              </w:rPr>
              <w:t xml:space="preserve">Komisijas lēmuma </w:t>
            </w:r>
            <w:r w:rsidR="006B0222">
              <w:rPr>
                <w:rFonts w:ascii="Times New Roman" w:hAnsi="Times New Roman"/>
                <w:sz w:val="24"/>
                <w:szCs w:val="24"/>
              </w:rPr>
              <w:t>5.pants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89741C6" w14:textId="399B3CEB" w:rsidR="00917EF7" w:rsidRPr="007D6ED7" w:rsidRDefault="00917EF7" w:rsidP="00495D3B">
            <w:pPr>
              <w:spacing w:after="0" w:line="240" w:lineRule="auto"/>
              <w:rPr>
                <w:rFonts w:ascii="Times New Roman" w:hAnsi="Times New Roman"/>
                <w:sz w:val="24"/>
                <w:szCs w:val="24"/>
              </w:rPr>
            </w:pPr>
            <w:r w:rsidRPr="002607D6">
              <w:rPr>
                <w:rFonts w:ascii="Times New Roman" w:eastAsia="Times New Roman" w:hAnsi="Times New Roman"/>
                <w:iCs/>
                <w:sz w:val="24"/>
                <w:szCs w:val="24"/>
                <w:lang w:eastAsia="lv-LV"/>
              </w:rPr>
              <w:t xml:space="preserve">Noteikumu projekta </w:t>
            </w:r>
            <w:r w:rsidR="006B0222">
              <w:rPr>
                <w:rFonts w:ascii="Times New Roman" w:eastAsia="Times New Roman" w:hAnsi="Times New Roman"/>
                <w:iCs/>
                <w:sz w:val="24"/>
                <w:szCs w:val="24"/>
                <w:lang w:eastAsia="lv-LV"/>
              </w:rPr>
              <w:t>37</w:t>
            </w:r>
            <w:r w:rsidRPr="002607D6">
              <w:rPr>
                <w:rFonts w:ascii="Times New Roman" w:eastAsia="Times New Roman" w:hAnsi="Times New Roman"/>
                <w:iCs/>
                <w:sz w:val="24"/>
                <w:szCs w:val="24"/>
                <w:lang w:eastAsia="lv-LV"/>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DC334D3" w14:textId="2F62DC5D" w:rsidR="00917EF7" w:rsidRPr="007D6ED7" w:rsidRDefault="00917EF7" w:rsidP="00495D3B">
            <w:pPr>
              <w:spacing w:after="0" w:line="240" w:lineRule="auto"/>
              <w:rPr>
                <w:rFonts w:ascii="Times New Roman" w:hAnsi="Times New Roman"/>
                <w:i/>
                <w:iCs/>
                <w:sz w:val="24"/>
                <w:szCs w:val="24"/>
              </w:rPr>
            </w:pPr>
            <w:r w:rsidRPr="002607D6">
              <w:rPr>
                <w:rFonts w:ascii="Times New Roman" w:eastAsia="Times New Roman" w:hAnsi="Times New Roman"/>
                <w:iCs/>
                <w:sz w:val="24"/>
                <w:szCs w:val="24"/>
                <w:lang w:eastAsia="lv-LV"/>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24CE7213" w14:textId="006DA0C8" w:rsidR="00917EF7" w:rsidRPr="007D6ED7" w:rsidRDefault="00917EF7" w:rsidP="00495D3B">
            <w:pPr>
              <w:spacing w:after="0" w:line="240" w:lineRule="auto"/>
              <w:rPr>
                <w:rFonts w:ascii="Times New Roman" w:hAnsi="Times New Roman"/>
                <w:i/>
                <w:iCs/>
                <w:sz w:val="24"/>
                <w:szCs w:val="24"/>
              </w:rPr>
            </w:pPr>
            <w:r w:rsidRPr="002607D6">
              <w:rPr>
                <w:rFonts w:ascii="Times New Roman" w:eastAsia="Times New Roman" w:hAnsi="Times New Roman"/>
                <w:iCs/>
                <w:sz w:val="24"/>
                <w:szCs w:val="24"/>
                <w:lang w:eastAsia="lv-LV"/>
              </w:rPr>
              <w:t>Neparedz stingrākas prasības</w:t>
            </w:r>
          </w:p>
        </w:tc>
      </w:tr>
      <w:tr w:rsidR="00917EF7" w:rsidRPr="007D6ED7" w14:paraId="6DA9D627"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5BEE9D08" w14:textId="44E4D720" w:rsidR="00917EF7" w:rsidRPr="007D6ED7" w:rsidRDefault="008B3F73" w:rsidP="00495D3B">
            <w:pPr>
              <w:spacing w:after="0" w:line="240" w:lineRule="auto"/>
              <w:rPr>
                <w:rFonts w:ascii="Times New Roman" w:hAnsi="Times New Roman"/>
                <w:sz w:val="24"/>
                <w:szCs w:val="24"/>
              </w:rPr>
            </w:pPr>
            <w:r>
              <w:rPr>
                <w:rFonts w:ascii="Times New Roman" w:hAnsi="Times New Roman"/>
                <w:sz w:val="24"/>
                <w:szCs w:val="24"/>
              </w:rPr>
              <w:t xml:space="preserve">Eiropas </w:t>
            </w:r>
            <w:r w:rsidR="006B0222">
              <w:rPr>
                <w:rFonts w:ascii="Times New Roman" w:hAnsi="Times New Roman"/>
                <w:sz w:val="24"/>
                <w:szCs w:val="24"/>
              </w:rPr>
              <w:t>Komisijas lēmuma 5. un 6.pants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C0B2F98" w14:textId="4F2456A0" w:rsidR="00917EF7" w:rsidRPr="007D6ED7" w:rsidRDefault="006B0222" w:rsidP="00495D3B">
            <w:pPr>
              <w:spacing w:after="0" w:line="240" w:lineRule="auto"/>
              <w:rPr>
                <w:rFonts w:ascii="Times New Roman" w:hAnsi="Times New Roman"/>
                <w:sz w:val="24"/>
                <w:szCs w:val="24"/>
              </w:rPr>
            </w:pPr>
            <w:r>
              <w:rPr>
                <w:rFonts w:ascii="Times New Roman" w:hAnsi="Times New Roman"/>
                <w:sz w:val="24"/>
                <w:szCs w:val="24"/>
              </w:rPr>
              <w:t>Noteikumu projekta 38.punkts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42DC572" w14:textId="01178EA1" w:rsidR="00917EF7" w:rsidRPr="006B0222" w:rsidRDefault="006B0222" w:rsidP="00495D3B">
            <w:pPr>
              <w:spacing w:after="0" w:line="240" w:lineRule="auto"/>
              <w:rPr>
                <w:rFonts w:ascii="Times New Roman" w:hAnsi="Times New Roman"/>
                <w:sz w:val="24"/>
                <w:szCs w:val="24"/>
              </w:rPr>
            </w:pPr>
            <w:r w:rsidRPr="006B0222">
              <w:rPr>
                <w:rFonts w:ascii="Times New Roman" w:hAnsi="Times New Roman"/>
                <w:sz w:val="24"/>
                <w:szCs w:val="24"/>
              </w:rPr>
              <w:t>Ieviests pilnībā</w:t>
            </w:r>
            <w:r w:rsidRPr="006B0222">
              <w:rPr>
                <w:rFonts w:ascii="Times New Roman" w:hAnsi="Times New Roman"/>
                <w:sz w:val="24"/>
                <w:szCs w:val="24"/>
              </w:rPr>
              <w:tab/>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6AFC5731" w14:textId="7FC77A38" w:rsidR="00917EF7" w:rsidRPr="006B0222" w:rsidRDefault="006B0222" w:rsidP="00495D3B">
            <w:pPr>
              <w:spacing w:after="0" w:line="240" w:lineRule="auto"/>
              <w:rPr>
                <w:rFonts w:ascii="Times New Roman" w:hAnsi="Times New Roman"/>
                <w:sz w:val="24"/>
                <w:szCs w:val="24"/>
              </w:rPr>
            </w:pPr>
            <w:r w:rsidRPr="006B0222">
              <w:rPr>
                <w:rFonts w:ascii="Times New Roman" w:hAnsi="Times New Roman"/>
                <w:sz w:val="24"/>
                <w:szCs w:val="24"/>
              </w:rPr>
              <w:t>Neparedz stingrākas prasības</w:t>
            </w:r>
          </w:p>
        </w:tc>
      </w:tr>
      <w:tr w:rsidR="00917EF7" w:rsidRPr="007D6ED7" w14:paraId="2555B139"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42A1F3E8" w14:textId="2F2551A7" w:rsidR="006B0222" w:rsidRPr="00B63461" w:rsidRDefault="008B3F73" w:rsidP="006B0222">
            <w:pPr>
              <w:tabs>
                <w:tab w:val="left" w:pos="851"/>
              </w:tabs>
              <w:spacing w:after="240"/>
              <w:jc w:val="both"/>
              <w:rPr>
                <w:rFonts w:ascii="Times New Roman" w:hAnsi="Times New Roman"/>
                <w:sz w:val="24"/>
                <w:szCs w:val="24"/>
              </w:rPr>
            </w:pPr>
            <w:r>
              <w:rPr>
                <w:rFonts w:ascii="Times New Roman" w:hAnsi="Times New Roman"/>
                <w:sz w:val="24"/>
                <w:szCs w:val="24"/>
              </w:rPr>
              <w:t xml:space="preserve">Eiropas </w:t>
            </w:r>
            <w:r w:rsidR="006B0222" w:rsidRPr="00B63461">
              <w:rPr>
                <w:rFonts w:ascii="Times New Roman" w:hAnsi="Times New Roman"/>
                <w:sz w:val="24"/>
                <w:szCs w:val="24"/>
              </w:rPr>
              <w:t>Komisijas lēmuma 2.panta 1.punkta a) apakšpunkt</w:t>
            </w:r>
            <w:r w:rsidR="00B63461">
              <w:rPr>
                <w:rFonts w:ascii="Times New Roman" w:hAnsi="Times New Roman"/>
                <w:sz w:val="24"/>
                <w:szCs w:val="24"/>
              </w:rPr>
              <w:t>s</w:t>
            </w:r>
            <w:r w:rsidR="006B0222" w:rsidRPr="00B63461">
              <w:rPr>
                <w:rFonts w:ascii="Times New Roman" w:hAnsi="Times New Roman"/>
                <w:sz w:val="24"/>
                <w:szCs w:val="24"/>
              </w:rPr>
              <w:t xml:space="preserve">. </w:t>
            </w:r>
          </w:p>
          <w:p w14:paraId="4C9808F7" w14:textId="77777777" w:rsidR="00917EF7" w:rsidRPr="007D6ED7" w:rsidRDefault="00917EF7" w:rsidP="00495D3B">
            <w:pPr>
              <w:spacing w:after="0" w:line="240" w:lineRule="auto"/>
              <w:rPr>
                <w:rFonts w:ascii="Times New Roman" w:hAnsi="Times New Roman"/>
                <w:sz w:val="24"/>
                <w:szCs w:val="24"/>
              </w:rPr>
            </w:pP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F9CD500" w14:textId="5763B0A1" w:rsidR="00917EF7" w:rsidRPr="007D6ED7" w:rsidRDefault="006B0222" w:rsidP="00495D3B">
            <w:pPr>
              <w:spacing w:after="0" w:line="240" w:lineRule="auto"/>
              <w:rPr>
                <w:rFonts w:ascii="Times New Roman" w:hAnsi="Times New Roman"/>
                <w:sz w:val="24"/>
                <w:szCs w:val="24"/>
              </w:rPr>
            </w:pPr>
            <w:r>
              <w:rPr>
                <w:rFonts w:ascii="Times New Roman" w:hAnsi="Times New Roman"/>
                <w:sz w:val="24"/>
                <w:szCs w:val="24"/>
              </w:rPr>
              <w:t>Noteikumu projekta 39.punkts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EA46912" w14:textId="2508B4B8" w:rsidR="00917EF7" w:rsidRPr="006B0222" w:rsidRDefault="006B0222" w:rsidP="00495D3B">
            <w:pPr>
              <w:spacing w:after="0" w:line="240" w:lineRule="auto"/>
              <w:rPr>
                <w:rFonts w:ascii="Times New Roman" w:hAnsi="Times New Roman"/>
                <w:sz w:val="24"/>
                <w:szCs w:val="24"/>
              </w:rPr>
            </w:pPr>
            <w:r>
              <w:rPr>
                <w:rFonts w:ascii="Times New Roman" w:hAnsi="Times New Roman"/>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445FABFC" w14:textId="1627E26E" w:rsidR="00917EF7" w:rsidRPr="006B0222" w:rsidRDefault="006B0222" w:rsidP="00495D3B">
            <w:pPr>
              <w:spacing w:after="0" w:line="240" w:lineRule="auto"/>
              <w:rPr>
                <w:rFonts w:ascii="Times New Roman" w:hAnsi="Times New Roman"/>
                <w:sz w:val="24"/>
                <w:szCs w:val="24"/>
              </w:rPr>
            </w:pPr>
            <w:r>
              <w:rPr>
                <w:rFonts w:ascii="Times New Roman" w:hAnsi="Times New Roman"/>
                <w:sz w:val="24"/>
                <w:szCs w:val="24"/>
              </w:rPr>
              <w:t>Neparedz stingrākas prasības</w:t>
            </w:r>
          </w:p>
        </w:tc>
      </w:tr>
      <w:tr w:rsidR="00917EF7" w:rsidRPr="007D6ED7" w14:paraId="5F69162E"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ED91F98" w14:textId="75094C63" w:rsidR="00917EF7" w:rsidRPr="007D6ED7" w:rsidRDefault="00B63461" w:rsidP="00495D3B">
            <w:pPr>
              <w:spacing w:after="0" w:line="240" w:lineRule="auto"/>
              <w:rPr>
                <w:rFonts w:ascii="Times New Roman" w:hAnsi="Times New Roman"/>
                <w:sz w:val="24"/>
                <w:szCs w:val="24"/>
              </w:rPr>
            </w:pPr>
            <w:r w:rsidRPr="00B63461">
              <w:rPr>
                <w:rFonts w:ascii="Times New Roman" w:hAnsi="Times New Roman"/>
                <w:sz w:val="24"/>
                <w:szCs w:val="24"/>
              </w:rPr>
              <w:t>Eiropas Komisijas lēmuma 6.pant</w:t>
            </w:r>
            <w:r>
              <w:rPr>
                <w:rFonts w:ascii="Times New Roman" w:hAnsi="Times New Roman"/>
                <w:sz w:val="24"/>
                <w:szCs w:val="24"/>
              </w:rPr>
              <w: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A9E06E7" w14:textId="1D2BA9C7" w:rsidR="00917EF7" w:rsidRPr="007D6ED7" w:rsidRDefault="00B63461" w:rsidP="00495D3B">
            <w:pPr>
              <w:spacing w:after="0" w:line="240" w:lineRule="auto"/>
              <w:rPr>
                <w:rFonts w:ascii="Times New Roman" w:hAnsi="Times New Roman"/>
                <w:sz w:val="24"/>
                <w:szCs w:val="24"/>
              </w:rPr>
            </w:pPr>
            <w:r>
              <w:rPr>
                <w:rFonts w:ascii="Times New Roman" w:hAnsi="Times New Roman"/>
                <w:sz w:val="24"/>
                <w:szCs w:val="24"/>
              </w:rPr>
              <w:t>Noteikumu projekta 40.punkts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B7B88FC" w14:textId="02FB976C" w:rsidR="00917EF7" w:rsidRPr="00B63461" w:rsidRDefault="00B63461" w:rsidP="00495D3B">
            <w:pPr>
              <w:spacing w:after="0" w:line="240" w:lineRule="auto"/>
              <w:rPr>
                <w:rFonts w:ascii="Times New Roman" w:hAnsi="Times New Roman"/>
                <w:sz w:val="24"/>
                <w:szCs w:val="24"/>
              </w:rPr>
            </w:pPr>
            <w:r>
              <w:rPr>
                <w:rFonts w:ascii="Times New Roman" w:hAnsi="Times New Roman"/>
                <w:sz w:val="24"/>
                <w:szCs w:val="24"/>
              </w:rPr>
              <w:t xml:space="preserve">Ieviests pilnībā </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D4306D0" w14:textId="1D3D8DD3" w:rsidR="00917EF7" w:rsidRPr="007D6ED7" w:rsidRDefault="00B63461" w:rsidP="00495D3B">
            <w:pPr>
              <w:spacing w:after="0" w:line="240" w:lineRule="auto"/>
              <w:rPr>
                <w:rFonts w:ascii="Times New Roman" w:hAnsi="Times New Roman"/>
                <w:i/>
                <w:iCs/>
                <w:sz w:val="24"/>
                <w:szCs w:val="24"/>
              </w:rPr>
            </w:pPr>
            <w:r w:rsidRPr="00B63461">
              <w:rPr>
                <w:rFonts w:ascii="Times New Roman" w:hAnsi="Times New Roman"/>
                <w:sz w:val="24"/>
                <w:szCs w:val="24"/>
              </w:rPr>
              <w:t>Neparedz stingrākas prasības</w:t>
            </w:r>
          </w:p>
        </w:tc>
      </w:tr>
      <w:tr w:rsidR="00495D3B" w:rsidRPr="007D6ED7" w14:paraId="1B279C25" w14:textId="77777777" w:rsidTr="00495D3B">
        <w:tc>
          <w:tcPr>
            <w:tcW w:w="1455" w:type="pct"/>
            <w:tcBorders>
              <w:top w:val="single" w:sz="4" w:space="0" w:color="auto"/>
              <w:left w:val="outset" w:sz="6" w:space="0" w:color="414142"/>
              <w:bottom w:val="outset" w:sz="6" w:space="0" w:color="414142"/>
              <w:right w:val="outset" w:sz="6" w:space="0" w:color="414142"/>
            </w:tcBorders>
            <w:shd w:val="clear" w:color="auto" w:fill="FFFFFF"/>
            <w:hideMark/>
          </w:tcPr>
          <w:p w14:paraId="27D8F9E0"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Kā ir izmantota ES tiesību aktā paredzētā rīcības brīvība dalībvalstij pārņemt vai ieviest noteiktas ES tiesību akta normas? Kādēļ?</w:t>
            </w:r>
          </w:p>
        </w:tc>
        <w:tc>
          <w:tcPr>
            <w:tcW w:w="3545" w:type="pct"/>
            <w:gridSpan w:val="3"/>
            <w:tcBorders>
              <w:top w:val="single" w:sz="4" w:space="0" w:color="auto"/>
              <w:left w:val="single" w:sz="4" w:space="0" w:color="auto"/>
              <w:bottom w:val="single" w:sz="4" w:space="0" w:color="auto"/>
              <w:right w:val="single" w:sz="4" w:space="0" w:color="auto"/>
            </w:tcBorders>
            <w:hideMark/>
          </w:tcPr>
          <w:p w14:paraId="49F6C670" w14:textId="4DD829CE" w:rsidR="00495D3B" w:rsidRPr="007D6ED7" w:rsidRDefault="000703EE" w:rsidP="00495D3B">
            <w:pPr>
              <w:spacing w:after="0" w:line="240" w:lineRule="auto"/>
              <w:rPr>
                <w:rFonts w:ascii="Times New Roman" w:eastAsia="Times New Roman" w:hAnsi="Times New Roman"/>
                <w:sz w:val="24"/>
                <w:szCs w:val="24"/>
                <w:lang w:eastAsia="lv-LV"/>
              </w:rPr>
            </w:pPr>
            <w:r w:rsidRPr="007D6ED7">
              <w:rPr>
                <w:rFonts w:ascii="Times New Roman" w:hAnsi="Times New Roman"/>
                <w:iCs/>
                <w:sz w:val="24"/>
                <w:szCs w:val="24"/>
              </w:rPr>
              <w:t xml:space="preserve">Noteikumu projekts </w:t>
            </w:r>
            <w:r w:rsidR="00495D3B" w:rsidRPr="007D6ED7">
              <w:rPr>
                <w:rFonts w:ascii="Times New Roman" w:eastAsia="Times New Roman" w:hAnsi="Times New Roman"/>
                <w:sz w:val="24"/>
                <w:szCs w:val="24"/>
              </w:rPr>
              <w:t>šo jomu neskar.</w:t>
            </w:r>
          </w:p>
        </w:tc>
      </w:tr>
      <w:tr w:rsidR="00495D3B" w:rsidRPr="007D6ED7" w14:paraId="395615AB"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599DE8AB"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545" w:type="pct"/>
            <w:gridSpan w:val="3"/>
            <w:tcBorders>
              <w:top w:val="single" w:sz="4" w:space="0" w:color="auto"/>
              <w:left w:val="single" w:sz="4" w:space="0" w:color="auto"/>
              <w:bottom w:val="single" w:sz="4" w:space="0" w:color="auto"/>
              <w:right w:val="single" w:sz="4" w:space="0" w:color="auto"/>
            </w:tcBorders>
            <w:hideMark/>
          </w:tcPr>
          <w:p w14:paraId="19F3CEED" w14:textId="79F6E8A1" w:rsidR="00495D3B" w:rsidRPr="007D6ED7" w:rsidRDefault="000703EE" w:rsidP="00495D3B">
            <w:pPr>
              <w:spacing w:after="0" w:line="240" w:lineRule="auto"/>
              <w:rPr>
                <w:rFonts w:ascii="Times New Roman" w:eastAsia="Times New Roman" w:hAnsi="Times New Roman"/>
                <w:sz w:val="24"/>
                <w:szCs w:val="24"/>
                <w:lang w:eastAsia="lv-LV"/>
              </w:rPr>
            </w:pPr>
            <w:r w:rsidRPr="007D6ED7">
              <w:rPr>
                <w:rFonts w:ascii="Times New Roman" w:hAnsi="Times New Roman"/>
                <w:iCs/>
                <w:sz w:val="24"/>
                <w:szCs w:val="24"/>
              </w:rPr>
              <w:t>Noteikumu projekts</w:t>
            </w:r>
            <w:r w:rsidR="00495D3B" w:rsidRPr="007D6ED7">
              <w:rPr>
                <w:rFonts w:ascii="Times New Roman" w:eastAsia="Times New Roman" w:hAnsi="Times New Roman"/>
                <w:sz w:val="24"/>
                <w:szCs w:val="24"/>
              </w:rPr>
              <w:t xml:space="preserve"> šo jomu neskar.</w:t>
            </w:r>
          </w:p>
        </w:tc>
      </w:tr>
      <w:tr w:rsidR="00495D3B" w:rsidRPr="007D6ED7" w14:paraId="27D12D5F"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368A041C"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3545" w:type="pct"/>
            <w:gridSpan w:val="3"/>
            <w:tcBorders>
              <w:top w:val="single" w:sz="4" w:space="0" w:color="auto"/>
              <w:left w:val="single" w:sz="4" w:space="0" w:color="auto"/>
              <w:bottom w:val="single" w:sz="4" w:space="0" w:color="auto"/>
              <w:right w:val="single" w:sz="4" w:space="0" w:color="auto"/>
            </w:tcBorders>
            <w:hideMark/>
          </w:tcPr>
          <w:p w14:paraId="67CC687B" w14:textId="77777777" w:rsidR="00495D3B" w:rsidRPr="007D6ED7" w:rsidRDefault="00495D3B" w:rsidP="00495D3B">
            <w:pPr>
              <w:spacing w:after="0" w:line="240" w:lineRule="auto"/>
              <w:rPr>
                <w:rFonts w:ascii="Times New Roman" w:eastAsia="Times New Roman" w:hAnsi="Times New Roman"/>
                <w:sz w:val="24"/>
                <w:szCs w:val="24"/>
                <w:lang w:eastAsia="lv-LV"/>
              </w:rPr>
            </w:pPr>
            <w:r w:rsidRPr="007D6ED7">
              <w:rPr>
                <w:rFonts w:ascii="Times New Roman" w:hAnsi="Times New Roman"/>
                <w:sz w:val="24"/>
                <w:szCs w:val="24"/>
              </w:rPr>
              <w:t>Nav.</w:t>
            </w:r>
          </w:p>
        </w:tc>
      </w:tr>
    </w:tbl>
    <w:p w14:paraId="74FB9A37" w14:textId="735823F7" w:rsidR="00E47C64" w:rsidRPr="007D6ED7" w:rsidRDefault="00E47C64" w:rsidP="000E1A83">
      <w:pPr>
        <w:spacing w:after="0" w:line="240" w:lineRule="auto"/>
        <w:rPr>
          <w:rFonts w:ascii="Times New Roman" w:eastAsia="Times New Roman" w:hAnsi="Times New Roman"/>
          <w:sz w:val="24"/>
          <w:szCs w:val="24"/>
          <w:lang w:eastAsia="lv-LV"/>
        </w:rPr>
      </w:pPr>
    </w:p>
    <w:p w14:paraId="1768C1D4" w14:textId="77777777" w:rsidR="00E47C64" w:rsidRPr="007D6ED7" w:rsidRDefault="00E47C64"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396"/>
        <w:gridCol w:w="2625"/>
        <w:gridCol w:w="7469"/>
      </w:tblGrid>
      <w:tr w:rsidR="00972CE8" w:rsidRPr="007D6ED7" w14:paraId="712BAB6D" w14:textId="77777777" w:rsidTr="00097E94">
        <w:trPr>
          <w:trHeight w:val="420"/>
        </w:trPr>
        <w:tc>
          <w:tcPr>
            <w:tcW w:w="5000" w:type="pct"/>
            <w:gridSpan w:val="3"/>
            <w:hideMark/>
          </w:tcPr>
          <w:p w14:paraId="467AD434" w14:textId="77777777" w:rsidR="00972CE8" w:rsidRPr="007D6ED7" w:rsidRDefault="00972CE8" w:rsidP="00605078">
            <w:pPr>
              <w:spacing w:after="0" w:line="240" w:lineRule="auto"/>
              <w:jc w:val="center"/>
              <w:rPr>
                <w:rFonts w:ascii="Times New Roman" w:hAnsi="Times New Roman"/>
                <w:b/>
                <w:bCs/>
                <w:sz w:val="24"/>
                <w:szCs w:val="24"/>
              </w:rPr>
            </w:pPr>
            <w:r w:rsidRPr="007D6ED7">
              <w:rPr>
                <w:rFonts w:ascii="Times New Roman" w:hAnsi="Times New Roman"/>
                <w:b/>
                <w:bCs/>
                <w:sz w:val="24"/>
                <w:szCs w:val="24"/>
              </w:rPr>
              <w:t>VI. Sabiedrības līdzdalība un komunikācijas aktivitātes</w:t>
            </w:r>
          </w:p>
        </w:tc>
      </w:tr>
      <w:tr w:rsidR="003C51F5" w:rsidRPr="007D6ED7" w14:paraId="74BBA64A" w14:textId="77777777" w:rsidTr="00A44FF9">
        <w:trPr>
          <w:trHeight w:val="540"/>
        </w:trPr>
        <w:tc>
          <w:tcPr>
            <w:tcW w:w="189" w:type="pct"/>
            <w:hideMark/>
          </w:tcPr>
          <w:p w14:paraId="335C5AF3" w14:textId="5F992E3F"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lastRenderedPageBreak/>
              <w:t>1.</w:t>
            </w:r>
          </w:p>
        </w:tc>
        <w:tc>
          <w:tcPr>
            <w:tcW w:w="1251" w:type="pct"/>
          </w:tcPr>
          <w:p w14:paraId="4FC8755A" w14:textId="254FB53A"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Plānotās sabiedrības līdzdalības un komunikācijas aktivitātes saistībā ar projektu</w:t>
            </w:r>
          </w:p>
        </w:tc>
        <w:tc>
          <w:tcPr>
            <w:tcW w:w="3560" w:type="pct"/>
          </w:tcPr>
          <w:p w14:paraId="0398DE4C" w14:textId="09A4E13C" w:rsidR="003E0F3E" w:rsidRPr="007D6ED7" w:rsidRDefault="000C07A2" w:rsidP="00D50434">
            <w:pPr>
              <w:spacing w:after="0" w:line="240" w:lineRule="auto"/>
              <w:jc w:val="both"/>
              <w:rPr>
                <w:rFonts w:ascii="Times New Roman" w:hAnsi="Times New Roman"/>
                <w:bCs/>
                <w:iCs/>
                <w:sz w:val="24"/>
                <w:szCs w:val="24"/>
              </w:rPr>
            </w:pPr>
            <w:r w:rsidRPr="007D6ED7">
              <w:rPr>
                <w:rFonts w:ascii="Times New Roman" w:hAnsi="Times New Roman"/>
                <w:bCs/>
                <w:iCs/>
                <w:sz w:val="24"/>
                <w:szCs w:val="24"/>
              </w:rPr>
              <w:t>Atbilstoši normatīvo aktu prasībām</w:t>
            </w:r>
            <w:r w:rsidR="001B208F" w:rsidRPr="007D6ED7">
              <w:rPr>
                <w:rFonts w:ascii="Times New Roman" w:hAnsi="Times New Roman"/>
                <w:bCs/>
                <w:iCs/>
                <w:sz w:val="24"/>
                <w:szCs w:val="24"/>
              </w:rPr>
              <w:t>,</w:t>
            </w:r>
            <w:r w:rsidRPr="007D6ED7">
              <w:rPr>
                <w:rFonts w:ascii="Times New Roman" w:hAnsi="Times New Roman"/>
                <w:bCs/>
                <w:iCs/>
                <w:sz w:val="24"/>
                <w:szCs w:val="24"/>
              </w:rPr>
              <w:t xml:space="preserve"> sabiedrības līdzdalība tiek nodrošināta, ievietojot </w:t>
            </w:r>
            <w:r w:rsidR="00B63461">
              <w:rPr>
                <w:rFonts w:ascii="Times New Roman" w:hAnsi="Times New Roman"/>
                <w:bCs/>
                <w:iCs/>
                <w:sz w:val="24"/>
                <w:szCs w:val="24"/>
              </w:rPr>
              <w:t>N</w:t>
            </w:r>
            <w:r w:rsidRPr="007D6ED7">
              <w:rPr>
                <w:rFonts w:ascii="Times New Roman" w:hAnsi="Times New Roman"/>
                <w:bCs/>
                <w:iCs/>
                <w:sz w:val="24"/>
                <w:szCs w:val="24"/>
              </w:rPr>
              <w:t>oteikumu projektu Ekonomikas ministrijas tīmekļa vietnē sabiedriskajai apspriešanai.</w:t>
            </w:r>
          </w:p>
          <w:p w14:paraId="7919FAE9" w14:textId="2461AC30" w:rsidR="003B05C0" w:rsidRPr="007D6ED7" w:rsidRDefault="003B05C0" w:rsidP="00BC159F">
            <w:pPr>
              <w:spacing w:after="0" w:line="240" w:lineRule="auto"/>
              <w:jc w:val="both"/>
              <w:rPr>
                <w:rFonts w:ascii="Times New Roman" w:hAnsi="Times New Roman"/>
                <w:bCs/>
                <w:sz w:val="24"/>
                <w:szCs w:val="24"/>
              </w:rPr>
            </w:pPr>
          </w:p>
        </w:tc>
      </w:tr>
      <w:tr w:rsidR="00790B85" w:rsidRPr="007D6ED7" w14:paraId="1811DA76" w14:textId="77777777" w:rsidTr="00A44FF9">
        <w:trPr>
          <w:trHeight w:val="330"/>
        </w:trPr>
        <w:tc>
          <w:tcPr>
            <w:tcW w:w="189" w:type="pct"/>
            <w:hideMark/>
          </w:tcPr>
          <w:p w14:paraId="5DE76994" w14:textId="129008BF"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t>2.</w:t>
            </w:r>
          </w:p>
        </w:tc>
        <w:tc>
          <w:tcPr>
            <w:tcW w:w="1251" w:type="pct"/>
          </w:tcPr>
          <w:p w14:paraId="304193EE" w14:textId="6594F83E"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Sabiedrības līdzdalība projekta izstrādē</w:t>
            </w:r>
          </w:p>
        </w:tc>
        <w:tc>
          <w:tcPr>
            <w:tcW w:w="3560" w:type="pct"/>
          </w:tcPr>
          <w:p w14:paraId="3FB0CEDC" w14:textId="16C27974" w:rsidR="00A041A1" w:rsidRPr="007D6ED7" w:rsidRDefault="00A041A1" w:rsidP="00A041A1">
            <w:pPr>
              <w:spacing w:after="0" w:line="240" w:lineRule="auto"/>
              <w:jc w:val="both"/>
              <w:rPr>
                <w:rFonts w:ascii="Times New Roman" w:hAnsi="Times New Roman"/>
                <w:iCs/>
                <w:sz w:val="24"/>
                <w:szCs w:val="24"/>
              </w:rPr>
            </w:pPr>
            <w:r w:rsidRPr="007D6ED7">
              <w:rPr>
                <w:rFonts w:ascii="Times New Roman" w:hAnsi="Times New Roman"/>
                <w:iCs/>
                <w:sz w:val="24"/>
                <w:szCs w:val="24"/>
              </w:rPr>
              <w:t>Noteikumu projekts ievietots sabied</w:t>
            </w:r>
            <w:r w:rsidR="001F64F1" w:rsidRPr="007D6ED7">
              <w:rPr>
                <w:rFonts w:ascii="Times New Roman" w:hAnsi="Times New Roman"/>
                <w:iCs/>
                <w:sz w:val="24"/>
                <w:szCs w:val="24"/>
              </w:rPr>
              <w:t>riskajai</w:t>
            </w:r>
            <w:r w:rsidRPr="007D6ED7">
              <w:rPr>
                <w:rFonts w:ascii="Times New Roman" w:hAnsi="Times New Roman"/>
                <w:iCs/>
                <w:sz w:val="24"/>
                <w:szCs w:val="24"/>
              </w:rPr>
              <w:t xml:space="preserve"> apspriešanai</w:t>
            </w:r>
            <w:r w:rsidR="00392BAE" w:rsidRPr="007D6ED7">
              <w:rPr>
                <w:rFonts w:ascii="Times New Roman" w:hAnsi="Times New Roman"/>
                <w:iCs/>
                <w:sz w:val="24"/>
                <w:szCs w:val="24"/>
              </w:rPr>
              <w:t xml:space="preserve"> </w:t>
            </w:r>
            <w:r w:rsidRPr="007D6ED7">
              <w:rPr>
                <w:rFonts w:ascii="Times New Roman" w:hAnsi="Times New Roman"/>
                <w:iCs/>
                <w:sz w:val="24"/>
                <w:szCs w:val="24"/>
              </w:rPr>
              <w:t>Ekonomikas ministrijas tīmekļvietnē:</w:t>
            </w:r>
          </w:p>
          <w:p w14:paraId="0388F7D8" w14:textId="652751D0" w:rsidR="00392BAE" w:rsidRPr="007D6ED7" w:rsidRDefault="00CB5463" w:rsidP="00392BAE">
            <w:pPr>
              <w:spacing w:after="0" w:line="240" w:lineRule="auto"/>
              <w:jc w:val="both"/>
              <w:rPr>
                <w:rFonts w:ascii="Times New Roman" w:hAnsi="Times New Roman"/>
                <w:iCs/>
                <w:sz w:val="24"/>
                <w:szCs w:val="24"/>
              </w:rPr>
            </w:pPr>
            <w:hyperlink r:id="rId15" w:history="1">
              <w:r w:rsidR="00A041A1" w:rsidRPr="007D6ED7">
                <w:rPr>
                  <w:rStyle w:val="Hyperlink"/>
                  <w:rFonts w:ascii="Times New Roman" w:hAnsi="Times New Roman"/>
                  <w:iCs/>
                  <w:sz w:val="24"/>
                  <w:szCs w:val="24"/>
                </w:rPr>
                <w:t>https://em.gov.lv/lv/Ministrija/sabiedribas_lidzdaliba/diskusiju_dokumenti/</w:t>
              </w:r>
            </w:hyperlink>
            <w:r w:rsidR="00A041A1" w:rsidRPr="007D6ED7">
              <w:rPr>
                <w:rFonts w:ascii="Times New Roman" w:hAnsi="Times New Roman"/>
                <w:iCs/>
                <w:sz w:val="24"/>
                <w:szCs w:val="24"/>
              </w:rPr>
              <w:t xml:space="preserve"> </w:t>
            </w:r>
          </w:p>
          <w:p w14:paraId="11CA46FC" w14:textId="6F77751E" w:rsidR="003E0F3E" w:rsidRPr="007D6ED7" w:rsidRDefault="003E0F3E" w:rsidP="00A041A1">
            <w:pPr>
              <w:spacing w:after="0" w:line="240" w:lineRule="auto"/>
              <w:jc w:val="both"/>
              <w:rPr>
                <w:rFonts w:ascii="Times New Roman" w:hAnsi="Times New Roman"/>
                <w:i/>
                <w:sz w:val="24"/>
                <w:szCs w:val="24"/>
              </w:rPr>
            </w:pPr>
          </w:p>
        </w:tc>
      </w:tr>
      <w:tr w:rsidR="00790B85" w:rsidRPr="007D6ED7" w14:paraId="045D3822" w14:textId="77777777" w:rsidTr="0006213D">
        <w:trPr>
          <w:trHeight w:val="301"/>
        </w:trPr>
        <w:tc>
          <w:tcPr>
            <w:tcW w:w="189" w:type="pct"/>
            <w:hideMark/>
          </w:tcPr>
          <w:p w14:paraId="7FF69B15" w14:textId="7EFB4231" w:rsidR="003E0F3E" w:rsidRPr="007D6ED7" w:rsidRDefault="003C51F5" w:rsidP="00605078">
            <w:pPr>
              <w:spacing w:after="0" w:line="240" w:lineRule="auto"/>
              <w:rPr>
                <w:rFonts w:ascii="Times New Roman" w:hAnsi="Times New Roman"/>
                <w:sz w:val="24"/>
                <w:szCs w:val="24"/>
              </w:rPr>
            </w:pPr>
            <w:r w:rsidRPr="007D6ED7">
              <w:rPr>
                <w:rFonts w:ascii="Times New Roman" w:hAnsi="Times New Roman"/>
                <w:sz w:val="24"/>
                <w:szCs w:val="24"/>
              </w:rPr>
              <w:t>3.</w:t>
            </w:r>
          </w:p>
        </w:tc>
        <w:tc>
          <w:tcPr>
            <w:tcW w:w="1251" w:type="pct"/>
          </w:tcPr>
          <w:p w14:paraId="072CE3BC" w14:textId="678DB540" w:rsidR="003E0F3E" w:rsidRPr="007D6ED7" w:rsidRDefault="00AC4B25" w:rsidP="00605078">
            <w:pPr>
              <w:spacing w:after="0" w:line="240" w:lineRule="auto"/>
              <w:rPr>
                <w:rFonts w:ascii="Times New Roman" w:hAnsi="Times New Roman"/>
                <w:sz w:val="24"/>
                <w:szCs w:val="24"/>
              </w:rPr>
            </w:pPr>
            <w:r w:rsidRPr="007D6ED7">
              <w:rPr>
                <w:rFonts w:ascii="Times New Roman" w:hAnsi="Times New Roman"/>
                <w:sz w:val="24"/>
                <w:szCs w:val="24"/>
              </w:rPr>
              <w:t>Sabiedrības līdzdalības rezultāti</w:t>
            </w:r>
          </w:p>
        </w:tc>
        <w:tc>
          <w:tcPr>
            <w:tcW w:w="3560" w:type="pct"/>
            <w:hideMark/>
          </w:tcPr>
          <w:p w14:paraId="32A87A01" w14:textId="7843D366" w:rsidR="007E66F2" w:rsidRPr="007D6ED7" w:rsidRDefault="004216CF" w:rsidP="00D34D2E">
            <w:pPr>
              <w:suppressAutoHyphens/>
              <w:spacing w:after="0" w:line="240" w:lineRule="auto"/>
              <w:jc w:val="both"/>
              <w:rPr>
                <w:rFonts w:ascii="Liberation Serif" w:eastAsia="SimSun" w:hAnsi="Liberation Serif" w:cs="Arial" w:hint="eastAsia"/>
                <w:kern w:val="1"/>
                <w:sz w:val="24"/>
                <w:szCs w:val="24"/>
                <w:lang w:eastAsia="zh-CN" w:bidi="hi-IN"/>
              </w:rPr>
            </w:pPr>
            <w:r w:rsidRPr="007D6ED7">
              <w:rPr>
                <w:rFonts w:ascii="Liberation Serif" w:eastAsia="SimSun" w:hAnsi="Liberation Serif" w:cs="Arial"/>
                <w:kern w:val="1"/>
                <w:sz w:val="24"/>
                <w:szCs w:val="24"/>
                <w:lang w:eastAsia="zh-CN" w:bidi="hi-IN"/>
              </w:rPr>
              <w:t>Tiks papildināts atbilstoši sabiedrības aktivitātei.</w:t>
            </w:r>
          </w:p>
        </w:tc>
      </w:tr>
      <w:tr w:rsidR="003E0F3E" w:rsidRPr="007D6ED7" w14:paraId="0957700F" w14:textId="77777777" w:rsidTr="00A44FF9">
        <w:trPr>
          <w:trHeight w:val="301"/>
        </w:trPr>
        <w:tc>
          <w:tcPr>
            <w:tcW w:w="189" w:type="pct"/>
            <w:hideMark/>
          </w:tcPr>
          <w:p w14:paraId="073F1392" w14:textId="0827511C" w:rsidR="003E0F3E" w:rsidRPr="007D6ED7" w:rsidRDefault="003C51F5" w:rsidP="003E0F3E">
            <w:pPr>
              <w:spacing w:after="0" w:line="240" w:lineRule="auto"/>
              <w:rPr>
                <w:rFonts w:ascii="Times New Roman" w:hAnsi="Times New Roman"/>
                <w:sz w:val="24"/>
                <w:szCs w:val="24"/>
              </w:rPr>
            </w:pPr>
            <w:r w:rsidRPr="007D6ED7">
              <w:rPr>
                <w:rFonts w:ascii="Times New Roman" w:hAnsi="Times New Roman"/>
                <w:sz w:val="24"/>
                <w:szCs w:val="24"/>
              </w:rPr>
              <w:t>4.</w:t>
            </w:r>
          </w:p>
        </w:tc>
        <w:tc>
          <w:tcPr>
            <w:tcW w:w="1251" w:type="pct"/>
          </w:tcPr>
          <w:p w14:paraId="3575EBC6" w14:textId="235B8EAD" w:rsidR="003E0F3E" w:rsidRPr="007D6ED7" w:rsidRDefault="003E0F3E" w:rsidP="00605078">
            <w:pPr>
              <w:spacing w:after="0" w:line="240" w:lineRule="auto"/>
              <w:rPr>
                <w:rFonts w:ascii="Times New Roman" w:hAnsi="Times New Roman"/>
                <w:sz w:val="24"/>
                <w:szCs w:val="24"/>
              </w:rPr>
            </w:pPr>
            <w:r w:rsidRPr="007D6ED7">
              <w:rPr>
                <w:rFonts w:ascii="Times New Roman" w:hAnsi="Times New Roman"/>
                <w:sz w:val="24"/>
                <w:szCs w:val="24"/>
              </w:rPr>
              <w:t>Cita informācija</w:t>
            </w:r>
          </w:p>
        </w:tc>
        <w:tc>
          <w:tcPr>
            <w:tcW w:w="3560" w:type="pct"/>
            <w:hideMark/>
          </w:tcPr>
          <w:p w14:paraId="55B955C9" w14:textId="72926147" w:rsidR="00D869C0" w:rsidRPr="007D6ED7" w:rsidRDefault="00A041A1" w:rsidP="00D869C0">
            <w:pPr>
              <w:pStyle w:val="naisnod"/>
              <w:spacing w:before="0" w:after="0"/>
              <w:jc w:val="both"/>
            </w:pPr>
            <w:r w:rsidRPr="007D6ED7">
              <w:rPr>
                <w:b w:val="0"/>
              </w:rPr>
              <w:t>Nav</w:t>
            </w:r>
          </w:p>
          <w:p w14:paraId="19DE89C1" w14:textId="4A6455AD" w:rsidR="003E0F3E" w:rsidRPr="007D6ED7" w:rsidRDefault="003E0F3E" w:rsidP="00605078">
            <w:pPr>
              <w:spacing w:after="0" w:line="240" w:lineRule="auto"/>
              <w:rPr>
                <w:rFonts w:ascii="Times New Roman" w:hAnsi="Times New Roman"/>
                <w:sz w:val="24"/>
                <w:szCs w:val="24"/>
              </w:rPr>
            </w:pPr>
          </w:p>
        </w:tc>
      </w:tr>
    </w:tbl>
    <w:p w14:paraId="6DC0157A" w14:textId="4BE5E016" w:rsidR="00E47B7E" w:rsidRPr="007D6ED7" w:rsidRDefault="00E47B7E" w:rsidP="000E1A83">
      <w:pPr>
        <w:spacing w:after="0" w:line="240" w:lineRule="auto"/>
        <w:rPr>
          <w:rFonts w:ascii="Times New Roman" w:eastAsia="Times New Roman" w:hAnsi="Times New Roman"/>
          <w:sz w:val="24"/>
          <w:szCs w:val="24"/>
          <w:lang w:eastAsia="lv-LV"/>
        </w:rPr>
      </w:pPr>
    </w:p>
    <w:p w14:paraId="4CD27951" w14:textId="77777777" w:rsidR="004C3B26" w:rsidRPr="007D6ED7" w:rsidRDefault="004C3B26" w:rsidP="000E1A83">
      <w:pPr>
        <w:spacing w:after="0" w:line="240" w:lineRule="auto"/>
        <w:rPr>
          <w:rFonts w:ascii="Times New Roman" w:eastAsia="Times New Roman" w:hAnsi="Times New Roman"/>
          <w:sz w:val="24"/>
          <w:szCs w:val="24"/>
          <w:lang w:eastAsia="lv-LV"/>
        </w:rPr>
      </w:pPr>
    </w:p>
    <w:tbl>
      <w:tblPr>
        <w:tblStyle w:val="TableGrid"/>
        <w:tblW w:w="5612" w:type="pct"/>
        <w:tblInd w:w="-714" w:type="dxa"/>
        <w:tblLook w:val="04A0" w:firstRow="1" w:lastRow="0" w:firstColumn="1" w:lastColumn="0" w:noHBand="0" w:noVBand="1"/>
      </w:tblPr>
      <w:tblGrid>
        <w:gridCol w:w="466"/>
        <w:gridCol w:w="4070"/>
        <w:gridCol w:w="5954"/>
      </w:tblGrid>
      <w:tr w:rsidR="00925F9E" w:rsidRPr="007D6ED7" w14:paraId="65402A31" w14:textId="77777777" w:rsidTr="009B2273">
        <w:trPr>
          <w:trHeight w:val="375"/>
        </w:trPr>
        <w:tc>
          <w:tcPr>
            <w:tcW w:w="5000" w:type="pct"/>
            <w:gridSpan w:val="3"/>
            <w:hideMark/>
          </w:tcPr>
          <w:p w14:paraId="62B8C3E6" w14:textId="77777777" w:rsidR="00C96AD3" w:rsidRPr="007D6ED7" w:rsidRDefault="00363BB6"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7D6ED7">
              <w:rPr>
                <w:rFonts w:ascii="Times New Roman" w:eastAsia="Times New Roman" w:hAnsi="Times New Roman"/>
                <w:b/>
                <w:bCs/>
                <w:sz w:val="24"/>
                <w:szCs w:val="24"/>
                <w:lang w:eastAsia="lv-LV"/>
              </w:rPr>
              <w:t>VII. Tiesību akta projekta izpildes nodrošināšana un tās ietekme uz institūcijām</w:t>
            </w:r>
          </w:p>
        </w:tc>
      </w:tr>
      <w:tr w:rsidR="00925F9E" w:rsidRPr="007D6ED7" w14:paraId="702A1D02" w14:textId="77777777" w:rsidTr="00742AB3">
        <w:trPr>
          <w:trHeight w:val="420"/>
        </w:trPr>
        <w:tc>
          <w:tcPr>
            <w:tcW w:w="222" w:type="pct"/>
            <w:hideMark/>
          </w:tcPr>
          <w:p w14:paraId="699F7942"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1.</w:t>
            </w:r>
          </w:p>
        </w:tc>
        <w:tc>
          <w:tcPr>
            <w:tcW w:w="1940" w:type="pct"/>
            <w:hideMark/>
          </w:tcPr>
          <w:p w14:paraId="25FBC28D"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izpildē iesaistītās institūcijas</w:t>
            </w:r>
          </w:p>
        </w:tc>
        <w:tc>
          <w:tcPr>
            <w:tcW w:w="2837" w:type="pct"/>
            <w:hideMark/>
          </w:tcPr>
          <w:p w14:paraId="46637270" w14:textId="0306AD51" w:rsidR="00C96AD3" w:rsidRPr="007D6ED7" w:rsidRDefault="008A7215" w:rsidP="002A75D5">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Ekonomikas ministrija</w:t>
            </w:r>
            <w:r w:rsidR="000F4C12" w:rsidRPr="007D6ED7">
              <w:rPr>
                <w:rFonts w:ascii="Times New Roman" w:eastAsia="Times New Roman" w:hAnsi="Times New Roman"/>
                <w:sz w:val="24"/>
                <w:szCs w:val="24"/>
                <w:lang w:eastAsia="lv-LV"/>
              </w:rPr>
              <w:t>, sabiedrība “Altum”</w:t>
            </w:r>
            <w:r w:rsidR="00917EF7">
              <w:rPr>
                <w:rFonts w:ascii="Times New Roman" w:eastAsia="Times New Roman" w:hAnsi="Times New Roman"/>
                <w:sz w:val="24"/>
                <w:szCs w:val="24"/>
                <w:lang w:eastAsia="lv-LV"/>
              </w:rPr>
              <w:t>, “Possessor”</w:t>
            </w:r>
          </w:p>
        </w:tc>
      </w:tr>
      <w:tr w:rsidR="00925F9E" w:rsidRPr="007D6ED7" w14:paraId="28D8C2E0" w14:textId="77777777" w:rsidTr="00742AB3">
        <w:trPr>
          <w:trHeight w:val="450"/>
        </w:trPr>
        <w:tc>
          <w:tcPr>
            <w:tcW w:w="222" w:type="pct"/>
            <w:hideMark/>
          </w:tcPr>
          <w:p w14:paraId="1AA7CC44"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2.</w:t>
            </w:r>
          </w:p>
        </w:tc>
        <w:tc>
          <w:tcPr>
            <w:tcW w:w="1940" w:type="pct"/>
            <w:hideMark/>
          </w:tcPr>
          <w:p w14:paraId="32540DF8" w14:textId="77777777" w:rsidR="00C96AD3" w:rsidRPr="007D6ED7" w:rsidRDefault="00363BB6" w:rsidP="00C96AD3">
            <w:pPr>
              <w:spacing w:after="0" w:line="240" w:lineRule="auto"/>
              <w:jc w:val="both"/>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837" w:type="pct"/>
            <w:hideMark/>
          </w:tcPr>
          <w:p w14:paraId="51AF1960" w14:textId="4BC30A5C" w:rsidR="00A041A1" w:rsidRPr="007D6ED7" w:rsidRDefault="00917EF7" w:rsidP="00A04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w:t>
            </w:r>
            <w:r w:rsidR="00A041A1" w:rsidRPr="007D6ED7">
              <w:rPr>
                <w:rFonts w:ascii="Times New Roman" w:eastAsia="Times New Roman" w:hAnsi="Times New Roman"/>
                <w:sz w:val="24"/>
                <w:szCs w:val="24"/>
              </w:rPr>
              <w:t>av nepieciešams izveidot jaunas institūcijas, likvidēt esošas institūcijas vai veikt reorganizāciju.</w:t>
            </w:r>
          </w:p>
          <w:p w14:paraId="5DA89E96" w14:textId="08C05009" w:rsidR="007704D8" w:rsidRPr="007D6ED7" w:rsidRDefault="00A041A1" w:rsidP="00A041A1">
            <w:pPr>
              <w:spacing w:after="0" w:line="240" w:lineRule="auto"/>
              <w:jc w:val="both"/>
              <w:rPr>
                <w:rFonts w:ascii="Times New Roman" w:eastAsia="Times New Roman" w:hAnsi="Times New Roman"/>
                <w:sz w:val="24"/>
                <w:szCs w:val="24"/>
              </w:rPr>
            </w:pPr>
            <w:r w:rsidRPr="007D6ED7">
              <w:rPr>
                <w:rFonts w:ascii="Times New Roman" w:eastAsia="Times New Roman" w:hAnsi="Times New Roman"/>
                <w:sz w:val="24"/>
                <w:szCs w:val="24"/>
              </w:rPr>
              <w:t xml:space="preserve">Noteikumu projekta izpilde tiks </w:t>
            </w:r>
            <w:r w:rsidR="00917EF7">
              <w:rPr>
                <w:rFonts w:ascii="Times New Roman" w:eastAsia="Times New Roman" w:hAnsi="Times New Roman"/>
                <w:sz w:val="24"/>
                <w:szCs w:val="24"/>
              </w:rPr>
              <w:t>nodrošināta</w:t>
            </w:r>
            <w:r w:rsidRPr="007D6ED7">
              <w:rPr>
                <w:rFonts w:ascii="Times New Roman" w:eastAsia="Times New Roman" w:hAnsi="Times New Roman"/>
                <w:sz w:val="24"/>
                <w:szCs w:val="24"/>
              </w:rPr>
              <w:t xml:space="preserve"> esošo cilvēkresursu ietvaros.</w:t>
            </w:r>
          </w:p>
        </w:tc>
      </w:tr>
      <w:tr w:rsidR="00925F9E" w:rsidRPr="007D6ED7" w14:paraId="0CFC8929" w14:textId="77777777" w:rsidTr="00742AB3">
        <w:trPr>
          <w:trHeight w:val="390"/>
        </w:trPr>
        <w:tc>
          <w:tcPr>
            <w:tcW w:w="222" w:type="pct"/>
            <w:hideMark/>
          </w:tcPr>
          <w:p w14:paraId="1EB8D1CF"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3.</w:t>
            </w:r>
          </w:p>
        </w:tc>
        <w:tc>
          <w:tcPr>
            <w:tcW w:w="1940" w:type="pct"/>
            <w:hideMark/>
          </w:tcPr>
          <w:p w14:paraId="3355C226" w14:textId="77777777" w:rsidR="00C96AD3" w:rsidRPr="007D6ED7" w:rsidRDefault="00363BB6" w:rsidP="00C96AD3">
            <w:pPr>
              <w:spacing w:after="0" w:line="24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Cita informācija</w:t>
            </w:r>
          </w:p>
        </w:tc>
        <w:tc>
          <w:tcPr>
            <w:tcW w:w="2837" w:type="pct"/>
            <w:hideMark/>
          </w:tcPr>
          <w:p w14:paraId="7C05FE5F" w14:textId="77777777" w:rsidR="00C96AD3" w:rsidRPr="007D6ED7" w:rsidRDefault="00363BB6" w:rsidP="00C96AD3">
            <w:pPr>
              <w:spacing w:before="100" w:beforeAutospacing="1" w:after="100" w:afterAutospacing="1" w:line="360" w:lineRule="auto"/>
              <w:rPr>
                <w:rFonts w:ascii="Times New Roman" w:eastAsia="Times New Roman" w:hAnsi="Times New Roman"/>
                <w:sz w:val="24"/>
                <w:szCs w:val="24"/>
                <w:lang w:eastAsia="lv-LV"/>
              </w:rPr>
            </w:pPr>
            <w:r w:rsidRPr="007D6ED7">
              <w:rPr>
                <w:rFonts w:ascii="Times New Roman" w:eastAsia="Times New Roman" w:hAnsi="Times New Roman"/>
                <w:sz w:val="24"/>
                <w:szCs w:val="24"/>
                <w:lang w:eastAsia="lv-LV"/>
              </w:rPr>
              <w:t>Nav.</w:t>
            </w:r>
          </w:p>
        </w:tc>
      </w:tr>
    </w:tbl>
    <w:p w14:paraId="19CBBC07" w14:textId="4330795C" w:rsidR="007C5781" w:rsidRPr="007D6ED7" w:rsidRDefault="007C5781" w:rsidP="005C42B1">
      <w:pPr>
        <w:autoSpaceDE w:val="0"/>
        <w:autoSpaceDN w:val="0"/>
        <w:adjustRightInd w:val="0"/>
        <w:spacing w:after="0" w:line="240" w:lineRule="auto"/>
        <w:rPr>
          <w:rFonts w:ascii="Times New Roman" w:hAnsi="Times New Roman"/>
          <w:sz w:val="24"/>
          <w:szCs w:val="24"/>
        </w:rPr>
      </w:pPr>
    </w:p>
    <w:p w14:paraId="35AC84C8" w14:textId="366EB5A3"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03B04E8" w14:textId="03381832"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DEBE675" w14:textId="77777777" w:rsidR="00FD2B64" w:rsidRPr="007D6ED7" w:rsidRDefault="00FD2B64" w:rsidP="005C42B1">
      <w:pPr>
        <w:autoSpaceDE w:val="0"/>
        <w:autoSpaceDN w:val="0"/>
        <w:adjustRightInd w:val="0"/>
        <w:spacing w:after="0" w:line="240" w:lineRule="auto"/>
        <w:rPr>
          <w:rFonts w:ascii="Times New Roman" w:hAnsi="Times New Roman"/>
          <w:sz w:val="24"/>
          <w:szCs w:val="24"/>
        </w:rPr>
      </w:pPr>
    </w:p>
    <w:p w14:paraId="232045A2" w14:textId="281C3032"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5C71A78F" w14:textId="77777777" w:rsidR="00DC4DFD" w:rsidRPr="007D6ED7" w:rsidRDefault="00DC4DFD" w:rsidP="005C42B1">
      <w:pPr>
        <w:autoSpaceDE w:val="0"/>
        <w:autoSpaceDN w:val="0"/>
        <w:adjustRightInd w:val="0"/>
        <w:spacing w:after="0" w:line="240" w:lineRule="auto"/>
        <w:rPr>
          <w:rFonts w:ascii="Times New Roman" w:hAnsi="Times New Roman"/>
          <w:sz w:val="24"/>
          <w:szCs w:val="24"/>
        </w:rPr>
      </w:pPr>
    </w:p>
    <w:p w14:paraId="1FBA4C5A" w14:textId="3E9C34BC" w:rsidR="000A762C" w:rsidRPr="007D6ED7" w:rsidRDefault="00592DE6" w:rsidP="000A762C">
      <w:pPr>
        <w:spacing w:after="0" w:line="240" w:lineRule="auto"/>
        <w:rPr>
          <w:rFonts w:ascii="Times New Roman" w:hAnsi="Times New Roman"/>
          <w:sz w:val="24"/>
        </w:rPr>
      </w:pPr>
      <w:r w:rsidRPr="007D6ED7">
        <w:rPr>
          <w:rFonts w:ascii="Times New Roman" w:hAnsi="Times New Roman"/>
          <w:sz w:val="24"/>
        </w:rPr>
        <w:t>Ekonomikas ministr</w:t>
      </w:r>
      <w:r w:rsidR="00CB2852" w:rsidRPr="007D6ED7">
        <w:rPr>
          <w:rFonts w:ascii="Times New Roman" w:hAnsi="Times New Roman"/>
          <w:sz w:val="24"/>
        </w:rPr>
        <w:t>s</w:t>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00CB2852" w:rsidRPr="007D6ED7">
        <w:rPr>
          <w:rFonts w:ascii="Times New Roman" w:hAnsi="Times New Roman"/>
          <w:sz w:val="24"/>
        </w:rPr>
        <w:t>J. Vitenbergs</w:t>
      </w:r>
    </w:p>
    <w:p w14:paraId="032BCB34" w14:textId="0F35F809" w:rsidR="000A762C" w:rsidRPr="007D6ED7" w:rsidRDefault="000A762C" w:rsidP="000A762C">
      <w:pPr>
        <w:spacing w:after="0" w:line="240" w:lineRule="auto"/>
        <w:rPr>
          <w:rFonts w:ascii="Times New Roman" w:hAnsi="Times New Roman"/>
          <w:sz w:val="24"/>
        </w:rPr>
      </w:pPr>
    </w:p>
    <w:p w14:paraId="24793801" w14:textId="596643D2" w:rsidR="00DC4DFD" w:rsidRPr="007D6ED7" w:rsidRDefault="00DC4DFD" w:rsidP="000A762C">
      <w:pPr>
        <w:spacing w:after="0" w:line="240" w:lineRule="auto"/>
        <w:rPr>
          <w:rFonts w:ascii="Times New Roman" w:hAnsi="Times New Roman"/>
          <w:sz w:val="24"/>
        </w:rPr>
      </w:pPr>
    </w:p>
    <w:p w14:paraId="1E355315" w14:textId="490FEE0A" w:rsidR="000A762C" w:rsidRPr="007D6ED7" w:rsidRDefault="000A762C" w:rsidP="000A762C">
      <w:pPr>
        <w:spacing w:after="0" w:line="240" w:lineRule="auto"/>
        <w:rPr>
          <w:rFonts w:ascii="Times New Roman" w:hAnsi="Times New Roman"/>
          <w:sz w:val="24"/>
        </w:rPr>
      </w:pPr>
      <w:r w:rsidRPr="007D6ED7">
        <w:rPr>
          <w:rFonts w:ascii="Times New Roman" w:hAnsi="Times New Roman"/>
          <w:sz w:val="24"/>
        </w:rPr>
        <w:t>Vīza:</w:t>
      </w:r>
    </w:p>
    <w:p w14:paraId="108B7819" w14:textId="53B440F7" w:rsidR="00DF6EDF" w:rsidRDefault="001B0556" w:rsidP="00A76C0A">
      <w:pPr>
        <w:spacing w:after="0" w:line="240" w:lineRule="auto"/>
        <w:jc w:val="both"/>
        <w:rPr>
          <w:rFonts w:ascii="Times New Roman" w:hAnsi="Times New Roman"/>
          <w:sz w:val="24"/>
        </w:rPr>
      </w:pPr>
      <w:r w:rsidRPr="007D6ED7">
        <w:rPr>
          <w:rFonts w:ascii="Times New Roman" w:hAnsi="Times New Roman"/>
          <w:sz w:val="24"/>
        </w:rPr>
        <w:t>Valsts sekretārs</w:t>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r>
      <w:r w:rsidRPr="007D6ED7">
        <w:rPr>
          <w:rFonts w:ascii="Times New Roman" w:hAnsi="Times New Roman"/>
          <w:sz w:val="24"/>
        </w:rPr>
        <w:tab/>
        <w:t xml:space="preserve">   E. Valantis</w:t>
      </w:r>
    </w:p>
    <w:p w14:paraId="452D17A6" w14:textId="6DF125ED" w:rsidR="00A97480" w:rsidRDefault="00A97480" w:rsidP="00A76C0A">
      <w:pPr>
        <w:spacing w:after="0" w:line="240" w:lineRule="auto"/>
        <w:jc w:val="both"/>
        <w:rPr>
          <w:rFonts w:ascii="Times New Roman" w:hAnsi="Times New Roman"/>
          <w:sz w:val="24"/>
        </w:rPr>
      </w:pPr>
    </w:p>
    <w:p w14:paraId="5748E125" w14:textId="21F21F96" w:rsidR="00A97480" w:rsidRDefault="00A97480" w:rsidP="00A76C0A">
      <w:pPr>
        <w:spacing w:after="0" w:line="240" w:lineRule="auto"/>
        <w:jc w:val="both"/>
        <w:rPr>
          <w:rFonts w:ascii="Times New Roman" w:hAnsi="Times New Roman"/>
          <w:sz w:val="24"/>
        </w:rPr>
      </w:pPr>
    </w:p>
    <w:p w14:paraId="60B27A7B" w14:textId="3A11BB58" w:rsidR="00A97480" w:rsidRDefault="00A97480" w:rsidP="00A76C0A">
      <w:pPr>
        <w:spacing w:after="0" w:line="240" w:lineRule="auto"/>
        <w:jc w:val="both"/>
        <w:rPr>
          <w:rFonts w:ascii="Times New Roman" w:hAnsi="Times New Roman"/>
          <w:sz w:val="24"/>
        </w:rPr>
      </w:pPr>
    </w:p>
    <w:p w14:paraId="554CDFB5" w14:textId="77777777" w:rsidR="00A97480" w:rsidRPr="00C65F12" w:rsidRDefault="00A97480" w:rsidP="00A76C0A">
      <w:pPr>
        <w:spacing w:after="0" w:line="240" w:lineRule="auto"/>
        <w:jc w:val="both"/>
        <w:rPr>
          <w:rFonts w:ascii="Times New Roman" w:eastAsia="Times New Roman" w:hAnsi="Times New Roman"/>
          <w:sz w:val="18"/>
          <w:szCs w:val="18"/>
          <w:lang w:eastAsia="lv-LV"/>
        </w:rPr>
      </w:pPr>
    </w:p>
    <w:sectPr w:rsidR="00A97480" w:rsidRPr="00C65F12" w:rsidSect="00DF12C5">
      <w:headerReference w:type="default" r:id="rId16"/>
      <w:footerReference w:type="default" r:id="rId17"/>
      <w:footerReference w:type="first" r:id="rId18"/>
      <w:pgSz w:w="11906" w:h="16838"/>
      <w:pgMar w:top="567" w:right="1274" w:bottom="1560" w:left="1276"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4386A" w14:textId="77777777" w:rsidR="00CB5463" w:rsidRDefault="00CB5463">
      <w:pPr>
        <w:spacing w:after="0" w:line="240" w:lineRule="auto"/>
      </w:pPr>
      <w:r>
        <w:separator/>
      </w:r>
    </w:p>
  </w:endnote>
  <w:endnote w:type="continuationSeparator" w:id="0">
    <w:p w14:paraId="6A34DC06" w14:textId="77777777" w:rsidR="00CB5463" w:rsidRDefault="00CB5463">
      <w:pPr>
        <w:spacing w:after="0" w:line="240" w:lineRule="auto"/>
      </w:pPr>
      <w:r>
        <w:continuationSeparator/>
      </w:r>
    </w:p>
  </w:endnote>
  <w:endnote w:type="continuationNotice" w:id="1">
    <w:p w14:paraId="083F6492" w14:textId="77777777" w:rsidR="00CB5463" w:rsidRDefault="00CB5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836B" w14:textId="08255207" w:rsidR="00C94330" w:rsidRPr="00C15065" w:rsidRDefault="008B3532" w:rsidP="00C15065">
    <w:pPr>
      <w:pStyle w:val="Footer"/>
    </w:pPr>
    <w:r w:rsidRPr="008B3532">
      <w:rPr>
        <w:rFonts w:ascii="Times New Roman" w:hAnsi="Times New Roman"/>
      </w:rPr>
      <w:t>EM</w:t>
    </w:r>
    <w:r w:rsidR="00D11F74">
      <w:rPr>
        <w:rFonts w:ascii="Times New Roman" w:hAnsi="Times New Roman"/>
      </w:rPr>
      <w:t>a</w:t>
    </w:r>
    <w:r w:rsidRPr="008B3532">
      <w:rPr>
        <w:rFonts w:ascii="Times New Roman" w:hAnsi="Times New Roman"/>
      </w:rPr>
      <w:t>not_</w:t>
    </w:r>
    <w:r w:rsidR="00D11F74">
      <w:rPr>
        <w:rFonts w:ascii="Times New Roman" w:hAnsi="Times New Roman"/>
      </w:rPr>
      <w:t>30</w:t>
    </w:r>
    <w:r w:rsidR="00E47214">
      <w:rPr>
        <w:rFonts w:ascii="Times New Roman" w:hAnsi="Times New Roman"/>
      </w:rPr>
      <w:t>08</w:t>
    </w:r>
    <w:r w:rsidRPr="008B3532">
      <w:rPr>
        <w:rFonts w:ascii="Times New Roman" w:hAnsi="Times New Roman"/>
      </w:rPr>
      <w:t>2021_</w:t>
    </w:r>
    <w:r w:rsidR="00D11F74">
      <w:rPr>
        <w:rFonts w:ascii="Times New Roman" w:hAnsi="Times New Roman"/>
      </w:rPr>
      <w:t>īres māju būvn</w:t>
    </w:r>
    <w:r w:rsidRPr="008B3532">
      <w:rPr>
        <w:rFonts w:ascii="Times New Roman" w:hAnsi="Times New Roman"/>
      </w:rPr>
      <w:t>.docx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2B6BF" w14:textId="4B841D64" w:rsidR="00C94330" w:rsidRPr="006E2BC5" w:rsidRDefault="008B3532" w:rsidP="006E2BC5">
    <w:pPr>
      <w:pStyle w:val="Footer"/>
      <w:rPr>
        <w:rFonts w:ascii="Times New Roman" w:hAnsi="Times New Roman"/>
      </w:rPr>
    </w:pPr>
    <w:r w:rsidRPr="008B3532">
      <w:rPr>
        <w:rFonts w:ascii="Times New Roman" w:hAnsi="Times New Roman"/>
      </w:rPr>
      <w:t>EM</w:t>
    </w:r>
    <w:r w:rsidR="00B3101F">
      <w:rPr>
        <w:rFonts w:ascii="Times New Roman" w:hAnsi="Times New Roman"/>
      </w:rPr>
      <w:t>a</w:t>
    </w:r>
    <w:r w:rsidRPr="008B3532">
      <w:rPr>
        <w:rFonts w:ascii="Times New Roman" w:hAnsi="Times New Roman"/>
      </w:rPr>
      <w:t>not_</w:t>
    </w:r>
    <w:r w:rsidR="00B3101F">
      <w:rPr>
        <w:rFonts w:ascii="Times New Roman" w:hAnsi="Times New Roman"/>
      </w:rPr>
      <w:t>30</w:t>
    </w:r>
    <w:r w:rsidR="00E47214">
      <w:rPr>
        <w:rFonts w:ascii="Times New Roman" w:hAnsi="Times New Roman"/>
      </w:rPr>
      <w:t>08</w:t>
    </w:r>
    <w:r w:rsidRPr="008B3532">
      <w:rPr>
        <w:rFonts w:ascii="Times New Roman" w:hAnsi="Times New Roman"/>
      </w:rPr>
      <w:t>2021_</w:t>
    </w:r>
    <w:r w:rsidR="00B3101F">
      <w:rPr>
        <w:rFonts w:ascii="Times New Roman" w:hAnsi="Times New Roman"/>
      </w:rPr>
      <w:t>īres māju būvn</w:t>
    </w:r>
    <w:r w:rsidR="00C94330" w:rsidRPr="00C15065">
      <w:rPr>
        <w:rFonts w:ascii="Times New Roman" w:hAnsi="Times New Roman"/>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07E3" w14:textId="77777777" w:rsidR="00CB5463" w:rsidRDefault="00CB5463">
      <w:pPr>
        <w:spacing w:after="0" w:line="240" w:lineRule="auto"/>
      </w:pPr>
      <w:r>
        <w:separator/>
      </w:r>
    </w:p>
  </w:footnote>
  <w:footnote w:type="continuationSeparator" w:id="0">
    <w:p w14:paraId="5F4D3D32" w14:textId="77777777" w:rsidR="00CB5463" w:rsidRDefault="00CB5463">
      <w:pPr>
        <w:spacing w:after="0" w:line="240" w:lineRule="auto"/>
      </w:pPr>
      <w:r>
        <w:continuationSeparator/>
      </w:r>
    </w:p>
  </w:footnote>
  <w:footnote w:type="continuationNotice" w:id="1">
    <w:p w14:paraId="532BF52A" w14:textId="77777777" w:rsidR="00CB5463" w:rsidRDefault="00CB5463">
      <w:pPr>
        <w:spacing w:after="0" w:line="240" w:lineRule="auto"/>
      </w:pPr>
    </w:p>
  </w:footnote>
  <w:footnote w:id="2">
    <w:p w14:paraId="62F68751" w14:textId="77777777" w:rsidR="00B3101F" w:rsidRPr="00B3101F" w:rsidRDefault="00B3101F" w:rsidP="00B3101F">
      <w:pPr>
        <w:pStyle w:val="FootnoteText"/>
        <w:jc w:val="both"/>
        <w:rPr>
          <w:rFonts w:ascii="Times New Roman" w:hAnsi="Times New Roman"/>
          <w:sz w:val="18"/>
          <w:szCs w:val="18"/>
        </w:rPr>
      </w:pPr>
      <w:r w:rsidRPr="00B3101F">
        <w:rPr>
          <w:rStyle w:val="FootnoteReference"/>
          <w:rFonts w:ascii="Times New Roman" w:hAnsi="Times New Roman"/>
          <w:sz w:val="18"/>
          <w:szCs w:val="18"/>
        </w:rPr>
        <w:footnoteRef/>
      </w:r>
      <w:r w:rsidRPr="00B3101F">
        <w:rPr>
          <w:rFonts w:ascii="Times New Roman" w:hAnsi="Times New Roman"/>
          <w:sz w:val="18"/>
          <w:szCs w:val="18"/>
        </w:rPr>
        <w:t xml:space="preserve"> Centrālās statistikas pārvaldes dati</w:t>
      </w:r>
    </w:p>
  </w:footnote>
  <w:footnote w:id="3">
    <w:p w14:paraId="26B21AD9" w14:textId="1A958BA2" w:rsidR="00B3101F" w:rsidRDefault="00B3101F" w:rsidP="00B3101F">
      <w:pPr>
        <w:pStyle w:val="FootnoteText"/>
        <w:jc w:val="both"/>
      </w:pPr>
      <w:r w:rsidRPr="00B3101F">
        <w:rPr>
          <w:rStyle w:val="FootnoteReference"/>
          <w:rFonts w:ascii="Times New Roman" w:hAnsi="Times New Roman"/>
          <w:sz w:val="18"/>
          <w:szCs w:val="18"/>
        </w:rPr>
        <w:footnoteRef/>
      </w:r>
      <w:r w:rsidRPr="00B3101F">
        <w:rPr>
          <w:rFonts w:ascii="Times New Roman" w:hAnsi="Times New Roman"/>
          <w:sz w:val="18"/>
          <w:szCs w:val="18"/>
        </w:rPr>
        <w:t xml:space="preserve"> Atbilstoši </w:t>
      </w:r>
      <w:r w:rsidRPr="00B3101F">
        <w:rPr>
          <w:rFonts w:ascii="Times New Roman" w:hAnsi="Times New Roman"/>
          <w:sz w:val="18"/>
          <w:szCs w:val="18"/>
        </w:rPr>
        <w:t xml:space="preserve">Ekonomikas ministrijas </w:t>
      </w:r>
      <w:r w:rsidRPr="00B3101F">
        <w:rPr>
          <w:rFonts w:ascii="Times New Roman" w:hAnsi="Times New Roman"/>
          <w:sz w:val="18"/>
          <w:szCs w:val="18"/>
        </w:rPr>
        <w:t>veiktajai tirgus izpētei, tika noteikta šī brīža tirgus vidējā īres maksa jaunā vai renovētā projektā, kas atbilstu vispārpieņemtajiem mājokļa būvniecības standartiem un energoefektivitātes prasībām un kas ir 6,92 euro/m</w:t>
      </w:r>
      <w:r w:rsidRPr="00B3101F">
        <w:rPr>
          <w:rFonts w:ascii="Times New Roman" w:hAnsi="Times New Roman"/>
          <w:sz w:val="18"/>
          <w:szCs w:val="18"/>
          <w:vertAlign w:val="superscript"/>
        </w:rPr>
        <w:t>2</w:t>
      </w:r>
      <w:r w:rsidRPr="00B3101F">
        <w:rPr>
          <w:rFonts w:ascii="Times New Roman" w:hAnsi="Times New Roman"/>
          <w:sz w:val="18"/>
          <w:szCs w:val="18"/>
        </w:rPr>
        <w:t>. Ņemot vērā komunālos un apsaimniekošanas izdevumus jaunā vai renovētā projektā, kas sastāda 2 euro/m</w:t>
      </w:r>
      <w:r w:rsidRPr="00B3101F">
        <w:rPr>
          <w:rFonts w:ascii="Times New Roman" w:hAnsi="Times New Roman"/>
          <w:sz w:val="18"/>
          <w:szCs w:val="18"/>
          <w:vertAlign w:val="superscript"/>
        </w:rPr>
        <w:t>2</w:t>
      </w:r>
      <w:r w:rsidRPr="00B3101F">
        <w:rPr>
          <w:rFonts w:ascii="Times New Roman" w:hAnsi="Times New Roman"/>
          <w:sz w:val="18"/>
          <w:szCs w:val="18"/>
        </w:rPr>
        <w:t>, secināms, ka neliela 50 m</w:t>
      </w:r>
      <w:r w:rsidRPr="00B3101F">
        <w:rPr>
          <w:rFonts w:ascii="Times New Roman" w:hAnsi="Times New Roman"/>
          <w:sz w:val="18"/>
          <w:szCs w:val="18"/>
          <w:vertAlign w:val="superscript"/>
        </w:rPr>
        <w:t>2</w:t>
      </w:r>
      <w:r w:rsidRPr="00B3101F">
        <w:rPr>
          <w:rFonts w:ascii="Times New Roman" w:hAnsi="Times New Roman"/>
          <w:sz w:val="18"/>
          <w:szCs w:val="18"/>
        </w:rPr>
        <w:t xml:space="preserve"> dzīvokļa īre (ieskaitot komunālos un apsaimniekošanas izdevumus) sastāda 410 euro mēnesī</w:t>
      </w:r>
      <w:r w:rsidRPr="00B3101F">
        <w:rPr>
          <w:rFonts w:ascii="Times New Roman" w:hAnsi="Times New Roman"/>
          <w:sz w:val="18"/>
          <w:szCs w:val="18"/>
        </w:rPr>
        <w:t>.</w:t>
      </w:r>
    </w:p>
  </w:footnote>
  <w:footnote w:id="4">
    <w:p w14:paraId="5ADA6E96" w14:textId="77777777" w:rsidR="00B3101F" w:rsidRPr="00D11F74" w:rsidRDefault="00B3101F" w:rsidP="00B3101F">
      <w:pPr>
        <w:pStyle w:val="FootnoteText"/>
        <w:jc w:val="both"/>
        <w:rPr>
          <w:rFonts w:ascii="Times New Roman" w:hAnsi="Times New Roman"/>
          <w:sz w:val="18"/>
          <w:szCs w:val="18"/>
        </w:rPr>
      </w:pPr>
      <w:r w:rsidRPr="00D11F74">
        <w:rPr>
          <w:rStyle w:val="FootnoteReference"/>
          <w:rFonts w:ascii="Times New Roman" w:hAnsi="Times New Roman"/>
          <w:sz w:val="18"/>
          <w:szCs w:val="18"/>
        </w:rPr>
        <w:footnoteRef/>
      </w:r>
      <w:r w:rsidRPr="00D11F74">
        <w:rPr>
          <w:rFonts w:ascii="Times New Roman" w:hAnsi="Times New Roman"/>
          <w:sz w:val="18"/>
          <w:szCs w:val="18"/>
        </w:rPr>
        <w:t xml:space="preserve"> </w:t>
      </w:r>
      <w:bookmarkStart w:id="4" w:name="_Hlk53581472"/>
      <w:r w:rsidRPr="00D11F74">
        <w:rPr>
          <w:rFonts w:ascii="Times New Roman" w:hAnsi="Times New Roman"/>
          <w:sz w:val="18"/>
          <w:szCs w:val="18"/>
        </w:rPr>
        <w:t>Pirktspējas līmenis (Purchasing Power Standard (PPS) ir mākslīga kopēja valūtas vienība, ko Eiropas Savienībā izmanto ekonomikas summāro rādītāju apjoma izteikšanai, lai veiktu telpiskus salīdzinājumus, likvidējot cenu atšķirības dalībvalstīs.</w:t>
      </w:r>
      <w:bookmarkEnd w:id="4"/>
    </w:p>
  </w:footnote>
  <w:footnote w:id="5">
    <w:p w14:paraId="08D16456" w14:textId="77777777" w:rsidR="00B3101F" w:rsidRDefault="00B3101F" w:rsidP="00B3101F">
      <w:pPr>
        <w:pStyle w:val="FootnoteText"/>
        <w:jc w:val="both"/>
      </w:pPr>
      <w:r w:rsidRPr="00D11F74">
        <w:rPr>
          <w:rStyle w:val="FootnoteReference"/>
          <w:rFonts w:ascii="Times New Roman" w:hAnsi="Times New Roman"/>
          <w:sz w:val="18"/>
          <w:szCs w:val="18"/>
        </w:rPr>
        <w:footnoteRef/>
      </w:r>
      <w:r w:rsidRPr="00D11F74">
        <w:rPr>
          <w:rFonts w:ascii="Times New Roman" w:hAnsi="Times New Roman"/>
          <w:sz w:val="18"/>
          <w:szCs w:val="18"/>
        </w:rPr>
        <w:t xml:space="preserve"> Eurostat https://ec.europa.eu/eurostat/databrowser/view/ILC_DI04__custom_60425/default/table?lang=en</w:t>
      </w:r>
    </w:p>
  </w:footnote>
  <w:footnote w:id="6">
    <w:p w14:paraId="4443E396" w14:textId="495ABEB3" w:rsidR="00D11F74" w:rsidRDefault="00D11F74">
      <w:pPr>
        <w:pStyle w:val="FootnoteText"/>
      </w:pPr>
      <w:r>
        <w:rPr>
          <w:rStyle w:val="FootnoteReference"/>
        </w:rPr>
        <w:footnoteRef/>
      </w:r>
      <w:r>
        <w:t xml:space="preserve"> </w:t>
      </w:r>
      <w:r w:rsidRPr="00D11F74">
        <w:rPr>
          <w:rFonts w:ascii="Times New Roman" w:hAnsi="Times New Roman"/>
          <w:sz w:val="18"/>
          <w:szCs w:val="18"/>
        </w:rPr>
        <w:t>Centrālās statistikas pārvaldes dati</w:t>
      </w:r>
    </w:p>
  </w:footnote>
  <w:footnote w:id="7">
    <w:p w14:paraId="0EB51216" w14:textId="77777777" w:rsidR="00FC2A88" w:rsidRPr="00FC2A88" w:rsidRDefault="00FC2A88" w:rsidP="00FC2A88">
      <w:pPr>
        <w:pStyle w:val="FootnoteText"/>
        <w:rPr>
          <w:sz w:val="18"/>
          <w:szCs w:val="18"/>
        </w:rPr>
      </w:pPr>
      <w:r w:rsidRPr="00FC2A88">
        <w:rPr>
          <w:rFonts w:ascii="Times New Roman" w:hAnsi="Times New Roman"/>
          <w:sz w:val="18"/>
          <w:szCs w:val="18"/>
          <w:vertAlign w:val="superscript"/>
        </w:rPr>
        <w:footnoteRef/>
      </w:r>
      <w:r w:rsidRPr="00FC2A88">
        <w:rPr>
          <w:rFonts w:ascii="Times New Roman" w:hAnsi="Times New Roman"/>
          <w:sz w:val="18"/>
          <w:szCs w:val="18"/>
        </w:rPr>
        <w:t xml:space="preserve"> OECD pārskats par Latviju (2017) </w:t>
      </w:r>
      <w:hyperlink r:id="rId1" w:history="1">
        <w:r w:rsidRPr="00FC2A88">
          <w:rPr>
            <w:rFonts w:ascii="Times New Roman" w:hAnsi="Times New Roman"/>
            <w:sz w:val="18"/>
            <w:szCs w:val="18"/>
          </w:rPr>
          <w:t>http://www.oecd.org/economy/surveys/Latvia-2017-OECD-economic-survey-overview.pdf</w:t>
        </w:r>
      </w:hyperlink>
    </w:p>
  </w:footnote>
  <w:footnote w:id="8">
    <w:p w14:paraId="53838246" w14:textId="77777777" w:rsidR="00FC2A88" w:rsidRPr="00CF4BEA" w:rsidRDefault="00FC2A88" w:rsidP="00FC2A88">
      <w:pPr>
        <w:pStyle w:val="FootnoteText"/>
        <w:rPr>
          <w:rFonts w:ascii="Times New Roman" w:hAnsi="Times New Roman"/>
        </w:rPr>
      </w:pPr>
      <w:r w:rsidRPr="00CF4BEA">
        <w:rPr>
          <w:rStyle w:val="FootnoteReference"/>
          <w:rFonts w:ascii="Times New Roman" w:hAnsi="Times New Roman"/>
        </w:rPr>
        <w:footnoteRef/>
      </w:r>
      <w:r w:rsidRPr="00CF4BEA">
        <w:rPr>
          <w:rFonts w:ascii="Times New Roman" w:hAnsi="Times New Roman"/>
        </w:rPr>
        <w:t xml:space="preserve"> Eurostat - </w:t>
      </w:r>
      <w:hyperlink r:id="rId2" w:history="1">
        <w:r w:rsidRPr="00CF4BEA">
          <w:rPr>
            <w:rStyle w:val="Hyperlink"/>
            <w:rFonts w:ascii="Times New Roman" w:hAnsi="Times New Roman"/>
          </w:rPr>
          <w:t>https://appsso.eurostat.ec.europa.eu/nui/submitViewTableAction.do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92D7" w14:textId="7C40B212" w:rsidR="00C94330" w:rsidRDefault="00C94330"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Pr>
        <w:rFonts w:ascii="Times New Roman" w:hAnsi="Times New Roman"/>
        <w:noProof/>
        <w:sz w:val="24"/>
        <w:szCs w:val="24"/>
      </w:rPr>
      <w:t>9</w:t>
    </w:r>
    <w:r w:rsidRPr="00F4546D">
      <w:rPr>
        <w:rFonts w:ascii="Times New Roman" w:hAnsi="Times New Roman"/>
        <w:sz w:val="24"/>
        <w:szCs w:val="24"/>
      </w:rPr>
      <w:fldChar w:fldCharType="end"/>
    </w:r>
  </w:p>
  <w:p w14:paraId="030B23BE" w14:textId="77777777" w:rsidR="00C94330" w:rsidRPr="00F4546D" w:rsidRDefault="00C94330" w:rsidP="00F4546D">
    <w:pPr>
      <w:pStyle w:val="Header"/>
      <w:spacing w:after="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62AEE"/>
    <w:multiLevelType w:val="multilevel"/>
    <w:tmpl w:val="40AEAD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EF679D"/>
    <w:multiLevelType w:val="hybridMultilevel"/>
    <w:tmpl w:val="7DF8FD0E"/>
    <w:lvl w:ilvl="0" w:tplc="04260001">
      <w:start w:val="1"/>
      <w:numFmt w:val="bullet"/>
      <w:lvlText w:val=""/>
      <w:lvlJc w:val="left"/>
      <w:pPr>
        <w:ind w:left="1084" w:hanging="360"/>
      </w:pPr>
      <w:rPr>
        <w:rFonts w:ascii="Symbol" w:hAnsi="Symbol" w:hint="default"/>
      </w:rPr>
    </w:lvl>
    <w:lvl w:ilvl="1" w:tplc="04260003" w:tentative="1">
      <w:start w:val="1"/>
      <w:numFmt w:val="bullet"/>
      <w:lvlText w:val="o"/>
      <w:lvlJc w:val="left"/>
      <w:pPr>
        <w:ind w:left="1804" w:hanging="360"/>
      </w:pPr>
      <w:rPr>
        <w:rFonts w:ascii="Courier New" w:hAnsi="Courier New" w:cs="Courier New" w:hint="default"/>
      </w:rPr>
    </w:lvl>
    <w:lvl w:ilvl="2" w:tplc="04260005" w:tentative="1">
      <w:start w:val="1"/>
      <w:numFmt w:val="bullet"/>
      <w:lvlText w:val=""/>
      <w:lvlJc w:val="left"/>
      <w:pPr>
        <w:ind w:left="2524" w:hanging="360"/>
      </w:pPr>
      <w:rPr>
        <w:rFonts w:ascii="Wingdings" w:hAnsi="Wingdings" w:hint="default"/>
      </w:rPr>
    </w:lvl>
    <w:lvl w:ilvl="3" w:tplc="04260001" w:tentative="1">
      <w:start w:val="1"/>
      <w:numFmt w:val="bullet"/>
      <w:lvlText w:val=""/>
      <w:lvlJc w:val="left"/>
      <w:pPr>
        <w:ind w:left="3244" w:hanging="360"/>
      </w:pPr>
      <w:rPr>
        <w:rFonts w:ascii="Symbol" w:hAnsi="Symbol" w:hint="default"/>
      </w:rPr>
    </w:lvl>
    <w:lvl w:ilvl="4" w:tplc="04260003" w:tentative="1">
      <w:start w:val="1"/>
      <w:numFmt w:val="bullet"/>
      <w:lvlText w:val="o"/>
      <w:lvlJc w:val="left"/>
      <w:pPr>
        <w:ind w:left="3964" w:hanging="360"/>
      </w:pPr>
      <w:rPr>
        <w:rFonts w:ascii="Courier New" w:hAnsi="Courier New" w:cs="Courier New" w:hint="default"/>
      </w:rPr>
    </w:lvl>
    <w:lvl w:ilvl="5" w:tplc="04260005" w:tentative="1">
      <w:start w:val="1"/>
      <w:numFmt w:val="bullet"/>
      <w:lvlText w:val=""/>
      <w:lvlJc w:val="left"/>
      <w:pPr>
        <w:ind w:left="4684" w:hanging="360"/>
      </w:pPr>
      <w:rPr>
        <w:rFonts w:ascii="Wingdings" w:hAnsi="Wingdings" w:hint="default"/>
      </w:rPr>
    </w:lvl>
    <w:lvl w:ilvl="6" w:tplc="04260001" w:tentative="1">
      <w:start w:val="1"/>
      <w:numFmt w:val="bullet"/>
      <w:lvlText w:val=""/>
      <w:lvlJc w:val="left"/>
      <w:pPr>
        <w:ind w:left="5404" w:hanging="360"/>
      </w:pPr>
      <w:rPr>
        <w:rFonts w:ascii="Symbol" w:hAnsi="Symbol" w:hint="default"/>
      </w:rPr>
    </w:lvl>
    <w:lvl w:ilvl="7" w:tplc="04260003" w:tentative="1">
      <w:start w:val="1"/>
      <w:numFmt w:val="bullet"/>
      <w:lvlText w:val="o"/>
      <w:lvlJc w:val="left"/>
      <w:pPr>
        <w:ind w:left="6124" w:hanging="360"/>
      </w:pPr>
      <w:rPr>
        <w:rFonts w:ascii="Courier New" w:hAnsi="Courier New" w:cs="Courier New" w:hint="default"/>
      </w:rPr>
    </w:lvl>
    <w:lvl w:ilvl="8" w:tplc="04260005" w:tentative="1">
      <w:start w:val="1"/>
      <w:numFmt w:val="bullet"/>
      <w:lvlText w:val=""/>
      <w:lvlJc w:val="left"/>
      <w:pPr>
        <w:ind w:left="6844" w:hanging="360"/>
      </w:pPr>
      <w:rPr>
        <w:rFonts w:ascii="Wingdings" w:hAnsi="Wingdings" w:hint="default"/>
      </w:rPr>
    </w:lvl>
  </w:abstractNum>
  <w:abstractNum w:abstractNumId="2"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A9F178E"/>
    <w:multiLevelType w:val="hybridMultilevel"/>
    <w:tmpl w:val="551C630A"/>
    <w:lvl w:ilvl="0" w:tplc="34E2187A">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6B0DF2"/>
    <w:multiLevelType w:val="hybridMultilevel"/>
    <w:tmpl w:val="D04464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00"/>
    <w:rsid w:val="000010E0"/>
    <w:rsid w:val="0000196D"/>
    <w:rsid w:val="00001EC4"/>
    <w:rsid w:val="00006815"/>
    <w:rsid w:val="00010D7A"/>
    <w:rsid w:val="00012B57"/>
    <w:rsid w:val="0001360A"/>
    <w:rsid w:val="0001406B"/>
    <w:rsid w:val="000140A6"/>
    <w:rsid w:val="00014EE9"/>
    <w:rsid w:val="00022163"/>
    <w:rsid w:val="000228DE"/>
    <w:rsid w:val="00023964"/>
    <w:rsid w:val="00024FBC"/>
    <w:rsid w:val="0002518F"/>
    <w:rsid w:val="00025F25"/>
    <w:rsid w:val="000274B2"/>
    <w:rsid w:val="000274CD"/>
    <w:rsid w:val="00031B45"/>
    <w:rsid w:val="00031D26"/>
    <w:rsid w:val="00031F08"/>
    <w:rsid w:val="000324CB"/>
    <w:rsid w:val="00034458"/>
    <w:rsid w:val="00036F91"/>
    <w:rsid w:val="0003727D"/>
    <w:rsid w:val="000400F3"/>
    <w:rsid w:val="00040906"/>
    <w:rsid w:val="00041895"/>
    <w:rsid w:val="00041AD8"/>
    <w:rsid w:val="00041C86"/>
    <w:rsid w:val="000422A2"/>
    <w:rsid w:val="000425D0"/>
    <w:rsid w:val="00043419"/>
    <w:rsid w:val="000434BB"/>
    <w:rsid w:val="00045D0E"/>
    <w:rsid w:val="00046682"/>
    <w:rsid w:val="00046FC4"/>
    <w:rsid w:val="000508F2"/>
    <w:rsid w:val="00050D98"/>
    <w:rsid w:val="000513C1"/>
    <w:rsid w:val="00052976"/>
    <w:rsid w:val="00052CDF"/>
    <w:rsid w:val="00053D07"/>
    <w:rsid w:val="00057212"/>
    <w:rsid w:val="00057E77"/>
    <w:rsid w:val="00061B85"/>
    <w:rsid w:val="00061FE1"/>
    <w:rsid w:val="0006213D"/>
    <w:rsid w:val="000621AC"/>
    <w:rsid w:val="00062A56"/>
    <w:rsid w:val="00063D99"/>
    <w:rsid w:val="00064A14"/>
    <w:rsid w:val="000667DA"/>
    <w:rsid w:val="0006697F"/>
    <w:rsid w:val="00066D1F"/>
    <w:rsid w:val="000703EE"/>
    <w:rsid w:val="00073092"/>
    <w:rsid w:val="000752B3"/>
    <w:rsid w:val="00075B4F"/>
    <w:rsid w:val="00075CD8"/>
    <w:rsid w:val="0007742F"/>
    <w:rsid w:val="000776E7"/>
    <w:rsid w:val="000816B5"/>
    <w:rsid w:val="00086490"/>
    <w:rsid w:val="00086514"/>
    <w:rsid w:val="00086671"/>
    <w:rsid w:val="00091010"/>
    <w:rsid w:val="000916BD"/>
    <w:rsid w:val="00091E19"/>
    <w:rsid w:val="000937E4"/>
    <w:rsid w:val="0009669B"/>
    <w:rsid w:val="00096C97"/>
    <w:rsid w:val="00097918"/>
    <w:rsid w:val="00097E94"/>
    <w:rsid w:val="000A0024"/>
    <w:rsid w:val="000A0618"/>
    <w:rsid w:val="000A0BA8"/>
    <w:rsid w:val="000A590A"/>
    <w:rsid w:val="000A762C"/>
    <w:rsid w:val="000B1130"/>
    <w:rsid w:val="000B1516"/>
    <w:rsid w:val="000B2F2E"/>
    <w:rsid w:val="000B471D"/>
    <w:rsid w:val="000B48CD"/>
    <w:rsid w:val="000B4902"/>
    <w:rsid w:val="000B528D"/>
    <w:rsid w:val="000C07A2"/>
    <w:rsid w:val="000C0CAE"/>
    <w:rsid w:val="000C11E2"/>
    <w:rsid w:val="000C24C2"/>
    <w:rsid w:val="000C25BC"/>
    <w:rsid w:val="000C3052"/>
    <w:rsid w:val="000C342C"/>
    <w:rsid w:val="000C4154"/>
    <w:rsid w:val="000C48B1"/>
    <w:rsid w:val="000C5B35"/>
    <w:rsid w:val="000C64CF"/>
    <w:rsid w:val="000C6A71"/>
    <w:rsid w:val="000D06E5"/>
    <w:rsid w:val="000D07E7"/>
    <w:rsid w:val="000D1A78"/>
    <w:rsid w:val="000D2A54"/>
    <w:rsid w:val="000D3684"/>
    <w:rsid w:val="000D3840"/>
    <w:rsid w:val="000D5C46"/>
    <w:rsid w:val="000D7343"/>
    <w:rsid w:val="000E1A83"/>
    <w:rsid w:val="000F1BAA"/>
    <w:rsid w:val="000F2F18"/>
    <w:rsid w:val="000F42A3"/>
    <w:rsid w:val="000F45CE"/>
    <w:rsid w:val="000F47DB"/>
    <w:rsid w:val="000F4C12"/>
    <w:rsid w:val="000F52A9"/>
    <w:rsid w:val="000F597B"/>
    <w:rsid w:val="000F7531"/>
    <w:rsid w:val="00101C84"/>
    <w:rsid w:val="00101FFE"/>
    <w:rsid w:val="0010507A"/>
    <w:rsid w:val="00106126"/>
    <w:rsid w:val="001062C2"/>
    <w:rsid w:val="00107AFF"/>
    <w:rsid w:val="00110701"/>
    <w:rsid w:val="00110BA4"/>
    <w:rsid w:val="0011145F"/>
    <w:rsid w:val="0011293E"/>
    <w:rsid w:val="00112AC7"/>
    <w:rsid w:val="00112DBA"/>
    <w:rsid w:val="00113B98"/>
    <w:rsid w:val="00114450"/>
    <w:rsid w:val="00117102"/>
    <w:rsid w:val="001203BF"/>
    <w:rsid w:val="00121135"/>
    <w:rsid w:val="00121E78"/>
    <w:rsid w:val="001229B1"/>
    <w:rsid w:val="00122C93"/>
    <w:rsid w:val="00122D4E"/>
    <w:rsid w:val="0012306A"/>
    <w:rsid w:val="00125133"/>
    <w:rsid w:val="00125964"/>
    <w:rsid w:val="0012708C"/>
    <w:rsid w:val="0013167C"/>
    <w:rsid w:val="0013274D"/>
    <w:rsid w:val="001340E9"/>
    <w:rsid w:val="001358B9"/>
    <w:rsid w:val="001364B6"/>
    <w:rsid w:val="00137B57"/>
    <w:rsid w:val="001411EF"/>
    <w:rsid w:val="00143550"/>
    <w:rsid w:val="001437F6"/>
    <w:rsid w:val="001439BE"/>
    <w:rsid w:val="001439EB"/>
    <w:rsid w:val="001441E5"/>
    <w:rsid w:val="001446E5"/>
    <w:rsid w:val="00144F4C"/>
    <w:rsid w:val="00145BE3"/>
    <w:rsid w:val="001462DA"/>
    <w:rsid w:val="001468E4"/>
    <w:rsid w:val="00146DF5"/>
    <w:rsid w:val="00146F58"/>
    <w:rsid w:val="00147B35"/>
    <w:rsid w:val="00147DD3"/>
    <w:rsid w:val="00150F5E"/>
    <w:rsid w:val="001515ED"/>
    <w:rsid w:val="001524E8"/>
    <w:rsid w:val="00154B9F"/>
    <w:rsid w:val="001574FA"/>
    <w:rsid w:val="00161344"/>
    <w:rsid w:val="0016239D"/>
    <w:rsid w:val="00163B4F"/>
    <w:rsid w:val="001652C3"/>
    <w:rsid w:val="001706C2"/>
    <w:rsid w:val="00171BDC"/>
    <w:rsid w:val="001752A3"/>
    <w:rsid w:val="00175C73"/>
    <w:rsid w:val="001760F6"/>
    <w:rsid w:val="00180242"/>
    <w:rsid w:val="001806BF"/>
    <w:rsid w:val="001822F9"/>
    <w:rsid w:val="00182B1A"/>
    <w:rsid w:val="0019241B"/>
    <w:rsid w:val="00193F31"/>
    <w:rsid w:val="001946DD"/>
    <w:rsid w:val="00196D09"/>
    <w:rsid w:val="00197762"/>
    <w:rsid w:val="001A025E"/>
    <w:rsid w:val="001A08CA"/>
    <w:rsid w:val="001A14E5"/>
    <w:rsid w:val="001A34D9"/>
    <w:rsid w:val="001A4A2F"/>
    <w:rsid w:val="001A619A"/>
    <w:rsid w:val="001B0078"/>
    <w:rsid w:val="001B02DE"/>
    <w:rsid w:val="001B0556"/>
    <w:rsid w:val="001B1030"/>
    <w:rsid w:val="001B11B5"/>
    <w:rsid w:val="001B1DEA"/>
    <w:rsid w:val="001B208F"/>
    <w:rsid w:val="001B2B20"/>
    <w:rsid w:val="001B374C"/>
    <w:rsid w:val="001B3BE8"/>
    <w:rsid w:val="001B43F3"/>
    <w:rsid w:val="001B5032"/>
    <w:rsid w:val="001B5181"/>
    <w:rsid w:val="001B53A6"/>
    <w:rsid w:val="001B55F4"/>
    <w:rsid w:val="001B59A4"/>
    <w:rsid w:val="001B5BF0"/>
    <w:rsid w:val="001B5DEE"/>
    <w:rsid w:val="001B70FF"/>
    <w:rsid w:val="001B7404"/>
    <w:rsid w:val="001B7AE6"/>
    <w:rsid w:val="001C00FE"/>
    <w:rsid w:val="001C1B22"/>
    <w:rsid w:val="001C21CB"/>
    <w:rsid w:val="001C220D"/>
    <w:rsid w:val="001C45A5"/>
    <w:rsid w:val="001C46AD"/>
    <w:rsid w:val="001C6406"/>
    <w:rsid w:val="001C643B"/>
    <w:rsid w:val="001C76F1"/>
    <w:rsid w:val="001C7E1A"/>
    <w:rsid w:val="001D051E"/>
    <w:rsid w:val="001D102C"/>
    <w:rsid w:val="001D12C7"/>
    <w:rsid w:val="001D1359"/>
    <w:rsid w:val="001D1424"/>
    <w:rsid w:val="001D17BA"/>
    <w:rsid w:val="001D3002"/>
    <w:rsid w:val="001D332F"/>
    <w:rsid w:val="001D4CA7"/>
    <w:rsid w:val="001D53D0"/>
    <w:rsid w:val="001D5CBF"/>
    <w:rsid w:val="001D5D5E"/>
    <w:rsid w:val="001D5D6F"/>
    <w:rsid w:val="001D6747"/>
    <w:rsid w:val="001D72A3"/>
    <w:rsid w:val="001E0A67"/>
    <w:rsid w:val="001E1B5B"/>
    <w:rsid w:val="001E3E8B"/>
    <w:rsid w:val="001E63DC"/>
    <w:rsid w:val="001F12DA"/>
    <w:rsid w:val="001F1570"/>
    <w:rsid w:val="001F3DFC"/>
    <w:rsid w:val="001F5A13"/>
    <w:rsid w:val="001F5DCD"/>
    <w:rsid w:val="001F64F1"/>
    <w:rsid w:val="00200EB4"/>
    <w:rsid w:val="0020234C"/>
    <w:rsid w:val="00203FD9"/>
    <w:rsid w:val="00204189"/>
    <w:rsid w:val="002043C8"/>
    <w:rsid w:val="00205CE5"/>
    <w:rsid w:val="0020603A"/>
    <w:rsid w:val="002066BA"/>
    <w:rsid w:val="00206BC9"/>
    <w:rsid w:val="00210244"/>
    <w:rsid w:val="00210CE9"/>
    <w:rsid w:val="002111D4"/>
    <w:rsid w:val="00212C92"/>
    <w:rsid w:val="00214AB2"/>
    <w:rsid w:val="0021615F"/>
    <w:rsid w:val="00216417"/>
    <w:rsid w:val="002165CD"/>
    <w:rsid w:val="002172EA"/>
    <w:rsid w:val="00217B02"/>
    <w:rsid w:val="00220C93"/>
    <w:rsid w:val="00222D7A"/>
    <w:rsid w:val="0022458C"/>
    <w:rsid w:val="00225CF8"/>
    <w:rsid w:val="00226152"/>
    <w:rsid w:val="00230F69"/>
    <w:rsid w:val="00231182"/>
    <w:rsid w:val="002315B8"/>
    <w:rsid w:val="00231770"/>
    <w:rsid w:val="002370FA"/>
    <w:rsid w:val="002403C0"/>
    <w:rsid w:val="002414AB"/>
    <w:rsid w:val="00242E37"/>
    <w:rsid w:val="00243355"/>
    <w:rsid w:val="0024547D"/>
    <w:rsid w:val="00246574"/>
    <w:rsid w:val="00247BA4"/>
    <w:rsid w:val="00250073"/>
    <w:rsid w:val="0025198B"/>
    <w:rsid w:val="002532CB"/>
    <w:rsid w:val="0025391D"/>
    <w:rsid w:val="00254C7A"/>
    <w:rsid w:val="0025601D"/>
    <w:rsid w:val="00257277"/>
    <w:rsid w:val="0026002D"/>
    <w:rsid w:val="00260CAD"/>
    <w:rsid w:val="00260E26"/>
    <w:rsid w:val="00261F4D"/>
    <w:rsid w:val="002638DF"/>
    <w:rsid w:val="002643D1"/>
    <w:rsid w:val="002643F7"/>
    <w:rsid w:val="00265A5B"/>
    <w:rsid w:val="0026601D"/>
    <w:rsid w:val="002675E2"/>
    <w:rsid w:val="00270A48"/>
    <w:rsid w:val="002716EA"/>
    <w:rsid w:val="00272181"/>
    <w:rsid w:val="00272847"/>
    <w:rsid w:val="00273496"/>
    <w:rsid w:val="00273770"/>
    <w:rsid w:val="002752D6"/>
    <w:rsid w:val="00275B29"/>
    <w:rsid w:val="00275B3C"/>
    <w:rsid w:val="00280863"/>
    <w:rsid w:val="0028192B"/>
    <w:rsid w:val="00282472"/>
    <w:rsid w:val="00282737"/>
    <w:rsid w:val="002832F7"/>
    <w:rsid w:val="00285B77"/>
    <w:rsid w:val="002865DB"/>
    <w:rsid w:val="002901D5"/>
    <w:rsid w:val="002928EE"/>
    <w:rsid w:val="00293724"/>
    <w:rsid w:val="00294771"/>
    <w:rsid w:val="0029618C"/>
    <w:rsid w:val="002963E2"/>
    <w:rsid w:val="00297A2E"/>
    <w:rsid w:val="00297F2E"/>
    <w:rsid w:val="002A0F31"/>
    <w:rsid w:val="002A13CC"/>
    <w:rsid w:val="002A24D1"/>
    <w:rsid w:val="002A3597"/>
    <w:rsid w:val="002A4446"/>
    <w:rsid w:val="002A4DB3"/>
    <w:rsid w:val="002A67B7"/>
    <w:rsid w:val="002A75D5"/>
    <w:rsid w:val="002A75F9"/>
    <w:rsid w:val="002B1A24"/>
    <w:rsid w:val="002B2942"/>
    <w:rsid w:val="002B2FD9"/>
    <w:rsid w:val="002B36BC"/>
    <w:rsid w:val="002B3903"/>
    <w:rsid w:val="002B3D38"/>
    <w:rsid w:val="002B4959"/>
    <w:rsid w:val="002B5C88"/>
    <w:rsid w:val="002B6705"/>
    <w:rsid w:val="002B6B98"/>
    <w:rsid w:val="002B75AE"/>
    <w:rsid w:val="002B779B"/>
    <w:rsid w:val="002B7FEF"/>
    <w:rsid w:val="002C1025"/>
    <w:rsid w:val="002C1E84"/>
    <w:rsid w:val="002C1EC2"/>
    <w:rsid w:val="002C3805"/>
    <w:rsid w:val="002C41E7"/>
    <w:rsid w:val="002C451D"/>
    <w:rsid w:val="002C521F"/>
    <w:rsid w:val="002C674B"/>
    <w:rsid w:val="002C69DA"/>
    <w:rsid w:val="002C6C22"/>
    <w:rsid w:val="002C70AB"/>
    <w:rsid w:val="002D073D"/>
    <w:rsid w:val="002D0DB2"/>
    <w:rsid w:val="002D0EB1"/>
    <w:rsid w:val="002D0F41"/>
    <w:rsid w:val="002D2E0E"/>
    <w:rsid w:val="002D43F5"/>
    <w:rsid w:val="002D4DCA"/>
    <w:rsid w:val="002D60FF"/>
    <w:rsid w:val="002D6B58"/>
    <w:rsid w:val="002E029A"/>
    <w:rsid w:val="002E1202"/>
    <w:rsid w:val="002E1BEC"/>
    <w:rsid w:val="002E41D4"/>
    <w:rsid w:val="002E4F4C"/>
    <w:rsid w:val="002E617B"/>
    <w:rsid w:val="002E6B0A"/>
    <w:rsid w:val="002F02D6"/>
    <w:rsid w:val="002F0578"/>
    <w:rsid w:val="002F075C"/>
    <w:rsid w:val="002F5890"/>
    <w:rsid w:val="002F7D0F"/>
    <w:rsid w:val="0030089C"/>
    <w:rsid w:val="00300B7C"/>
    <w:rsid w:val="003014E4"/>
    <w:rsid w:val="00304157"/>
    <w:rsid w:val="00304E39"/>
    <w:rsid w:val="0030555B"/>
    <w:rsid w:val="0030592D"/>
    <w:rsid w:val="003067B8"/>
    <w:rsid w:val="00307BD4"/>
    <w:rsid w:val="00312692"/>
    <w:rsid w:val="003138F6"/>
    <w:rsid w:val="00313C26"/>
    <w:rsid w:val="00313E64"/>
    <w:rsid w:val="00313EA1"/>
    <w:rsid w:val="00314589"/>
    <w:rsid w:val="00316D74"/>
    <w:rsid w:val="003214B9"/>
    <w:rsid w:val="00322FF1"/>
    <w:rsid w:val="00323C1E"/>
    <w:rsid w:val="003240EF"/>
    <w:rsid w:val="003249DE"/>
    <w:rsid w:val="00325580"/>
    <w:rsid w:val="00325E4D"/>
    <w:rsid w:val="00325EAC"/>
    <w:rsid w:val="00326196"/>
    <w:rsid w:val="00327BD9"/>
    <w:rsid w:val="0033013A"/>
    <w:rsid w:val="0033149E"/>
    <w:rsid w:val="00332411"/>
    <w:rsid w:val="00333611"/>
    <w:rsid w:val="00334084"/>
    <w:rsid w:val="003340CA"/>
    <w:rsid w:val="00334B99"/>
    <w:rsid w:val="00335650"/>
    <w:rsid w:val="00335AE4"/>
    <w:rsid w:val="00336BB9"/>
    <w:rsid w:val="003417B5"/>
    <w:rsid w:val="003418E6"/>
    <w:rsid w:val="003420D2"/>
    <w:rsid w:val="0034371D"/>
    <w:rsid w:val="00343DA6"/>
    <w:rsid w:val="00343E45"/>
    <w:rsid w:val="00344BB6"/>
    <w:rsid w:val="00344DED"/>
    <w:rsid w:val="003526D4"/>
    <w:rsid w:val="003530C0"/>
    <w:rsid w:val="00354158"/>
    <w:rsid w:val="00354702"/>
    <w:rsid w:val="003550D8"/>
    <w:rsid w:val="003556FB"/>
    <w:rsid w:val="00355927"/>
    <w:rsid w:val="00357671"/>
    <w:rsid w:val="00361D8C"/>
    <w:rsid w:val="003623BB"/>
    <w:rsid w:val="00363BB6"/>
    <w:rsid w:val="00365203"/>
    <w:rsid w:val="0036762E"/>
    <w:rsid w:val="00371A9B"/>
    <w:rsid w:val="00371DD1"/>
    <w:rsid w:val="003723FA"/>
    <w:rsid w:val="00372BB0"/>
    <w:rsid w:val="00374FC5"/>
    <w:rsid w:val="0037596D"/>
    <w:rsid w:val="003800A6"/>
    <w:rsid w:val="00381F0B"/>
    <w:rsid w:val="00381FCF"/>
    <w:rsid w:val="003828C1"/>
    <w:rsid w:val="0038383F"/>
    <w:rsid w:val="00385929"/>
    <w:rsid w:val="0038608C"/>
    <w:rsid w:val="00387075"/>
    <w:rsid w:val="00390E51"/>
    <w:rsid w:val="003918D6"/>
    <w:rsid w:val="00392844"/>
    <w:rsid w:val="00392BAE"/>
    <w:rsid w:val="00392D00"/>
    <w:rsid w:val="00395877"/>
    <w:rsid w:val="00395BC7"/>
    <w:rsid w:val="00396EBE"/>
    <w:rsid w:val="003973F7"/>
    <w:rsid w:val="003A0401"/>
    <w:rsid w:val="003A092E"/>
    <w:rsid w:val="003A0A3C"/>
    <w:rsid w:val="003A149D"/>
    <w:rsid w:val="003A209B"/>
    <w:rsid w:val="003A25F0"/>
    <w:rsid w:val="003A2A03"/>
    <w:rsid w:val="003A5C1F"/>
    <w:rsid w:val="003A5E2F"/>
    <w:rsid w:val="003A6363"/>
    <w:rsid w:val="003A6BFF"/>
    <w:rsid w:val="003B0459"/>
    <w:rsid w:val="003B05C0"/>
    <w:rsid w:val="003B1138"/>
    <w:rsid w:val="003B158A"/>
    <w:rsid w:val="003B1BC5"/>
    <w:rsid w:val="003B1CCE"/>
    <w:rsid w:val="003B3237"/>
    <w:rsid w:val="003B4603"/>
    <w:rsid w:val="003B6A70"/>
    <w:rsid w:val="003C01C5"/>
    <w:rsid w:val="003C3143"/>
    <w:rsid w:val="003C3AB5"/>
    <w:rsid w:val="003C3C83"/>
    <w:rsid w:val="003C51F5"/>
    <w:rsid w:val="003C7046"/>
    <w:rsid w:val="003C7D91"/>
    <w:rsid w:val="003D2073"/>
    <w:rsid w:val="003D3D77"/>
    <w:rsid w:val="003D4081"/>
    <w:rsid w:val="003D5881"/>
    <w:rsid w:val="003D6A76"/>
    <w:rsid w:val="003D7BC3"/>
    <w:rsid w:val="003D7FAC"/>
    <w:rsid w:val="003E0043"/>
    <w:rsid w:val="003E045E"/>
    <w:rsid w:val="003E049C"/>
    <w:rsid w:val="003E04A6"/>
    <w:rsid w:val="003E0F3E"/>
    <w:rsid w:val="003E12C5"/>
    <w:rsid w:val="003E49E2"/>
    <w:rsid w:val="003E4D6A"/>
    <w:rsid w:val="003E6C72"/>
    <w:rsid w:val="003E7EE3"/>
    <w:rsid w:val="003F2F51"/>
    <w:rsid w:val="003F3339"/>
    <w:rsid w:val="003F33A6"/>
    <w:rsid w:val="003F39E7"/>
    <w:rsid w:val="003F580D"/>
    <w:rsid w:val="003F6A1B"/>
    <w:rsid w:val="003F6B23"/>
    <w:rsid w:val="003F705E"/>
    <w:rsid w:val="0040046A"/>
    <w:rsid w:val="00400644"/>
    <w:rsid w:val="00400FF5"/>
    <w:rsid w:val="00401913"/>
    <w:rsid w:val="0040422A"/>
    <w:rsid w:val="004051AC"/>
    <w:rsid w:val="00405856"/>
    <w:rsid w:val="00405955"/>
    <w:rsid w:val="00407296"/>
    <w:rsid w:val="00410E98"/>
    <w:rsid w:val="004130CB"/>
    <w:rsid w:val="00414C45"/>
    <w:rsid w:val="00415715"/>
    <w:rsid w:val="00415896"/>
    <w:rsid w:val="004158AA"/>
    <w:rsid w:val="00415B8F"/>
    <w:rsid w:val="004162DA"/>
    <w:rsid w:val="00417578"/>
    <w:rsid w:val="004176EA"/>
    <w:rsid w:val="00417D29"/>
    <w:rsid w:val="00420006"/>
    <w:rsid w:val="004202BA"/>
    <w:rsid w:val="00420D11"/>
    <w:rsid w:val="004216CF"/>
    <w:rsid w:val="00421C1A"/>
    <w:rsid w:val="00422E5D"/>
    <w:rsid w:val="0042358B"/>
    <w:rsid w:val="004238E6"/>
    <w:rsid w:val="00424988"/>
    <w:rsid w:val="00424F79"/>
    <w:rsid w:val="00426FDF"/>
    <w:rsid w:val="00427088"/>
    <w:rsid w:val="0042719C"/>
    <w:rsid w:val="00430DB4"/>
    <w:rsid w:val="004312E7"/>
    <w:rsid w:val="004326CA"/>
    <w:rsid w:val="004358D3"/>
    <w:rsid w:val="004378C3"/>
    <w:rsid w:val="0044206E"/>
    <w:rsid w:val="0044261E"/>
    <w:rsid w:val="00443A6E"/>
    <w:rsid w:val="00443A86"/>
    <w:rsid w:val="00443B07"/>
    <w:rsid w:val="004460C6"/>
    <w:rsid w:val="004462A2"/>
    <w:rsid w:val="00446A92"/>
    <w:rsid w:val="004479BF"/>
    <w:rsid w:val="004479FA"/>
    <w:rsid w:val="00450040"/>
    <w:rsid w:val="004502AB"/>
    <w:rsid w:val="004513A0"/>
    <w:rsid w:val="00451E53"/>
    <w:rsid w:val="004528A4"/>
    <w:rsid w:val="00452DE6"/>
    <w:rsid w:val="00453C46"/>
    <w:rsid w:val="00454A2A"/>
    <w:rsid w:val="0045541F"/>
    <w:rsid w:val="0045553F"/>
    <w:rsid w:val="004556C1"/>
    <w:rsid w:val="00460338"/>
    <w:rsid w:val="00461BFF"/>
    <w:rsid w:val="00462FEA"/>
    <w:rsid w:val="00464421"/>
    <w:rsid w:val="00466080"/>
    <w:rsid w:val="00466FDC"/>
    <w:rsid w:val="00470A88"/>
    <w:rsid w:val="004713E7"/>
    <w:rsid w:val="00471BE1"/>
    <w:rsid w:val="00472CD2"/>
    <w:rsid w:val="0047365F"/>
    <w:rsid w:val="004743B3"/>
    <w:rsid w:val="004777EE"/>
    <w:rsid w:val="00477A0E"/>
    <w:rsid w:val="00477E37"/>
    <w:rsid w:val="00480311"/>
    <w:rsid w:val="00480B38"/>
    <w:rsid w:val="00480D4E"/>
    <w:rsid w:val="0048141A"/>
    <w:rsid w:val="00481CB4"/>
    <w:rsid w:val="00482091"/>
    <w:rsid w:val="00482C68"/>
    <w:rsid w:val="004844D9"/>
    <w:rsid w:val="00484DB9"/>
    <w:rsid w:val="0048517A"/>
    <w:rsid w:val="004851F8"/>
    <w:rsid w:val="00490BA7"/>
    <w:rsid w:val="00491E11"/>
    <w:rsid w:val="0049375E"/>
    <w:rsid w:val="004941DF"/>
    <w:rsid w:val="00494D9F"/>
    <w:rsid w:val="00495097"/>
    <w:rsid w:val="004953B2"/>
    <w:rsid w:val="00495D3B"/>
    <w:rsid w:val="004A0768"/>
    <w:rsid w:val="004A16FD"/>
    <w:rsid w:val="004A1C0C"/>
    <w:rsid w:val="004A2CE7"/>
    <w:rsid w:val="004A505F"/>
    <w:rsid w:val="004A5296"/>
    <w:rsid w:val="004A53C8"/>
    <w:rsid w:val="004A5498"/>
    <w:rsid w:val="004A549F"/>
    <w:rsid w:val="004A5FB9"/>
    <w:rsid w:val="004A604C"/>
    <w:rsid w:val="004A6548"/>
    <w:rsid w:val="004A74BB"/>
    <w:rsid w:val="004A7FA9"/>
    <w:rsid w:val="004B0B28"/>
    <w:rsid w:val="004B0F0A"/>
    <w:rsid w:val="004B1F18"/>
    <w:rsid w:val="004B1FD5"/>
    <w:rsid w:val="004B33BE"/>
    <w:rsid w:val="004B33EF"/>
    <w:rsid w:val="004B37E8"/>
    <w:rsid w:val="004B4FDA"/>
    <w:rsid w:val="004B598F"/>
    <w:rsid w:val="004B7721"/>
    <w:rsid w:val="004C1815"/>
    <w:rsid w:val="004C20DA"/>
    <w:rsid w:val="004C20F1"/>
    <w:rsid w:val="004C3B26"/>
    <w:rsid w:val="004C4E93"/>
    <w:rsid w:val="004C55A9"/>
    <w:rsid w:val="004C67A8"/>
    <w:rsid w:val="004C6908"/>
    <w:rsid w:val="004C70D8"/>
    <w:rsid w:val="004C7907"/>
    <w:rsid w:val="004D06B7"/>
    <w:rsid w:val="004D0DF6"/>
    <w:rsid w:val="004D2904"/>
    <w:rsid w:val="004D2DF6"/>
    <w:rsid w:val="004D2E95"/>
    <w:rsid w:val="004D3028"/>
    <w:rsid w:val="004D3CA0"/>
    <w:rsid w:val="004D4A74"/>
    <w:rsid w:val="004D5649"/>
    <w:rsid w:val="004D6490"/>
    <w:rsid w:val="004D6525"/>
    <w:rsid w:val="004D6D2B"/>
    <w:rsid w:val="004E1561"/>
    <w:rsid w:val="004E18CE"/>
    <w:rsid w:val="004E27E2"/>
    <w:rsid w:val="004E28AE"/>
    <w:rsid w:val="004E2A86"/>
    <w:rsid w:val="004E436D"/>
    <w:rsid w:val="004E45C5"/>
    <w:rsid w:val="004E520A"/>
    <w:rsid w:val="004E5FD6"/>
    <w:rsid w:val="004F0082"/>
    <w:rsid w:val="004F034E"/>
    <w:rsid w:val="004F13D5"/>
    <w:rsid w:val="004F24A7"/>
    <w:rsid w:val="004F3F5A"/>
    <w:rsid w:val="004F43E9"/>
    <w:rsid w:val="004F71A7"/>
    <w:rsid w:val="004F793E"/>
    <w:rsid w:val="00500B4C"/>
    <w:rsid w:val="00500DAA"/>
    <w:rsid w:val="00501379"/>
    <w:rsid w:val="00501C03"/>
    <w:rsid w:val="00507284"/>
    <w:rsid w:val="005110B7"/>
    <w:rsid w:val="00512558"/>
    <w:rsid w:val="00513AC8"/>
    <w:rsid w:val="00513D22"/>
    <w:rsid w:val="00513E71"/>
    <w:rsid w:val="005149DD"/>
    <w:rsid w:val="00516586"/>
    <w:rsid w:val="005165A5"/>
    <w:rsid w:val="00516B7D"/>
    <w:rsid w:val="00517034"/>
    <w:rsid w:val="00517D40"/>
    <w:rsid w:val="00517E63"/>
    <w:rsid w:val="00524779"/>
    <w:rsid w:val="00525C66"/>
    <w:rsid w:val="00527241"/>
    <w:rsid w:val="00530D42"/>
    <w:rsid w:val="00531930"/>
    <w:rsid w:val="00531CA6"/>
    <w:rsid w:val="00531E95"/>
    <w:rsid w:val="005328EA"/>
    <w:rsid w:val="00533472"/>
    <w:rsid w:val="00533C1F"/>
    <w:rsid w:val="00534188"/>
    <w:rsid w:val="005351DC"/>
    <w:rsid w:val="005364AC"/>
    <w:rsid w:val="005376BE"/>
    <w:rsid w:val="005401F5"/>
    <w:rsid w:val="00541174"/>
    <w:rsid w:val="00541EC4"/>
    <w:rsid w:val="00543BBF"/>
    <w:rsid w:val="005446B8"/>
    <w:rsid w:val="00544D11"/>
    <w:rsid w:val="00545297"/>
    <w:rsid w:val="005462A0"/>
    <w:rsid w:val="00550D25"/>
    <w:rsid w:val="00550EBE"/>
    <w:rsid w:val="00551180"/>
    <w:rsid w:val="00551500"/>
    <w:rsid w:val="00551903"/>
    <w:rsid w:val="00551B92"/>
    <w:rsid w:val="0055339C"/>
    <w:rsid w:val="0055553E"/>
    <w:rsid w:val="005557E9"/>
    <w:rsid w:val="00556144"/>
    <w:rsid w:val="00556CE7"/>
    <w:rsid w:val="00557997"/>
    <w:rsid w:val="00560316"/>
    <w:rsid w:val="005613C0"/>
    <w:rsid w:val="00561B38"/>
    <w:rsid w:val="0056241B"/>
    <w:rsid w:val="00562B97"/>
    <w:rsid w:val="0056429A"/>
    <w:rsid w:val="0056515C"/>
    <w:rsid w:val="00565820"/>
    <w:rsid w:val="00565BA1"/>
    <w:rsid w:val="00571F73"/>
    <w:rsid w:val="005728B5"/>
    <w:rsid w:val="005745C7"/>
    <w:rsid w:val="005749B4"/>
    <w:rsid w:val="00575D8C"/>
    <w:rsid w:val="00577216"/>
    <w:rsid w:val="00580321"/>
    <w:rsid w:val="00580FB1"/>
    <w:rsid w:val="00581FAA"/>
    <w:rsid w:val="00582158"/>
    <w:rsid w:val="00582274"/>
    <w:rsid w:val="005834A9"/>
    <w:rsid w:val="0058357B"/>
    <w:rsid w:val="00584330"/>
    <w:rsid w:val="00584EAE"/>
    <w:rsid w:val="00586B24"/>
    <w:rsid w:val="005925F2"/>
    <w:rsid w:val="00592DE6"/>
    <w:rsid w:val="00593BF9"/>
    <w:rsid w:val="00594929"/>
    <w:rsid w:val="005954EB"/>
    <w:rsid w:val="005958A3"/>
    <w:rsid w:val="005960FC"/>
    <w:rsid w:val="00596BC0"/>
    <w:rsid w:val="00596BE2"/>
    <w:rsid w:val="00596F01"/>
    <w:rsid w:val="00597E6F"/>
    <w:rsid w:val="005A4F25"/>
    <w:rsid w:val="005A5194"/>
    <w:rsid w:val="005A70B1"/>
    <w:rsid w:val="005A70E5"/>
    <w:rsid w:val="005B16EC"/>
    <w:rsid w:val="005B248F"/>
    <w:rsid w:val="005B26B7"/>
    <w:rsid w:val="005B2BF1"/>
    <w:rsid w:val="005B308E"/>
    <w:rsid w:val="005B38A0"/>
    <w:rsid w:val="005B42B6"/>
    <w:rsid w:val="005B51C8"/>
    <w:rsid w:val="005B60C8"/>
    <w:rsid w:val="005B69C7"/>
    <w:rsid w:val="005B6C49"/>
    <w:rsid w:val="005B6DE7"/>
    <w:rsid w:val="005B7493"/>
    <w:rsid w:val="005C2A81"/>
    <w:rsid w:val="005C3F18"/>
    <w:rsid w:val="005C42B1"/>
    <w:rsid w:val="005C766C"/>
    <w:rsid w:val="005C7C32"/>
    <w:rsid w:val="005D30B9"/>
    <w:rsid w:val="005D3288"/>
    <w:rsid w:val="005D50C1"/>
    <w:rsid w:val="005D524D"/>
    <w:rsid w:val="005D56D4"/>
    <w:rsid w:val="005D734C"/>
    <w:rsid w:val="005E0B59"/>
    <w:rsid w:val="005E1F7D"/>
    <w:rsid w:val="005E1FEC"/>
    <w:rsid w:val="005E2218"/>
    <w:rsid w:val="005E221A"/>
    <w:rsid w:val="005E4A68"/>
    <w:rsid w:val="005E51CF"/>
    <w:rsid w:val="005E5661"/>
    <w:rsid w:val="005E632D"/>
    <w:rsid w:val="005E751A"/>
    <w:rsid w:val="005F0D05"/>
    <w:rsid w:val="005F0EF7"/>
    <w:rsid w:val="005F2444"/>
    <w:rsid w:val="005F28BB"/>
    <w:rsid w:val="005F2A54"/>
    <w:rsid w:val="005F3140"/>
    <w:rsid w:val="005F349E"/>
    <w:rsid w:val="005F35CC"/>
    <w:rsid w:val="005F398E"/>
    <w:rsid w:val="005F5ADA"/>
    <w:rsid w:val="005F7D14"/>
    <w:rsid w:val="0060152F"/>
    <w:rsid w:val="00602892"/>
    <w:rsid w:val="00604AA9"/>
    <w:rsid w:val="00604B5B"/>
    <w:rsid w:val="00605078"/>
    <w:rsid w:val="00605927"/>
    <w:rsid w:val="00605A19"/>
    <w:rsid w:val="00606FEC"/>
    <w:rsid w:val="00607292"/>
    <w:rsid w:val="00610A97"/>
    <w:rsid w:val="00611BC5"/>
    <w:rsid w:val="00611C7C"/>
    <w:rsid w:val="00613B84"/>
    <w:rsid w:val="00613DAC"/>
    <w:rsid w:val="00617AF2"/>
    <w:rsid w:val="00617C14"/>
    <w:rsid w:val="0062333C"/>
    <w:rsid w:val="00624933"/>
    <w:rsid w:val="00624DC0"/>
    <w:rsid w:val="00627A99"/>
    <w:rsid w:val="00627BD2"/>
    <w:rsid w:val="00631529"/>
    <w:rsid w:val="00631930"/>
    <w:rsid w:val="0063287A"/>
    <w:rsid w:val="00634BA3"/>
    <w:rsid w:val="00637671"/>
    <w:rsid w:val="0064042F"/>
    <w:rsid w:val="00640A09"/>
    <w:rsid w:val="00640DE0"/>
    <w:rsid w:val="006464A8"/>
    <w:rsid w:val="006464EB"/>
    <w:rsid w:val="00646D0F"/>
    <w:rsid w:val="00646DB9"/>
    <w:rsid w:val="00647130"/>
    <w:rsid w:val="00647270"/>
    <w:rsid w:val="00650078"/>
    <w:rsid w:val="00650930"/>
    <w:rsid w:val="00650CA5"/>
    <w:rsid w:val="00651033"/>
    <w:rsid w:val="0065161F"/>
    <w:rsid w:val="00652A4A"/>
    <w:rsid w:val="00654CCE"/>
    <w:rsid w:val="006551C3"/>
    <w:rsid w:val="00656773"/>
    <w:rsid w:val="00656907"/>
    <w:rsid w:val="00656A23"/>
    <w:rsid w:val="006572A3"/>
    <w:rsid w:val="0065754E"/>
    <w:rsid w:val="00657923"/>
    <w:rsid w:val="0066187E"/>
    <w:rsid w:val="00661993"/>
    <w:rsid w:val="00664145"/>
    <w:rsid w:val="0066415F"/>
    <w:rsid w:val="0066747D"/>
    <w:rsid w:val="00670836"/>
    <w:rsid w:val="006713AD"/>
    <w:rsid w:val="00671A68"/>
    <w:rsid w:val="0067261B"/>
    <w:rsid w:val="00672B41"/>
    <w:rsid w:val="006759FF"/>
    <w:rsid w:val="00675EB6"/>
    <w:rsid w:val="00676874"/>
    <w:rsid w:val="00676E8A"/>
    <w:rsid w:val="0067708A"/>
    <w:rsid w:val="00677AEC"/>
    <w:rsid w:val="0068092C"/>
    <w:rsid w:val="006818CF"/>
    <w:rsid w:val="006825C0"/>
    <w:rsid w:val="00683B43"/>
    <w:rsid w:val="00685103"/>
    <w:rsid w:val="0068566C"/>
    <w:rsid w:val="00685F6D"/>
    <w:rsid w:val="00687323"/>
    <w:rsid w:val="00687467"/>
    <w:rsid w:val="0069031B"/>
    <w:rsid w:val="00691B96"/>
    <w:rsid w:val="006934DF"/>
    <w:rsid w:val="00693B67"/>
    <w:rsid w:val="00694633"/>
    <w:rsid w:val="006947C6"/>
    <w:rsid w:val="00694EA5"/>
    <w:rsid w:val="006977DE"/>
    <w:rsid w:val="006A069E"/>
    <w:rsid w:val="006A1DD7"/>
    <w:rsid w:val="006A33BF"/>
    <w:rsid w:val="006A3696"/>
    <w:rsid w:val="006A3A88"/>
    <w:rsid w:val="006A3B0A"/>
    <w:rsid w:val="006A4C3F"/>
    <w:rsid w:val="006A4D39"/>
    <w:rsid w:val="006A52C2"/>
    <w:rsid w:val="006A5B41"/>
    <w:rsid w:val="006A7745"/>
    <w:rsid w:val="006B0222"/>
    <w:rsid w:val="006B178C"/>
    <w:rsid w:val="006B1E80"/>
    <w:rsid w:val="006B3630"/>
    <w:rsid w:val="006B3D64"/>
    <w:rsid w:val="006B558D"/>
    <w:rsid w:val="006C0162"/>
    <w:rsid w:val="006C0212"/>
    <w:rsid w:val="006C1210"/>
    <w:rsid w:val="006C12E0"/>
    <w:rsid w:val="006C22A7"/>
    <w:rsid w:val="006C306D"/>
    <w:rsid w:val="006C5D0A"/>
    <w:rsid w:val="006C5F23"/>
    <w:rsid w:val="006C60BF"/>
    <w:rsid w:val="006C6227"/>
    <w:rsid w:val="006C78A2"/>
    <w:rsid w:val="006D24C9"/>
    <w:rsid w:val="006D2C85"/>
    <w:rsid w:val="006D3999"/>
    <w:rsid w:val="006D45B8"/>
    <w:rsid w:val="006D5A22"/>
    <w:rsid w:val="006D6399"/>
    <w:rsid w:val="006D67FA"/>
    <w:rsid w:val="006D6988"/>
    <w:rsid w:val="006D6B44"/>
    <w:rsid w:val="006D769B"/>
    <w:rsid w:val="006E0FC5"/>
    <w:rsid w:val="006E23A5"/>
    <w:rsid w:val="006E2BC5"/>
    <w:rsid w:val="006E300F"/>
    <w:rsid w:val="006E333C"/>
    <w:rsid w:val="006E364A"/>
    <w:rsid w:val="006E47B9"/>
    <w:rsid w:val="006E4CA2"/>
    <w:rsid w:val="006E5456"/>
    <w:rsid w:val="006E71E9"/>
    <w:rsid w:val="006E7577"/>
    <w:rsid w:val="006F0250"/>
    <w:rsid w:val="006F0D16"/>
    <w:rsid w:val="006F115C"/>
    <w:rsid w:val="006F11ED"/>
    <w:rsid w:val="006F1CFF"/>
    <w:rsid w:val="006F2619"/>
    <w:rsid w:val="006F3CAE"/>
    <w:rsid w:val="006F55AA"/>
    <w:rsid w:val="006F6962"/>
    <w:rsid w:val="006F722E"/>
    <w:rsid w:val="006F7ED9"/>
    <w:rsid w:val="007005A9"/>
    <w:rsid w:val="00700B5A"/>
    <w:rsid w:val="00702081"/>
    <w:rsid w:val="00702234"/>
    <w:rsid w:val="0070334E"/>
    <w:rsid w:val="00705329"/>
    <w:rsid w:val="007053AB"/>
    <w:rsid w:val="007058CE"/>
    <w:rsid w:val="00707799"/>
    <w:rsid w:val="00707CF2"/>
    <w:rsid w:val="0071082B"/>
    <w:rsid w:val="00711320"/>
    <w:rsid w:val="0071133A"/>
    <w:rsid w:val="00712A46"/>
    <w:rsid w:val="00713259"/>
    <w:rsid w:val="0071356F"/>
    <w:rsid w:val="00714564"/>
    <w:rsid w:val="007147BE"/>
    <w:rsid w:val="00717F7C"/>
    <w:rsid w:val="00720A1E"/>
    <w:rsid w:val="00721A69"/>
    <w:rsid w:val="007223F9"/>
    <w:rsid w:val="007228E9"/>
    <w:rsid w:val="00722B97"/>
    <w:rsid w:val="00722DD8"/>
    <w:rsid w:val="00723005"/>
    <w:rsid w:val="007232D7"/>
    <w:rsid w:val="007248FB"/>
    <w:rsid w:val="00724B8A"/>
    <w:rsid w:val="0072576E"/>
    <w:rsid w:val="007275D3"/>
    <w:rsid w:val="0073173F"/>
    <w:rsid w:val="00731F28"/>
    <w:rsid w:val="00733C8C"/>
    <w:rsid w:val="007345AD"/>
    <w:rsid w:val="00735549"/>
    <w:rsid w:val="007375E8"/>
    <w:rsid w:val="00740BCB"/>
    <w:rsid w:val="00741792"/>
    <w:rsid w:val="00742AB3"/>
    <w:rsid w:val="0074320A"/>
    <w:rsid w:val="007436C2"/>
    <w:rsid w:val="00744368"/>
    <w:rsid w:val="00744D45"/>
    <w:rsid w:val="0074570B"/>
    <w:rsid w:val="0074653E"/>
    <w:rsid w:val="00751322"/>
    <w:rsid w:val="007519DC"/>
    <w:rsid w:val="00751C0E"/>
    <w:rsid w:val="00755417"/>
    <w:rsid w:val="00763606"/>
    <w:rsid w:val="00763C0F"/>
    <w:rsid w:val="00763F68"/>
    <w:rsid w:val="00764FFF"/>
    <w:rsid w:val="00765DE5"/>
    <w:rsid w:val="007663FA"/>
    <w:rsid w:val="00767FD6"/>
    <w:rsid w:val="00770297"/>
    <w:rsid w:val="007704D8"/>
    <w:rsid w:val="007719FA"/>
    <w:rsid w:val="00771AE0"/>
    <w:rsid w:val="00772C43"/>
    <w:rsid w:val="00773158"/>
    <w:rsid w:val="00773968"/>
    <w:rsid w:val="00773C29"/>
    <w:rsid w:val="00773C6A"/>
    <w:rsid w:val="00775984"/>
    <w:rsid w:val="0077629E"/>
    <w:rsid w:val="00783C6B"/>
    <w:rsid w:val="00784229"/>
    <w:rsid w:val="00784F9B"/>
    <w:rsid w:val="0078640A"/>
    <w:rsid w:val="00787327"/>
    <w:rsid w:val="00787C61"/>
    <w:rsid w:val="00790ADC"/>
    <w:rsid w:val="00790B85"/>
    <w:rsid w:val="007918C1"/>
    <w:rsid w:val="0079441B"/>
    <w:rsid w:val="007962EB"/>
    <w:rsid w:val="00796FFE"/>
    <w:rsid w:val="00797080"/>
    <w:rsid w:val="007973E0"/>
    <w:rsid w:val="00797BBC"/>
    <w:rsid w:val="007A04DB"/>
    <w:rsid w:val="007A0535"/>
    <w:rsid w:val="007A0AE4"/>
    <w:rsid w:val="007A18AB"/>
    <w:rsid w:val="007A2871"/>
    <w:rsid w:val="007A2FE6"/>
    <w:rsid w:val="007A5D0E"/>
    <w:rsid w:val="007B02F6"/>
    <w:rsid w:val="007B02FA"/>
    <w:rsid w:val="007B07F6"/>
    <w:rsid w:val="007B0859"/>
    <w:rsid w:val="007B0BA2"/>
    <w:rsid w:val="007B0CA9"/>
    <w:rsid w:val="007B1459"/>
    <w:rsid w:val="007B1E6A"/>
    <w:rsid w:val="007B3152"/>
    <w:rsid w:val="007B4733"/>
    <w:rsid w:val="007B5DEF"/>
    <w:rsid w:val="007C07CE"/>
    <w:rsid w:val="007C0BC0"/>
    <w:rsid w:val="007C1F6E"/>
    <w:rsid w:val="007C231D"/>
    <w:rsid w:val="007C2AFF"/>
    <w:rsid w:val="007C3975"/>
    <w:rsid w:val="007C4012"/>
    <w:rsid w:val="007C47AB"/>
    <w:rsid w:val="007C4E78"/>
    <w:rsid w:val="007C5781"/>
    <w:rsid w:val="007C6DA1"/>
    <w:rsid w:val="007C70E5"/>
    <w:rsid w:val="007C7E4C"/>
    <w:rsid w:val="007D0BDC"/>
    <w:rsid w:val="007D1336"/>
    <w:rsid w:val="007D1343"/>
    <w:rsid w:val="007D1379"/>
    <w:rsid w:val="007D48BF"/>
    <w:rsid w:val="007D4D07"/>
    <w:rsid w:val="007D564F"/>
    <w:rsid w:val="007D5E28"/>
    <w:rsid w:val="007D5F8D"/>
    <w:rsid w:val="007D62B7"/>
    <w:rsid w:val="007D64A7"/>
    <w:rsid w:val="007D65A0"/>
    <w:rsid w:val="007D6ED7"/>
    <w:rsid w:val="007E0228"/>
    <w:rsid w:val="007E1341"/>
    <w:rsid w:val="007E15AA"/>
    <w:rsid w:val="007E2278"/>
    <w:rsid w:val="007E5DBD"/>
    <w:rsid w:val="007E66F2"/>
    <w:rsid w:val="007E6C04"/>
    <w:rsid w:val="007E79BA"/>
    <w:rsid w:val="007E7C9E"/>
    <w:rsid w:val="007E7F04"/>
    <w:rsid w:val="007F0022"/>
    <w:rsid w:val="007F2B8D"/>
    <w:rsid w:val="007F336C"/>
    <w:rsid w:val="007F37A1"/>
    <w:rsid w:val="007F59E0"/>
    <w:rsid w:val="007F63C8"/>
    <w:rsid w:val="007F662D"/>
    <w:rsid w:val="00800369"/>
    <w:rsid w:val="00801BEA"/>
    <w:rsid w:val="00802271"/>
    <w:rsid w:val="008022B0"/>
    <w:rsid w:val="00802C21"/>
    <w:rsid w:val="00803F15"/>
    <w:rsid w:val="00805939"/>
    <w:rsid w:val="00806E8A"/>
    <w:rsid w:val="008075BF"/>
    <w:rsid w:val="00810A06"/>
    <w:rsid w:val="00810AE1"/>
    <w:rsid w:val="00812271"/>
    <w:rsid w:val="00812315"/>
    <w:rsid w:val="00814DC1"/>
    <w:rsid w:val="0081524E"/>
    <w:rsid w:val="008152DA"/>
    <w:rsid w:val="00816702"/>
    <w:rsid w:val="00816BD1"/>
    <w:rsid w:val="008177B3"/>
    <w:rsid w:val="0082002F"/>
    <w:rsid w:val="008208D3"/>
    <w:rsid w:val="00820B25"/>
    <w:rsid w:val="0082277F"/>
    <w:rsid w:val="008233E5"/>
    <w:rsid w:val="00826020"/>
    <w:rsid w:val="00826D82"/>
    <w:rsid w:val="0082715F"/>
    <w:rsid w:val="00827607"/>
    <w:rsid w:val="008277CC"/>
    <w:rsid w:val="00831066"/>
    <w:rsid w:val="00833E9A"/>
    <w:rsid w:val="00835064"/>
    <w:rsid w:val="0083509F"/>
    <w:rsid w:val="00835C86"/>
    <w:rsid w:val="00840015"/>
    <w:rsid w:val="00840CFA"/>
    <w:rsid w:val="008428BB"/>
    <w:rsid w:val="00842E44"/>
    <w:rsid w:val="00845656"/>
    <w:rsid w:val="00845949"/>
    <w:rsid w:val="00851C5F"/>
    <w:rsid w:val="00852A58"/>
    <w:rsid w:val="008549E3"/>
    <w:rsid w:val="00854F3B"/>
    <w:rsid w:val="00855634"/>
    <w:rsid w:val="00856948"/>
    <w:rsid w:val="00857E11"/>
    <w:rsid w:val="00857EFA"/>
    <w:rsid w:val="008616F8"/>
    <w:rsid w:val="00862158"/>
    <w:rsid w:val="00862A3D"/>
    <w:rsid w:val="00863303"/>
    <w:rsid w:val="008645A9"/>
    <w:rsid w:val="00866508"/>
    <w:rsid w:val="0086694B"/>
    <w:rsid w:val="0086717B"/>
    <w:rsid w:val="00867DA7"/>
    <w:rsid w:val="00867DBA"/>
    <w:rsid w:val="00871BE8"/>
    <w:rsid w:val="00872DA8"/>
    <w:rsid w:val="0087335D"/>
    <w:rsid w:val="008748A7"/>
    <w:rsid w:val="00874FE3"/>
    <w:rsid w:val="00876036"/>
    <w:rsid w:val="0087656E"/>
    <w:rsid w:val="00882564"/>
    <w:rsid w:val="00882ADA"/>
    <w:rsid w:val="00884237"/>
    <w:rsid w:val="0088480A"/>
    <w:rsid w:val="00884EF1"/>
    <w:rsid w:val="00885133"/>
    <w:rsid w:val="00885CCF"/>
    <w:rsid w:val="008865A3"/>
    <w:rsid w:val="008874D8"/>
    <w:rsid w:val="008907EB"/>
    <w:rsid w:val="00890D95"/>
    <w:rsid w:val="008914B3"/>
    <w:rsid w:val="00893177"/>
    <w:rsid w:val="00893B64"/>
    <w:rsid w:val="0089411B"/>
    <w:rsid w:val="00895EF4"/>
    <w:rsid w:val="008968E5"/>
    <w:rsid w:val="00896C91"/>
    <w:rsid w:val="00896E14"/>
    <w:rsid w:val="008A020E"/>
    <w:rsid w:val="008A125E"/>
    <w:rsid w:val="008A1C23"/>
    <w:rsid w:val="008A27E8"/>
    <w:rsid w:val="008A2AFA"/>
    <w:rsid w:val="008A4C95"/>
    <w:rsid w:val="008A569D"/>
    <w:rsid w:val="008A579A"/>
    <w:rsid w:val="008A7215"/>
    <w:rsid w:val="008B025F"/>
    <w:rsid w:val="008B3532"/>
    <w:rsid w:val="008B3F73"/>
    <w:rsid w:val="008B4FFB"/>
    <w:rsid w:val="008B5950"/>
    <w:rsid w:val="008B5A68"/>
    <w:rsid w:val="008B68AD"/>
    <w:rsid w:val="008C0B91"/>
    <w:rsid w:val="008C0D08"/>
    <w:rsid w:val="008C1F37"/>
    <w:rsid w:val="008C2F6A"/>
    <w:rsid w:val="008C50CA"/>
    <w:rsid w:val="008C5190"/>
    <w:rsid w:val="008C5BD4"/>
    <w:rsid w:val="008C5D67"/>
    <w:rsid w:val="008C6C25"/>
    <w:rsid w:val="008C72C3"/>
    <w:rsid w:val="008D06B5"/>
    <w:rsid w:val="008D1E89"/>
    <w:rsid w:val="008D2D57"/>
    <w:rsid w:val="008D2E2F"/>
    <w:rsid w:val="008D37A4"/>
    <w:rsid w:val="008D3E73"/>
    <w:rsid w:val="008D3FB2"/>
    <w:rsid w:val="008D462E"/>
    <w:rsid w:val="008D56ED"/>
    <w:rsid w:val="008D5F27"/>
    <w:rsid w:val="008D64FD"/>
    <w:rsid w:val="008D676F"/>
    <w:rsid w:val="008D6873"/>
    <w:rsid w:val="008E1910"/>
    <w:rsid w:val="008E5D8B"/>
    <w:rsid w:val="008F0A57"/>
    <w:rsid w:val="008F2B1D"/>
    <w:rsid w:val="008F3890"/>
    <w:rsid w:val="008F38A3"/>
    <w:rsid w:val="008F64CE"/>
    <w:rsid w:val="008F72FD"/>
    <w:rsid w:val="009009EA"/>
    <w:rsid w:val="00900D9C"/>
    <w:rsid w:val="009013F1"/>
    <w:rsid w:val="0090266E"/>
    <w:rsid w:val="00906120"/>
    <w:rsid w:val="009064FF"/>
    <w:rsid w:val="0090693D"/>
    <w:rsid w:val="00907A8B"/>
    <w:rsid w:val="009101D5"/>
    <w:rsid w:val="00910246"/>
    <w:rsid w:val="00914E12"/>
    <w:rsid w:val="009154E6"/>
    <w:rsid w:val="00916308"/>
    <w:rsid w:val="00917EF7"/>
    <w:rsid w:val="009206B5"/>
    <w:rsid w:val="00921C20"/>
    <w:rsid w:val="00925F9E"/>
    <w:rsid w:val="00926318"/>
    <w:rsid w:val="00930A74"/>
    <w:rsid w:val="00930BC1"/>
    <w:rsid w:val="00931D9C"/>
    <w:rsid w:val="00934483"/>
    <w:rsid w:val="00934DB7"/>
    <w:rsid w:val="00935243"/>
    <w:rsid w:val="0093556E"/>
    <w:rsid w:val="0093566F"/>
    <w:rsid w:val="009360DE"/>
    <w:rsid w:val="009369EE"/>
    <w:rsid w:val="00937408"/>
    <w:rsid w:val="00937E6B"/>
    <w:rsid w:val="00940920"/>
    <w:rsid w:val="00940A94"/>
    <w:rsid w:val="00940F49"/>
    <w:rsid w:val="009426BD"/>
    <w:rsid w:val="009429F0"/>
    <w:rsid w:val="00944E05"/>
    <w:rsid w:val="009454A2"/>
    <w:rsid w:val="0094577B"/>
    <w:rsid w:val="00945FA7"/>
    <w:rsid w:val="0094600C"/>
    <w:rsid w:val="009461C7"/>
    <w:rsid w:val="00946764"/>
    <w:rsid w:val="009502F8"/>
    <w:rsid w:val="00951E78"/>
    <w:rsid w:val="00953C03"/>
    <w:rsid w:val="009549F3"/>
    <w:rsid w:val="00954DE7"/>
    <w:rsid w:val="00955CE7"/>
    <w:rsid w:val="0095700B"/>
    <w:rsid w:val="00957DE4"/>
    <w:rsid w:val="00961162"/>
    <w:rsid w:val="0096121D"/>
    <w:rsid w:val="009625C1"/>
    <w:rsid w:val="009628F0"/>
    <w:rsid w:val="00963314"/>
    <w:rsid w:val="00963497"/>
    <w:rsid w:val="009636D0"/>
    <w:rsid w:val="00964B7F"/>
    <w:rsid w:val="00965C6F"/>
    <w:rsid w:val="009666A7"/>
    <w:rsid w:val="009675F2"/>
    <w:rsid w:val="00970000"/>
    <w:rsid w:val="009705CA"/>
    <w:rsid w:val="00971075"/>
    <w:rsid w:val="00971961"/>
    <w:rsid w:val="00971BD6"/>
    <w:rsid w:val="00971FE2"/>
    <w:rsid w:val="009729DC"/>
    <w:rsid w:val="00972B6D"/>
    <w:rsid w:val="00972CE8"/>
    <w:rsid w:val="00973AB7"/>
    <w:rsid w:val="00974AA1"/>
    <w:rsid w:val="00975797"/>
    <w:rsid w:val="00975A96"/>
    <w:rsid w:val="009809C2"/>
    <w:rsid w:val="00980FFF"/>
    <w:rsid w:val="0098126F"/>
    <w:rsid w:val="00981465"/>
    <w:rsid w:val="00981DDF"/>
    <w:rsid w:val="00984AF4"/>
    <w:rsid w:val="00985459"/>
    <w:rsid w:val="009900A0"/>
    <w:rsid w:val="00991138"/>
    <w:rsid w:val="00992869"/>
    <w:rsid w:val="00992A7E"/>
    <w:rsid w:val="00993CEC"/>
    <w:rsid w:val="0099538E"/>
    <w:rsid w:val="00995EF5"/>
    <w:rsid w:val="00996DEC"/>
    <w:rsid w:val="00997864"/>
    <w:rsid w:val="00997DA9"/>
    <w:rsid w:val="009A0E87"/>
    <w:rsid w:val="009A11D0"/>
    <w:rsid w:val="009A18ED"/>
    <w:rsid w:val="009A1BAC"/>
    <w:rsid w:val="009A1E24"/>
    <w:rsid w:val="009A568F"/>
    <w:rsid w:val="009A76ED"/>
    <w:rsid w:val="009A7B45"/>
    <w:rsid w:val="009B061A"/>
    <w:rsid w:val="009B0744"/>
    <w:rsid w:val="009B1774"/>
    <w:rsid w:val="009B21EC"/>
    <w:rsid w:val="009B2273"/>
    <w:rsid w:val="009B2A08"/>
    <w:rsid w:val="009B36A9"/>
    <w:rsid w:val="009B3D7E"/>
    <w:rsid w:val="009B3FA2"/>
    <w:rsid w:val="009B43AC"/>
    <w:rsid w:val="009B4555"/>
    <w:rsid w:val="009B6830"/>
    <w:rsid w:val="009B7E0B"/>
    <w:rsid w:val="009C05DA"/>
    <w:rsid w:val="009C181A"/>
    <w:rsid w:val="009C1F02"/>
    <w:rsid w:val="009C2DBD"/>
    <w:rsid w:val="009C539E"/>
    <w:rsid w:val="009C59E5"/>
    <w:rsid w:val="009C6525"/>
    <w:rsid w:val="009C7743"/>
    <w:rsid w:val="009D1271"/>
    <w:rsid w:val="009D22A8"/>
    <w:rsid w:val="009D247C"/>
    <w:rsid w:val="009D45B3"/>
    <w:rsid w:val="009D4F4B"/>
    <w:rsid w:val="009D6341"/>
    <w:rsid w:val="009D6E92"/>
    <w:rsid w:val="009D73E2"/>
    <w:rsid w:val="009E0243"/>
    <w:rsid w:val="009E1268"/>
    <w:rsid w:val="009E2A15"/>
    <w:rsid w:val="009E2D25"/>
    <w:rsid w:val="009E3113"/>
    <w:rsid w:val="009E35C0"/>
    <w:rsid w:val="009E4133"/>
    <w:rsid w:val="009E551E"/>
    <w:rsid w:val="009E7058"/>
    <w:rsid w:val="009E71D8"/>
    <w:rsid w:val="009E72CA"/>
    <w:rsid w:val="009E7CA9"/>
    <w:rsid w:val="009E7DA9"/>
    <w:rsid w:val="009F049E"/>
    <w:rsid w:val="009F13F3"/>
    <w:rsid w:val="009F29CD"/>
    <w:rsid w:val="009F4676"/>
    <w:rsid w:val="009F4DB5"/>
    <w:rsid w:val="009F5175"/>
    <w:rsid w:val="009F58DC"/>
    <w:rsid w:val="009F6089"/>
    <w:rsid w:val="009F60F2"/>
    <w:rsid w:val="009F66B7"/>
    <w:rsid w:val="009F6813"/>
    <w:rsid w:val="009F7913"/>
    <w:rsid w:val="00A016D6"/>
    <w:rsid w:val="00A01D0E"/>
    <w:rsid w:val="00A01E02"/>
    <w:rsid w:val="00A03C5B"/>
    <w:rsid w:val="00A041A1"/>
    <w:rsid w:val="00A04961"/>
    <w:rsid w:val="00A109A0"/>
    <w:rsid w:val="00A12327"/>
    <w:rsid w:val="00A1316C"/>
    <w:rsid w:val="00A13AAD"/>
    <w:rsid w:val="00A141EC"/>
    <w:rsid w:val="00A176B0"/>
    <w:rsid w:val="00A17859"/>
    <w:rsid w:val="00A17AF4"/>
    <w:rsid w:val="00A23800"/>
    <w:rsid w:val="00A24FBD"/>
    <w:rsid w:val="00A25978"/>
    <w:rsid w:val="00A26DC3"/>
    <w:rsid w:val="00A272D5"/>
    <w:rsid w:val="00A273EE"/>
    <w:rsid w:val="00A30163"/>
    <w:rsid w:val="00A31473"/>
    <w:rsid w:val="00A325FA"/>
    <w:rsid w:val="00A34D19"/>
    <w:rsid w:val="00A359ED"/>
    <w:rsid w:val="00A37A71"/>
    <w:rsid w:val="00A403C1"/>
    <w:rsid w:val="00A40F89"/>
    <w:rsid w:val="00A415D2"/>
    <w:rsid w:val="00A42C34"/>
    <w:rsid w:val="00A444BE"/>
    <w:rsid w:val="00A44E25"/>
    <w:rsid w:val="00A44FF9"/>
    <w:rsid w:val="00A4504C"/>
    <w:rsid w:val="00A451CA"/>
    <w:rsid w:val="00A4582E"/>
    <w:rsid w:val="00A46295"/>
    <w:rsid w:val="00A46FF0"/>
    <w:rsid w:val="00A50DC3"/>
    <w:rsid w:val="00A513D8"/>
    <w:rsid w:val="00A51DB5"/>
    <w:rsid w:val="00A52166"/>
    <w:rsid w:val="00A54BE6"/>
    <w:rsid w:val="00A55143"/>
    <w:rsid w:val="00A56853"/>
    <w:rsid w:val="00A5767A"/>
    <w:rsid w:val="00A60BC1"/>
    <w:rsid w:val="00A61D9E"/>
    <w:rsid w:val="00A62082"/>
    <w:rsid w:val="00A62538"/>
    <w:rsid w:val="00A62742"/>
    <w:rsid w:val="00A62AA2"/>
    <w:rsid w:val="00A6532E"/>
    <w:rsid w:val="00A6558A"/>
    <w:rsid w:val="00A65786"/>
    <w:rsid w:val="00A704E5"/>
    <w:rsid w:val="00A70ED5"/>
    <w:rsid w:val="00A70EF0"/>
    <w:rsid w:val="00A71AB3"/>
    <w:rsid w:val="00A721D5"/>
    <w:rsid w:val="00A75858"/>
    <w:rsid w:val="00A76C0A"/>
    <w:rsid w:val="00A76F55"/>
    <w:rsid w:val="00A772B7"/>
    <w:rsid w:val="00A7768E"/>
    <w:rsid w:val="00A81318"/>
    <w:rsid w:val="00A817D8"/>
    <w:rsid w:val="00A8231F"/>
    <w:rsid w:val="00A82FC0"/>
    <w:rsid w:val="00A849F9"/>
    <w:rsid w:val="00A86B23"/>
    <w:rsid w:val="00A86D56"/>
    <w:rsid w:val="00A87395"/>
    <w:rsid w:val="00A917AF"/>
    <w:rsid w:val="00A92601"/>
    <w:rsid w:val="00A926E0"/>
    <w:rsid w:val="00A93528"/>
    <w:rsid w:val="00A9393B"/>
    <w:rsid w:val="00A93993"/>
    <w:rsid w:val="00A9444A"/>
    <w:rsid w:val="00A97480"/>
    <w:rsid w:val="00A97F0C"/>
    <w:rsid w:val="00AA01A1"/>
    <w:rsid w:val="00AA049C"/>
    <w:rsid w:val="00AA37CD"/>
    <w:rsid w:val="00AA3E1C"/>
    <w:rsid w:val="00AA4AED"/>
    <w:rsid w:val="00AA4BE4"/>
    <w:rsid w:val="00AA5B2C"/>
    <w:rsid w:val="00AA66E2"/>
    <w:rsid w:val="00AA756D"/>
    <w:rsid w:val="00AB06ED"/>
    <w:rsid w:val="00AB136D"/>
    <w:rsid w:val="00AB4CB0"/>
    <w:rsid w:val="00AB568E"/>
    <w:rsid w:val="00AB7302"/>
    <w:rsid w:val="00AC20F9"/>
    <w:rsid w:val="00AC2235"/>
    <w:rsid w:val="00AC374A"/>
    <w:rsid w:val="00AC3908"/>
    <w:rsid w:val="00AC4B25"/>
    <w:rsid w:val="00AC5E3E"/>
    <w:rsid w:val="00AC62B2"/>
    <w:rsid w:val="00AC6FF7"/>
    <w:rsid w:val="00AC7FBD"/>
    <w:rsid w:val="00AD2377"/>
    <w:rsid w:val="00AD32A3"/>
    <w:rsid w:val="00AD3DFB"/>
    <w:rsid w:val="00AD7641"/>
    <w:rsid w:val="00AE0F01"/>
    <w:rsid w:val="00AE12E6"/>
    <w:rsid w:val="00AE1C5F"/>
    <w:rsid w:val="00AE42E3"/>
    <w:rsid w:val="00AE4358"/>
    <w:rsid w:val="00AE447A"/>
    <w:rsid w:val="00AE53A1"/>
    <w:rsid w:val="00AE54F1"/>
    <w:rsid w:val="00AE608D"/>
    <w:rsid w:val="00AE6D92"/>
    <w:rsid w:val="00AF07E9"/>
    <w:rsid w:val="00AF1CFE"/>
    <w:rsid w:val="00AF1DED"/>
    <w:rsid w:val="00AF23CB"/>
    <w:rsid w:val="00AF277D"/>
    <w:rsid w:val="00AF6AED"/>
    <w:rsid w:val="00AF728B"/>
    <w:rsid w:val="00AF7504"/>
    <w:rsid w:val="00B01379"/>
    <w:rsid w:val="00B01CBB"/>
    <w:rsid w:val="00B01F74"/>
    <w:rsid w:val="00B049AC"/>
    <w:rsid w:val="00B04F56"/>
    <w:rsid w:val="00B04FE3"/>
    <w:rsid w:val="00B0559C"/>
    <w:rsid w:val="00B07928"/>
    <w:rsid w:val="00B07933"/>
    <w:rsid w:val="00B10218"/>
    <w:rsid w:val="00B10D37"/>
    <w:rsid w:val="00B111D7"/>
    <w:rsid w:val="00B1272A"/>
    <w:rsid w:val="00B12993"/>
    <w:rsid w:val="00B15362"/>
    <w:rsid w:val="00B15599"/>
    <w:rsid w:val="00B15824"/>
    <w:rsid w:val="00B15C32"/>
    <w:rsid w:val="00B15F25"/>
    <w:rsid w:val="00B16595"/>
    <w:rsid w:val="00B178BB"/>
    <w:rsid w:val="00B21F14"/>
    <w:rsid w:val="00B22768"/>
    <w:rsid w:val="00B232E9"/>
    <w:rsid w:val="00B247E9"/>
    <w:rsid w:val="00B2641B"/>
    <w:rsid w:val="00B26E0D"/>
    <w:rsid w:val="00B27011"/>
    <w:rsid w:val="00B3065F"/>
    <w:rsid w:val="00B3101F"/>
    <w:rsid w:val="00B311BF"/>
    <w:rsid w:val="00B31D70"/>
    <w:rsid w:val="00B407D4"/>
    <w:rsid w:val="00B409BF"/>
    <w:rsid w:val="00B40C9C"/>
    <w:rsid w:val="00B40CE4"/>
    <w:rsid w:val="00B40D62"/>
    <w:rsid w:val="00B4276B"/>
    <w:rsid w:val="00B42CC3"/>
    <w:rsid w:val="00B44A83"/>
    <w:rsid w:val="00B452EF"/>
    <w:rsid w:val="00B4613D"/>
    <w:rsid w:val="00B47243"/>
    <w:rsid w:val="00B47F3F"/>
    <w:rsid w:val="00B50F78"/>
    <w:rsid w:val="00B51B02"/>
    <w:rsid w:val="00B51B23"/>
    <w:rsid w:val="00B51B49"/>
    <w:rsid w:val="00B52298"/>
    <w:rsid w:val="00B53342"/>
    <w:rsid w:val="00B535E6"/>
    <w:rsid w:val="00B54459"/>
    <w:rsid w:val="00B5479F"/>
    <w:rsid w:val="00B54DDF"/>
    <w:rsid w:val="00B54E5E"/>
    <w:rsid w:val="00B559B0"/>
    <w:rsid w:val="00B57A68"/>
    <w:rsid w:val="00B60933"/>
    <w:rsid w:val="00B61941"/>
    <w:rsid w:val="00B619F9"/>
    <w:rsid w:val="00B6289C"/>
    <w:rsid w:val="00B63461"/>
    <w:rsid w:val="00B64D3A"/>
    <w:rsid w:val="00B65C59"/>
    <w:rsid w:val="00B67C60"/>
    <w:rsid w:val="00B7158C"/>
    <w:rsid w:val="00B720F6"/>
    <w:rsid w:val="00B72734"/>
    <w:rsid w:val="00B7297D"/>
    <w:rsid w:val="00B72AD5"/>
    <w:rsid w:val="00B72B63"/>
    <w:rsid w:val="00B73480"/>
    <w:rsid w:val="00B7412D"/>
    <w:rsid w:val="00B76080"/>
    <w:rsid w:val="00B76E28"/>
    <w:rsid w:val="00B773D1"/>
    <w:rsid w:val="00B80336"/>
    <w:rsid w:val="00B80FA0"/>
    <w:rsid w:val="00B82121"/>
    <w:rsid w:val="00B82988"/>
    <w:rsid w:val="00B8379D"/>
    <w:rsid w:val="00B84E3F"/>
    <w:rsid w:val="00B84F74"/>
    <w:rsid w:val="00B86330"/>
    <w:rsid w:val="00B87A7A"/>
    <w:rsid w:val="00B9035E"/>
    <w:rsid w:val="00B910D6"/>
    <w:rsid w:val="00B9116A"/>
    <w:rsid w:val="00B915FF"/>
    <w:rsid w:val="00B91E30"/>
    <w:rsid w:val="00B93008"/>
    <w:rsid w:val="00B9361B"/>
    <w:rsid w:val="00B94FD4"/>
    <w:rsid w:val="00B958DF"/>
    <w:rsid w:val="00B97A70"/>
    <w:rsid w:val="00BA386C"/>
    <w:rsid w:val="00BA4B37"/>
    <w:rsid w:val="00BA5AE5"/>
    <w:rsid w:val="00BA5F96"/>
    <w:rsid w:val="00BA690F"/>
    <w:rsid w:val="00BA78DA"/>
    <w:rsid w:val="00BB10ED"/>
    <w:rsid w:val="00BB113E"/>
    <w:rsid w:val="00BB12A3"/>
    <w:rsid w:val="00BB24B4"/>
    <w:rsid w:val="00BB2720"/>
    <w:rsid w:val="00BB2A05"/>
    <w:rsid w:val="00BB4135"/>
    <w:rsid w:val="00BB4E3B"/>
    <w:rsid w:val="00BB52E2"/>
    <w:rsid w:val="00BB7DE0"/>
    <w:rsid w:val="00BC159F"/>
    <w:rsid w:val="00BC24DD"/>
    <w:rsid w:val="00BC6E9E"/>
    <w:rsid w:val="00BD1145"/>
    <w:rsid w:val="00BD1C23"/>
    <w:rsid w:val="00BD2821"/>
    <w:rsid w:val="00BD28D4"/>
    <w:rsid w:val="00BD2E39"/>
    <w:rsid w:val="00BD3B3E"/>
    <w:rsid w:val="00BE0CC2"/>
    <w:rsid w:val="00BE0F36"/>
    <w:rsid w:val="00BE1AEA"/>
    <w:rsid w:val="00BE1CDD"/>
    <w:rsid w:val="00BE2F99"/>
    <w:rsid w:val="00BE3E44"/>
    <w:rsid w:val="00BE4BFC"/>
    <w:rsid w:val="00BE4EF9"/>
    <w:rsid w:val="00BE56F2"/>
    <w:rsid w:val="00BF08C0"/>
    <w:rsid w:val="00BF15DA"/>
    <w:rsid w:val="00BF23CC"/>
    <w:rsid w:val="00BF3BD5"/>
    <w:rsid w:val="00BF416A"/>
    <w:rsid w:val="00BF46F0"/>
    <w:rsid w:val="00BF5A5E"/>
    <w:rsid w:val="00BF641D"/>
    <w:rsid w:val="00C004EA"/>
    <w:rsid w:val="00C02199"/>
    <w:rsid w:val="00C02810"/>
    <w:rsid w:val="00C02C2B"/>
    <w:rsid w:val="00C02CA6"/>
    <w:rsid w:val="00C03BD5"/>
    <w:rsid w:val="00C040DB"/>
    <w:rsid w:val="00C04D0C"/>
    <w:rsid w:val="00C05444"/>
    <w:rsid w:val="00C05A92"/>
    <w:rsid w:val="00C05BBF"/>
    <w:rsid w:val="00C074F0"/>
    <w:rsid w:val="00C10454"/>
    <w:rsid w:val="00C1052C"/>
    <w:rsid w:val="00C110A3"/>
    <w:rsid w:val="00C1251E"/>
    <w:rsid w:val="00C1270E"/>
    <w:rsid w:val="00C12F88"/>
    <w:rsid w:val="00C13C65"/>
    <w:rsid w:val="00C15063"/>
    <w:rsid w:val="00C15065"/>
    <w:rsid w:val="00C15D56"/>
    <w:rsid w:val="00C163DA"/>
    <w:rsid w:val="00C16540"/>
    <w:rsid w:val="00C167FE"/>
    <w:rsid w:val="00C17AE9"/>
    <w:rsid w:val="00C17F7C"/>
    <w:rsid w:val="00C209A8"/>
    <w:rsid w:val="00C21978"/>
    <w:rsid w:val="00C24E5B"/>
    <w:rsid w:val="00C27C10"/>
    <w:rsid w:val="00C301A9"/>
    <w:rsid w:val="00C30A7E"/>
    <w:rsid w:val="00C318A6"/>
    <w:rsid w:val="00C335D4"/>
    <w:rsid w:val="00C3373E"/>
    <w:rsid w:val="00C363EE"/>
    <w:rsid w:val="00C36A69"/>
    <w:rsid w:val="00C37291"/>
    <w:rsid w:val="00C3767A"/>
    <w:rsid w:val="00C41CAB"/>
    <w:rsid w:val="00C41EC8"/>
    <w:rsid w:val="00C426C7"/>
    <w:rsid w:val="00C42B25"/>
    <w:rsid w:val="00C4777D"/>
    <w:rsid w:val="00C50B1D"/>
    <w:rsid w:val="00C51360"/>
    <w:rsid w:val="00C51A56"/>
    <w:rsid w:val="00C56181"/>
    <w:rsid w:val="00C623B9"/>
    <w:rsid w:val="00C62BC7"/>
    <w:rsid w:val="00C64748"/>
    <w:rsid w:val="00C64B68"/>
    <w:rsid w:val="00C65F12"/>
    <w:rsid w:val="00C67047"/>
    <w:rsid w:val="00C67DA2"/>
    <w:rsid w:val="00C7081A"/>
    <w:rsid w:val="00C70AEB"/>
    <w:rsid w:val="00C712C4"/>
    <w:rsid w:val="00C71BD0"/>
    <w:rsid w:val="00C74854"/>
    <w:rsid w:val="00C74F63"/>
    <w:rsid w:val="00C7515A"/>
    <w:rsid w:val="00C76A5D"/>
    <w:rsid w:val="00C77113"/>
    <w:rsid w:val="00C775D7"/>
    <w:rsid w:val="00C77A99"/>
    <w:rsid w:val="00C77C03"/>
    <w:rsid w:val="00C77EE8"/>
    <w:rsid w:val="00C77FFB"/>
    <w:rsid w:val="00C83071"/>
    <w:rsid w:val="00C842EC"/>
    <w:rsid w:val="00C8535A"/>
    <w:rsid w:val="00C85965"/>
    <w:rsid w:val="00C86876"/>
    <w:rsid w:val="00C86F15"/>
    <w:rsid w:val="00C87C1C"/>
    <w:rsid w:val="00C90755"/>
    <w:rsid w:val="00C926FF"/>
    <w:rsid w:val="00C94330"/>
    <w:rsid w:val="00C943A0"/>
    <w:rsid w:val="00C95874"/>
    <w:rsid w:val="00C96AD3"/>
    <w:rsid w:val="00C96CBD"/>
    <w:rsid w:val="00C96FC1"/>
    <w:rsid w:val="00CA056C"/>
    <w:rsid w:val="00CA0E56"/>
    <w:rsid w:val="00CA15FB"/>
    <w:rsid w:val="00CA44A3"/>
    <w:rsid w:val="00CA45AE"/>
    <w:rsid w:val="00CA4CB1"/>
    <w:rsid w:val="00CA66F5"/>
    <w:rsid w:val="00CA747A"/>
    <w:rsid w:val="00CA7F64"/>
    <w:rsid w:val="00CB018F"/>
    <w:rsid w:val="00CB06D3"/>
    <w:rsid w:val="00CB2852"/>
    <w:rsid w:val="00CB3338"/>
    <w:rsid w:val="00CB3FB5"/>
    <w:rsid w:val="00CB458F"/>
    <w:rsid w:val="00CB5463"/>
    <w:rsid w:val="00CB68D6"/>
    <w:rsid w:val="00CB6F13"/>
    <w:rsid w:val="00CC2AC2"/>
    <w:rsid w:val="00CC2C61"/>
    <w:rsid w:val="00CC3DF7"/>
    <w:rsid w:val="00CC44D3"/>
    <w:rsid w:val="00CD1187"/>
    <w:rsid w:val="00CD3567"/>
    <w:rsid w:val="00CD4A32"/>
    <w:rsid w:val="00CE079E"/>
    <w:rsid w:val="00CE16AB"/>
    <w:rsid w:val="00CE1AC5"/>
    <w:rsid w:val="00CE27AF"/>
    <w:rsid w:val="00CE2B17"/>
    <w:rsid w:val="00CE493E"/>
    <w:rsid w:val="00CE632A"/>
    <w:rsid w:val="00CE669C"/>
    <w:rsid w:val="00CE7C3B"/>
    <w:rsid w:val="00CE7CC6"/>
    <w:rsid w:val="00CE7CEC"/>
    <w:rsid w:val="00CE7FCB"/>
    <w:rsid w:val="00CF07D1"/>
    <w:rsid w:val="00CF099F"/>
    <w:rsid w:val="00CF1208"/>
    <w:rsid w:val="00CF4149"/>
    <w:rsid w:val="00CF4BEA"/>
    <w:rsid w:val="00CF53DB"/>
    <w:rsid w:val="00CF550B"/>
    <w:rsid w:val="00CF60B1"/>
    <w:rsid w:val="00CF68D0"/>
    <w:rsid w:val="00CF7994"/>
    <w:rsid w:val="00D0050A"/>
    <w:rsid w:val="00D00B19"/>
    <w:rsid w:val="00D016A1"/>
    <w:rsid w:val="00D03137"/>
    <w:rsid w:val="00D045C1"/>
    <w:rsid w:val="00D052D6"/>
    <w:rsid w:val="00D118DD"/>
    <w:rsid w:val="00D11F74"/>
    <w:rsid w:val="00D135EA"/>
    <w:rsid w:val="00D13A06"/>
    <w:rsid w:val="00D14294"/>
    <w:rsid w:val="00D159D0"/>
    <w:rsid w:val="00D169F6"/>
    <w:rsid w:val="00D17C6B"/>
    <w:rsid w:val="00D20E59"/>
    <w:rsid w:val="00D21EE8"/>
    <w:rsid w:val="00D22259"/>
    <w:rsid w:val="00D23701"/>
    <w:rsid w:val="00D23B0E"/>
    <w:rsid w:val="00D24B1E"/>
    <w:rsid w:val="00D24C48"/>
    <w:rsid w:val="00D25D47"/>
    <w:rsid w:val="00D26666"/>
    <w:rsid w:val="00D26CE6"/>
    <w:rsid w:val="00D272DD"/>
    <w:rsid w:val="00D27F29"/>
    <w:rsid w:val="00D3055B"/>
    <w:rsid w:val="00D309E8"/>
    <w:rsid w:val="00D3103A"/>
    <w:rsid w:val="00D3168A"/>
    <w:rsid w:val="00D3220B"/>
    <w:rsid w:val="00D32E3B"/>
    <w:rsid w:val="00D32FA5"/>
    <w:rsid w:val="00D33813"/>
    <w:rsid w:val="00D34124"/>
    <w:rsid w:val="00D34D0C"/>
    <w:rsid w:val="00D34D2E"/>
    <w:rsid w:val="00D359F8"/>
    <w:rsid w:val="00D35BD0"/>
    <w:rsid w:val="00D36C29"/>
    <w:rsid w:val="00D37144"/>
    <w:rsid w:val="00D4184A"/>
    <w:rsid w:val="00D4391E"/>
    <w:rsid w:val="00D43BDD"/>
    <w:rsid w:val="00D4420F"/>
    <w:rsid w:val="00D454FB"/>
    <w:rsid w:val="00D46D5E"/>
    <w:rsid w:val="00D50434"/>
    <w:rsid w:val="00D50523"/>
    <w:rsid w:val="00D506D9"/>
    <w:rsid w:val="00D51566"/>
    <w:rsid w:val="00D52C05"/>
    <w:rsid w:val="00D5331F"/>
    <w:rsid w:val="00D56937"/>
    <w:rsid w:val="00D60A83"/>
    <w:rsid w:val="00D619BE"/>
    <w:rsid w:val="00D62211"/>
    <w:rsid w:val="00D62680"/>
    <w:rsid w:val="00D63EE7"/>
    <w:rsid w:val="00D646C3"/>
    <w:rsid w:val="00D64F6D"/>
    <w:rsid w:val="00D658E5"/>
    <w:rsid w:val="00D664F2"/>
    <w:rsid w:val="00D675BC"/>
    <w:rsid w:val="00D67DCD"/>
    <w:rsid w:val="00D67F35"/>
    <w:rsid w:val="00D7234C"/>
    <w:rsid w:val="00D738CA"/>
    <w:rsid w:val="00D73A27"/>
    <w:rsid w:val="00D74322"/>
    <w:rsid w:val="00D74BF1"/>
    <w:rsid w:val="00D759AB"/>
    <w:rsid w:val="00D763DD"/>
    <w:rsid w:val="00D8019F"/>
    <w:rsid w:val="00D801C3"/>
    <w:rsid w:val="00D80BF9"/>
    <w:rsid w:val="00D80D82"/>
    <w:rsid w:val="00D83376"/>
    <w:rsid w:val="00D8526F"/>
    <w:rsid w:val="00D8623A"/>
    <w:rsid w:val="00D869C0"/>
    <w:rsid w:val="00D86E70"/>
    <w:rsid w:val="00D87368"/>
    <w:rsid w:val="00D8781A"/>
    <w:rsid w:val="00D91610"/>
    <w:rsid w:val="00D91FB5"/>
    <w:rsid w:val="00D94740"/>
    <w:rsid w:val="00D947A5"/>
    <w:rsid w:val="00D9547D"/>
    <w:rsid w:val="00D95F93"/>
    <w:rsid w:val="00D964C7"/>
    <w:rsid w:val="00D96AA6"/>
    <w:rsid w:val="00D96F20"/>
    <w:rsid w:val="00DA3F84"/>
    <w:rsid w:val="00DA3FEA"/>
    <w:rsid w:val="00DA4DF2"/>
    <w:rsid w:val="00DA5E2B"/>
    <w:rsid w:val="00DA6189"/>
    <w:rsid w:val="00DA6E48"/>
    <w:rsid w:val="00DA704A"/>
    <w:rsid w:val="00DB0E15"/>
    <w:rsid w:val="00DB0E65"/>
    <w:rsid w:val="00DB1A7D"/>
    <w:rsid w:val="00DB252B"/>
    <w:rsid w:val="00DB2F47"/>
    <w:rsid w:val="00DB30BA"/>
    <w:rsid w:val="00DB3160"/>
    <w:rsid w:val="00DB475F"/>
    <w:rsid w:val="00DB4BDD"/>
    <w:rsid w:val="00DB4C71"/>
    <w:rsid w:val="00DB524D"/>
    <w:rsid w:val="00DB5B6A"/>
    <w:rsid w:val="00DC064B"/>
    <w:rsid w:val="00DC11D5"/>
    <w:rsid w:val="00DC40CC"/>
    <w:rsid w:val="00DC463B"/>
    <w:rsid w:val="00DC4DFD"/>
    <w:rsid w:val="00DC51FB"/>
    <w:rsid w:val="00DC6380"/>
    <w:rsid w:val="00DC6A3F"/>
    <w:rsid w:val="00DC6BAF"/>
    <w:rsid w:val="00DD22D2"/>
    <w:rsid w:val="00DD3090"/>
    <w:rsid w:val="00DD4C40"/>
    <w:rsid w:val="00DD5266"/>
    <w:rsid w:val="00DD60F6"/>
    <w:rsid w:val="00DD666B"/>
    <w:rsid w:val="00DD737E"/>
    <w:rsid w:val="00DD772E"/>
    <w:rsid w:val="00DD78E1"/>
    <w:rsid w:val="00DD7F38"/>
    <w:rsid w:val="00DE037D"/>
    <w:rsid w:val="00DE7239"/>
    <w:rsid w:val="00DF045A"/>
    <w:rsid w:val="00DF12C5"/>
    <w:rsid w:val="00DF1976"/>
    <w:rsid w:val="00DF1DC2"/>
    <w:rsid w:val="00DF2CE1"/>
    <w:rsid w:val="00DF34F2"/>
    <w:rsid w:val="00DF450B"/>
    <w:rsid w:val="00DF53C3"/>
    <w:rsid w:val="00DF5DF5"/>
    <w:rsid w:val="00DF6E10"/>
    <w:rsid w:val="00DF6EDF"/>
    <w:rsid w:val="00E0126E"/>
    <w:rsid w:val="00E01393"/>
    <w:rsid w:val="00E01CA1"/>
    <w:rsid w:val="00E01DB2"/>
    <w:rsid w:val="00E03A3D"/>
    <w:rsid w:val="00E05857"/>
    <w:rsid w:val="00E05BE6"/>
    <w:rsid w:val="00E06227"/>
    <w:rsid w:val="00E06B83"/>
    <w:rsid w:val="00E104DD"/>
    <w:rsid w:val="00E12B21"/>
    <w:rsid w:val="00E12B3C"/>
    <w:rsid w:val="00E140C9"/>
    <w:rsid w:val="00E16634"/>
    <w:rsid w:val="00E223F6"/>
    <w:rsid w:val="00E229CC"/>
    <w:rsid w:val="00E22B04"/>
    <w:rsid w:val="00E23486"/>
    <w:rsid w:val="00E24AE4"/>
    <w:rsid w:val="00E25A66"/>
    <w:rsid w:val="00E25C4C"/>
    <w:rsid w:val="00E2719B"/>
    <w:rsid w:val="00E279BA"/>
    <w:rsid w:val="00E27CCE"/>
    <w:rsid w:val="00E27D09"/>
    <w:rsid w:val="00E30404"/>
    <w:rsid w:val="00E318BA"/>
    <w:rsid w:val="00E31E0E"/>
    <w:rsid w:val="00E31F73"/>
    <w:rsid w:val="00E32858"/>
    <w:rsid w:val="00E3495A"/>
    <w:rsid w:val="00E36884"/>
    <w:rsid w:val="00E37FDC"/>
    <w:rsid w:val="00E41C56"/>
    <w:rsid w:val="00E42264"/>
    <w:rsid w:val="00E42450"/>
    <w:rsid w:val="00E43C13"/>
    <w:rsid w:val="00E4498E"/>
    <w:rsid w:val="00E44DD5"/>
    <w:rsid w:val="00E4532B"/>
    <w:rsid w:val="00E45461"/>
    <w:rsid w:val="00E45F85"/>
    <w:rsid w:val="00E465B2"/>
    <w:rsid w:val="00E47214"/>
    <w:rsid w:val="00E47B7E"/>
    <w:rsid w:val="00E47C64"/>
    <w:rsid w:val="00E5169E"/>
    <w:rsid w:val="00E51FC0"/>
    <w:rsid w:val="00E521AB"/>
    <w:rsid w:val="00E52A05"/>
    <w:rsid w:val="00E52B16"/>
    <w:rsid w:val="00E52B42"/>
    <w:rsid w:val="00E53819"/>
    <w:rsid w:val="00E55138"/>
    <w:rsid w:val="00E55DC8"/>
    <w:rsid w:val="00E55E96"/>
    <w:rsid w:val="00E60469"/>
    <w:rsid w:val="00E60B73"/>
    <w:rsid w:val="00E6207F"/>
    <w:rsid w:val="00E6461D"/>
    <w:rsid w:val="00E652EA"/>
    <w:rsid w:val="00E66641"/>
    <w:rsid w:val="00E6676A"/>
    <w:rsid w:val="00E66F47"/>
    <w:rsid w:val="00E67500"/>
    <w:rsid w:val="00E67D14"/>
    <w:rsid w:val="00E67DE9"/>
    <w:rsid w:val="00E70F25"/>
    <w:rsid w:val="00E72A70"/>
    <w:rsid w:val="00E73730"/>
    <w:rsid w:val="00E737A4"/>
    <w:rsid w:val="00E74885"/>
    <w:rsid w:val="00E7508C"/>
    <w:rsid w:val="00E75609"/>
    <w:rsid w:val="00E762E9"/>
    <w:rsid w:val="00E77739"/>
    <w:rsid w:val="00E80B30"/>
    <w:rsid w:val="00E84975"/>
    <w:rsid w:val="00E84F67"/>
    <w:rsid w:val="00E854E0"/>
    <w:rsid w:val="00E8589E"/>
    <w:rsid w:val="00E85AE0"/>
    <w:rsid w:val="00E861E7"/>
    <w:rsid w:val="00E8735C"/>
    <w:rsid w:val="00E90688"/>
    <w:rsid w:val="00E90A33"/>
    <w:rsid w:val="00E938F4"/>
    <w:rsid w:val="00E944CE"/>
    <w:rsid w:val="00E9693A"/>
    <w:rsid w:val="00EA1E75"/>
    <w:rsid w:val="00EA2144"/>
    <w:rsid w:val="00EA219F"/>
    <w:rsid w:val="00EA4560"/>
    <w:rsid w:val="00EA5F21"/>
    <w:rsid w:val="00EA6CD0"/>
    <w:rsid w:val="00EB107C"/>
    <w:rsid w:val="00EB2E87"/>
    <w:rsid w:val="00EB38B0"/>
    <w:rsid w:val="00EB4EB5"/>
    <w:rsid w:val="00EB550B"/>
    <w:rsid w:val="00EB6664"/>
    <w:rsid w:val="00EB7AD3"/>
    <w:rsid w:val="00EC03C6"/>
    <w:rsid w:val="00EC08CE"/>
    <w:rsid w:val="00EC09E6"/>
    <w:rsid w:val="00EC1646"/>
    <w:rsid w:val="00EC1F0E"/>
    <w:rsid w:val="00EC27B8"/>
    <w:rsid w:val="00EC2895"/>
    <w:rsid w:val="00EC2AEA"/>
    <w:rsid w:val="00EC3A4A"/>
    <w:rsid w:val="00EC418C"/>
    <w:rsid w:val="00EC5357"/>
    <w:rsid w:val="00EC68E8"/>
    <w:rsid w:val="00EC6DDA"/>
    <w:rsid w:val="00EC6E4B"/>
    <w:rsid w:val="00EC6F3D"/>
    <w:rsid w:val="00EC783F"/>
    <w:rsid w:val="00EC7F74"/>
    <w:rsid w:val="00ED18F3"/>
    <w:rsid w:val="00ED48C2"/>
    <w:rsid w:val="00ED4D7D"/>
    <w:rsid w:val="00ED5C6A"/>
    <w:rsid w:val="00ED621F"/>
    <w:rsid w:val="00ED7161"/>
    <w:rsid w:val="00ED7783"/>
    <w:rsid w:val="00EE0B90"/>
    <w:rsid w:val="00EE1F0D"/>
    <w:rsid w:val="00EE20AA"/>
    <w:rsid w:val="00EE2107"/>
    <w:rsid w:val="00EE3051"/>
    <w:rsid w:val="00EE3055"/>
    <w:rsid w:val="00EE38D0"/>
    <w:rsid w:val="00EE56BD"/>
    <w:rsid w:val="00EE5D57"/>
    <w:rsid w:val="00EE6F45"/>
    <w:rsid w:val="00EE7FD3"/>
    <w:rsid w:val="00EF030E"/>
    <w:rsid w:val="00EF05A0"/>
    <w:rsid w:val="00EF16F5"/>
    <w:rsid w:val="00EF1F44"/>
    <w:rsid w:val="00EF2506"/>
    <w:rsid w:val="00EF2E50"/>
    <w:rsid w:val="00EF36A1"/>
    <w:rsid w:val="00EF4058"/>
    <w:rsid w:val="00EF5512"/>
    <w:rsid w:val="00EF57F4"/>
    <w:rsid w:val="00EF5F5A"/>
    <w:rsid w:val="00EF62B9"/>
    <w:rsid w:val="00EF6B62"/>
    <w:rsid w:val="00EF6D74"/>
    <w:rsid w:val="00F0290E"/>
    <w:rsid w:val="00F0692E"/>
    <w:rsid w:val="00F10714"/>
    <w:rsid w:val="00F10913"/>
    <w:rsid w:val="00F12E00"/>
    <w:rsid w:val="00F13630"/>
    <w:rsid w:val="00F17C81"/>
    <w:rsid w:val="00F2116C"/>
    <w:rsid w:val="00F2185A"/>
    <w:rsid w:val="00F21C5D"/>
    <w:rsid w:val="00F22CFB"/>
    <w:rsid w:val="00F23519"/>
    <w:rsid w:val="00F23F5A"/>
    <w:rsid w:val="00F2401B"/>
    <w:rsid w:val="00F250AE"/>
    <w:rsid w:val="00F25932"/>
    <w:rsid w:val="00F259FB"/>
    <w:rsid w:val="00F25B5A"/>
    <w:rsid w:val="00F26BB4"/>
    <w:rsid w:val="00F31126"/>
    <w:rsid w:val="00F318B8"/>
    <w:rsid w:val="00F32923"/>
    <w:rsid w:val="00F33BE5"/>
    <w:rsid w:val="00F33D7B"/>
    <w:rsid w:val="00F34279"/>
    <w:rsid w:val="00F34E0D"/>
    <w:rsid w:val="00F366C2"/>
    <w:rsid w:val="00F36D8F"/>
    <w:rsid w:val="00F36FAD"/>
    <w:rsid w:val="00F37362"/>
    <w:rsid w:val="00F37EC4"/>
    <w:rsid w:val="00F40002"/>
    <w:rsid w:val="00F401B5"/>
    <w:rsid w:val="00F41E94"/>
    <w:rsid w:val="00F41EF9"/>
    <w:rsid w:val="00F4205B"/>
    <w:rsid w:val="00F42313"/>
    <w:rsid w:val="00F44C04"/>
    <w:rsid w:val="00F4546D"/>
    <w:rsid w:val="00F46E91"/>
    <w:rsid w:val="00F47574"/>
    <w:rsid w:val="00F476E5"/>
    <w:rsid w:val="00F47AE9"/>
    <w:rsid w:val="00F47FB1"/>
    <w:rsid w:val="00F51370"/>
    <w:rsid w:val="00F53D28"/>
    <w:rsid w:val="00F54284"/>
    <w:rsid w:val="00F55E70"/>
    <w:rsid w:val="00F57AD5"/>
    <w:rsid w:val="00F57D68"/>
    <w:rsid w:val="00F61559"/>
    <w:rsid w:val="00F61D46"/>
    <w:rsid w:val="00F625A4"/>
    <w:rsid w:val="00F62D40"/>
    <w:rsid w:val="00F62DF5"/>
    <w:rsid w:val="00F63307"/>
    <w:rsid w:val="00F63593"/>
    <w:rsid w:val="00F63772"/>
    <w:rsid w:val="00F640E8"/>
    <w:rsid w:val="00F64161"/>
    <w:rsid w:val="00F6449F"/>
    <w:rsid w:val="00F652E8"/>
    <w:rsid w:val="00F65ED7"/>
    <w:rsid w:val="00F67302"/>
    <w:rsid w:val="00F678A7"/>
    <w:rsid w:val="00F67DED"/>
    <w:rsid w:val="00F70AE9"/>
    <w:rsid w:val="00F7235A"/>
    <w:rsid w:val="00F72F8C"/>
    <w:rsid w:val="00F73FAE"/>
    <w:rsid w:val="00F759F0"/>
    <w:rsid w:val="00F75BFD"/>
    <w:rsid w:val="00F762B2"/>
    <w:rsid w:val="00F77E15"/>
    <w:rsid w:val="00F8010D"/>
    <w:rsid w:val="00F8050D"/>
    <w:rsid w:val="00F80EF3"/>
    <w:rsid w:val="00F834B3"/>
    <w:rsid w:val="00F842FF"/>
    <w:rsid w:val="00F84762"/>
    <w:rsid w:val="00F84EF8"/>
    <w:rsid w:val="00F85966"/>
    <w:rsid w:val="00F85ABE"/>
    <w:rsid w:val="00F869E9"/>
    <w:rsid w:val="00F86EB7"/>
    <w:rsid w:val="00F9021F"/>
    <w:rsid w:val="00F910AA"/>
    <w:rsid w:val="00F92476"/>
    <w:rsid w:val="00F92AF7"/>
    <w:rsid w:val="00F92E4D"/>
    <w:rsid w:val="00F935CA"/>
    <w:rsid w:val="00F93702"/>
    <w:rsid w:val="00F93D0B"/>
    <w:rsid w:val="00F943E7"/>
    <w:rsid w:val="00F9465B"/>
    <w:rsid w:val="00F96817"/>
    <w:rsid w:val="00F96AC0"/>
    <w:rsid w:val="00F97F73"/>
    <w:rsid w:val="00FA3593"/>
    <w:rsid w:val="00FA495F"/>
    <w:rsid w:val="00FA4F77"/>
    <w:rsid w:val="00FA621C"/>
    <w:rsid w:val="00FA6470"/>
    <w:rsid w:val="00FA64A9"/>
    <w:rsid w:val="00FA7593"/>
    <w:rsid w:val="00FB37F1"/>
    <w:rsid w:val="00FB3ACD"/>
    <w:rsid w:val="00FB40F5"/>
    <w:rsid w:val="00FB4269"/>
    <w:rsid w:val="00FB52BD"/>
    <w:rsid w:val="00FB56B8"/>
    <w:rsid w:val="00FB5985"/>
    <w:rsid w:val="00FB6811"/>
    <w:rsid w:val="00FB7462"/>
    <w:rsid w:val="00FC0821"/>
    <w:rsid w:val="00FC0BD9"/>
    <w:rsid w:val="00FC179B"/>
    <w:rsid w:val="00FC2A88"/>
    <w:rsid w:val="00FC4FD8"/>
    <w:rsid w:val="00FC50BA"/>
    <w:rsid w:val="00FC52CB"/>
    <w:rsid w:val="00FC55F3"/>
    <w:rsid w:val="00FC5B1A"/>
    <w:rsid w:val="00FC5C76"/>
    <w:rsid w:val="00FC68B2"/>
    <w:rsid w:val="00FC7EFA"/>
    <w:rsid w:val="00FD13F6"/>
    <w:rsid w:val="00FD1FE3"/>
    <w:rsid w:val="00FD24DE"/>
    <w:rsid w:val="00FD2B64"/>
    <w:rsid w:val="00FD4E0D"/>
    <w:rsid w:val="00FD4E45"/>
    <w:rsid w:val="00FD5D18"/>
    <w:rsid w:val="00FE08D2"/>
    <w:rsid w:val="00FE0C03"/>
    <w:rsid w:val="00FE1059"/>
    <w:rsid w:val="00FE1457"/>
    <w:rsid w:val="00FE227A"/>
    <w:rsid w:val="00FE2734"/>
    <w:rsid w:val="00FE4D37"/>
    <w:rsid w:val="00FE5E9F"/>
    <w:rsid w:val="00FE6554"/>
    <w:rsid w:val="00FF063F"/>
    <w:rsid w:val="00FF22E1"/>
    <w:rsid w:val="00FF2E51"/>
    <w:rsid w:val="00FF40B6"/>
    <w:rsid w:val="00FF52CF"/>
    <w:rsid w:val="00FF54C9"/>
    <w:rsid w:val="00FF6D7E"/>
    <w:rsid w:val="00FF74F4"/>
    <w:rsid w:val="00FF7A66"/>
    <w:rsid w:val="09E35D4E"/>
    <w:rsid w:val="3072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BD749"/>
  <w15:docId w15:val="{0950982A-4A2F-45E2-80DE-76E8EE2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25"/>
    <w:pPr>
      <w:spacing w:after="200" w:line="276" w:lineRule="auto"/>
    </w:pPr>
    <w:rPr>
      <w:sz w:val="22"/>
      <w:szCs w:val="22"/>
      <w:lang w:val="lv-LV"/>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character" w:styleId="FollowedHyperlink">
    <w:name w:val="FollowedHyperlink"/>
    <w:basedOn w:val="DefaultParagraphFont"/>
    <w:uiPriority w:val="99"/>
    <w:semiHidden/>
    <w:unhideWhenUsed/>
    <w:rsid w:val="0087656E"/>
    <w:rPr>
      <w:color w:val="800080" w:themeColor="followedHyperlink"/>
      <w:u w:val="single"/>
    </w:rPr>
  </w:style>
  <w:style w:type="character" w:styleId="CommentReference">
    <w:name w:val="annotation reference"/>
    <w:basedOn w:val="DefaultParagraphFont"/>
    <w:uiPriority w:val="99"/>
    <w:semiHidden/>
    <w:unhideWhenUsed/>
    <w:rsid w:val="00944E05"/>
    <w:rPr>
      <w:sz w:val="16"/>
      <w:szCs w:val="16"/>
    </w:rPr>
  </w:style>
  <w:style w:type="paragraph" w:styleId="CommentText">
    <w:name w:val="annotation text"/>
    <w:basedOn w:val="Normal"/>
    <w:link w:val="CommentTextChar"/>
    <w:uiPriority w:val="99"/>
    <w:unhideWhenUsed/>
    <w:rsid w:val="00944E05"/>
    <w:pPr>
      <w:spacing w:line="240" w:lineRule="auto"/>
    </w:pPr>
    <w:rPr>
      <w:sz w:val="20"/>
      <w:szCs w:val="20"/>
    </w:rPr>
  </w:style>
  <w:style w:type="character" w:customStyle="1" w:styleId="CommentTextChar">
    <w:name w:val="Comment Text Char"/>
    <w:basedOn w:val="DefaultParagraphFont"/>
    <w:link w:val="CommentText"/>
    <w:uiPriority w:val="99"/>
    <w:rsid w:val="00944E05"/>
    <w:rPr>
      <w:lang w:val="lv-LV"/>
    </w:rPr>
  </w:style>
  <w:style w:type="paragraph" w:styleId="CommentSubject">
    <w:name w:val="annotation subject"/>
    <w:basedOn w:val="CommentText"/>
    <w:next w:val="CommentText"/>
    <w:link w:val="CommentSubjectChar"/>
    <w:uiPriority w:val="99"/>
    <w:semiHidden/>
    <w:unhideWhenUsed/>
    <w:rsid w:val="00944E05"/>
    <w:rPr>
      <w:b/>
      <w:bCs/>
    </w:rPr>
  </w:style>
  <w:style w:type="character" w:customStyle="1" w:styleId="CommentSubjectChar">
    <w:name w:val="Comment Subject Char"/>
    <w:basedOn w:val="CommentTextChar"/>
    <w:link w:val="CommentSubject"/>
    <w:uiPriority w:val="99"/>
    <w:semiHidden/>
    <w:rsid w:val="00944E05"/>
    <w:rPr>
      <w:b/>
      <w:bCs/>
      <w:lang w:val="lv-LV"/>
    </w:rPr>
  </w:style>
  <w:style w:type="table" w:styleId="TableGrid">
    <w:name w:val="Table Grid"/>
    <w:basedOn w:val="TableNormal"/>
    <w:uiPriority w:val="3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Normal bullet 2,Bullet list,Saistīto dokumentu saraksts,Syle 1,Numurets,List Paragraph11,OBC Bullet,Bullet Style,L,H&amp;P List Paragraph,List Paragraph1,Akapit z listą BS,Bullet 1,Bullet Points,Dot pt,F5 List Paragraph,Indicator Text"/>
    <w:basedOn w:val="Normal"/>
    <w:link w:val="ListParagraphChar"/>
    <w:uiPriority w:val="34"/>
    <w:qFormat/>
    <w:rsid w:val="002C674B"/>
    <w:pPr>
      <w:ind w:left="720"/>
      <w:contextualSpacing/>
    </w:pPr>
  </w:style>
  <w:style w:type="character" w:customStyle="1" w:styleId="BodyTextChar">
    <w:name w:val="Body Text Char"/>
    <w:basedOn w:val="DefaultParagraphFont"/>
    <w:link w:val="BodyText"/>
    <w:semiHidden/>
    <w:locked/>
    <w:rsid w:val="002928EE"/>
    <w:rPr>
      <w:sz w:val="24"/>
      <w:szCs w:val="24"/>
    </w:rPr>
  </w:style>
  <w:style w:type="paragraph" w:styleId="BodyText">
    <w:name w:val="Body Text"/>
    <w:basedOn w:val="Normal"/>
    <w:link w:val="BodyTextChar"/>
    <w:semiHidden/>
    <w:rsid w:val="002928EE"/>
    <w:pPr>
      <w:spacing w:after="0" w:line="240" w:lineRule="auto"/>
      <w:jc w:val="both"/>
    </w:pPr>
    <w:rPr>
      <w:sz w:val="24"/>
      <w:szCs w:val="24"/>
      <w:lang w:val="en-US"/>
    </w:rPr>
  </w:style>
  <w:style w:type="character" w:customStyle="1" w:styleId="PamattekstsRakstz1">
    <w:name w:val="Pamatteksts Rakstz.1"/>
    <w:basedOn w:val="DefaultParagraphFont"/>
    <w:uiPriority w:val="99"/>
    <w:semiHidden/>
    <w:rsid w:val="002928EE"/>
    <w:rPr>
      <w:sz w:val="22"/>
      <w:szCs w:val="22"/>
      <w:lang w:val="lv-LV"/>
    </w:rPr>
  </w:style>
  <w:style w:type="paragraph" w:customStyle="1" w:styleId="msolistparagraph0">
    <w:name w:val="msolistparagraph"/>
    <w:basedOn w:val="Normal"/>
    <w:rsid w:val="002928EE"/>
    <w:pPr>
      <w:spacing w:after="0" w:line="240" w:lineRule="auto"/>
      <w:ind w:left="720"/>
    </w:pPr>
    <w:rPr>
      <w:rFonts w:ascii="Times New Roman" w:hAnsi="Times New Roman"/>
      <w:sz w:val="24"/>
      <w:szCs w:val="24"/>
      <w:lang w:eastAsia="lv-LV"/>
    </w:rPr>
  </w:style>
  <w:style w:type="paragraph" w:styleId="NoSpacing">
    <w:name w:val="No Spacing"/>
    <w:uiPriority w:val="1"/>
    <w:qFormat/>
    <w:rsid w:val="001229B1"/>
    <w:rPr>
      <w:sz w:val="22"/>
      <w:szCs w:val="22"/>
      <w:lang w:val="lv-LV"/>
    </w:rPr>
  </w:style>
  <w:style w:type="paragraph" w:customStyle="1" w:styleId="naisc">
    <w:name w:val="naisc"/>
    <w:basedOn w:val="Normal"/>
    <w:rsid w:val="00AF728B"/>
    <w:pPr>
      <w:spacing w:before="75" w:after="75" w:line="240" w:lineRule="auto"/>
      <w:jc w:val="center"/>
    </w:pPr>
    <w:rPr>
      <w:rFonts w:ascii="Times New Roman" w:eastAsia="Times New Roman" w:hAnsi="Times New Roman"/>
      <w:sz w:val="24"/>
      <w:szCs w:val="24"/>
      <w:lang w:eastAsia="lv-LV"/>
    </w:rPr>
  </w:style>
  <w:style w:type="paragraph" w:customStyle="1" w:styleId="naisf">
    <w:name w:val="naisf"/>
    <w:basedOn w:val="Normal"/>
    <w:rsid w:val="00D869C0"/>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uiPriority w:val="99"/>
    <w:rsid w:val="00D869C0"/>
    <w:pPr>
      <w:spacing w:before="150" w:after="150" w:line="240" w:lineRule="auto"/>
      <w:jc w:val="center"/>
    </w:pPr>
    <w:rPr>
      <w:rFonts w:ascii="Times New Roman" w:eastAsia="Times New Roman" w:hAnsi="Times New Roman"/>
      <w:b/>
      <w:bCs/>
      <w:sz w:val="24"/>
      <w:szCs w:val="24"/>
      <w:lang w:eastAsia="lv-LV"/>
    </w:rPr>
  </w:style>
  <w:style w:type="character" w:customStyle="1" w:styleId="UnresolvedMention1">
    <w:name w:val="Unresolved Mention1"/>
    <w:basedOn w:val="DefaultParagraphFont"/>
    <w:uiPriority w:val="99"/>
    <w:semiHidden/>
    <w:unhideWhenUsed/>
    <w:rsid w:val="00A041A1"/>
    <w:rPr>
      <w:color w:val="605E5C"/>
      <w:shd w:val="clear" w:color="auto" w:fill="E1DFDD"/>
    </w:rPr>
  </w:style>
  <w:style w:type="paragraph" w:styleId="FootnoteText">
    <w:name w:val="footnote text"/>
    <w:aliases w:val="Footnote,Fußnote"/>
    <w:basedOn w:val="Normal"/>
    <w:link w:val="FootnoteTextChar"/>
    <w:uiPriority w:val="99"/>
    <w:unhideWhenUsed/>
    <w:rsid w:val="00685F6D"/>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uiPriority w:val="99"/>
    <w:rsid w:val="00685F6D"/>
    <w:rPr>
      <w:lang w:val="lv-LV"/>
    </w:rPr>
  </w:style>
  <w:style w:type="character" w:styleId="FootnoteReference">
    <w:name w:val="footnote reference"/>
    <w:aliases w:val="Footnote Reference Number,Char1,Ref,de nota al pie,SUPERS"/>
    <w:basedOn w:val="DefaultParagraphFont"/>
    <w:uiPriority w:val="99"/>
    <w:unhideWhenUsed/>
    <w:rsid w:val="00685F6D"/>
    <w:rPr>
      <w:vertAlign w:val="superscript"/>
    </w:rPr>
  </w:style>
  <w:style w:type="paragraph" w:styleId="Revision">
    <w:name w:val="Revision"/>
    <w:hidden/>
    <w:uiPriority w:val="99"/>
    <w:semiHidden/>
    <w:rsid w:val="00F70AE9"/>
    <w:rPr>
      <w:sz w:val="22"/>
      <w:szCs w:val="22"/>
      <w:lang w:val="lv-LV"/>
    </w:rPr>
  </w:style>
  <w:style w:type="character" w:customStyle="1" w:styleId="ListParagraphChar">
    <w:name w:val="List Paragraph Char"/>
    <w:aliases w:val="2 Char,Strip Char,Normal bullet 2 Char,Bullet list Char,Saistīto dokumentu saraksts Char,Syle 1 Char,Numurets Char,List Paragraph11 Char,OBC Bullet Char,Bullet Style Char,L Char,H&amp;P List Paragraph Char,List Paragraph1 Char,Dot pt Char"/>
    <w:link w:val="ListParagraph"/>
    <w:uiPriority w:val="34"/>
    <w:qFormat/>
    <w:rsid w:val="00700B5A"/>
    <w:rPr>
      <w:sz w:val="22"/>
      <w:szCs w:val="22"/>
      <w:lang w:val="lv-LV"/>
    </w:rPr>
  </w:style>
  <w:style w:type="character" w:styleId="UnresolvedMention">
    <w:name w:val="Unresolved Mention"/>
    <w:basedOn w:val="DefaultParagraphFont"/>
    <w:uiPriority w:val="99"/>
    <w:semiHidden/>
    <w:unhideWhenUsed/>
    <w:rsid w:val="00B84E3F"/>
    <w:rPr>
      <w:color w:val="605E5C"/>
      <w:shd w:val="clear" w:color="auto" w:fill="E1DFDD"/>
    </w:rPr>
  </w:style>
  <w:style w:type="paragraph" w:customStyle="1" w:styleId="tv213">
    <w:name w:val="tv213"/>
    <w:basedOn w:val="Normal"/>
    <w:rsid w:val="0019241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9241B"/>
  </w:style>
  <w:style w:type="character" w:customStyle="1" w:styleId="normaltextrun">
    <w:name w:val="normaltextrun"/>
    <w:basedOn w:val="DefaultParagraphFont"/>
    <w:rsid w:val="00BD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0264">
      <w:bodyDiv w:val="1"/>
      <w:marLeft w:val="0"/>
      <w:marRight w:val="0"/>
      <w:marTop w:val="0"/>
      <w:marBottom w:val="0"/>
      <w:divBdr>
        <w:top w:val="none" w:sz="0" w:space="0" w:color="auto"/>
        <w:left w:val="none" w:sz="0" w:space="0" w:color="auto"/>
        <w:bottom w:val="none" w:sz="0" w:space="0" w:color="auto"/>
        <w:right w:val="none" w:sz="0" w:space="0" w:color="auto"/>
      </w:divBdr>
      <w:divsChild>
        <w:div w:id="825166045">
          <w:marLeft w:val="0"/>
          <w:marRight w:val="0"/>
          <w:marTop w:val="0"/>
          <w:marBottom w:val="0"/>
          <w:divBdr>
            <w:top w:val="none" w:sz="0" w:space="0" w:color="auto"/>
            <w:left w:val="none" w:sz="0" w:space="0" w:color="auto"/>
            <w:bottom w:val="none" w:sz="0" w:space="0" w:color="auto"/>
            <w:right w:val="none" w:sz="0" w:space="0" w:color="auto"/>
          </w:divBdr>
          <w:divsChild>
            <w:div w:id="974026865">
              <w:marLeft w:val="0"/>
              <w:marRight w:val="0"/>
              <w:marTop w:val="0"/>
              <w:marBottom w:val="0"/>
              <w:divBdr>
                <w:top w:val="none" w:sz="0" w:space="0" w:color="auto"/>
                <w:left w:val="none" w:sz="0" w:space="0" w:color="auto"/>
                <w:bottom w:val="none" w:sz="0" w:space="0" w:color="auto"/>
                <w:right w:val="none" w:sz="0" w:space="0" w:color="auto"/>
              </w:divBdr>
              <w:divsChild>
                <w:div w:id="922254029">
                  <w:marLeft w:val="0"/>
                  <w:marRight w:val="0"/>
                  <w:marTop w:val="0"/>
                  <w:marBottom w:val="0"/>
                  <w:divBdr>
                    <w:top w:val="none" w:sz="0" w:space="0" w:color="auto"/>
                    <w:left w:val="none" w:sz="0" w:space="0" w:color="auto"/>
                    <w:bottom w:val="none" w:sz="0" w:space="0" w:color="auto"/>
                    <w:right w:val="none" w:sz="0" w:space="0" w:color="auto"/>
                  </w:divBdr>
                  <w:divsChild>
                    <w:div w:id="605691951">
                      <w:marLeft w:val="0"/>
                      <w:marRight w:val="0"/>
                      <w:marTop w:val="0"/>
                      <w:marBottom w:val="0"/>
                      <w:divBdr>
                        <w:top w:val="none" w:sz="0" w:space="0" w:color="auto"/>
                        <w:left w:val="none" w:sz="0" w:space="0" w:color="auto"/>
                        <w:bottom w:val="none" w:sz="0" w:space="0" w:color="auto"/>
                        <w:right w:val="none" w:sz="0" w:space="0" w:color="auto"/>
                      </w:divBdr>
                      <w:divsChild>
                        <w:div w:id="303313963">
                          <w:marLeft w:val="0"/>
                          <w:marRight w:val="0"/>
                          <w:marTop w:val="0"/>
                          <w:marBottom w:val="0"/>
                          <w:divBdr>
                            <w:top w:val="none" w:sz="0" w:space="0" w:color="auto"/>
                            <w:left w:val="none" w:sz="0" w:space="0" w:color="auto"/>
                            <w:bottom w:val="none" w:sz="0" w:space="0" w:color="auto"/>
                            <w:right w:val="none" w:sz="0" w:space="0" w:color="auto"/>
                          </w:divBdr>
                          <w:divsChild>
                            <w:div w:id="563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5280">
      <w:bodyDiv w:val="1"/>
      <w:marLeft w:val="0"/>
      <w:marRight w:val="0"/>
      <w:marTop w:val="0"/>
      <w:marBottom w:val="0"/>
      <w:divBdr>
        <w:top w:val="none" w:sz="0" w:space="0" w:color="auto"/>
        <w:left w:val="none" w:sz="0" w:space="0" w:color="auto"/>
        <w:bottom w:val="none" w:sz="0" w:space="0" w:color="auto"/>
        <w:right w:val="none" w:sz="0" w:space="0" w:color="auto"/>
      </w:divBdr>
    </w:div>
    <w:div w:id="124662280">
      <w:bodyDiv w:val="1"/>
      <w:marLeft w:val="0"/>
      <w:marRight w:val="0"/>
      <w:marTop w:val="0"/>
      <w:marBottom w:val="0"/>
      <w:divBdr>
        <w:top w:val="none" w:sz="0" w:space="0" w:color="auto"/>
        <w:left w:val="none" w:sz="0" w:space="0" w:color="auto"/>
        <w:bottom w:val="none" w:sz="0" w:space="0" w:color="auto"/>
        <w:right w:val="none" w:sz="0" w:space="0" w:color="auto"/>
      </w:divBdr>
    </w:div>
    <w:div w:id="127364063">
      <w:bodyDiv w:val="1"/>
      <w:marLeft w:val="0"/>
      <w:marRight w:val="0"/>
      <w:marTop w:val="0"/>
      <w:marBottom w:val="0"/>
      <w:divBdr>
        <w:top w:val="none" w:sz="0" w:space="0" w:color="auto"/>
        <w:left w:val="none" w:sz="0" w:space="0" w:color="auto"/>
        <w:bottom w:val="none" w:sz="0" w:space="0" w:color="auto"/>
        <w:right w:val="none" w:sz="0" w:space="0" w:color="auto"/>
      </w:divBdr>
    </w:div>
    <w:div w:id="243220054">
      <w:bodyDiv w:val="1"/>
      <w:marLeft w:val="0"/>
      <w:marRight w:val="0"/>
      <w:marTop w:val="0"/>
      <w:marBottom w:val="0"/>
      <w:divBdr>
        <w:top w:val="none" w:sz="0" w:space="0" w:color="auto"/>
        <w:left w:val="none" w:sz="0" w:space="0" w:color="auto"/>
        <w:bottom w:val="none" w:sz="0" w:space="0" w:color="auto"/>
        <w:right w:val="none" w:sz="0" w:space="0" w:color="auto"/>
      </w:divBdr>
    </w:div>
    <w:div w:id="498811776">
      <w:bodyDiv w:val="1"/>
      <w:marLeft w:val="0"/>
      <w:marRight w:val="0"/>
      <w:marTop w:val="0"/>
      <w:marBottom w:val="0"/>
      <w:divBdr>
        <w:top w:val="none" w:sz="0" w:space="0" w:color="auto"/>
        <w:left w:val="none" w:sz="0" w:space="0" w:color="auto"/>
        <w:bottom w:val="none" w:sz="0" w:space="0" w:color="auto"/>
        <w:right w:val="none" w:sz="0" w:space="0" w:color="auto"/>
      </w:divBdr>
    </w:div>
    <w:div w:id="560560649">
      <w:bodyDiv w:val="1"/>
      <w:marLeft w:val="0"/>
      <w:marRight w:val="0"/>
      <w:marTop w:val="0"/>
      <w:marBottom w:val="0"/>
      <w:divBdr>
        <w:top w:val="none" w:sz="0" w:space="0" w:color="auto"/>
        <w:left w:val="none" w:sz="0" w:space="0" w:color="auto"/>
        <w:bottom w:val="none" w:sz="0" w:space="0" w:color="auto"/>
        <w:right w:val="none" w:sz="0" w:space="0" w:color="auto"/>
      </w:divBdr>
    </w:div>
    <w:div w:id="1048186849">
      <w:bodyDiv w:val="1"/>
      <w:marLeft w:val="0"/>
      <w:marRight w:val="0"/>
      <w:marTop w:val="0"/>
      <w:marBottom w:val="0"/>
      <w:divBdr>
        <w:top w:val="none" w:sz="0" w:space="0" w:color="auto"/>
        <w:left w:val="none" w:sz="0" w:space="0" w:color="auto"/>
        <w:bottom w:val="none" w:sz="0" w:space="0" w:color="auto"/>
        <w:right w:val="none" w:sz="0" w:space="0" w:color="auto"/>
      </w:divBdr>
    </w:div>
    <w:div w:id="1380782661">
      <w:bodyDiv w:val="1"/>
      <w:marLeft w:val="0"/>
      <w:marRight w:val="0"/>
      <w:marTop w:val="0"/>
      <w:marBottom w:val="0"/>
      <w:divBdr>
        <w:top w:val="none" w:sz="0" w:space="0" w:color="auto"/>
        <w:left w:val="none" w:sz="0" w:space="0" w:color="auto"/>
        <w:bottom w:val="none" w:sz="0" w:space="0" w:color="auto"/>
        <w:right w:val="none" w:sz="0" w:space="0" w:color="auto"/>
      </w:divBdr>
      <w:divsChild>
        <w:div w:id="285741763">
          <w:marLeft w:val="0"/>
          <w:marRight w:val="0"/>
          <w:marTop w:val="0"/>
          <w:marBottom w:val="0"/>
          <w:divBdr>
            <w:top w:val="none" w:sz="0" w:space="0" w:color="auto"/>
            <w:left w:val="none" w:sz="0" w:space="0" w:color="auto"/>
            <w:bottom w:val="none" w:sz="0" w:space="0" w:color="auto"/>
            <w:right w:val="none" w:sz="0" w:space="0" w:color="auto"/>
          </w:divBdr>
          <w:divsChild>
            <w:div w:id="1164513618">
              <w:marLeft w:val="0"/>
              <w:marRight w:val="0"/>
              <w:marTop w:val="0"/>
              <w:marBottom w:val="0"/>
              <w:divBdr>
                <w:top w:val="none" w:sz="0" w:space="0" w:color="auto"/>
                <w:left w:val="none" w:sz="0" w:space="0" w:color="auto"/>
                <w:bottom w:val="none" w:sz="0" w:space="0" w:color="auto"/>
                <w:right w:val="none" w:sz="0" w:space="0" w:color="auto"/>
              </w:divBdr>
              <w:divsChild>
                <w:div w:id="1428118603">
                  <w:marLeft w:val="0"/>
                  <w:marRight w:val="0"/>
                  <w:marTop w:val="0"/>
                  <w:marBottom w:val="0"/>
                  <w:divBdr>
                    <w:top w:val="none" w:sz="0" w:space="0" w:color="auto"/>
                    <w:left w:val="none" w:sz="0" w:space="0" w:color="auto"/>
                    <w:bottom w:val="none" w:sz="0" w:space="0" w:color="auto"/>
                    <w:right w:val="none" w:sz="0" w:space="0" w:color="auto"/>
                  </w:divBdr>
                  <w:divsChild>
                    <w:div w:id="669330871">
                      <w:marLeft w:val="0"/>
                      <w:marRight w:val="0"/>
                      <w:marTop w:val="0"/>
                      <w:marBottom w:val="0"/>
                      <w:divBdr>
                        <w:top w:val="none" w:sz="0" w:space="0" w:color="auto"/>
                        <w:left w:val="none" w:sz="0" w:space="0" w:color="auto"/>
                        <w:bottom w:val="none" w:sz="0" w:space="0" w:color="auto"/>
                        <w:right w:val="none" w:sz="0" w:space="0" w:color="auto"/>
                      </w:divBdr>
                      <w:divsChild>
                        <w:div w:id="62798485">
                          <w:marLeft w:val="0"/>
                          <w:marRight w:val="0"/>
                          <w:marTop w:val="0"/>
                          <w:marBottom w:val="0"/>
                          <w:divBdr>
                            <w:top w:val="none" w:sz="0" w:space="0" w:color="auto"/>
                            <w:left w:val="none" w:sz="0" w:space="0" w:color="auto"/>
                            <w:bottom w:val="none" w:sz="0" w:space="0" w:color="auto"/>
                            <w:right w:val="none" w:sz="0" w:space="0" w:color="auto"/>
                          </w:divBdr>
                          <w:divsChild>
                            <w:div w:id="252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18443">
      <w:bodyDiv w:val="1"/>
      <w:marLeft w:val="0"/>
      <w:marRight w:val="0"/>
      <w:marTop w:val="0"/>
      <w:marBottom w:val="0"/>
      <w:divBdr>
        <w:top w:val="none" w:sz="0" w:space="0" w:color="auto"/>
        <w:left w:val="none" w:sz="0" w:space="0" w:color="auto"/>
        <w:bottom w:val="none" w:sz="0" w:space="0" w:color="auto"/>
        <w:right w:val="none" w:sz="0" w:space="0" w:color="auto"/>
      </w:divBdr>
      <w:divsChild>
        <w:div w:id="1694334206">
          <w:marLeft w:val="0"/>
          <w:marRight w:val="0"/>
          <w:marTop w:val="0"/>
          <w:marBottom w:val="0"/>
          <w:divBdr>
            <w:top w:val="none" w:sz="0" w:space="0" w:color="auto"/>
            <w:left w:val="none" w:sz="0" w:space="0" w:color="auto"/>
            <w:bottom w:val="none" w:sz="0" w:space="0" w:color="auto"/>
            <w:right w:val="none" w:sz="0" w:space="0" w:color="auto"/>
          </w:divBdr>
          <w:divsChild>
            <w:div w:id="2557992">
              <w:marLeft w:val="0"/>
              <w:marRight w:val="0"/>
              <w:marTop w:val="0"/>
              <w:marBottom w:val="0"/>
              <w:divBdr>
                <w:top w:val="none" w:sz="0" w:space="0" w:color="auto"/>
                <w:left w:val="none" w:sz="0" w:space="0" w:color="auto"/>
                <w:bottom w:val="none" w:sz="0" w:space="0" w:color="auto"/>
                <w:right w:val="none" w:sz="0" w:space="0" w:color="auto"/>
              </w:divBdr>
              <w:divsChild>
                <w:div w:id="711004928">
                  <w:marLeft w:val="0"/>
                  <w:marRight w:val="0"/>
                  <w:marTop w:val="0"/>
                  <w:marBottom w:val="0"/>
                  <w:divBdr>
                    <w:top w:val="none" w:sz="0" w:space="0" w:color="auto"/>
                    <w:left w:val="none" w:sz="0" w:space="0" w:color="auto"/>
                    <w:bottom w:val="none" w:sz="0" w:space="0" w:color="auto"/>
                    <w:right w:val="none" w:sz="0" w:space="0" w:color="auto"/>
                  </w:divBdr>
                  <w:divsChild>
                    <w:div w:id="337117879">
                      <w:marLeft w:val="0"/>
                      <w:marRight w:val="0"/>
                      <w:marTop w:val="0"/>
                      <w:marBottom w:val="0"/>
                      <w:divBdr>
                        <w:top w:val="none" w:sz="0" w:space="0" w:color="auto"/>
                        <w:left w:val="none" w:sz="0" w:space="0" w:color="auto"/>
                        <w:bottom w:val="none" w:sz="0" w:space="0" w:color="auto"/>
                        <w:right w:val="none" w:sz="0" w:space="0" w:color="auto"/>
                      </w:divBdr>
                      <w:divsChild>
                        <w:div w:id="379745836">
                          <w:marLeft w:val="0"/>
                          <w:marRight w:val="0"/>
                          <w:marTop w:val="0"/>
                          <w:marBottom w:val="0"/>
                          <w:divBdr>
                            <w:top w:val="none" w:sz="0" w:space="0" w:color="auto"/>
                            <w:left w:val="none" w:sz="0" w:space="0" w:color="auto"/>
                            <w:bottom w:val="none" w:sz="0" w:space="0" w:color="auto"/>
                            <w:right w:val="none" w:sz="0" w:space="0" w:color="auto"/>
                          </w:divBdr>
                          <w:divsChild>
                            <w:div w:id="11086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501">
      <w:bodyDiv w:val="1"/>
      <w:marLeft w:val="0"/>
      <w:marRight w:val="0"/>
      <w:marTop w:val="0"/>
      <w:marBottom w:val="0"/>
      <w:divBdr>
        <w:top w:val="none" w:sz="0" w:space="0" w:color="auto"/>
        <w:left w:val="none" w:sz="0" w:space="0" w:color="auto"/>
        <w:bottom w:val="none" w:sz="0" w:space="0" w:color="auto"/>
        <w:right w:val="none" w:sz="0" w:space="0" w:color="auto"/>
      </w:divBdr>
    </w:div>
    <w:div w:id="1654334849">
      <w:bodyDiv w:val="1"/>
      <w:marLeft w:val="0"/>
      <w:marRight w:val="0"/>
      <w:marTop w:val="0"/>
      <w:marBottom w:val="0"/>
      <w:divBdr>
        <w:top w:val="none" w:sz="0" w:space="0" w:color="auto"/>
        <w:left w:val="none" w:sz="0" w:space="0" w:color="auto"/>
        <w:bottom w:val="none" w:sz="0" w:space="0" w:color="auto"/>
        <w:right w:val="none" w:sz="0" w:space="0" w:color="auto"/>
      </w:divBdr>
    </w:div>
    <w:div w:id="1772168790">
      <w:bodyDiv w:val="1"/>
      <w:marLeft w:val="0"/>
      <w:marRight w:val="0"/>
      <w:marTop w:val="0"/>
      <w:marBottom w:val="0"/>
      <w:divBdr>
        <w:top w:val="none" w:sz="0" w:space="0" w:color="auto"/>
        <w:left w:val="none" w:sz="0" w:space="0" w:color="auto"/>
        <w:bottom w:val="none" w:sz="0" w:space="0" w:color="auto"/>
        <w:right w:val="none" w:sz="0" w:space="0" w:color="auto"/>
      </w:divBdr>
    </w:div>
    <w:div w:id="1792168318">
      <w:bodyDiv w:val="1"/>
      <w:marLeft w:val="0"/>
      <w:marRight w:val="0"/>
      <w:marTop w:val="0"/>
      <w:marBottom w:val="0"/>
      <w:divBdr>
        <w:top w:val="none" w:sz="0" w:space="0" w:color="auto"/>
        <w:left w:val="none" w:sz="0" w:space="0" w:color="auto"/>
        <w:bottom w:val="none" w:sz="0" w:space="0" w:color="auto"/>
        <w:right w:val="none" w:sz="0" w:space="0" w:color="auto"/>
      </w:divBdr>
    </w:div>
    <w:div w:id="1907258408">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9">
          <w:marLeft w:val="0"/>
          <w:marRight w:val="0"/>
          <w:marTop w:val="0"/>
          <w:marBottom w:val="0"/>
          <w:divBdr>
            <w:top w:val="none" w:sz="0" w:space="0" w:color="auto"/>
            <w:left w:val="none" w:sz="0" w:space="0" w:color="auto"/>
            <w:bottom w:val="none" w:sz="0" w:space="0" w:color="auto"/>
            <w:right w:val="none" w:sz="0" w:space="0" w:color="auto"/>
          </w:divBdr>
          <w:divsChild>
            <w:div w:id="1396778126">
              <w:marLeft w:val="0"/>
              <w:marRight w:val="0"/>
              <w:marTop w:val="0"/>
              <w:marBottom w:val="0"/>
              <w:divBdr>
                <w:top w:val="none" w:sz="0" w:space="0" w:color="auto"/>
                <w:left w:val="none" w:sz="0" w:space="0" w:color="auto"/>
                <w:bottom w:val="none" w:sz="0" w:space="0" w:color="auto"/>
                <w:right w:val="none" w:sz="0" w:space="0" w:color="auto"/>
              </w:divBdr>
              <w:divsChild>
                <w:div w:id="1019746238">
                  <w:marLeft w:val="0"/>
                  <w:marRight w:val="0"/>
                  <w:marTop w:val="0"/>
                  <w:marBottom w:val="0"/>
                  <w:divBdr>
                    <w:top w:val="none" w:sz="0" w:space="0" w:color="auto"/>
                    <w:left w:val="none" w:sz="0" w:space="0" w:color="auto"/>
                    <w:bottom w:val="none" w:sz="0" w:space="0" w:color="auto"/>
                    <w:right w:val="none" w:sz="0" w:space="0" w:color="auto"/>
                  </w:divBdr>
                  <w:divsChild>
                    <w:div w:id="1386837645">
                      <w:marLeft w:val="0"/>
                      <w:marRight w:val="0"/>
                      <w:marTop w:val="0"/>
                      <w:marBottom w:val="0"/>
                      <w:divBdr>
                        <w:top w:val="none" w:sz="0" w:space="0" w:color="auto"/>
                        <w:left w:val="none" w:sz="0" w:space="0" w:color="auto"/>
                        <w:bottom w:val="none" w:sz="0" w:space="0" w:color="auto"/>
                        <w:right w:val="none" w:sz="0" w:space="0" w:color="auto"/>
                      </w:divBdr>
                      <w:divsChild>
                        <w:div w:id="347028646">
                          <w:marLeft w:val="0"/>
                          <w:marRight w:val="0"/>
                          <w:marTop w:val="0"/>
                          <w:marBottom w:val="0"/>
                          <w:divBdr>
                            <w:top w:val="none" w:sz="0" w:space="0" w:color="auto"/>
                            <w:left w:val="none" w:sz="0" w:space="0" w:color="auto"/>
                            <w:bottom w:val="none" w:sz="0" w:space="0" w:color="auto"/>
                            <w:right w:val="none" w:sz="0" w:space="0" w:color="auto"/>
                          </w:divBdr>
                          <w:divsChild>
                            <w:div w:id="1029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m.gov.lv/lv/Ministrija/sabiedribas_lidzdaliba/diskusiju_dokument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appsso.eurostat.ec.europa.eu/nui/submitViewTableAction.do" TargetMode="External"/><Relationship Id="rId1" Type="http://schemas.openxmlformats.org/officeDocument/2006/relationships/hyperlink" Target="http://www.oecd.org/economy/surveys/Latvia-2017-OECD-economic-survey-overview.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28367761805742"/>
          <c:y val="5.6033931986452845E-2"/>
          <c:w val="0.63967680560814244"/>
          <c:h val="0.94396614664331202"/>
        </c:manualLayout>
      </c:layout>
      <c:doughnutChart>
        <c:varyColors val="1"/>
        <c:ser>
          <c:idx val="0"/>
          <c:order val="0"/>
          <c:tx>
            <c:strRef>
              <c:f>Sheet1!$B$1</c:f>
              <c:strCache>
                <c:ptCount val="1"/>
                <c:pt idx="0">
                  <c:v>Sales</c:v>
                </c:pt>
              </c:strCache>
            </c:strRef>
          </c:tx>
          <c:spPr>
            <a:ln>
              <a:noFill/>
            </a:ln>
          </c:spPr>
          <c:explosion val="3"/>
          <c:dPt>
            <c:idx val="0"/>
            <c:bubble3D val="0"/>
            <c:spPr>
              <a:solidFill>
                <a:schemeClr val="bg1">
                  <a:lumMod val="95000"/>
                </a:schemeClr>
              </a:solidFill>
              <a:ln w="6350">
                <a:solidFill>
                  <a:srgbClr val="C00000"/>
                </a:solidFill>
              </a:ln>
              <a:effectLst/>
            </c:spPr>
            <c:extLst>
              <c:ext xmlns:c16="http://schemas.microsoft.com/office/drawing/2014/chart" uri="{C3380CC4-5D6E-409C-BE32-E72D297353CC}">
                <c16:uniqueId val="{00000001-D1BC-4FB9-8131-4EEC1F55E961}"/>
              </c:ext>
            </c:extLst>
          </c:dPt>
          <c:dPt>
            <c:idx val="1"/>
            <c:bubble3D val="0"/>
            <c:spPr>
              <a:solidFill>
                <a:schemeClr val="bg1">
                  <a:lumMod val="85000"/>
                </a:schemeClr>
              </a:solidFill>
              <a:ln w="6350">
                <a:solidFill>
                  <a:srgbClr val="C00000"/>
                </a:solidFill>
              </a:ln>
              <a:effectLst/>
            </c:spPr>
            <c:extLst>
              <c:ext xmlns:c16="http://schemas.microsoft.com/office/drawing/2014/chart" uri="{C3380CC4-5D6E-409C-BE32-E72D297353CC}">
                <c16:uniqueId val="{00000003-D1BC-4FB9-8131-4EEC1F55E961}"/>
              </c:ext>
            </c:extLst>
          </c:dPt>
          <c:dPt>
            <c:idx val="2"/>
            <c:bubble3D val="0"/>
            <c:spPr>
              <a:solidFill>
                <a:schemeClr val="bg1">
                  <a:lumMod val="75000"/>
                </a:schemeClr>
              </a:solidFill>
              <a:ln w="6350">
                <a:solidFill>
                  <a:srgbClr val="C00000"/>
                </a:solidFill>
              </a:ln>
              <a:effectLst/>
            </c:spPr>
            <c:extLst>
              <c:ext xmlns:c16="http://schemas.microsoft.com/office/drawing/2014/chart" uri="{C3380CC4-5D6E-409C-BE32-E72D297353CC}">
                <c16:uniqueId val="{00000005-D1BC-4FB9-8131-4EEC1F55E961}"/>
              </c:ext>
            </c:extLst>
          </c:dPt>
          <c:dPt>
            <c:idx val="3"/>
            <c:bubble3D val="0"/>
            <c:spPr>
              <a:solidFill>
                <a:schemeClr val="bg1">
                  <a:lumMod val="50000"/>
                </a:schemeClr>
              </a:solidFill>
              <a:ln w="6350">
                <a:solidFill>
                  <a:srgbClr val="C00000"/>
                </a:solidFill>
              </a:ln>
              <a:effectLst/>
            </c:spPr>
            <c:extLst>
              <c:ext xmlns:c16="http://schemas.microsoft.com/office/drawing/2014/chart" uri="{C3380CC4-5D6E-409C-BE32-E72D297353CC}">
                <c16:uniqueId val="{00000007-D1BC-4FB9-8131-4EEC1F55E961}"/>
              </c:ext>
            </c:extLst>
          </c:dPt>
          <c:dPt>
            <c:idx val="4"/>
            <c:bubble3D val="0"/>
            <c:spPr>
              <a:solidFill>
                <a:srgbClr val="003300"/>
              </a:solidFill>
              <a:ln w="6350">
                <a:solidFill>
                  <a:srgbClr val="C00000"/>
                </a:solidFill>
              </a:ln>
              <a:effectLst/>
            </c:spPr>
            <c:extLst>
              <c:ext xmlns:c16="http://schemas.microsoft.com/office/drawing/2014/chart" uri="{C3380CC4-5D6E-409C-BE32-E72D297353CC}">
                <c16:uniqueId val="{00000009-D1BC-4FB9-8131-4EEC1F55E961}"/>
              </c:ext>
            </c:extLst>
          </c:dPt>
          <c:dPt>
            <c:idx val="5"/>
            <c:bubble3D val="0"/>
            <c:spPr>
              <a:noFill/>
              <a:ln w="19050">
                <a:noFill/>
              </a:ln>
              <a:effectLst/>
            </c:spPr>
            <c:extLst>
              <c:ext xmlns:c16="http://schemas.microsoft.com/office/drawing/2014/chart" uri="{C3380CC4-5D6E-409C-BE32-E72D297353CC}">
                <c16:uniqueId val="{0000000B-D1BC-4FB9-8131-4EEC1F55E961}"/>
              </c:ext>
            </c:extLst>
          </c:dPt>
          <c:dLbls>
            <c:dLbl>
              <c:idx val="0"/>
              <c:tx>
                <c:rich>
                  <a:bodyPr/>
                  <a:lstStyle/>
                  <a:p>
                    <a:fld id="{116CF0A8-0A9F-4C76-8674-A57CF96A3499}"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1BC-4FB9-8131-4EEC1F55E961}"/>
                </c:ext>
              </c:extLst>
            </c:dLbl>
            <c:dLbl>
              <c:idx val="1"/>
              <c:tx>
                <c:rich>
                  <a:bodyPr/>
                  <a:lstStyle/>
                  <a:p>
                    <a:fld id="{11A2276D-CFB8-4CF4-8775-E2ADE0BF70E4}"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1BC-4FB9-8131-4EEC1F55E961}"/>
                </c:ext>
              </c:extLst>
            </c:dLbl>
            <c:dLbl>
              <c:idx val="2"/>
              <c:tx>
                <c:rich>
                  <a:bodyPr/>
                  <a:lstStyle/>
                  <a:p>
                    <a:fld id="{0B8C2CB8-F567-4E06-99F8-369D55D6B1E7}"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1BC-4FB9-8131-4EEC1F55E961}"/>
                </c:ext>
              </c:extLst>
            </c:dLbl>
            <c:dLbl>
              <c:idx val="3"/>
              <c:tx>
                <c:rich>
                  <a:bodyPr/>
                  <a:lstStyle/>
                  <a:p>
                    <a:fld id="{DADA2A83-292E-4A49-B9EE-2489BCDBA4F0}"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1BC-4FB9-8131-4EEC1F55E961}"/>
                </c:ext>
              </c:extLst>
            </c:dLbl>
            <c:dLbl>
              <c:idx val="4"/>
              <c:layout>
                <c:manualLayout>
                  <c:x val="0.1332075932368918"/>
                  <c:y val="-7.5418621452806207E-3"/>
                </c:manualLayout>
              </c:layout>
              <c:tx>
                <c:rich>
                  <a:bodyPr/>
                  <a:lstStyle/>
                  <a:p>
                    <a:fld id="{7C62C9EC-B614-4B9D-BBA3-079B68D2605D}" type="CELLRANGE">
                      <a:rPr lang="en-US"/>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1BC-4FB9-8131-4EEC1F55E961}"/>
                </c:ext>
              </c:extLst>
            </c:dLbl>
            <c:dLbl>
              <c:idx val="5"/>
              <c:tx>
                <c:rich>
                  <a:bodyPr/>
                  <a:lstStyle/>
                  <a:p>
                    <a:fld id="{3F2B812C-17AD-481C-8180-C8CDE12D1152}" type="CELLRANGE">
                      <a:rPr lang="lv-LV"/>
                      <a:pPr/>
                      <a:t>[CELLRANGE]</a:t>
                    </a:fld>
                    <a:endParaRPr lang="lv-LV"/>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D1BC-4FB9-8131-4EEC1F55E961}"/>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rebuchet MS" panose="020B0603020202020204" pitchFamily="34" charset="0"/>
                    <a:ea typeface="+mn-ea"/>
                    <a:cs typeface="+mn-cs"/>
                  </a:defRPr>
                </a:pPr>
                <a:endParaRPr lang="lv-LV"/>
              </a:p>
            </c:txPr>
            <c:showLegendKey val="0"/>
            <c:showVal val="0"/>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Sheet1!$A$2:$A$7</c:f>
              <c:strCache>
                <c:ptCount val="5"/>
                <c:pt idx="0">
                  <c:v>līdz 1940.gadam</c:v>
                </c:pt>
                <c:pt idx="1">
                  <c:v>1941-1959</c:v>
                </c:pt>
                <c:pt idx="2">
                  <c:v>1960-1979</c:v>
                </c:pt>
                <c:pt idx="3">
                  <c:v>1980-1992</c:v>
                </c:pt>
                <c:pt idx="4">
                  <c:v>1993-2019</c:v>
                </c:pt>
              </c:strCache>
            </c:strRef>
          </c:cat>
          <c:val>
            <c:numRef>
              <c:f>Sheet1!$B$2:$B$7</c:f>
              <c:numCache>
                <c:formatCode>General</c:formatCode>
                <c:ptCount val="6"/>
                <c:pt idx="0">
                  <c:v>45</c:v>
                </c:pt>
                <c:pt idx="1">
                  <c:v>11</c:v>
                </c:pt>
                <c:pt idx="2">
                  <c:v>27</c:v>
                </c:pt>
                <c:pt idx="3">
                  <c:v>13</c:v>
                </c:pt>
                <c:pt idx="4">
                  <c:v>4</c:v>
                </c:pt>
                <c:pt idx="5">
                  <c:v>100</c:v>
                </c:pt>
              </c:numCache>
            </c:numRef>
          </c:val>
          <c:extLst>
            <c:ext xmlns:c15="http://schemas.microsoft.com/office/drawing/2012/chart" uri="{02D57815-91ED-43cb-92C2-25804820EDAC}">
              <c15:datalabelsRange>
                <c15:f>Sheet1!$E$2:$E$7</c15:f>
                <c15:dlblRangeCache>
                  <c:ptCount val="6"/>
                  <c:pt idx="0">
                    <c:v>45%</c:v>
                  </c:pt>
                  <c:pt idx="1">
                    <c:v>11%</c:v>
                  </c:pt>
                  <c:pt idx="2">
                    <c:v>27%</c:v>
                  </c:pt>
                  <c:pt idx="3">
                    <c:v>13%</c:v>
                  </c:pt>
                  <c:pt idx="4">
                    <c:v>4%</c:v>
                  </c:pt>
                </c15:dlblRangeCache>
              </c15:datalabelsRange>
            </c:ext>
            <c:ext xmlns:c16="http://schemas.microsoft.com/office/drawing/2014/chart" uri="{C3380CC4-5D6E-409C-BE32-E72D297353CC}">
              <c16:uniqueId val="{0000000C-D1BC-4FB9-8131-4EEC1F55E961}"/>
            </c:ext>
          </c:extLst>
        </c:ser>
        <c:dLbls>
          <c:showLegendKey val="0"/>
          <c:showVal val="0"/>
          <c:showCatName val="0"/>
          <c:showSerName val="0"/>
          <c:showPercent val="0"/>
          <c:showBubbleSize val="0"/>
          <c:showLeaderLines val="1"/>
        </c:dLbls>
        <c:firstSliceAng val="270"/>
        <c:holeSize val="40"/>
      </c:doughnutChart>
      <c:spPr>
        <a:noFill/>
        <a:ln>
          <a:noFill/>
        </a:ln>
        <a:effectLst/>
      </c:spPr>
    </c:plotArea>
    <c:legend>
      <c:legendPos val="b"/>
      <c:layout>
        <c:manualLayout>
          <c:xMode val="edge"/>
          <c:yMode val="edge"/>
          <c:x val="0"/>
          <c:y val="0.60817488280890963"/>
          <c:w val="1"/>
          <c:h val="0.162357621097778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0">
          <a:latin typeface="Trebuchet MS" panose="020B0603020202020204" pitchFamily="34"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9427C8535FA04B962F04E282ABFB67" ma:contentTypeVersion="2" ma:contentTypeDescription="Create a new document." ma:contentTypeScope="" ma:versionID="ccc8c1b1d39dcfeba8a0158ed822863a">
  <xsd:schema xmlns:xsd="http://www.w3.org/2001/XMLSchema" xmlns:xs="http://www.w3.org/2001/XMLSchema" xmlns:p="http://schemas.microsoft.com/office/2006/metadata/properties" xmlns:ns2="7a4aa42f-29c5-44b0-80f5-75abb7cd104e" targetNamespace="http://schemas.microsoft.com/office/2006/metadata/properties" ma:root="true" ma:fieldsID="92a1e2ffce6cffa71813b1eaa0bcc55b" ns2:_="">
    <xsd:import namespace="7a4aa42f-29c5-44b0-80f5-75abb7cd10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a42f-29c5-44b0-80f5-75abb7cd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9107E-046B-4CDE-BC80-25169FCC9F36}">
  <ds:schemaRefs>
    <ds:schemaRef ds:uri="http://schemas.openxmlformats.org/officeDocument/2006/bibliography"/>
  </ds:schemaRefs>
</ds:datastoreItem>
</file>

<file path=customXml/itemProps2.xml><?xml version="1.0" encoding="utf-8"?>
<ds:datastoreItem xmlns:ds="http://schemas.openxmlformats.org/officeDocument/2006/customXml" ds:itemID="{BD1C1F53-B893-4C10-AC14-761B90DF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a42f-29c5-44b0-80f5-75abb7cd1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2A57A-3A00-4F58-B37D-A596A957DD4E}">
  <ds:schemaRefs>
    <ds:schemaRef ds:uri="http://schemas.microsoft.com/sharepoint/v3/contenttype/forms"/>
  </ds:schemaRefs>
</ds:datastoreItem>
</file>

<file path=customXml/itemProps4.xml><?xml version="1.0" encoding="utf-8"?>
<ds:datastoreItem xmlns:ds="http://schemas.openxmlformats.org/officeDocument/2006/customXml" ds:itemID="{57128977-B892-42DD-AB58-4E9EDE869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10419</Words>
  <Characters>5940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dc:title>
  <dc:subject>Noteikumu projekta anotācija</dc:subject>
  <dc:creator>Agita.Fernate@em.gov.lv</dc:creator>
  <cp:keywords/>
  <dc:description/>
  <cp:lastModifiedBy>Agita Fernāte</cp:lastModifiedBy>
  <cp:revision>4</cp:revision>
  <cp:lastPrinted>2020-01-08T03:16:00Z</cp:lastPrinted>
  <dcterms:created xsi:type="dcterms:W3CDTF">2021-08-30T16:18:00Z</dcterms:created>
  <dcterms:modified xsi:type="dcterms:W3CDTF">2021-08-30T16:20:00Z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0x010100509427C8535FA04B962F04E282ABFB67</vt:lpwstr>
  </property>
</Properties>
</file>