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2A556" w14:textId="77777777" w:rsidR="003D4302" w:rsidRPr="00E70066" w:rsidRDefault="003D4302" w:rsidP="00E70066">
      <w:pPr>
        <w:spacing w:line="240" w:lineRule="auto"/>
        <w:ind w:left="7200" w:right="-483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0066">
        <w:rPr>
          <w:rFonts w:ascii="Times New Roman" w:hAnsi="Times New Roman" w:cs="Times New Roman"/>
          <w:i/>
          <w:sz w:val="28"/>
          <w:szCs w:val="28"/>
        </w:rPr>
        <w:t>Projekts</w:t>
      </w:r>
    </w:p>
    <w:p w14:paraId="6C2DAAB5" w14:textId="77777777" w:rsidR="003D4302" w:rsidRPr="00E70066" w:rsidRDefault="003D4302" w:rsidP="00E70066">
      <w:pPr>
        <w:spacing w:after="0" w:line="240" w:lineRule="auto"/>
        <w:ind w:right="-482"/>
        <w:jc w:val="center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LATVIJAS REPUBLIKAS MINISTRU KABINETS</w:t>
      </w:r>
    </w:p>
    <w:p w14:paraId="2EFADEA0" w14:textId="77777777" w:rsidR="003D4302" w:rsidRPr="00E70066" w:rsidRDefault="003D4302" w:rsidP="00E70066">
      <w:pPr>
        <w:spacing w:after="0" w:line="240" w:lineRule="auto"/>
        <w:ind w:right="-482"/>
        <w:rPr>
          <w:rFonts w:ascii="Times New Roman" w:hAnsi="Times New Roman" w:cs="Times New Roman"/>
          <w:sz w:val="28"/>
          <w:szCs w:val="28"/>
        </w:rPr>
      </w:pPr>
    </w:p>
    <w:p w14:paraId="693B5B8A" w14:textId="4499D6DD" w:rsidR="003D4302" w:rsidRPr="00E70066" w:rsidRDefault="003D4302" w:rsidP="00E70066">
      <w:pPr>
        <w:spacing w:after="0" w:line="240" w:lineRule="auto"/>
        <w:ind w:right="-482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20</w:t>
      </w:r>
      <w:r w:rsidR="008100EA" w:rsidRPr="00E70066">
        <w:rPr>
          <w:rFonts w:ascii="Times New Roman" w:hAnsi="Times New Roman" w:cs="Times New Roman"/>
          <w:sz w:val="28"/>
          <w:szCs w:val="28"/>
        </w:rPr>
        <w:t>21</w:t>
      </w:r>
      <w:r w:rsidRPr="00E70066">
        <w:rPr>
          <w:rFonts w:ascii="Times New Roman" w:hAnsi="Times New Roman" w:cs="Times New Roman"/>
          <w:sz w:val="28"/>
          <w:szCs w:val="28"/>
        </w:rPr>
        <w:t>. gada__</w:t>
      </w:r>
      <w:r w:rsidR="001B0E8C" w:rsidRPr="00E70066">
        <w:rPr>
          <w:rFonts w:ascii="Times New Roman" w:hAnsi="Times New Roman" w:cs="Times New Roman"/>
          <w:sz w:val="28"/>
          <w:szCs w:val="28"/>
        </w:rPr>
        <w:t>.</w:t>
      </w:r>
      <w:r w:rsidRPr="00E70066">
        <w:rPr>
          <w:rFonts w:ascii="Times New Roman" w:hAnsi="Times New Roman" w:cs="Times New Roman"/>
          <w:sz w:val="28"/>
          <w:szCs w:val="28"/>
        </w:rPr>
        <w:t xml:space="preserve"> _______</w:t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="008100EA"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  <w:t>Noteikumi Nr.</w:t>
      </w:r>
    </w:p>
    <w:p w14:paraId="2533BEE9" w14:textId="03BD458B" w:rsidR="003D4302" w:rsidRPr="00E70066" w:rsidRDefault="003D4302" w:rsidP="00E70066">
      <w:pPr>
        <w:spacing w:after="0" w:line="240" w:lineRule="auto"/>
        <w:ind w:right="-483"/>
        <w:rPr>
          <w:rFonts w:ascii="Times New Roman" w:hAnsi="Times New Roman" w:cs="Times New Roman"/>
          <w:b/>
          <w:bCs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Rīgā</w:t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="008100EA"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ab/>
        <w:t>(prot. Nr.</w:t>
      </w:r>
      <w:r w:rsidRPr="00E70066">
        <w:rPr>
          <w:rFonts w:ascii="Times New Roman" w:hAnsi="Times New Roman" w:cs="Times New Roman"/>
          <w:sz w:val="28"/>
          <w:szCs w:val="28"/>
        </w:rPr>
        <w:tab/>
        <w:t>.§)</w:t>
      </w:r>
    </w:p>
    <w:p w14:paraId="03206398" w14:textId="77777777" w:rsidR="009D1D20" w:rsidRDefault="009D1D20" w:rsidP="009D1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D2A13" w14:textId="73C09FFE" w:rsidR="00064386" w:rsidRDefault="00E211D0" w:rsidP="009D1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66">
        <w:rPr>
          <w:rFonts w:ascii="Times New Roman" w:hAnsi="Times New Roman" w:cs="Times New Roman"/>
          <w:b/>
          <w:sz w:val="28"/>
          <w:szCs w:val="28"/>
        </w:rPr>
        <w:t>Grozījumi Ministru kabineta 2008.</w:t>
      </w:r>
      <w:r w:rsidR="009D1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066">
        <w:rPr>
          <w:rFonts w:ascii="Times New Roman" w:hAnsi="Times New Roman" w:cs="Times New Roman"/>
          <w:b/>
          <w:sz w:val="28"/>
          <w:szCs w:val="28"/>
        </w:rPr>
        <w:t>gada 29.</w:t>
      </w:r>
      <w:r w:rsidR="009D1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066">
        <w:rPr>
          <w:rFonts w:ascii="Times New Roman" w:hAnsi="Times New Roman" w:cs="Times New Roman"/>
          <w:b/>
          <w:sz w:val="28"/>
          <w:szCs w:val="28"/>
        </w:rPr>
        <w:t>septembra noteikumos Nr.</w:t>
      </w:r>
      <w:r w:rsidR="006B3613" w:rsidRPr="00E7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066">
        <w:rPr>
          <w:rFonts w:ascii="Times New Roman" w:hAnsi="Times New Roman" w:cs="Times New Roman"/>
          <w:b/>
          <w:sz w:val="28"/>
          <w:szCs w:val="28"/>
        </w:rPr>
        <w:t xml:space="preserve">800 </w:t>
      </w:r>
      <w:r w:rsidR="009D1D20">
        <w:rPr>
          <w:rFonts w:ascii="Times New Roman" w:hAnsi="Times New Roman" w:cs="Times New Roman"/>
          <w:b/>
          <w:sz w:val="28"/>
          <w:szCs w:val="28"/>
        </w:rPr>
        <w:t>“</w:t>
      </w:r>
      <w:r w:rsidRPr="00E70066">
        <w:rPr>
          <w:rFonts w:ascii="Times New Roman" w:hAnsi="Times New Roman" w:cs="Times New Roman"/>
          <w:b/>
          <w:sz w:val="28"/>
          <w:szCs w:val="28"/>
        </w:rPr>
        <w:t>Kārtība, kādā iesniedz un izskata pilno un saīsināto ziņojumu par tirgus dalībnieku apvienošanos”</w:t>
      </w:r>
    </w:p>
    <w:p w14:paraId="00828858" w14:textId="77777777" w:rsidR="009D1D20" w:rsidRPr="00E70066" w:rsidRDefault="009D1D20" w:rsidP="00E700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040D52" w14:textId="2301E4FA" w:rsidR="00E211D0" w:rsidRPr="00E70066" w:rsidRDefault="003D4302" w:rsidP="00E700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Izdoti saskaņā ar Konkurences likuma 15.</w:t>
      </w:r>
      <w:r w:rsidR="00AD08A0" w:rsidRPr="00E70066">
        <w:rPr>
          <w:rFonts w:ascii="Times New Roman" w:hAnsi="Times New Roman" w:cs="Times New Roman"/>
          <w:sz w:val="28"/>
          <w:szCs w:val="28"/>
        </w:rPr>
        <w:t> </w:t>
      </w:r>
      <w:r w:rsidRPr="00E70066">
        <w:rPr>
          <w:rFonts w:ascii="Times New Roman" w:hAnsi="Times New Roman" w:cs="Times New Roman"/>
          <w:sz w:val="28"/>
          <w:szCs w:val="28"/>
        </w:rPr>
        <w:t>panta piekto daļu</w:t>
      </w:r>
    </w:p>
    <w:p w14:paraId="1ABA191F" w14:textId="77777777" w:rsidR="00AE1C84" w:rsidRPr="00E70066" w:rsidRDefault="00AE1C84" w:rsidP="00E700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7FC447" w14:textId="26854B9B" w:rsidR="00E211D0" w:rsidRPr="00E70066" w:rsidRDefault="00AE1C84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1. </w:t>
      </w:r>
      <w:r w:rsidR="00E211D0" w:rsidRPr="00E70066">
        <w:rPr>
          <w:rFonts w:ascii="Times New Roman" w:hAnsi="Times New Roman" w:cs="Times New Roman"/>
          <w:sz w:val="28"/>
          <w:szCs w:val="28"/>
        </w:rPr>
        <w:t>Izdarīt Ministru kabineta 2008.</w:t>
      </w:r>
      <w:r w:rsidR="009027F5" w:rsidRPr="00E70066">
        <w:rPr>
          <w:rFonts w:ascii="Times New Roman" w:hAnsi="Times New Roman" w:cs="Times New Roman"/>
          <w:sz w:val="28"/>
          <w:szCs w:val="28"/>
        </w:rPr>
        <w:t> </w:t>
      </w:r>
      <w:r w:rsidR="00E211D0" w:rsidRPr="00E70066">
        <w:rPr>
          <w:rFonts w:ascii="Times New Roman" w:hAnsi="Times New Roman" w:cs="Times New Roman"/>
          <w:sz w:val="28"/>
          <w:szCs w:val="28"/>
        </w:rPr>
        <w:t>gada 29.</w:t>
      </w:r>
      <w:r w:rsidR="009027F5" w:rsidRPr="00E70066">
        <w:rPr>
          <w:rFonts w:ascii="Times New Roman" w:hAnsi="Times New Roman" w:cs="Times New Roman"/>
          <w:sz w:val="28"/>
          <w:szCs w:val="28"/>
        </w:rPr>
        <w:t> </w:t>
      </w:r>
      <w:r w:rsidR="00E211D0" w:rsidRPr="00E70066">
        <w:rPr>
          <w:rFonts w:ascii="Times New Roman" w:hAnsi="Times New Roman" w:cs="Times New Roman"/>
          <w:sz w:val="28"/>
          <w:szCs w:val="28"/>
        </w:rPr>
        <w:t>septembra noteikumos Nr.</w:t>
      </w:r>
      <w:r w:rsidR="009027F5" w:rsidRPr="00E70066">
        <w:rPr>
          <w:rFonts w:ascii="Times New Roman" w:hAnsi="Times New Roman" w:cs="Times New Roman"/>
          <w:sz w:val="28"/>
          <w:szCs w:val="28"/>
        </w:rPr>
        <w:t> </w:t>
      </w:r>
      <w:r w:rsidR="00E211D0" w:rsidRPr="00E70066">
        <w:rPr>
          <w:rFonts w:ascii="Times New Roman" w:hAnsi="Times New Roman" w:cs="Times New Roman"/>
          <w:sz w:val="28"/>
          <w:szCs w:val="28"/>
        </w:rPr>
        <w:t>800 ”Kārtība, kādā iesniedz un izskata pilno un saīsināto ziņojumu par tirgus dalībnieku apvienošanos” (Latvijas Vēstnesis, 2008, 154</w:t>
      </w:r>
      <w:r w:rsidR="00463A0C" w:rsidRPr="00E70066">
        <w:rPr>
          <w:rFonts w:ascii="Times New Roman" w:hAnsi="Times New Roman" w:cs="Times New Roman"/>
          <w:sz w:val="28"/>
          <w:szCs w:val="28"/>
        </w:rPr>
        <w:t>.</w:t>
      </w:r>
      <w:r w:rsidR="00E211D0" w:rsidRPr="00E70066">
        <w:rPr>
          <w:rFonts w:ascii="Times New Roman" w:hAnsi="Times New Roman" w:cs="Times New Roman"/>
          <w:sz w:val="28"/>
          <w:szCs w:val="28"/>
        </w:rPr>
        <w:t xml:space="preserve"> nr.</w:t>
      </w:r>
      <w:r w:rsidR="00463A0C" w:rsidRPr="00E70066">
        <w:rPr>
          <w:rFonts w:ascii="Times New Roman" w:hAnsi="Times New Roman" w:cs="Times New Roman"/>
          <w:sz w:val="28"/>
          <w:szCs w:val="28"/>
        </w:rPr>
        <w:t>; 2013,</w:t>
      </w:r>
      <w:r w:rsidR="00622B02">
        <w:rPr>
          <w:rFonts w:ascii="Times New Roman" w:hAnsi="Times New Roman" w:cs="Times New Roman"/>
          <w:sz w:val="28"/>
          <w:szCs w:val="28"/>
        </w:rPr>
        <w:t xml:space="preserve"> </w:t>
      </w:r>
      <w:r w:rsidR="00463A0C" w:rsidRPr="00E70066">
        <w:rPr>
          <w:rFonts w:ascii="Times New Roman" w:hAnsi="Times New Roman" w:cs="Times New Roman"/>
          <w:sz w:val="28"/>
          <w:szCs w:val="28"/>
        </w:rPr>
        <w:t>188.</w:t>
      </w:r>
      <w:r w:rsidR="006F2FF7" w:rsidRPr="00E70066">
        <w:rPr>
          <w:rFonts w:ascii="Times New Roman" w:hAnsi="Times New Roman" w:cs="Times New Roman"/>
          <w:sz w:val="28"/>
          <w:szCs w:val="28"/>
        </w:rPr>
        <w:t xml:space="preserve"> </w:t>
      </w:r>
      <w:r w:rsidR="00463A0C" w:rsidRPr="00E70066">
        <w:rPr>
          <w:rFonts w:ascii="Times New Roman" w:hAnsi="Times New Roman" w:cs="Times New Roman"/>
          <w:sz w:val="28"/>
          <w:szCs w:val="28"/>
        </w:rPr>
        <w:t>nr.</w:t>
      </w:r>
      <w:r w:rsidR="00E211D0" w:rsidRPr="00E70066">
        <w:rPr>
          <w:rFonts w:ascii="Times New Roman" w:hAnsi="Times New Roman" w:cs="Times New Roman"/>
          <w:sz w:val="28"/>
          <w:szCs w:val="28"/>
        </w:rPr>
        <w:t>) šādus grozījumus:</w:t>
      </w:r>
    </w:p>
    <w:p w14:paraId="3C20F0B6" w14:textId="77777777" w:rsidR="0099512F" w:rsidRPr="00E70066" w:rsidRDefault="0099512F" w:rsidP="006D360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DA6876D" w14:textId="503B14B3" w:rsidR="0003580E" w:rsidRPr="00E70066" w:rsidRDefault="0003580E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 xml:space="preserve">1.1. svītrot noteikumu tekstā vārdus 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“un faksa”</w:t>
      </w:r>
      <w:r w:rsidRPr="00E70066">
        <w:rPr>
          <w:rFonts w:ascii="Times New Roman" w:hAnsi="Times New Roman" w:cs="Times New Roman"/>
          <w:sz w:val="28"/>
          <w:szCs w:val="28"/>
        </w:rPr>
        <w:t>;</w:t>
      </w:r>
    </w:p>
    <w:p w14:paraId="7C4E8FE0" w14:textId="0BB4E710" w:rsidR="009D1D20" w:rsidRPr="00E70066" w:rsidRDefault="009D1D20" w:rsidP="00E70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B80D8" w14:textId="230001B2" w:rsidR="005E3D93" w:rsidRPr="00E70066" w:rsidRDefault="00AE1C84" w:rsidP="009722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</w:t>
      </w:r>
      <w:r w:rsidR="001A0FB6">
        <w:rPr>
          <w:rFonts w:ascii="Times New Roman" w:hAnsi="Times New Roman" w:cs="Times New Roman"/>
          <w:sz w:val="28"/>
          <w:szCs w:val="28"/>
        </w:rPr>
        <w:t>2</w:t>
      </w:r>
      <w:r w:rsidRPr="009722FC">
        <w:rPr>
          <w:rFonts w:ascii="Times New Roman" w:hAnsi="Times New Roman" w:cs="Times New Roman"/>
          <w:sz w:val="28"/>
          <w:szCs w:val="28"/>
        </w:rPr>
        <w:t>. i</w:t>
      </w:r>
      <w:r w:rsidR="005E3D93" w:rsidRPr="009722FC">
        <w:rPr>
          <w:rFonts w:ascii="Times New Roman" w:hAnsi="Times New Roman" w:cs="Times New Roman"/>
          <w:sz w:val="28"/>
          <w:szCs w:val="28"/>
        </w:rPr>
        <w:t>zteikt 4</w:t>
      </w:r>
      <w:r w:rsidR="005E3D93" w:rsidRPr="00E70066">
        <w:rPr>
          <w:rFonts w:ascii="Times New Roman" w:hAnsi="Times New Roman" w:cs="Times New Roman"/>
          <w:sz w:val="28"/>
          <w:szCs w:val="28"/>
        </w:rPr>
        <w:t>.</w:t>
      </w:r>
      <w:r w:rsidR="00B3165A" w:rsidRPr="00E70066">
        <w:rPr>
          <w:rFonts w:ascii="Times New Roman" w:hAnsi="Times New Roman" w:cs="Times New Roman"/>
          <w:sz w:val="28"/>
          <w:szCs w:val="28"/>
        </w:rPr>
        <w:t> </w:t>
      </w:r>
      <w:r w:rsidR="005E3D93" w:rsidRPr="00E70066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05B4DE44" w14:textId="77777777" w:rsidR="009D1D20" w:rsidRDefault="009D1D20" w:rsidP="006D3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CAFCD" w14:textId="41D439A9" w:rsidR="00C7703A" w:rsidRPr="00E70066" w:rsidRDefault="006759A2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E70066">
        <w:rPr>
          <w:rFonts w:ascii="Times New Roman" w:hAnsi="Times New Roman" w:cs="Times New Roman"/>
          <w:sz w:val="28"/>
          <w:szCs w:val="28"/>
        </w:rPr>
        <w:t>“</w:t>
      </w:r>
      <w:r w:rsidR="00C7703A" w:rsidRPr="00E70066">
        <w:rPr>
          <w:rFonts w:ascii="Times New Roman" w:hAnsi="Times New Roman" w:cs="Times New Roman"/>
          <w:sz w:val="28"/>
          <w:szCs w:val="28"/>
        </w:rPr>
        <w:t>4.</w:t>
      </w:r>
      <w:r w:rsidR="008E56C4" w:rsidRPr="00E70066">
        <w:rPr>
          <w:rFonts w:ascii="Times New Roman" w:hAnsi="Times New Roman" w:cs="Times New Roman"/>
          <w:sz w:val="28"/>
          <w:szCs w:val="28"/>
        </w:rPr>
        <w:t> </w:t>
      </w:r>
      <w:r w:rsidR="00C7703A" w:rsidRPr="00E70066">
        <w:rPr>
          <w:rFonts w:ascii="Times New Roman" w:hAnsi="Times New Roman" w:cs="Times New Roman"/>
          <w:sz w:val="28"/>
          <w:szCs w:val="28"/>
        </w:rPr>
        <w:t xml:space="preserve">Ziņojuma saņemšanas diena ir diena, kad padomē saņemts pilns vai saīsināts ziņojums, kas </w:t>
      </w:r>
      <w:r w:rsidR="00C7703A" w:rsidRPr="00E70066">
        <w:rPr>
          <w:rFonts w:ascii="Times New Roman" w:eastAsia="Times New Roman" w:hAnsi="Times New Roman" w:cs="Times New Roman"/>
          <w:sz w:val="28"/>
          <w:szCs w:val="28"/>
        </w:rPr>
        <w:t>atbilst šo noteikumu prasībām</w:t>
      </w:r>
      <w:r w:rsidR="00C7703A" w:rsidRPr="00E7006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7703A" w:rsidRPr="00E7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 ir samaksāta va</w:t>
      </w:r>
      <w:r w:rsidR="00C7703A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lsts nodeva par apvienošanās darījuma izvērtēšanu. Ja </w:t>
      </w:r>
      <w:r w:rsidR="00C7703A" w:rsidRPr="00E70066">
        <w:rPr>
          <w:rFonts w:ascii="Times New Roman" w:hAnsi="Times New Roman" w:cs="Times New Roman"/>
          <w:sz w:val="28"/>
          <w:szCs w:val="28"/>
        </w:rPr>
        <w:t>mēneša laikā līdz kāda no Konkurences likuma 16.</w:t>
      </w:r>
      <w:r w:rsidR="00AD6FD2" w:rsidRPr="00E70066">
        <w:rPr>
          <w:rFonts w:ascii="Times New Roman" w:hAnsi="Times New Roman" w:cs="Times New Roman"/>
          <w:sz w:val="28"/>
          <w:szCs w:val="28"/>
        </w:rPr>
        <w:t> </w:t>
      </w:r>
      <w:r w:rsidR="00C7703A" w:rsidRPr="00E70066">
        <w:rPr>
          <w:rFonts w:ascii="Times New Roman" w:hAnsi="Times New Roman" w:cs="Times New Roman"/>
          <w:sz w:val="28"/>
          <w:szCs w:val="28"/>
        </w:rPr>
        <w:t>panta pirmajā daļā minēto lēmumu pieņemšanai</w:t>
      </w:r>
      <w:r w:rsidR="00C7703A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padome konstatē, ka ziņojums neatbilst iepriekš minētajām prasībām</w:t>
      </w:r>
      <w:r w:rsidR="00C7703A" w:rsidRPr="00E70066">
        <w:rPr>
          <w:rFonts w:ascii="Times New Roman" w:hAnsi="Times New Roman" w:cs="Times New Roman"/>
          <w:sz w:val="28"/>
          <w:szCs w:val="28"/>
        </w:rPr>
        <w:t>, padome, konstatējot nepilnības, nekavējoties rakstiski informē par to ziņojuma iesniedzēju (turpmāk – iesniedzējs</w:t>
      </w:r>
      <w:r w:rsidR="00722025" w:rsidRPr="00E70066">
        <w:rPr>
          <w:rFonts w:ascii="Times New Roman" w:hAnsi="Times New Roman" w:cs="Times New Roman"/>
          <w:sz w:val="28"/>
          <w:szCs w:val="28"/>
        </w:rPr>
        <w:t xml:space="preserve">). </w:t>
      </w:r>
      <w:r w:rsidR="00C7703A" w:rsidRPr="00E70066">
        <w:rPr>
          <w:rFonts w:ascii="Times New Roman" w:hAnsi="Times New Roman" w:cs="Times New Roman"/>
          <w:sz w:val="28"/>
          <w:szCs w:val="28"/>
        </w:rPr>
        <w:t>Tādos gadījumos ziņojuma saņemšanas diena ir diena, kad padomē saņemta pilnīga informācija.</w:t>
      </w:r>
      <w:r w:rsidR="00C7703A" w:rsidRPr="00E70066">
        <w:rPr>
          <w:rFonts w:ascii="Times New Roman" w:hAnsi="Times New Roman" w:cs="Times New Roman"/>
          <w:sz w:val="28"/>
          <w:szCs w:val="28"/>
          <w:lang w:eastAsia="lv-LV"/>
        </w:rPr>
        <w:t>”</w:t>
      </w:r>
      <w:r w:rsidR="008E56C4" w:rsidRPr="00E70066">
        <w:rPr>
          <w:rFonts w:ascii="Times New Roman" w:hAnsi="Times New Roman" w:cs="Times New Roman"/>
          <w:sz w:val="28"/>
          <w:szCs w:val="28"/>
          <w:lang w:eastAsia="lv-LV"/>
        </w:rPr>
        <w:t>;</w:t>
      </w:r>
    </w:p>
    <w:p w14:paraId="6005AA12" w14:textId="77777777" w:rsidR="00DD1C84" w:rsidRDefault="00DD1C84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A7DDE5" w14:textId="33B8012B" w:rsidR="00D66F37" w:rsidRPr="00E70066" w:rsidRDefault="00F21A18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</w:t>
      </w:r>
      <w:r w:rsidR="001A0FB6">
        <w:rPr>
          <w:rFonts w:ascii="Times New Roman" w:hAnsi="Times New Roman" w:cs="Times New Roman"/>
          <w:sz w:val="28"/>
          <w:szCs w:val="28"/>
        </w:rPr>
        <w:t>3</w:t>
      </w:r>
      <w:r w:rsidRPr="00E70066">
        <w:rPr>
          <w:rFonts w:ascii="Times New Roman" w:hAnsi="Times New Roman" w:cs="Times New Roman"/>
          <w:sz w:val="28"/>
          <w:szCs w:val="28"/>
        </w:rPr>
        <w:t>. i</w:t>
      </w:r>
      <w:r w:rsidR="00D66F37" w:rsidRPr="00E70066">
        <w:rPr>
          <w:rFonts w:ascii="Times New Roman" w:hAnsi="Times New Roman" w:cs="Times New Roman"/>
          <w:sz w:val="28"/>
          <w:szCs w:val="28"/>
        </w:rPr>
        <w:t>zteikt 6.</w:t>
      </w:r>
      <w:r w:rsidR="002768CC" w:rsidRPr="00E70066">
        <w:rPr>
          <w:rFonts w:ascii="Times New Roman" w:hAnsi="Times New Roman" w:cs="Times New Roman"/>
          <w:sz w:val="28"/>
          <w:szCs w:val="28"/>
        </w:rPr>
        <w:t> </w:t>
      </w:r>
      <w:r w:rsidR="00D66F37" w:rsidRPr="00E70066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2E19A61B" w14:textId="77777777" w:rsidR="00DD1C84" w:rsidRDefault="00DD1C84" w:rsidP="006D3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697AF6" w14:textId="420AA99C" w:rsidR="00D66F37" w:rsidRPr="00E70066" w:rsidRDefault="00D66F37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“</w:t>
      </w:r>
      <w:r w:rsidR="0029366D" w:rsidRPr="00E70066">
        <w:rPr>
          <w:rFonts w:ascii="Times New Roman" w:hAnsi="Times New Roman" w:cs="Times New Roman"/>
          <w:sz w:val="28"/>
          <w:szCs w:val="28"/>
        </w:rPr>
        <w:t xml:space="preserve">6. </w:t>
      </w:r>
      <w:r w:rsidR="00C7703A" w:rsidRPr="00E70066">
        <w:rPr>
          <w:rFonts w:ascii="Times New Roman" w:hAnsi="Times New Roman" w:cs="Times New Roman"/>
          <w:sz w:val="28"/>
          <w:szCs w:val="28"/>
        </w:rPr>
        <w:t xml:space="preserve">Vienu vai vairākus </w:t>
      </w:r>
      <w:r w:rsidR="00C7703A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tādus apvienošanās darījumus</w:t>
      </w:r>
      <w:r w:rsidR="00C7703A" w:rsidRPr="00E70066">
        <w:rPr>
          <w:rFonts w:ascii="Times New Roman" w:hAnsi="Times New Roman" w:cs="Times New Roman"/>
          <w:sz w:val="28"/>
          <w:szCs w:val="28"/>
        </w:rPr>
        <w:t xml:space="preserve">, kas divu gadu laikā notiek starp tiem pašiem </w:t>
      </w:r>
      <w:r w:rsidR="001E54E3" w:rsidRPr="00E70066">
        <w:rPr>
          <w:rFonts w:ascii="Times New Roman" w:hAnsi="Times New Roman" w:cs="Times New Roman"/>
          <w:sz w:val="28"/>
          <w:szCs w:val="28"/>
        </w:rPr>
        <w:t xml:space="preserve">tirgus </w:t>
      </w:r>
      <w:r w:rsidR="00C7703A" w:rsidRPr="00E70066">
        <w:rPr>
          <w:rFonts w:ascii="Times New Roman" w:hAnsi="Times New Roman" w:cs="Times New Roman"/>
          <w:sz w:val="28"/>
          <w:szCs w:val="28"/>
        </w:rPr>
        <w:t>dalībniekiem, uzskata par vienu apvienošanos, kas rodas dienā, kad notiek pēdējais darījums.”</w:t>
      </w:r>
      <w:r w:rsidR="00F21A18" w:rsidRPr="00E70066">
        <w:rPr>
          <w:rFonts w:ascii="Times New Roman" w:hAnsi="Times New Roman" w:cs="Times New Roman"/>
          <w:sz w:val="28"/>
          <w:szCs w:val="28"/>
        </w:rPr>
        <w:t>;</w:t>
      </w:r>
    </w:p>
    <w:p w14:paraId="65B9B4DA" w14:textId="77777777" w:rsidR="0056213B" w:rsidRDefault="0056213B" w:rsidP="006D360D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E3B365" w14:textId="7ED50A20" w:rsidR="00806AF5" w:rsidRPr="00E70066" w:rsidRDefault="008434B0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</w:t>
      </w:r>
      <w:r w:rsidR="001A0FB6">
        <w:rPr>
          <w:rFonts w:ascii="Times New Roman" w:hAnsi="Times New Roman" w:cs="Times New Roman"/>
          <w:sz w:val="28"/>
          <w:szCs w:val="28"/>
        </w:rPr>
        <w:t>4</w:t>
      </w:r>
      <w:r w:rsidRPr="00E70066">
        <w:rPr>
          <w:rFonts w:ascii="Times New Roman" w:hAnsi="Times New Roman" w:cs="Times New Roman"/>
          <w:sz w:val="28"/>
          <w:szCs w:val="28"/>
        </w:rPr>
        <w:t>. </w:t>
      </w:r>
      <w:r w:rsidR="0056213B" w:rsidRPr="006D360D">
        <w:rPr>
          <w:rFonts w:ascii="Times New Roman" w:hAnsi="Times New Roman" w:cs="Times New Roman"/>
          <w:sz w:val="28"/>
          <w:szCs w:val="28"/>
        </w:rPr>
        <w:t>izteikt 18.</w:t>
      </w:r>
      <w:r w:rsidR="00FA7DF6" w:rsidRPr="006D360D">
        <w:rPr>
          <w:rFonts w:ascii="Times New Roman" w:hAnsi="Times New Roman" w:cs="Times New Roman"/>
          <w:sz w:val="28"/>
          <w:szCs w:val="28"/>
        </w:rPr>
        <w:t xml:space="preserve"> </w:t>
      </w:r>
      <w:r w:rsidR="0056213B" w:rsidRPr="00BE0A6D">
        <w:rPr>
          <w:rFonts w:ascii="Times New Roman" w:hAnsi="Times New Roman" w:cs="Times New Roman"/>
          <w:sz w:val="28"/>
          <w:szCs w:val="28"/>
        </w:rPr>
        <w:t>p</w:t>
      </w:r>
      <w:r w:rsidR="0056213B" w:rsidRPr="008E4DCB">
        <w:rPr>
          <w:rFonts w:ascii="Times New Roman" w:hAnsi="Times New Roman" w:cs="Times New Roman"/>
          <w:sz w:val="28"/>
          <w:szCs w:val="28"/>
        </w:rPr>
        <w:t>unktu</w:t>
      </w:r>
      <w:r w:rsidR="00806AF5" w:rsidRPr="00E70066">
        <w:rPr>
          <w:rFonts w:ascii="Times New Roman" w:hAnsi="Times New Roman" w:cs="Times New Roman"/>
          <w:sz w:val="28"/>
          <w:szCs w:val="28"/>
        </w:rPr>
        <w:t xml:space="preserve"> šādā redakcijā:</w:t>
      </w:r>
    </w:p>
    <w:p w14:paraId="0499E6D2" w14:textId="77777777" w:rsidR="0056213B" w:rsidRPr="006D360D" w:rsidRDefault="0056213B" w:rsidP="006D360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0FE56EAA" w14:textId="5872E9B7" w:rsidR="00FA7DF6" w:rsidRPr="00E70066" w:rsidRDefault="00806AF5" w:rsidP="00E70066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70066">
        <w:rPr>
          <w:iCs/>
          <w:color w:val="000000" w:themeColor="text1"/>
          <w:sz w:val="28"/>
          <w:szCs w:val="28"/>
        </w:rPr>
        <w:t>“</w:t>
      </w:r>
      <w:r w:rsidR="00FA7DF6" w:rsidRPr="00E70066">
        <w:rPr>
          <w:sz w:val="28"/>
          <w:szCs w:val="28"/>
        </w:rPr>
        <w:t>18. Ziņojumā norāda šādu informācij</w:t>
      </w:r>
      <w:r w:rsidR="00CB21B6">
        <w:rPr>
          <w:sz w:val="28"/>
          <w:szCs w:val="28"/>
        </w:rPr>
        <w:t>u</w:t>
      </w:r>
      <w:r w:rsidR="00FA7DF6" w:rsidRPr="00E70066">
        <w:rPr>
          <w:sz w:val="28"/>
          <w:szCs w:val="28"/>
        </w:rPr>
        <w:t>:</w:t>
      </w:r>
    </w:p>
    <w:p w14:paraId="7B9BDDE5" w14:textId="77777777" w:rsidR="00FA7DF6" w:rsidRDefault="00FA7DF6" w:rsidP="00E70066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6FD32388" w14:textId="573A88B8" w:rsidR="00FA7DF6" w:rsidRPr="00E70066" w:rsidRDefault="00FA7DF6" w:rsidP="00E70066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18.1. par katru iesniedzēju:</w:t>
      </w:r>
    </w:p>
    <w:p w14:paraId="04999DE8" w14:textId="77777777" w:rsidR="00FA7DF6" w:rsidRDefault="00FA7DF6" w:rsidP="00E70066">
      <w:pPr>
        <w:pStyle w:val="tv213"/>
        <w:spacing w:before="0" w:beforeAutospacing="0" w:after="0" w:afterAutospacing="0"/>
        <w:ind w:left="720" w:firstLine="981"/>
        <w:jc w:val="both"/>
        <w:rPr>
          <w:sz w:val="28"/>
          <w:szCs w:val="28"/>
        </w:rPr>
      </w:pPr>
    </w:p>
    <w:p w14:paraId="120705F4" w14:textId="259C9F57" w:rsidR="00FA7DF6" w:rsidRPr="00E70066" w:rsidRDefault="00FA7DF6" w:rsidP="00E70066">
      <w:pPr>
        <w:pStyle w:val="tv213"/>
        <w:spacing w:before="0" w:beforeAutospacing="0" w:after="0" w:afterAutospacing="0"/>
        <w:ind w:left="1701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18.1.1. nosaukumu, reģistrācijas numuru komercreģistrā vai – ārvalstu komersantiem – reģistrā, kas pielīdzināms komercreģistram. Fiziska persona norāda vārdu, uzvārdu un personas kodu;</w:t>
      </w:r>
    </w:p>
    <w:p w14:paraId="7503C28C" w14:textId="77777777" w:rsidR="00FA7DF6" w:rsidRDefault="00FA7DF6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</w:p>
    <w:p w14:paraId="327C2AB2" w14:textId="62178818" w:rsidR="00FA7DF6" w:rsidRPr="00E70066" w:rsidRDefault="00FA7DF6" w:rsidP="00E70066">
      <w:pPr>
        <w:pStyle w:val="tv213"/>
        <w:spacing w:before="0" w:beforeAutospacing="0" w:after="0" w:afterAutospacing="0"/>
        <w:ind w:left="1701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18.1.2. juridisko adresi, tālruņa numuru, e-pasta adresi, tās kontaktpersonas vārdu, uzvārdu un amatu, kas kompetenta risināt apvienošanās jautājumus. Fiziska persona norāda deklarētās dzīvesvietas adresi, tālruņa numuru un e-pasta adresi;</w:t>
      </w:r>
    </w:p>
    <w:p w14:paraId="65977B67" w14:textId="77777777" w:rsidR="00FA7DF6" w:rsidRDefault="00FA7DF6" w:rsidP="00E70066">
      <w:pPr>
        <w:pStyle w:val="tv213"/>
        <w:spacing w:before="0" w:beforeAutospacing="0" w:after="0" w:afterAutospacing="0"/>
        <w:ind w:left="556" w:firstLine="720"/>
        <w:jc w:val="both"/>
        <w:rPr>
          <w:sz w:val="28"/>
          <w:szCs w:val="28"/>
        </w:rPr>
      </w:pPr>
    </w:p>
    <w:p w14:paraId="607ECC53" w14:textId="2C4B736A" w:rsidR="00FA7DF6" w:rsidRPr="00E70066" w:rsidRDefault="00FA7DF6" w:rsidP="00E70066">
      <w:pPr>
        <w:pStyle w:val="tv213"/>
        <w:spacing w:before="0" w:beforeAutospacing="0" w:after="0" w:afterAutospacing="0"/>
        <w:ind w:left="981" w:firstLine="720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18.1.3. pašreizējos un plānotos darbības veidus;</w:t>
      </w:r>
    </w:p>
    <w:p w14:paraId="09028A59" w14:textId="77777777" w:rsidR="00FA7DF6" w:rsidRDefault="00FA7DF6" w:rsidP="00E70066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7B7167F0" w14:textId="7F660CB5" w:rsidR="00FA7DF6" w:rsidRPr="00E70066" w:rsidRDefault="00FA7DF6" w:rsidP="00E70066">
      <w:pPr>
        <w:pStyle w:val="tv213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18.2. par pārējiem apvienošanās dalībniekiem:</w:t>
      </w:r>
    </w:p>
    <w:p w14:paraId="3BC51362" w14:textId="77777777" w:rsidR="00FA7DF6" w:rsidRDefault="00FA7DF6" w:rsidP="00E70066">
      <w:pPr>
        <w:pStyle w:val="tv213"/>
        <w:spacing w:before="0" w:beforeAutospacing="0" w:after="0" w:afterAutospacing="0"/>
        <w:ind w:left="1701"/>
        <w:jc w:val="both"/>
        <w:rPr>
          <w:sz w:val="28"/>
          <w:szCs w:val="28"/>
        </w:rPr>
      </w:pPr>
    </w:p>
    <w:p w14:paraId="48AD4F95" w14:textId="3BCCE413" w:rsidR="00FA7DF6" w:rsidRPr="00E70066" w:rsidRDefault="00FA7DF6" w:rsidP="00E70066">
      <w:pPr>
        <w:pStyle w:val="tv213"/>
        <w:spacing w:before="0" w:beforeAutospacing="0" w:after="0" w:afterAutospacing="0"/>
        <w:ind w:left="1701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18.2.1. nosaukumu, juridisko adresi, tālruņa numuru, e-pasta adresi, tās kontaktpersonas vārdu, uzvārdu un amatu, kas kompetenta risināt apvienošanās jautājumus;</w:t>
      </w:r>
    </w:p>
    <w:p w14:paraId="3038849C" w14:textId="77777777" w:rsidR="00FA7DF6" w:rsidRDefault="00FA7DF6" w:rsidP="00E70066">
      <w:pPr>
        <w:pStyle w:val="tv213"/>
        <w:spacing w:before="0" w:beforeAutospacing="0" w:after="0" w:afterAutospacing="0"/>
        <w:ind w:left="981" w:firstLine="720"/>
        <w:jc w:val="both"/>
        <w:rPr>
          <w:sz w:val="28"/>
          <w:szCs w:val="28"/>
        </w:rPr>
      </w:pPr>
    </w:p>
    <w:p w14:paraId="3BD2E876" w14:textId="41533582" w:rsidR="00FA7DF6" w:rsidRPr="00E70066" w:rsidRDefault="00FA7DF6" w:rsidP="00E70066">
      <w:pPr>
        <w:pStyle w:val="tv213"/>
        <w:spacing w:before="0" w:beforeAutospacing="0" w:after="0" w:afterAutospacing="0"/>
        <w:ind w:left="981" w:firstLine="720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18.2.2. pašreizējos un plānotos darbības veidus;</w:t>
      </w:r>
    </w:p>
    <w:p w14:paraId="04C9ECB6" w14:textId="77777777" w:rsidR="00FA7DF6" w:rsidRDefault="00FA7DF6" w:rsidP="00E70066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252CCED6" w14:textId="3E568132" w:rsidR="00FA7DF6" w:rsidRPr="00E70066" w:rsidRDefault="00FA7DF6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18.3. apvienošanās dalībnieka pilnvarotās personas vārdu, uzvārdu, amatu, korespondences adresi, tālruņa numuru, e-pasta adresi, tīmekļa vietnes adresi.</w:t>
      </w:r>
    </w:p>
    <w:p w14:paraId="5658FA48" w14:textId="4307A4A9" w:rsidR="000F401D" w:rsidRPr="006D360D" w:rsidRDefault="000F401D" w:rsidP="006D360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6BE81E10" w14:textId="5AA283FA" w:rsidR="00C7703A" w:rsidRPr="00E70066" w:rsidRDefault="00C7703A" w:rsidP="00E70066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18.4.</w:t>
      </w:r>
      <w:r w:rsidR="00B76BBA" w:rsidRPr="00E70066">
        <w:rPr>
          <w:rFonts w:ascii="Times New Roman" w:hAnsi="Times New Roman" w:cs="Times New Roman"/>
          <w:sz w:val="28"/>
          <w:szCs w:val="28"/>
        </w:rPr>
        <w:t> </w:t>
      </w:r>
      <w:r w:rsidRPr="00E70066">
        <w:rPr>
          <w:rFonts w:ascii="Times New Roman" w:hAnsi="Times New Roman" w:cs="Times New Roman"/>
          <w:sz w:val="28"/>
          <w:szCs w:val="28"/>
        </w:rPr>
        <w:t>apliecinājumu par apvienošanās neatbilstību paziņošanas Eiropas Komisijai kritērijiem</w:t>
      </w:r>
      <w:r w:rsidR="00285D79">
        <w:rPr>
          <w:rFonts w:ascii="Times New Roman" w:hAnsi="Times New Roman" w:cs="Times New Roman"/>
          <w:sz w:val="28"/>
          <w:szCs w:val="28"/>
        </w:rPr>
        <w:t>.</w:t>
      </w:r>
    </w:p>
    <w:p w14:paraId="60E6F3B6" w14:textId="77777777" w:rsidR="000F401D" w:rsidRDefault="000F401D" w:rsidP="006D360D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544502" w14:textId="4A6D5F1F" w:rsidR="00C7703A" w:rsidRPr="00E70066" w:rsidRDefault="00C7703A" w:rsidP="00E70066">
      <w:pPr>
        <w:pStyle w:val="ListParagraph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18.5.</w:t>
      </w:r>
      <w:r w:rsidR="00B76BBA" w:rsidRPr="00E70066">
        <w:rPr>
          <w:rFonts w:ascii="Times New Roman" w:hAnsi="Times New Roman" w:cs="Times New Roman"/>
          <w:sz w:val="28"/>
          <w:szCs w:val="28"/>
        </w:rPr>
        <w:t> </w:t>
      </w:r>
      <w:r w:rsidRPr="00E70066">
        <w:rPr>
          <w:rFonts w:ascii="Times New Roman" w:hAnsi="Times New Roman" w:cs="Times New Roman"/>
          <w:sz w:val="28"/>
          <w:szCs w:val="28"/>
        </w:rPr>
        <w:t>informāciju, vai apvienošanās ir paziņota vai to ir plānots paziņot citās valstīs.”</w:t>
      </w:r>
    </w:p>
    <w:p w14:paraId="6B30113A" w14:textId="77777777" w:rsidR="00C14A77" w:rsidRDefault="00C14A77" w:rsidP="00C14A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F6F7788" w14:textId="4F4CB3DC" w:rsidR="006175FF" w:rsidRPr="00E70066" w:rsidRDefault="00FA7622" w:rsidP="009722FC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22FC">
        <w:rPr>
          <w:rFonts w:ascii="Times New Roman" w:hAnsi="Times New Roman" w:cs="Times New Roman"/>
          <w:sz w:val="28"/>
          <w:szCs w:val="28"/>
        </w:rPr>
        <w:t>1.</w:t>
      </w:r>
      <w:r w:rsidR="001A0FB6">
        <w:rPr>
          <w:rFonts w:ascii="Times New Roman" w:hAnsi="Times New Roman" w:cs="Times New Roman"/>
          <w:sz w:val="28"/>
          <w:szCs w:val="28"/>
        </w:rPr>
        <w:t>5</w:t>
      </w:r>
      <w:r w:rsidRPr="009722FC">
        <w:rPr>
          <w:rFonts w:ascii="Times New Roman" w:hAnsi="Times New Roman" w:cs="Times New Roman"/>
          <w:sz w:val="28"/>
          <w:szCs w:val="28"/>
        </w:rPr>
        <w:t>. p</w:t>
      </w:r>
      <w:r w:rsidR="00FE5A8C" w:rsidRPr="009722FC">
        <w:rPr>
          <w:rFonts w:ascii="Times New Roman" w:hAnsi="Times New Roman" w:cs="Times New Roman"/>
          <w:sz w:val="28"/>
          <w:szCs w:val="28"/>
        </w:rPr>
        <w:t>apildināt</w:t>
      </w:r>
      <w:r w:rsidR="00D06B2D" w:rsidRPr="009722FC">
        <w:rPr>
          <w:rFonts w:ascii="Times New Roman" w:hAnsi="Times New Roman" w:cs="Times New Roman"/>
          <w:sz w:val="28"/>
          <w:szCs w:val="28"/>
        </w:rPr>
        <w:t xml:space="preserve"> </w:t>
      </w:r>
      <w:r w:rsidR="00D06B2D" w:rsidRPr="00E70066">
        <w:rPr>
          <w:rFonts w:ascii="Times New Roman" w:hAnsi="Times New Roman" w:cs="Times New Roman"/>
          <w:sz w:val="28"/>
          <w:szCs w:val="28"/>
        </w:rPr>
        <w:t>20.</w:t>
      </w:r>
      <w:r w:rsidR="0058694A" w:rsidRPr="00E70066">
        <w:rPr>
          <w:rFonts w:ascii="Times New Roman" w:hAnsi="Times New Roman" w:cs="Times New Roman"/>
          <w:sz w:val="28"/>
          <w:szCs w:val="28"/>
        </w:rPr>
        <w:t> </w:t>
      </w:r>
      <w:r w:rsidR="00314FAC" w:rsidRPr="00E70066">
        <w:rPr>
          <w:rFonts w:ascii="Times New Roman" w:hAnsi="Times New Roman" w:cs="Times New Roman"/>
          <w:sz w:val="28"/>
          <w:szCs w:val="28"/>
        </w:rPr>
        <w:t xml:space="preserve">punktu </w:t>
      </w:r>
      <w:r w:rsidR="00FE5A8C" w:rsidRPr="00E70066">
        <w:rPr>
          <w:rFonts w:ascii="Times New Roman" w:hAnsi="Times New Roman" w:cs="Times New Roman"/>
          <w:sz w:val="28"/>
          <w:szCs w:val="28"/>
        </w:rPr>
        <w:t xml:space="preserve">aiz vārda </w:t>
      </w:r>
      <w:r w:rsidR="00C66A6C" w:rsidRPr="00E70066">
        <w:rPr>
          <w:rFonts w:ascii="Times New Roman" w:hAnsi="Times New Roman" w:cs="Times New Roman"/>
          <w:sz w:val="28"/>
          <w:szCs w:val="28"/>
        </w:rPr>
        <w:t xml:space="preserve">“teritorijā” ar </w:t>
      </w:r>
      <w:r w:rsidRPr="00E70066">
        <w:rPr>
          <w:rFonts w:ascii="Times New Roman" w:hAnsi="Times New Roman" w:cs="Times New Roman"/>
          <w:sz w:val="28"/>
          <w:szCs w:val="28"/>
        </w:rPr>
        <w:t xml:space="preserve">pieturzīmi un </w:t>
      </w:r>
      <w:r w:rsidR="00C66A6C" w:rsidRPr="00E70066">
        <w:rPr>
          <w:rFonts w:ascii="Times New Roman" w:hAnsi="Times New Roman" w:cs="Times New Roman"/>
          <w:sz w:val="28"/>
          <w:szCs w:val="28"/>
        </w:rPr>
        <w:t>vārdiem “</w:t>
      </w:r>
      <w:r w:rsidRPr="00E70066">
        <w:rPr>
          <w:rFonts w:ascii="Times New Roman" w:hAnsi="Times New Roman" w:cs="Times New Roman"/>
          <w:sz w:val="28"/>
          <w:szCs w:val="28"/>
        </w:rPr>
        <w:t xml:space="preserve">, </w:t>
      </w:r>
      <w:r w:rsidR="000C3FBB" w:rsidRPr="00E70066">
        <w:rPr>
          <w:rFonts w:ascii="Times New Roman" w:hAnsi="Times New Roman" w:cs="Times New Roman"/>
          <w:sz w:val="28"/>
          <w:szCs w:val="28"/>
        </w:rPr>
        <w:t>ietverot arī detalizētu apgrozījuma aprēķinu”</w:t>
      </w:r>
      <w:r w:rsidRPr="00E70066">
        <w:rPr>
          <w:rFonts w:ascii="Times New Roman" w:hAnsi="Times New Roman" w:cs="Times New Roman"/>
          <w:sz w:val="28"/>
          <w:szCs w:val="28"/>
        </w:rPr>
        <w:t>;</w:t>
      </w:r>
      <w:r w:rsidR="000C3FBB" w:rsidRPr="00E70066" w:rsidDel="000C3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99A26" w14:textId="77777777" w:rsidR="00FE5E1F" w:rsidRDefault="00FE5E1F" w:rsidP="00FE5E1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4E0113" w14:textId="5D278381" w:rsidR="00D36D68" w:rsidRPr="00E70066" w:rsidRDefault="009468BB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</w:t>
      </w:r>
      <w:r w:rsidR="001A0FB6">
        <w:rPr>
          <w:rFonts w:ascii="Times New Roman" w:hAnsi="Times New Roman" w:cs="Times New Roman"/>
          <w:sz w:val="28"/>
          <w:szCs w:val="28"/>
        </w:rPr>
        <w:t>6</w:t>
      </w:r>
      <w:r w:rsidRPr="00E70066">
        <w:rPr>
          <w:rFonts w:ascii="Times New Roman" w:hAnsi="Times New Roman" w:cs="Times New Roman"/>
          <w:sz w:val="28"/>
          <w:szCs w:val="28"/>
        </w:rPr>
        <w:t>. </w:t>
      </w:r>
      <w:r w:rsidR="008E2F8F" w:rsidRPr="006D360D">
        <w:rPr>
          <w:rFonts w:ascii="Times New Roman" w:hAnsi="Times New Roman" w:cs="Times New Roman"/>
          <w:sz w:val="28"/>
          <w:szCs w:val="28"/>
        </w:rPr>
        <w:t>izteikt</w:t>
      </w:r>
      <w:r w:rsidR="008E2F8F" w:rsidRPr="00E70066">
        <w:rPr>
          <w:rFonts w:ascii="Times New Roman" w:hAnsi="Times New Roman" w:cs="Times New Roman"/>
          <w:sz w:val="28"/>
          <w:szCs w:val="28"/>
        </w:rPr>
        <w:t xml:space="preserve"> </w:t>
      </w:r>
      <w:r w:rsidR="00D36D68" w:rsidRPr="00E70066">
        <w:rPr>
          <w:rFonts w:ascii="Times New Roman" w:hAnsi="Times New Roman" w:cs="Times New Roman"/>
          <w:sz w:val="28"/>
          <w:szCs w:val="28"/>
        </w:rPr>
        <w:t>21.</w:t>
      </w:r>
      <w:r w:rsidR="00285D79">
        <w:rPr>
          <w:rFonts w:ascii="Times New Roman" w:hAnsi="Times New Roman" w:cs="Times New Roman"/>
          <w:sz w:val="28"/>
          <w:szCs w:val="28"/>
        </w:rPr>
        <w:t xml:space="preserve"> </w:t>
      </w:r>
      <w:r w:rsidR="00F94953">
        <w:rPr>
          <w:rFonts w:ascii="Times New Roman" w:hAnsi="Times New Roman" w:cs="Times New Roman"/>
          <w:sz w:val="28"/>
          <w:szCs w:val="28"/>
        </w:rPr>
        <w:t xml:space="preserve">un 22. </w:t>
      </w:r>
      <w:r w:rsidR="00D36D68" w:rsidRPr="00E70066">
        <w:rPr>
          <w:rFonts w:ascii="Times New Roman" w:hAnsi="Times New Roman" w:cs="Times New Roman"/>
          <w:sz w:val="28"/>
          <w:szCs w:val="28"/>
        </w:rPr>
        <w:t xml:space="preserve">punktu </w:t>
      </w:r>
      <w:r w:rsidR="00285D79" w:rsidRPr="00E742A3">
        <w:rPr>
          <w:rFonts w:ascii="Times New Roman" w:hAnsi="Times New Roman" w:cs="Times New Roman"/>
          <w:sz w:val="28"/>
          <w:szCs w:val="28"/>
        </w:rPr>
        <w:t>šādā redakcijā</w:t>
      </w:r>
      <w:r w:rsidR="00285D79">
        <w:rPr>
          <w:rFonts w:ascii="Times New Roman" w:hAnsi="Times New Roman" w:cs="Times New Roman"/>
          <w:sz w:val="28"/>
          <w:szCs w:val="28"/>
        </w:rPr>
        <w:t>:</w:t>
      </w:r>
    </w:p>
    <w:p w14:paraId="3AECA3CB" w14:textId="4E17E00B" w:rsidR="008E2F8F" w:rsidRPr="006D360D" w:rsidRDefault="008E2F8F" w:rsidP="006D360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AF10F0" w14:textId="77777777" w:rsidR="008E2F8F" w:rsidRPr="00E70066" w:rsidRDefault="008E2F8F" w:rsidP="00E70066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360D">
        <w:rPr>
          <w:sz w:val="28"/>
          <w:szCs w:val="28"/>
        </w:rPr>
        <w:t>“21.</w:t>
      </w:r>
      <w:r w:rsidRPr="00BE0A6D">
        <w:rPr>
          <w:sz w:val="28"/>
          <w:szCs w:val="28"/>
        </w:rPr>
        <w:t xml:space="preserve"> </w:t>
      </w:r>
      <w:r w:rsidRPr="00E70066">
        <w:rPr>
          <w:sz w:val="28"/>
          <w:szCs w:val="28"/>
        </w:rPr>
        <w:t>Par apvienošanās juridiskajiem, finansiālajiem un ekonomiskajiem aspektiem ziņojumā norāda:</w:t>
      </w:r>
    </w:p>
    <w:p w14:paraId="139F4963" w14:textId="77777777" w:rsidR="008E2F8F" w:rsidRDefault="008E2F8F" w:rsidP="008E2F8F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</w:p>
    <w:p w14:paraId="0C29A932" w14:textId="11300248" w:rsidR="008E2F8F" w:rsidRPr="00E70066" w:rsidRDefault="008E2F8F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 xml:space="preserve">21.1. apvienošanās </w:t>
      </w:r>
      <w:r w:rsidR="00285D79" w:rsidRPr="00E70066">
        <w:rPr>
          <w:iCs/>
          <w:sz w:val="28"/>
          <w:szCs w:val="28"/>
        </w:rPr>
        <w:t>darījuma detalizētu aprakstu un</w:t>
      </w:r>
      <w:r w:rsidR="00285D79" w:rsidRPr="00A425DF">
        <w:rPr>
          <w:sz w:val="28"/>
          <w:szCs w:val="28"/>
        </w:rPr>
        <w:t xml:space="preserve"> </w:t>
      </w:r>
      <w:r w:rsidRPr="00E70066">
        <w:rPr>
          <w:sz w:val="28"/>
          <w:szCs w:val="28"/>
        </w:rPr>
        <w:t xml:space="preserve">veidu atbilstoši </w:t>
      </w:r>
      <w:hyperlink r:id="rId11" w:tgtFrame="_blank" w:history="1">
        <w:r w:rsidRPr="00E70066">
          <w:rPr>
            <w:rStyle w:val="Hyperlink"/>
            <w:color w:val="auto"/>
            <w:sz w:val="28"/>
            <w:szCs w:val="28"/>
            <w:u w:val="none"/>
          </w:rPr>
          <w:t>Konkurences likuma</w:t>
        </w:r>
      </w:hyperlink>
      <w:r w:rsidRPr="00E70066">
        <w:rPr>
          <w:sz w:val="28"/>
          <w:szCs w:val="28"/>
        </w:rPr>
        <w:t xml:space="preserve"> </w:t>
      </w:r>
      <w:hyperlink r:id="rId12" w:anchor="p15" w:tgtFrame="_blank" w:history="1">
        <w:r w:rsidRPr="00E70066">
          <w:rPr>
            <w:rStyle w:val="Hyperlink"/>
            <w:color w:val="auto"/>
            <w:sz w:val="28"/>
            <w:szCs w:val="28"/>
            <w:u w:val="none"/>
          </w:rPr>
          <w:t>15.</w:t>
        </w:r>
        <w:r w:rsidR="008E460D" w:rsidRPr="00E70066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E70066">
          <w:rPr>
            <w:rStyle w:val="Hyperlink"/>
            <w:color w:val="auto"/>
            <w:sz w:val="28"/>
            <w:szCs w:val="28"/>
            <w:u w:val="none"/>
          </w:rPr>
          <w:t>panta</w:t>
        </w:r>
      </w:hyperlink>
      <w:r w:rsidRPr="00E70066">
        <w:rPr>
          <w:sz w:val="28"/>
          <w:szCs w:val="28"/>
        </w:rPr>
        <w:t xml:space="preserve"> pirmajai daļai;</w:t>
      </w:r>
    </w:p>
    <w:p w14:paraId="77E987D9" w14:textId="77777777" w:rsidR="008E2F8F" w:rsidRDefault="008E2F8F" w:rsidP="008E2F8F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</w:p>
    <w:p w14:paraId="354CAD1F" w14:textId="22CF7B20" w:rsidR="008E2F8F" w:rsidRDefault="008E2F8F" w:rsidP="008E2F8F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21.2. paredzētos nozīmīgākos apvienošanās procesa posmus un to termiņus;</w:t>
      </w:r>
    </w:p>
    <w:p w14:paraId="0CB34F26" w14:textId="77777777" w:rsidR="008E2F8F" w:rsidRPr="00E70066" w:rsidRDefault="008E2F8F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</w:p>
    <w:p w14:paraId="599A3C73" w14:textId="4537AFF7" w:rsidR="008E2F8F" w:rsidRDefault="008E2F8F" w:rsidP="00285D79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21.3. konkurences ierobežojumus, kas tieši saistīti un nepieciešami apvienošanās īstenošanai, to veidus un termiņus</w:t>
      </w:r>
      <w:r w:rsidR="00BB5325">
        <w:rPr>
          <w:sz w:val="28"/>
          <w:szCs w:val="28"/>
        </w:rPr>
        <w:t>;</w:t>
      </w:r>
    </w:p>
    <w:p w14:paraId="73EDEA33" w14:textId="77777777" w:rsidR="00285D79" w:rsidRDefault="00285D79" w:rsidP="00E70066">
      <w:pPr>
        <w:pStyle w:val="tv213"/>
        <w:spacing w:before="0" w:beforeAutospacing="0" w:after="0" w:afterAutospacing="0"/>
        <w:ind w:left="1276"/>
        <w:jc w:val="both"/>
      </w:pPr>
    </w:p>
    <w:p w14:paraId="3F245B38" w14:textId="2EE226AF" w:rsidR="00D36D68" w:rsidRPr="00E70066" w:rsidRDefault="00D36D68" w:rsidP="00E70066">
      <w:pPr>
        <w:spacing w:after="0" w:line="240" w:lineRule="auto"/>
        <w:ind w:firstLine="1276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21.4. </w:t>
      </w:r>
      <w:r w:rsidR="00C7703A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ekonomisko mērķi un pamatojumu.</w:t>
      </w:r>
    </w:p>
    <w:p w14:paraId="524A7572" w14:textId="77777777" w:rsidR="00CC3FCF" w:rsidRPr="00E70066" w:rsidRDefault="00CC3FCF" w:rsidP="006D360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40F8E91" w14:textId="2DBEFBCB" w:rsidR="00527820" w:rsidRPr="00E70066" w:rsidRDefault="00527820" w:rsidP="00E70066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70066">
        <w:rPr>
          <w:sz w:val="28"/>
          <w:szCs w:val="28"/>
        </w:rPr>
        <w:lastRenderedPageBreak/>
        <w:t>22. Par konkrētajiem tirgiem norāda šādu informāciju (vienlaikus norādot informācijas avotus):</w:t>
      </w:r>
    </w:p>
    <w:p w14:paraId="734D3C08" w14:textId="77777777" w:rsidR="00F94953" w:rsidRDefault="00F94953" w:rsidP="00F94953">
      <w:pPr>
        <w:pStyle w:val="tv213"/>
        <w:spacing w:before="0" w:beforeAutospacing="0" w:after="0" w:afterAutospacing="0"/>
        <w:ind w:left="862" w:firstLine="414"/>
        <w:jc w:val="both"/>
        <w:rPr>
          <w:sz w:val="28"/>
          <w:szCs w:val="28"/>
        </w:rPr>
      </w:pPr>
    </w:p>
    <w:p w14:paraId="03DD202E" w14:textId="3C9D22CF" w:rsidR="00527820" w:rsidRPr="00E70066" w:rsidRDefault="00527820" w:rsidP="00E70066">
      <w:pPr>
        <w:pStyle w:val="tv213"/>
        <w:spacing w:before="0" w:beforeAutospacing="0" w:after="0" w:afterAutospacing="0"/>
        <w:ind w:left="862" w:firstLine="414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22.1. tirgus, kuros darbojas apvienošanās dalībnieks;</w:t>
      </w:r>
    </w:p>
    <w:p w14:paraId="5C094380" w14:textId="77777777" w:rsidR="00F94953" w:rsidRDefault="00F94953" w:rsidP="00F94953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55282D79" w14:textId="75050121" w:rsidR="00527820" w:rsidRPr="00E70066" w:rsidRDefault="00527820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22.2. vērtējumu par apvienošanās rezultātā ietekmētajiem tirgiem iepriekšējā gadā:</w:t>
      </w:r>
    </w:p>
    <w:p w14:paraId="0F01A3F3" w14:textId="77777777" w:rsidR="00F94953" w:rsidRDefault="00F94953" w:rsidP="00F94953">
      <w:pPr>
        <w:pStyle w:val="tv213"/>
        <w:spacing w:before="0" w:beforeAutospacing="0" w:after="0" w:afterAutospacing="0"/>
        <w:ind w:left="1996"/>
        <w:jc w:val="both"/>
        <w:rPr>
          <w:sz w:val="28"/>
          <w:szCs w:val="28"/>
        </w:rPr>
      </w:pPr>
    </w:p>
    <w:p w14:paraId="01654D9B" w14:textId="3F49D874" w:rsidR="00527820" w:rsidRPr="00E70066" w:rsidRDefault="00527820" w:rsidP="00E70066">
      <w:pPr>
        <w:pStyle w:val="tv213"/>
        <w:spacing w:before="0" w:beforeAutospacing="0" w:after="0" w:afterAutospacing="0"/>
        <w:ind w:left="199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22.2.1. tirgus lielumu pēc apgrozījuma (</w:t>
      </w:r>
      <w:proofErr w:type="spellStart"/>
      <w:r w:rsidRPr="00E70066">
        <w:rPr>
          <w:i/>
          <w:iCs/>
          <w:sz w:val="28"/>
          <w:szCs w:val="28"/>
        </w:rPr>
        <w:t>euro</w:t>
      </w:r>
      <w:proofErr w:type="spellEnd"/>
      <w:r w:rsidRPr="00E70066">
        <w:rPr>
          <w:sz w:val="28"/>
          <w:szCs w:val="28"/>
        </w:rPr>
        <w:t>) un pēc apjoma (vienībās), ja ir šāda informācija;</w:t>
      </w:r>
    </w:p>
    <w:p w14:paraId="35244DBC" w14:textId="77777777" w:rsidR="00F94953" w:rsidRDefault="00F94953" w:rsidP="00F94953">
      <w:pPr>
        <w:pStyle w:val="tv213"/>
        <w:spacing w:before="0" w:beforeAutospacing="0" w:after="0" w:afterAutospacing="0"/>
        <w:ind w:left="1440" w:firstLine="545"/>
        <w:jc w:val="both"/>
        <w:rPr>
          <w:sz w:val="28"/>
          <w:szCs w:val="28"/>
        </w:rPr>
      </w:pPr>
    </w:p>
    <w:p w14:paraId="265EF433" w14:textId="2748F679" w:rsidR="00527820" w:rsidRPr="00E70066" w:rsidRDefault="00527820" w:rsidP="00E70066">
      <w:pPr>
        <w:pStyle w:val="tv213"/>
        <w:spacing w:before="0" w:beforeAutospacing="0" w:after="0" w:afterAutospacing="0"/>
        <w:ind w:left="1985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22.2.2. katra apvienošanās dalībnieka aptuveno tirgus daļu procentos pēc apgrozījuma un pēc apjoma;</w:t>
      </w:r>
    </w:p>
    <w:p w14:paraId="2CD2EF56" w14:textId="77777777" w:rsidR="00F94953" w:rsidRDefault="00F94953" w:rsidP="00F94953">
      <w:pPr>
        <w:pStyle w:val="tv213"/>
        <w:spacing w:before="0" w:beforeAutospacing="0" w:after="0" w:afterAutospacing="0"/>
        <w:ind w:left="862" w:firstLine="414"/>
        <w:jc w:val="both"/>
        <w:rPr>
          <w:sz w:val="28"/>
          <w:szCs w:val="28"/>
        </w:rPr>
      </w:pPr>
    </w:p>
    <w:p w14:paraId="112B276E" w14:textId="6D3F34A1" w:rsidR="00527820" w:rsidRPr="00E70066" w:rsidRDefault="00527820" w:rsidP="00E70066">
      <w:pPr>
        <w:pStyle w:val="tv213"/>
        <w:spacing w:before="0" w:beforeAutospacing="0" w:after="0" w:afterAutospacing="0"/>
        <w:ind w:left="862" w:firstLine="414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22.3. iespējamās pozitīvās un negatīvās sekas attiecībā un konkurenci.”;</w:t>
      </w:r>
    </w:p>
    <w:p w14:paraId="78FF84CF" w14:textId="77777777" w:rsidR="008E460D" w:rsidRDefault="008E460D" w:rsidP="008E460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E8C51F" w14:textId="59ABB8DB" w:rsidR="00255222" w:rsidRPr="00E70066" w:rsidRDefault="005E3EB9" w:rsidP="009722FC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22FC">
        <w:rPr>
          <w:rFonts w:ascii="Times New Roman" w:hAnsi="Times New Roman" w:cs="Times New Roman"/>
          <w:sz w:val="28"/>
          <w:szCs w:val="28"/>
        </w:rPr>
        <w:t>1.</w:t>
      </w:r>
      <w:r w:rsidR="001A0FB6">
        <w:rPr>
          <w:rFonts w:ascii="Times New Roman" w:hAnsi="Times New Roman" w:cs="Times New Roman"/>
          <w:sz w:val="28"/>
          <w:szCs w:val="28"/>
        </w:rPr>
        <w:t>7</w:t>
      </w:r>
      <w:r w:rsidRPr="009722FC">
        <w:rPr>
          <w:rFonts w:ascii="Times New Roman" w:hAnsi="Times New Roman" w:cs="Times New Roman"/>
          <w:sz w:val="28"/>
          <w:szCs w:val="28"/>
        </w:rPr>
        <w:t>. </w:t>
      </w:r>
      <w:r w:rsidRPr="00E70066">
        <w:rPr>
          <w:rFonts w:ascii="Times New Roman" w:hAnsi="Times New Roman" w:cs="Times New Roman"/>
          <w:sz w:val="28"/>
          <w:szCs w:val="28"/>
        </w:rPr>
        <w:t>p</w:t>
      </w:r>
      <w:r w:rsidR="00255222" w:rsidRPr="00E70066">
        <w:rPr>
          <w:rFonts w:ascii="Times New Roman" w:hAnsi="Times New Roman" w:cs="Times New Roman"/>
          <w:sz w:val="28"/>
          <w:szCs w:val="28"/>
        </w:rPr>
        <w:t>apil</w:t>
      </w:r>
      <w:r w:rsidR="00314FAC" w:rsidRPr="00E70066">
        <w:rPr>
          <w:rFonts w:ascii="Times New Roman" w:hAnsi="Times New Roman" w:cs="Times New Roman"/>
          <w:sz w:val="28"/>
          <w:szCs w:val="28"/>
        </w:rPr>
        <w:t>dināt noteikumus ar 23.6.</w:t>
      </w:r>
      <w:r w:rsidR="00211440" w:rsidRPr="00E70066">
        <w:rPr>
          <w:rFonts w:ascii="Times New Roman" w:hAnsi="Times New Roman" w:cs="Times New Roman"/>
          <w:sz w:val="28"/>
          <w:szCs w:val="28"/>
        </w:rPr>
        <w:t xml:space="preserve"> un 23.7.</w:t>
      </w:r>
      <w:r w:rsidRPr="00E70066">
        <w:rPr>
          <w:rFonts w:ascii="Times New Roman" w:hAnsi="Times New Roman" w:cs="Times New Roman"/>
          <w:sz w:val="28"/>
          <w:szCs w:val="28"/>
        </w:rPr>
        <w:t> </w:t>
      </w:r>
      <w:r w:rsidR="00255222" w:rsidRPr="00E70066">
        <w:rPr>
          <w:rFonts w:ascii="Times New Roman" w:hAnsi="Times New Roman" w:cs="Times New Roman"/>
          <w:sz w:val="28"/>
          <w:szCs w:val="28"/>
        </w:rPr>
        <w:t>apakšpunkt</w:t>
      </w:r>
      <w:r w:rsidR="00314FAC" w:rsidRPr="00E70066">
        <w:rPr>
          <w:rFonts w:ascii="Times New Roman" w:hAnsi="Times New Roman" w:cs="Times New Roman"/>
          <w:sz w:val="28"/>
          <w:szCs w:val="28"/>
        </w:rPr>
        <w:t>u</w:t>
      </w:r>
      <w:r w:rsidR="00255222" w:rsidRPr="00E70066">
        <w:rPr>
          <w:rFonts w:ascii="Times New Roman" w:hAnsi="Times New Roman" w:cs="Times New Roman"/>
          <w:sz w:val="28"/>
          <w:szCs w:val="28"/>
        </w:rPr>
        <w:t xml:space="preserve"> šādā redakcijā:</w:t>
      </w:r>
    </w:p>
    <w:p w14:paraId="2AB9C540" w14:textId="77777777" w:rsidR="008E460D" w:rsidRDefault="008E460D" w:rsidP="008E460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6F251DE4" w14:textId="5AA2984E" w:rsidR="008D4180" w:rsidRPr="00E70066" w:rsidRDefault="008D4180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“23.6.</w:t>
      </w:r>
      <w:r w:rsidR="005E3EB9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īsu nekonfidenciālu apvienošanās aprakstu, kuru padome izmantos sabiedrības informēšanai par plānoto apvienošanos </w:t>
      </w:r>
      <w:r w:rsidR="00135462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padomes 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tīmekļa vietnē. Aprakstā norādāma sekojoša informācija:</w:t>
      </w:r>
    </w:p>
    <w:p w14:paraId="6FE330B8" w14:textId="77777777" w:rsidR="008E460D" w:rsidRDefault="008E460D" w:rsidP="008E46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0D832CF" w14:textId="33D0E4B8" w:rsidR="008D4180" w:rsidRPr="00E70066" w:rsidRDefault="008D4180" w:rsidP="00E70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23.6.1.</w:t>
      </w:r>
      <w:r w:rsidR="00E73428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apvienošanās darījuma dalībnieki;</w:t>
      </w:r>
    </w:p>
    <w:p w14:paraId="62FE6EA3" w14:textId="77777777" w:rsidR="008E460D" w:rsidRDefault="008E460D" w:rsidP="008E46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60691B6" w14:textId="79D106CA" w:rsidR="008D4180" w:rsidRPr="00E70066" w:rsidRDefault="008D4180" w:rsidP="00E70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23.6.2.</w:t>
      </w:r>
      <w:r w:rsidR="00E73428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īss apvienošanās darījuma apraksts;</w:t>
      </w:r>
    </w:p>
    <w:p w14:paraId="27B89EBC" w14:textId="77777777" w:rsidR="008E460D" w:rsidRDefault="008E460D" w:rsidP="008E46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6C21D701" w14:textId="55E75BC6" w:rsidR="00211440" w:rsidRPr="00E70066" w:rsidRDefault="008D4180" w:rsidP="00E70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23.6.3.</w:t>
      </w:r>
      <w:r w:rsidR="00E73428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ietekmētie tirgi un </w:t>
      </w:r>
      <w:r w:rsidR="00CC3FCF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nozares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Latvijas teritorijā</w:t>
      </w:r>
      <w:r w:rsidR="00211440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6E26D001" w14:textId="77777777" w:rsidR="008E460D" w:rsidRDefault="008E460D" w:rsidP="008E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0643C" w14:textId="70AE6A09" w:rsidR="00FD5044" w:rsidRPr="00E70066" w:rsidRDefault="00211440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23.7. visus apvienošanās dalībnieku rīcībā esošus dokumentus attiecībā uz apvienošanās juridiskajiem un ekonomiskajiem aspektiem, kas atspoguļo apvienošanās mērķi un apvienošanās norises posmus.”</w:t>
      </w:r>
      <w:r w:rsidR="005E3EB9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25970587" w14:textId="77777777" w:rsidR="00D86C1C" w:rsidRDefault="00D86C1C" w:rsidP="00D86C1C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839A2F" w14:textId="3BE7AC6A" w:rsidR="00825496" w:rsidRPr="00E70066" w:rsidRDefault="002320A3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</w:t>
      </w:r>
      <w:r w:rsidR="001A0FB6">
        <w:rPr>
          <w:rFonts w:ascii="Times New Roman" w:hAnsi="Times New Roman" w:cs="Times New Roman"/>
          <w:sz w:val="28"/>
          <w:szCs w:val="28"/>
        </w:rPr>
        <w:t>8</w:t>
      </w:r>
      <w:r w:rsidRPr="00E70066">
        <w:rPr>
          <w:rFonts w:ascii="Times New Roman" w:hAnsi="Times New Roman" w:cs="Times New Roman"/>
          <w:sz w:val="28"/>
          <w:szCs w:val="28"/>
        </w:rPr>
        <w:t>. </w:t>
      </w:r>
      <w:r w:rsidR="00D86C1C" w:rsidRPr="006D360D">
        <w:rPr>
          <w:rFonts w:ascii="Times New Roman" w:hAnsi="Times New Roman" w:cs="Times New Roman"/>
          <w:sz w:val="28"/>
          <w:szCs w:val="28"/>
        </w:rPr>
        <w:t>izteikt</w:t>
      </w:r>
      <w:r w:rsidR="00D66F37" w:rsidRPr="00E70066">
        <w:rPr>
          <w:rFonts w:ascii="Times New Roman" w:hAnsi="Times New Roman" w:cs="Times New Roman"/>
          <w:sz w:val="28"/>
          <w:szCs w:val="28"/>
        </w:rPr>
        <w:t xml:space="preserve"> </w:t>
      </w:r>
      <w:r w:rsidR="0099512F" w:rsidRPr="00E70066">
        <w:rPr>
          <w:rFonts w:ascii="Times New Roman" w:hAnsi="Times New Roman" w:cs="Times New Roman"/>
          <w:sz w:val="28"/>
          <w:szCs w:val="28"/>
        </w:rPr>
        <w:t>25.</w:t>
      </w:r>
      <w:r w:rsidR="00D86C1C" w:rsidRPr="006D360D">
        <w:rPr>
          <w:rFonts w:ascii="Times New Roman" w:hAnsi="Times New Roman" w:cs="Times New Roman"/>
          <w:sz w:val="28"/>
          <w:szCs w:val="28"/>
        </w:rPr>
        <w:t xml:space="preserve"> </w:t>
      </w:r>
      <w:r w:rsidR="00CA5C99" w:rsidRPr="00E70066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1810B315" w14:textId="77777777" w:rsidR="00D86C1C" w:rsidRPr="006D360D" w:rsidRDefault="00D86C1C" w:rsidP="006D360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D9FCAAC" w14:textId="723E9A20" w:rsidR="00D86C1C" w:rsidRPr="00E70066" w:rsidRDefault="00D86C1C" w:rsidP="00E70066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360D">
        <w:rPr>
          <w:iCs/>
          <w:color w:val="000000" w:themeColor="text1"/>
          <w:sz w:val="28"/>
          <w:szCs w:val="28"/>
        </w:rPr>
        <w:t>“</w:t>
      </w:r>
      <w:r w:rsidRPr="00E70066">
        <w:rPr>
          <w:sz w:val="28"/>
          <w:szCs w:val="28"/>
        </w:rPr>
        <w:t>25. Ziņojumā norāda šādu informācij</w:t>
      </w:r>
      <w:r>
        <w:rPr>
          <w:sz w:val="28"/>
          <w:szCs w:val="28"/>
        </w:rPr>
        <w:t>u</w:t>
      </w:r>
      <w:r w:rsidRPr="00E70066">
        <w:rPr>
          <w:sz w:val="28"/>
          <w:szCs w:val="28"/>
        </w:rPr>
        <w:t>:</w:t>
      </w:r>
    </w:p>
    <w:p w14:paraId="4363B571" w14:textId="77777777" w:rsidR="00D86C1C" w:rsidRDefault="00D86C1C" w:rsidP="00E70066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362EFEA7" w14:textId="54405758" w:rsidR="00D86C1C" w:rsidRPr="00E70066" w:rsidRDefault="00D86C1C" w:rsidP="00E70066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25.1. par katru iesniedzēju:</w:t>
      </w:r>
    </w:p>
    <w:p w14:paraId="7D9D9EB8" w14:textId="77777777" w:rsidR="00D86C1C" w:rsidRDefault="00D86C1C" w:rsidP="00E70066">
      <w:pPr>
        <w:pStyle w:val="tv213"/>
        <w:spacing w:before="0" w:beforeAutospacing="0" w:after="0" w:afterAutospacing="0"/>
        <w:ind w:left="1276" w:firstLine="709"/>
        <w:jc w:val="both"/>
        <w:rPr>
          <w:sz w:val="28"/>
          <w:szCs w:val="28"/>
        </w:rPr>
      </w:pPr>
    </w:p>
    <w:p w14:paraId="43EC2229" w14:textId="66D467C3" w:rsidR="00D86C1C" w:rsidRPr="00E70066" w:rsidRDefault="00D86C1C" w:rsidP="00E70066">
      <w:pPr>
        <w:pStyle w:val="tv213"/>
        <w:spacing w:before="0" w:beforeAutospacing="0" w:after="0" w:afterAutospacing="0"/>
        <w:ind w:left="1985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25.1.1. nosaukumu, reģistrācijas numuru komercreģistrā vai – ārvalstu komersantiem – reģistrā, kas pielīdzināms komercreģistram. Fiziska persona norāda vārdu, uzvārdu un personas kodu;</w:t>
      </w:r>
    </w:p>
    <w:p w14:paraId="5E641A59" w14:textId="77777777" w:rsidR="00D86C1C" w:rsidRDefault="00D86C1C" w:rsidP="00D86C1C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54E76266" w14:textId="50223CF6" w:rsidR="00D86C1C" w:rsidRPr="00E70066" w:rsidRDefault="00D86C1C" w:rsidP="00E70066">
      <w:pPr>
        <w:pStyle w:val="tv213"/>
        <w:spacing w:before="0" w:beforeAutospacing="0" w:after="0" w:afterAutospacing="0"/>
        <w:ind w:left="1985"/>
        <w:jc w:val="both"/>
        <w:rPr>
          <w:sz w:val="28"/>
          <w:szCs w:val="28"/>
        </w:rPr>
      </w:pPr>
      <w:r w:rsidRPr="00E70066">
        <w:rPr>
          <w:sz w:val="28"/>
          <w:szCs w:val="28"/>
        </w:rPr>
        <w:t xml:space="preserve">25.1.2. juridisko adresi, tālruņa numuru, e-pasta adresi, tās kontaktpersonas vārdu, uzvārdu un amatu, kas kompetenta risināt </w:t>
      </w:r>
      <w:r w:rsidRPr="00E70066">
        <w:rPr>
          <w:sz w:val="28"/>
          <w:szCs w:val="28"/>
        </w:rPr>
        <w:lastRenderedPageBreak/>
        <w:t>apvienošanās jautājumus. Fiziska persona norāda deklarētās dzīvesvietas adresi, tālruņa numuru un e-pasta adresi;</w:t>
      </w:r>
    </w:p>
    <w:p w14:paraId="01A93AB7" w14:textId="77777777" w:rsidR="00D86C1C" w:rsidRDefault="00D86C1C" w:rsidP="00D86C1C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4BB6C549" w14:textId="7E50ED36" w:rsidR="00D86C1C" w:rsidRPr="00E70066" w:rsidRDefault="00D86C1C" w:rsidP="00E70066">
      <w:pPr>
        <w:pStyle w:val="tv213"/>
        <w:spacing w:before="0" w:beforeAutospacing="0" w:after="0" w:afterAutospacing="0"/>
        <w:ind w:left="1265" w:firstLine="720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25.1.3. pašreizējos un plānotos darbības veidus;</w:t>
      </w:r>
    </w:p>
    <w:p w14:paraId="6FB66532" w14:textId="77777777" w:rsidR="00D86C1C" w:rsidRDefault="00D86C1C" w:rsidP="00D86C1C">
      <w:pPr>
        <w:pStyle w:val="tv213"/>
        <w:spacing w:before="0" w:beforeAutospacing="0" w:after="0" w:afterAutospacing="0"/>
        <w:ind w:left="545" w:firstLine="720"/>
        <w:jc w:val="both"/>
        <w:rPr>
          <w:sz w:val="28"/>
          <w:szCs w:val="28"/>
        </w:rPr>
      </w:pPr>
    </w:p>
    <w:p w14:paraId="3DBB6061" w14:textId="543E28F7" w:rsidR="00D86C1C" w:rsidRPr="00E70066" w:rsidRDefault="00D86C1C" w:rsidP="00E70066">
      <w:pPr>
        <w:pStyle w:val="tv213"/>
        <w:spacing w:before="0" w:beforeAutospacing="0" w:after="0" w:afterAutospacing="0"/>
        <w:ind w:left="545" w:firstLine="720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25.2. par pārējiem apvienošanās dalībniekiem:</w:t>
      </w:r>
    </w:p>
    <w:p w14:paraId="314CD16B" w14:textId="77777777" w:rsidR="00D86C1C" w:rsidRDefault="00D86C1C" w:rsidP="00D86C1C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586D416D" w14:textId="49D3F54B" w:rsidR="00D86C1C" w:rsidRPr="00E70066" w:rsidRDefault="00D86C1C" w:rsidP="00E70066">
      <w:pPr>
        <w:pStyle w:val="tv213"/>
        <w:spacing w:before="0" w:beforeAutospacing="0" w:after="0" w:afterAutospacing="0"/>
        <w:ind w:left="1985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25.2.1. nosaukumu, juridisko adresi, tālruņa numuru, e-pasta adresi, tās kontaktpersonas vārdu, uzvārdu un amatu, kas kompetenta risināt apvienošanās jautājumus;</w:t>
      </w:r>
    </w:p>
    <w:p w14:paraId="165F86DB" w14:textId="77777777" w:rsidR="00D86C1C" w:rsidRDefault="00D86C1C" w:rsidP="00D86C1C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7273EAC8" w14:textId="6B0ABF73" w:rsidR="00D86C1C" w:rsidRPr="00E70066" w:rsidRDefault="00D86C1C" w:rsidP="00E70066">
      <w:pPr>
        <w:pStyle w:val="tv213"/>
        <w:spacing w:before="0" w:beforeAutospacing="0" w:after="0" w:afterAutospacing="0"/>
        <w:ind w:left="1265" w:firstLine="720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25.2.2. pašreizējos un plānotos darbības veidus;</w:t>
      </w:r>
    </w:p>
    <w:p w14:paraId="4EFE5E06" w14:textId="77777777" w:rsidR="00D86C1C" w:rsidRDefault="00D86C1C" w:rsidP="00D86C1C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6402E1FB" w14:textId="4C8990B1" w:rsidR="00D86C1C" w:rsidRPr="00E70066" w:rsidRDefault="00D86C1C" w:rsidP="00E70066">
      <w:pPr>
        <w:pStyle w:val="tv213"/>
        <w:spacing w:before="0" w:beforeAutospacing="0" w:after="0" w:afterAutospacing="0"/>
        <w:ind w:left="1265" w:firstLine="11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25.3. apvienošanās dalībnieka pilnvarotās personas vārdu, uzvārdu, amatu, korespondences adresi, tālruņa numuru, e-pasta adresi, tīmekļa vietnes adresi</w:t>
      </w:r>
      <w:r>
        <w:rPr>
          <w:sz w:val="28"/>
          <w:szCs w:val="28"/>
        </w:rPr>
        <w:t>;</w:t>
      </w:r>
    </w:p>
    <w:p w14:paraId="4FFD4D2F" w14:textId="77777777" w:rsidR="00D86C1C" w:rsidRPr="00E70066" w:rsidRDefault="00D86C1C" w:rsidP="00E70066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7AFCA10" w14:textId="624C51AC" w:rsidR="00CA5C99" w:rsidRPr="00E70066" w:rsidRDefault="008D4180" w:rsidP="00E70066">
      <w:pPr>
        <w:pStyle w:val="ListParagraph"/>
        <w:spacing w:after="0" w:line="240" w:lineRule="auto"/>
        <w:ind w:left="1265" w:firstLine="11"/>
        <w:contextualSpacing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25.4.</w:t>
      </w:r>
      <w:r w:rsidR="002320A3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apliecinājum</w:t>
      </w:r>
      <w:r w:rsidR="00D66F37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u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par apvienošanās neatbilstību paziņošanas Eiropas Komisijai kritērijiem;</w:t>
      </w:r>
    </w:p>
    <w:p w14:paraId="14C16A24" w14:textId="77777777" w:rsidR="00D86C1C" w:rsidRDefault="00D86C1C" w:rsidP="00D86C1C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14E3911" w14:textId="53B2FDDA" w:rsidR="008D4180" w:rsidRPr="00E70066" w:rsidRDefault="008D4180" w:rsidP="00E70066">
      <w:pPr>
        <w:pStyle w:val="ListParagraph"/>
        <w:spacing w:after="0" w:line="240" w:lineRule="auto"/>
        <w:ind w:left="1265" w:firstLine="11"/>
        <w:contextualSpacing w:val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25.5.</w:t>
      </w:r>
      <w:r w:rsidR="002320A3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informācija par to, vai apvienošanās ir paziņota vai </w:t>
      </w:r>
      <w:r w:rsidR="000958B8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to ir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plānot</w:t>
      </w:r>
      <w:r w:rsidR="000958B8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paziņot citās valstīs</w:t>
      </w:r>
      <w:r w:rsidR="00D66F37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.”</w:t>
      </w:r>
    </w:p>
    <w:p w14:paraId="30E115EF" w14:textId="77777777" w:rsidR="00055E56" w:rsidRDefault="00055E56" w:rsidP="00055E5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1A07B0" w14:textId="49C1408C" w:rsidR="009135E2" w:rsidRPr="00E70066" w:rsidRDefault="00EC43BB" w:rsidP="009722FC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</w:t>
      </w:r>
      <w:r w:rsidRPr="009722FC">
        <w:rPr>
          <w:rFonts w:ascii="Times New Roman" w:hAnsi="Times New Roman" w:cs="Times New Roman"/>
          <w:sz w:val="28"/>
          <w:szCs w:val="28"/>
        </w:rPr>
        <w:t>.</w:t>
      </w:r>
      <w:r w:rsidR="00055E56">
        <w:rPr>
          <w:rFonts w:ascii="Times New Roman" w:hAnsi="Times New Roman" w:cs="Times New Roman"/>
          <w:sz w:val="28"/>
          <w:szCs w:val="28"/>
        </w:rPr>
        <w:t>9</w:t>
      </w:r>
      <w:r w:rsidRPr="009722FC">
        <w:rPr>
          <w:rFonts w:ascii="Times New Roman" w:hAnsi="Times New Roman" w:cs="Times New Roman"/>
          <w:sz w:val="28"/>
          <w:szCs w:val="28"/>
        </w:rPr>
        <w:t>. </w:t>
      </w:r>
      <w:r w:rsidRPr="00E70066">
        <w:rPr>
          <w:rFonts w:ascii="Times New Roman" w:hAnsi="Times New Roman" w:cs="Times New Roman"/>
          <w:sz w:val="28"/>
          <w:szCs w:val="28"/>
        </w:rPr>
        <w:t>p</w:t>
      </w:r>
      <w:r w:rsidR="009135E2" w:rsidRPr="00E70066">
        <w:rPr>
          <w:rFonts w:ascii="Times New Roman" w:hAnsi="Times New Roman" w:cs="Times New Roman"/>
          <w:sz w:val="28"/>
          <w:szCs w:val="28"/>
        </w:rPr>
        <w:t>apildināt</w:t>
      </w:r>
      <w:r w:rsidR="00B9669A" w:rsidRPr="00E70066">
        <w:rPr>
          <w:rFonts w:ascii="Times New Roman" w:hAnsi="Times New Roman" w:cs="Times New Roman"/>
          <w:sz w:val="28"/>
          <w:szCs w:val="28"/>
        </w:rPr>
        <w:t xml:space="preserve"> </w:t>
      </w:r>
      <w:r w:rsidR="009135E2" w:rsidRPr="00E70066">
        <w:rPr>
          <w:rFonts w:ascii="Times New Roman" w:hAnsi="Times New Roman" w:cs="Times New Roman"/>
          <w:sz w:val="28"/>
          <w:szCs w:val="28"/>
        </w:rPr>
        <w:t>2</w:t>
      </w:r>
      <w:r w:rsidR="00B83110" w:rsidRPr="00E70066">
        <w:rPr>
          <w:rFonts w:ascii="Times New Roman" w:hAnsi="Times New Roman" w:cs="Times New Roman"/>
          <w:sz w:val="28"/>
          <w:szCs w:val="28"/>
        </w:rPr>
        <w:t>7</w:t>
      </w:r>
      <w:r w:rsidR="009135E2" w:rsidRPr="00E70066">
        <w:rPr>
          <w:rFonts w:ascii="Times New Roman" w:hAnsi="Times New Roman" w:cs="Times New Roman"/>
          <w:sz w:val="28"/>
          <w:szCs w:val="28"/>
        </w:rPr>
        <w:t>.</w:t>
      </w:r>
      <w:r w:rsidR="00B9669A" w:rsidRPr="00E70066">
        <w:rPr>
          <w:rFonts w:ascii="Times New Roman" w:hAnsi="Times New Roman" w:cs="Times New Roman"/>
          <w:sz w:val="28"/>
          <w:szCs w:val="28"/>
        </w:rPr>
        <w:t> </w:t>
      </w:r>
      <w:r w:rsidR="009135E2" w:rsidRPr="00E70066">
        <w:rPr>
          <w:rFonts w:ascii="Times New Roman" w:hAnsi="Times New Roman" w:cs="Times New Roman"/>
          <w:sz w:val="28"/>
          <w:szCs w:val="28"/>
        </w:rPr>
        <w:t xml:space="preserve">punktu aiz vārda “teritorijā” </w:t>
      </w:r>
      <w:r w:rsidRPr="00E70066">
        <w:rPr>
          <w:rFonts w:ascii="Times New Roman" w:hAnsi="Times New Roman" w:cs="Times New Roman"/>
          <w:sz w:val="28"/>
          <w:szCs w:val="28"/>
        </w:rPr>
        <w:t>ar pieturzīmi un vārdiem “, ietverot arī detalizētu apgrozījuma aprēķinu”;</w:t>
      </w:r>
    </w:p>
    <w:p w14:paraId="242DA36C" w14:textId="77777777" w:rsidR="00D616E7" w:rsidRDefault="00D616E7" w:rsidP="00D616E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DA6575" w14:textId="79220B7D" w:rsidR="00E73428" w:rsidRPr="00E70066" w:rsidRDefault="00E73428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1.1</w:t>
      </w:r>
      <w:r w:rsidR="004C3567">
        <w:rPr>
          <w:rFonts w:ascii="Times New Roman" w:hAnsi="Times New Roman" w:cs="Times New Roman"/>
          <w:sz w:val="28"/>
          <w:szCs w:val="28"/>
        </w:rPr>
        <w:t>0</w:t>
      </w:r>
      <w:r w:rsidRPr="00E70066">
        <w:rPr>
          <w:rFonts w:ascii="Times New Roman" w:hAnsi="Times New Roman" w:cs="Times New Roman"/>
          <w:sz w:val="28"/>
          <w:szCs w:val="28"/>
        </w:rPr>
        <w:t>. izteikt 28.</w:t>
      </w:r>
      <w:r w:rsidR="00BE0A6D">
        <w:rPr>
          <w:rFonts w:ascii="Times New Roman" w:hAnsi="Times New Roman" w:cs="Times New Roman"/>
          <w:sz w:val="28"/>
          <w:szCs w:val="28"/>
        </w:rPr>
        <w:t xml:space="preserve">, </w:t>
      </w:r>
      <w:r w:rsidR="00164E44">
        <w:rPr>
          <w:rFonts w:ascii="Times New Roman" w:hAnsi="Times New Roman" w:cs="Times New Roman"/>
          <w:sz w:val="28"/>
          <w:szCs w:val="28"/>
        </w:rPr>
        <w:t>29.</w:t>
      </w:r>
      <w:r w:rsidR="00BE0A6D">
        <w:rPr>
          <w:rFonts w:ascii="Times New Roman" w:hAnsi="Times New Roman" w:cs="Times New Roman"/>
          <w:sz w:val="28"/>
          <w:szCs w:val="28"/>
        </w:rPr>
        <w:t xml:space="preserve"> un 30.</w:t>
      </w:r>
      <w:r w:rsidR="00164E44">
        <w:rPr>
          <w:rFonts w:ascii="Times New Roman" w:hAnsi="Times New Roman" w:cs="Times New Roman"/>
          <w:sz w:val="28"/>
          <w:szCs w:val="28"/>
        </w:rPr>
        <w:t xml:space="preserve"> </w:t>
      </w:r>
      <w:r w:rsidRPr="00E70066">
        <w:rPr>
          <w:rFonts w:ascii="Times New Roman" w:hAnsi="Times New Roman" w:cs="Times New Roman"/>
          <w:sz w:val="28"/>
          <w:szCs w:val="28"/>
        </w:rPr>
        <w:t>punktu šādā redakcijā:</w:t>
      </w:r>
    </w:p>
    <w:p w14:paraId="0FE532DA" w14:textId="77777777" w:rsidR="00D616E7" w:rsidRDefault="00D616E7" w:rsidP="00D616E7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430A9C37" w14:textId="3BE65F5C" w:rsidR="00E73428" w:rsidRPr="00E70066" w:rsidRDefault="00E73428" w:rsidP="00E70066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“28. Par apvienošanās juridiskajiem, finansiālajiem un ekonomiskajiem aspektiem ziņojumā norāda:</w:t>
      </w:r>
    </w:p>
    <w:p w14:paraId="583AD663" w14:textId="77777777" w:rsidR="00D616E7" w:rsidRDefault="00D616E7" w:rsidP="00D616E7">
      <w:pPr>
        <w:pStyle w:val="tv21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14:paraId="0917B49D" w14:textId="02D8F4FA" w:rsidR="00E73428" w:rsidRPr="00E70066" w:rsidRDefault="00E73428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28.1. apvienošanās darījuma aprakstu un veidu atbilstoši Konkurences likuma 15.</w:t>
      </w:r>
      <w:r w:rsidR="00B1113D" w:rsidRPr="00E70066">
        <w:rPr>
          <w:sz w:val="28"/>
          <w:szCs w:val="28"/>
        </w:rPr>
        <w:t> </w:t>
      </w:r>
      <w:r w:rsidRPr="00E70066">
        <w:rPr>
          <w:sz w:val="28"/>
          <w:szCs w:val="28"/>
        </w:rPr>
        <w:t>panta pirmajai daļai;</w:t>
      </w:r>
    </w:p>
    <w:p w14:paraId="0764C87C" w14:textId="77777777" w:rsidR="00D616E7" w:rsidRDefault="00D616E7" w:rsidP="00D616E7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6D789B36" w14:textId="2EB24098" w:rsidR="00E73428" w:rsidRPr="00E70066" w:rsidRDefault="00E73428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28.2. ekonomisko mērķi un pamatojumu, tai skaitā apvienotā tirgus dalībnieka nākotnes attīstības plānus pēc apvienošanās;</w:t>
      </w:r>
    </w:p>
    <w:p w14:paraId="092AA884" w14:textId="77777777" w:rsidR="00D616E7" w:rsidRDefault="00D616E7" w:rsidP="00D616E7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46E75EF4" w14:textId="406BF88A" w:rsidR="00E73428" w:rsidRPr="00E70066" w:rsidRDefault="00E73428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28.3. apvienošanās finansiālo raksturojumu, tai skaitā darījuma apmēru un finansiālos resursus apvienošanās darījuma īstenošanai;</w:t>
      </w:r>
    </w:p>
    <w:p w14:paraId="0A91892C" w14:textId="77777777" w:rsidR="00D616E7" w:rsidRDefault="00D616E7" w:rsidP="00D616E7">
      <w:pPr>
        <w:pStyle w:val="tv213"/>
        <w:spacing w:before="0" w:beforeAutospacing="0" w:after="0" w:afterAutospacing="0"/>
        <w:ind w:left="840" w:firstLine="436"/>
        <w:jc w:val="both"/>
        <w:rPr>
          <w:sz w:val="28"/>
          <w:szCs w:val="28"/>
        </w:rPr>
      </w:pPr>
    </w:p>
    <w:p w14:paraId="353285B1" w14:textId="5914B5DB" w:rsidR="00E73428" w:rsidRPr="00E70066" w:rsidRDefault="00E73428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28.4. paredzētos nozīmīgākos apvienošanās procesa posmus un to termiņus;</w:t>
      </w:r>
    </w:p>
    <w:p w14:paraId="46C2CCF9" w14:textId="77777777" w:rsidR="00D616E7" w:rsidRDefault="00D616E7" w:rsidP="00D616E7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6E3FA2FA" w14:textId="0C482512" w:rsidR="00E73428" w:rsidRPr="00E70066" w:rsidRDefault="00E73428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lastRenderedPageBreak/>
        <w:t>28.5. konkurences ierobežojumus, kas tieši saistīti un nepieciešami apvienošanās īstenošanai, to veidus un termiņus;</w:t>
      </w:r>
    </w:p>
    <w:p w14:paraId="71430D55" w14:textId="77777777" w:rsidR="00FA754D" w:rsidRDefault="00FA754D" w:rsidP="00FA754D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1A5C3C32" w14:textId="6C0AB15C" w:rsidR="00E73428" w:rsidRPr="00E70066" w:rsidRDefault="00E73428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28.6. paredzēto īpašuma, lietojuma tiesību un kontroles struktūru pēc apvienošanās;</w:t>
      </w:r>
    </w:p>
    <w:p w14:paraId="627D0600" w14:textId="77777777" w:rsidR="00FA754D" w:rsidRDefault="00FA754D" w:rsidP="00FA754D">
      <w:pPr>
        <w:pStyle w:val="tv213"/>
        <w:spacing w:before="0" w:beforeAutospacing="0" w:after="0" w:afterAutospacing="0"/>
        <w:ind w:left="720" w:firstLine="556"/>
        <w:jc w:val="both"/>
        <w:rPr>
          <w:sz w:val="28"/>
          <w:szCs w:val="28"/>
        </w:rPr>
      </w:pPr>
    </w:p>
    <w:p w14:paraId="51D02D57" w14:textId="52774E1B" w:rsidR="00E73428" w:rsidRPr="00E70066" w:rsidRDefault="00E73428" w:rsidP="00E70066">
      <w:pPr>
        <w:pStyle w:val="tv213"/>
        <w:spacing w:before="0" w:beforeAutospacing="0" w:after="0" w:afterAutospacing="0"/>
        <w:ind w:left="1276"/>
        <w:jc w:val="both"/>
        <w:rPr>
          <w:sz w:val="28"/>
          <w:szCs w:val="28"/>
        </w:rPr>
      </w:pPr>
      <w:r w:rsidRPr="00E70066">
        <w:rPr>
          <w:sz w:val="28"/>
          <w:szCs w:val="28"/>
        </w:rPr>
        <w:t>28.7. apvienošanās dalībnieku pēdējo divu gadu laikā veiktos apvienošanās darījumus (tai skaitā darījumus, kas nav paziņojami padomei), kas īstenoti ietekmētajos tirgos Latvijas teritorijā.</w:t>
      </w:r>
    </w:p>
    <w:p w14:paraId="717FB165" w14:textId="6DDB75BE" w:rsidR="008B750F" w:rsidRDefault="008B750F" w:rsidP="008B7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A6D" w:rsidDel="008B75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36BB8" w14:textId="2F9DFFAA" w:rsidR="2C7989AB" w:rsidRDefault="072788B7" w:rsidP="008B75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66">
        <w:rPr>
          <w:rFonts w:ascii="Times New Roman" w:eastAsia="Times New Roman" w:hAnsi="Times New Roman" w:cs="Times New Roman"/>
          <w:sz w:val="28"/>
          <w:szCs w:val="28"/>
        </w:rPr>
        <w:t>29.</w:t>
      </w:r>
      <w:r w:rsidR="0043650C" w:rsidRPr="00E700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0066">
        <w:rPr>
          <w:rFonts w:ascii="Times New Roman" w:eastAsia="Times New Roman" w:hAnsi="Times New Roman" w:cs="Times New Roman"/>
          <w:sz w:val="28"/>
          <w:szCs w:val="28"/>
        </w:rPr>
        <w:t xml:space="preserve">Par konkrētajiem tirgiem norāda šādu informāciju </w:t>
      </w:r>
      <w:r w:rsidRPr="00E70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(vienlaikus norādot informācijas avotus)</w:t>
      </w:r>
      <w:r w:rsidRPr="00E7006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9FB803B" w14:textId="77777777" w:rsidR="008B750F" w:rsidRPr="00E70066" w:rsidRDefault="008B750F" w:rsidP="00E70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9B7BEE" w14:textId="0E6846F9" w:rsidR="2C7989AB" w:rsidRPr="00E70066" w:rsidRDefault="072788B7" w:rsidP="00E70066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66">
        <w:rPr>
          <w:rFonts w:ascii="Times New Roman" w:eastAsia="Times New Roman" w:hAnsi="Times New Roman" w:cs="Times New Roman"/>
          <w:sz w:val="28"/>
          <w:szCs w:val="28"/>
        </w:rPr>
        <w:t>29.1.</w:t>
      </w:r>
      <w:r w:rsidR="0043650C" w:rsidRPr="00E700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0066">
        <w:rPr>
          <w:rFonts w:ascii="Times New Roman" w:eastAsia="Times New Roman" w:hAnsi="Times New Roman" w:cs="Times New Roman"/>
          <w:sz w:val="28"/>
          <w:szCs w:val="28"/>
        </w:rPr>
        <w:t>tirgus, kuros darbojas apvienošanās dalībnieks;</w:t>
      </w:r>
    </w:p>
    <w:p w14:paraId="01EAB16E" w14:textId="77777777" w:rsidR="008B750F" w:rsidRDefault="008B750F" w:rsidP="008B750F">
      <w:pPr>
        <w:spacing w:after="0" w:line="240" w:lineRule="auto"/>
        <w:ind w:left="41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9557A2" w14:textId="353E22DB" w:rsidR="2C7989AB" w:rsidRPr="00E70066" w:rsidRDefault="072788B7" w:rsidP="00E70066">
      <w:pPr>
        <w:spacing w:after="0" w:line="240" w:lineRule="auto"/>
        <w:ind w:left="41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066">
        <w:rPr>
          <w:rFonts w:ascii="Times New Roman" w:eastAsia="Times New Roman" w:hAnsi="Times New Roman" w:cs="Times New Roman"/>
          <w:sz w:val="28"/>
          <w:szCs w:val="28"/>
        </w:rPr>
        <w:t>29.2.</w:t>
      </w:r>
      <w:r w:rsidR="0043650C" w:rsidRPr="00E700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0066">
        <w:rPr>
          <w:rFonts w:ascii="Times New Roman" w:eastAsia="Times New Roman" w:hAnsi="Times New Roman" w:cs="Times New Roman"/>
          <w:sz w:val="28"/>
          <w:szCs w:val="28"/>
        </w:rPr>
        <w:t>tirgus, kurus ietekmējusi apvienošanās.</w:t>
      </w:r>
    </w:p>
    <w:p w14:paraId="7C3F696C" w14:textId="77777777" w:rsidR="00BE0A6D" w:rsidRPr="00E70066" w:rsidRDefault="00BE0A6D" w:rsidP="00E7006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D3CA9A" w14:textId="5144A535" w:rsidR="000958B8" w:rsidRPr="00E70066" w:rsidRDefault="05817BC4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Par katru ietekmēto tirgu norāda šādu informāciju (vienlaikus norādot informācijas avotus):</w:t>
      </w:r>
    </w:p>
    <w:p w14:paraId="443B06D7" w14:textId="77777777" w:rsidR="00FD20D1" w:rsidRDefault="00FD20D1" w:rsidP="00FD20D1">
      <w:pPr>
        <w:pStyle w:val="ListParagraph"/>
        <w:spacing w:after="0" w:line="240" w:lineRule="auto"/>
        <w:ind w:left="1004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1025BF" w14:textId="340879F2" w:rsidR="000958B8" w:rsidRPr="00E70066" w:rsidRDefault="67C2F82E" w:rsidP="00E70066">
      <w:pPr>
        <w:pStyle w:val="ListParagraph"/>
        <w:spacing w:after="0" w:line="240" w:lineRule="auto"/>
        <w:ind w:left="1004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.1.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vērtējumu par pēdējiem trim gadiem:</w:t>
      </w:r>
    </w:p>
    <w:p w14:paraId="2EFC8949" w14:textId="77777777" w:rsidR="00FD20D1" w:rsidRDefault="00FD20D1" w:rsidP="00FD20D1">
      <w:pPr>
        <w:pStyle w:val="ListParagraph"/>
        <w:spacing w:after="0" w:line="240" w:lineRule="auto"/>
        <w:ind w:left="1571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850C3F" w14:textId="4C77E798" w:rsidR="000958B8" w:rsidRPr="00E70066" w:rsidRDefault="522E22AA" w:rsidP="00E70066">
      <w:pPr>
        <w:pStyle w:val="ListParagraph"/>
        <w:spacing w:after="0" w:line="240" w:lineRule="auto"/>
        <w:ind w:left="1571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.1.1.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tirgus lielums pēc apgrozījuma (</w:t>
      </w:r>
      <w:proofErr w:type="spellStart"/>
      <w:r w:rsidR="000958B8" w:rsidRPr="00E70066">
        <w:rPr>
          <w:rFonts w:ascii="Times New Roman" w:hAnsi="Times New Roman" w:cs="Times New Roman"/>
          <w:i/>
          <w:iCs/>
          <w:sz w:val="28"/>
          <w:szCs w:val="28"/>
        </w:rPr>
        <w:t>euro</w:t>
      </w:r>
      <w:proofErr w:type="spellEnd"/>
      <w:r w:rsidR="000958B8" w:rsidRPr="00E70066">
        <w:rPr>
          <w:rFonts w:ascii="Times New Roman" w:hAnsi="Times New Roman" w:cs="Times New Roman"/>
          <w:sz w:val="28"/>
          <w:szCs w:val="28"/>
        </w:rPr>
        <w:t>) un apjoma (vienībās);</w:t>
      </w:r>
    </w:p>
    <w:p w14:paraId="40A8C9CA" w14:textId="77777777" w:rsidR="00FD20D1" w:rsidRDefault="00FD20D1" w:rsidP="00FD20D1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338A08" w14:textId="5DA93D7D" w:rsidR="000958B8" w:rsidRPr="00E70066" w:rsidRDefault="5FC78F87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.1.2.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katra apvienošanās dalībnieka un šo noteikumu 26.1., 26.2. un 26.3.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 xml:space="preserve">apakšpunktā norādītā tirgus dalībnieka apgrozījums </w:t>
      </w:r>
      <w:r w:rsidR="000958B8" w:rsidRPr="00E7006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0958B8" w:rsidRPr="00E70066">
        <w:rPr>
          <w:rFonts w:ascii="Times New Roman" w:hAnsi="Times New Roman" w:cs="Times New Roman"/>
          <w:i/>
          <w:iCs/>
          <w:sz w:val="28"/>
          <w:szCs w:val="28"/>
        </w:rPr>
        <w:t>euro</w:t>
      </w:r>
      <w:proofErr w:type="spellEnd"/>
      <w:r w:rsidR="000958B8" w:rsidRPr="00E70066">
        <w:rPr>
          <w:rFonts w:ascii="Times New Roman" w:hAnsi="Times New Roman" w:cs="Times New Roman"/>
          <w:sz w:val="28"/>
          <w:szCs w:val="28"/>
        </w:rPr>
        <w:t>) un apjoms (vienībās); </w:t>
      </w:r>
    </w:p>
    <w:p w14:paraId="6C78DE81" w14:textId="77777777" w:rsidR="00FD20D1" w:rsidRDefault="00FD20D1" w:rsidP="00FD20D1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34310C5" w14:textId="26FA5418" w:rsidR="000958B8" w:rsidRPr="00E70066" w:rsidRDefault="24F982D0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.1.3.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katra apvienošanās dalībnieka un konkurentu tirgus daļu aplēses procentos pēc apgrozījuma (</w:t>
      </w:r>
      <w:proofErr w:type="spellStart"/>
      <w:r w:rsidR="000958B8" w:rsidRPr="00E70066">
        <w:rPr>
          <w:rFonts w:ascii="Times New Roman" w:hAnsi="Times New Roman" w:cs="Times New Roman"/>
          <w:i/>
          <w:iCs/>
          <w:sz w:val="28"/>
          <w:szCs w:val="28"/>
        </w:rPr>
        <w:t>euro</w:t>
      </w:r>
      <w:proofErr w:type="spellEnd"/>
      <w:r w:rsidR="000958B8" w:rsidRPr="00E70066">
        <w:rPr>
          <w:rFonts w:ascii="Times New Roman" w:hAnsi="Times New Roman" w:cs="Times New Roman"/>
          <w:sz w:val="28"/>
          <w:szCs w:val="28"/>
        </w:rPr>
        <w:t>) un apjoma (vienībās);</w:t>
      </w:r>
    </w:p>
    <w:p w14:paraId="597041C0" w14:textId="77777777" w:rsidR="008E4DCB" w:rsidRDefault="008E4DCB" w:rsidP="008E4DCB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EE75AC9" w14:textId="38B02B0C" w:rsidR="000958B8" w:rsidRPr="00E70066" w:rsidRDefault="44222241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 xml:space="preserve">.1.4. importēto (norāda no kuras valstis) preču daudzums pēc apgrozījuma </w:t>
      </w:r>
      <w:r w:rsidR="000958B8" w:rsidRPr="00E7006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0958B8" w:rsidRPr="00E70066">
        <w:rPr>
          <w:rFonts w:ascii="Times New Roman" w:hAnsi="Times New Roman" w:cs="Times New Roman"/>
          <w:i/>
          <w:iCs/>
          <w:sz w:val="28"/>
          <w:szCs w:val="28"/>
        </w:rPr>
        <w:t>euro</w:t>
      </w:r>
      <w:proofErr w:type="spellEnd"/>
      <w:r w:rsidR="000958B8" w:rsidRPr="00E70066">
        <w:rPr>
          <w:rFonts w:ascii="Times New Roman" w:hAnsi="Times New Roman" w:cs="Times New Roman"/>
          <w:sz w:val="28"/>
          <w:szCs w:val="28"/>
        </w:rPr>
        <w:t>) un apjoma (vienībās), ja ir šāda informācija.</w:t>
      </w:r>
    </w:p>
    <w:p w14:paraId="024CA866" w14:textId="77777777" w:rsidR="00364D33" w:rsidRDefault="00364D33" w:rsidP="008E4DCB">
      <w:pPr>
        <w:pStyle w:val="ListParagraph"/>
        <w:spacing w:after="0" w:line="240" w:lineRule="auto"/>
        <w:ind w:left="1004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9B81AF" w14:textId="66A92711" w:rsidR="000958B8" w:rsidRPr="00E70066" w:rsidRDefault="7CE1B186" w:rsidP="00E70066">
      <w:pPr>
        <w:pStyle w:val="ListParagraph"/>
        <w:spacing w:after="0" w:line="240" w:lineRule="auto"/>
        <w:ind w:left="1004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.2.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piedāvājuma struktūras raksturojums:</w:t>
      </w:r>
    </w:p>
    <w:p w14:paraId="5A07A9F0" w14:textId="77777777" w:rsidR="008E4DCB" w:rsidRDefault="008E4DCB" w:rsidP="008E4DCB">
      <w:pPr>
        <w:pStyle w:val="ListParagraph"/>
        <w:spacing w:after="0" w:line="240" w:lineRule="auto"/>
        <w:ind w:left="100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BA8A0E" w14:textId="3FA28CFD" w:rsidR="000958B8" w:rsidRPr="00E70066" w:rsidRDefault="550EE651" w:rsidP="00E70066">
      <w:pPr>
        <w:pStyle w:val="ListParagraph"/>
        <w:spacing w:after="0" w:line="240" w:lineRule="auto"/>
        <w:ind w:left="17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.2.1.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katra apvienošanās dalībnieka cenu noteikšanas un preču izplatīšanas stratēģija;</w:t>
      </w:r>
    </w:p>
    <w:p w14:paraId="61DAE06D" w14:textId="77777777" w:rsidR="008E4DCB" w:rsidRDefault="008E4DCB" w:rsidP="008E4DCB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98C1DA2" w14:textId="73E98D33" w:rsidR="000958B8" w:rsidRPr="00E70066" w:rsidRDefault="4D7666F2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.2.2.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apvienošanās dalībnieku savstarpējā konkurences intensitāte salīdzinājumā ar to konkurentiem;</w:t>
      </w:r>
    </w:p>
    <w:p w14:paraId="122863FC" w14:textId="77777777" w:rsidR="0005780D" w:rsidRDefault="0005780D" w:rsidP="0005780D">
      <w:pPr>
        <w:spacing w:after="0" w:line="240" w:lineRule="auto"/>
        <w:ind w:left="1548" w:firstLine="153"/>
        <w:jc w:val="both"/>
        <w:rPr>
          <w:rFonts w:ascii="Times New Roman" w:hAnsi="Times New Roman" w:cs="Times New Roman"/>
          <w:sz w:val="28"/>
          <w:szCs w:val="28"/>
        </w:rPr>
      </w:pPr>
    </w:p>
    <w:p w14:paraId="7F59A411" w14:textId="5D0B3620" w:rsidR="000958B8" w:rsidRPr="00E70066" w:rsidRDefault="6090534B" w:rsidP="00E70066">
      <w:pPr>
        <w:spacing w:after="0" w:line="240" w:lineRule="auto"/>
        <w:ind w:left="1548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.2.3.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konkurētspēju ietekmējošie faktori;</w:t>
      </w:r>
    </w:p>
    <w:p w14:paraId="344A321D" w14:textId="77777777" w:rsidR="0005780D" w:rsidRDefault="0005780D" w:rsidP="0005780D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F0701F" w14:textId="6FEB6337" w:rsidR="000958B8" w:rsidRPr="00E70066" w:rsidRDefault="4E91C08E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.2.4.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katra apvienošanās dalībnieka veikto pētniecības un inovāciju apraksts un ieguldījumu apmērs par pēdējiem trim gadiem;</w:t>
      </w:r>
    </w:p>
    <w:p w14:paraId="6ECAF406" w14:textId="77777777" w:rsidR="0005780D" w:rsidRDefault="0005780D" w:rsidP="0005780D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F95606B" w14:textId="245F1590" w:rsidR="000958B8" w:rsidRPr="00E70066" w:rsidRDefault="22BFB43A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.2.5.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katra apvienošanās dalībnieka pētniecības, inovāciju, jaunu produktu ieviešanas vai kapacitātes paaugstināšanas plāni nākamo trīs gadu laikā;</w:t>
      </w:r>
    </w:p>
    <w:p w14:paraId="5EFA8113" w14:textId="77777777" w:rsidR="0005780D" w:rsidRDefault="0005780D" w:rsidP="0005780D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A0C017" w14:textId="7B008BA7" w:rsidR="000958B8" w:rsidRPr="00E70066" w:rsidRDefault="24D6E98D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.2.6. patentus un citas intelektuālā īpašuma tiesības, kuru licenciāts vai licenciārs ietekmētajā tirgū ir apvienošanās dalībnieks un šo tiesību termiņi; </w:t>
      </w:r>
    </w:p>
    <w:p w14:paraId="408F36AB" w14:textId="77777777" w:rsidR="0005780D" w:rsidRDefault="0005780D" w:rsidP="0005780D">
      <w:pPr>
        <w:pStyle w:val="ListParagraph"/>
        <w:spacing w:after="0" w:line="240" w:lineRule="auto"/>
        <w:ind w:left="284" w:firstLine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02420E" w14:textId="54AB0943" w:rsidR="000958B8" w:rsidRPr="00E70066" w:rsidRDefault="6E3B7767" w:rsidP="00E70066">
      <w:pPr>
        <w:pStyle w:val="ListParagraph"/>
        <w:spacing w:after="0" w:line="240" w:lineRule="auto"/>
        <w:ind w:left="284" w:firstLine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.3. pieprasījuma struktūras raksturojums: </w:t>
      </w:r>
    </w:p>
    <w:p w14:paraId="5A8BBED4" w14:textId="77777777" w:rsidR="0005780D" w:rsidRDefault="0005780D" w:rsidP="0005780D">
      <w:pPr>
        <w:pStyle w:val="ListParagraph"/>
        <w:spacing w:after="0" w:line="240" w:lineRule="auto"/>
        <w:ind w:left="113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E999B8" w14:textId="436D7E1C" w:rsidR="000958B8" w:rsidRPr="00E70066" w:rsidRDefault="01DCCCEF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.3.1.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tirgus attīstības cikls un prognozētā pieprasījuma attīstība tirgū nākamo trīs gadu laikā;</w:t>
      </w:r>
    </w:p>
    <w:p w14:paraId="207BC439" w14:textId="77777777" w:rsidR="0005780D" w:rsidRDefault="0005780D" w:rsidP="0005780D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A4661F" w14:textId="3E24AFDF" w:rsidR="000958B8" w:rsidRPr="00E70066" w:rsidRDefault="72A6016C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.3.2.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klientu (patērētāju) paradumi un pārorientēšanās barjeras, tai skaitā prognozējamās izmaiņas nākamo trīs gadu laikā;</w:t>
      </w:r>
    </w:p>
    <w:p w14:paraId="5A0A6869" w14:textId="77777777" w:rsidR="0005780D" w:rsidRDefault="0005780D" w:rsidP="0005780D">
      <w:pPr>
        <w:spacing w:after="0" w:line="240" w:lineRule="auto"/>
        <w:ind w:left="1548" w:firstLine="153"/>
        <w:jc w:val="both"/>
        <w:rPr>
          <w:rFonts w:ascii="Times New Roman" w:hAnsi="Times New Roman" w:cs="Times New Roman"/>
          <w:sz w:val="28"/>
          <w:szCs w:val="28"/>
        </w:rPr>
      </w:pPr>
    </w:p>
    <w:p w14:paraId="34859D2E" w14:textId="08EBD300" w:rsidR="000958B8" w:rsidRPr="00E70066" w:rsidRDefault="2834CE76" w:rsidP="00E70066">
      <w:pPr>
        <w:spacing w:after="0" w:line="240" w:lineRule="auto"/>
        <w:ind w:left="1548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.3.3.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pircēja varas novērtējums;</w:t>
      </w:r>
    </w:p>
    <w:p w14:paraId="2B38C91D" w14:textId="77777777" w:rsidR="009F4C9A" w:rsidRDefault="009F4C9A" w:rsidP="009F4C9A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4EBC156" w14:textId="6D45D63D" w:rsidR="000958B8" w:rsidRPr="00E70066" w:rsidRDefault="2389A391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.3.4.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katra apvienošanās dalībnieka piecus lielākos klientus par pēdējiem trim gadiem</w:t>
      </w:r>
      <w:r w:rsidR="00B02A66" w:rsidRPr="00E70066">
        <w:rPr>
          <w:rFonts w:ascii="Times New Roman" w:hAnsi="Times New Roman" w:cs="Times New Roman"/>
          <w:sz w:val="28"/>
          <w:szCs w:val="28"/>
        </w:rPr>
        <w:t>;</w:t>
      </w:r>
    </w:p>
    <w:p w14:paraId="5E1B6C5E" w14:textId="77777777" w:rsidR="009F4C9A" w:rsidRDefault="009F4C9A" w:rsidP="009F4C9A">
      <w:pPr>
        <w:pStyle w:val="ListParagraph"/>
        <w:spacing w:after="0" w:line="240" w:lineRule="auto"/>
        <w:ind w:left="1004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6274887" w14:textId="4BD5A4AD" w:rsidR="000958B8" w:rsidRPr="00E70066" w:rsidRDefault="4915CA6B" w:rsidP="00E70066">
      <w:pPr>
        <w:pStyle w:val="ListParagraph"/>
        <w:spacing w:after="0" w:line="240" w:lineRule="auto"/>
        <w:ind w:left="1004" w:firstLine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.4. ienākšanas barjeru raksturojums:</w:t>
      </w:r>
    </w:p>
    <w:p w14:paraId="2D7C4F42" w14:textId="77777777" w:rsidR="009F4C9A" w:rsidRDefault="009F4C9A" w:rsidP="009F4C9A">
      <w:pPr>
        <w:pStyle w:val="ListParagraph"/>
        <w:spacing w:after="0" w:line="240" w:lineRule="auto"/>
        <w:ind w:left="100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C16202F" w14:textId="5D194516" w:rsidR="000958B8" w:rsidRPr="00E70066" w:rsidRDefault="4A756B20" w:rsidP="00E70066">
      <w:pPr>
        <w:pStyle w:val="ListParagraph"/>
        <w:spacing w:after="0" w:line="240" w:lineRule="auto"/>
        <w:ind w:left="17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.4.1.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būtiskākie ienākušie tirgus dalībnieki un to ietekme uz konkurences procesu par pēdējiem trim gadiem;</w:t>
      </w:r>
    </w:p>
    <w:p w14:paraId="67224B71" w14:textId="77777777" w:rsidR="003C62DD" w:rsidRDefault="003C62DD" w:rsidP="003C62DD">
      <w:pPr>
        <w:spacing w:after="0" w:line="240" w:lineRule="auto"/>
        <w:ind w:left="1571" w:firstLine="153"/>
        <w:jc w:val="both"/>
        <w:rPr>
          <w:rFonts w:ascii="Times New Roman" w:hAnsi="Times New Roman" w:cs="Times New Roman"/>
          <w:sz w:val="28"/>
          <w:szCs w:val="28"/>
        </w:rPr>
      </w:pPr>
    </w:p>
    <w:p w14:paraId="07DD8D4F" w14:textId="002D5BAA" w:rsidR="000958B8" w:rsidRPr="00E70066" w:rsidRDefault="789D8148" w:rsidP="00E70066">
      <w:pPr>
        <w:spacing w:after="0" w:line="240" w:lineRule="auto"/>
        <w:ind w:left="1571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.4.2.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ienākšanas barjeru novērtējums;</w:t>
      </w:r>
    </w:p>
    <w:p w14:paraId="24C82A2D" w14:textId="77777777" w:rsidR="003C62DD" w:rsidRDefault="003C62DD" w:rsidP="003C62DD">
      <w:pPr>
        <w:pStyle w:val="ListParagraph"/>
        <w:spacing w:after="0" w:line="240" w:lineRule="auto"/>
        <w:ind w:left="144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946FE5C" w14:textId="29B52138" w:rsidR="000958B8" w:rsidRPr="00E70066" w:rsidRDefault="56ACE018" w:rsidP="00E70066">
      <w:pPr>
        <w:pStyle w:val="ListParagraph"/>
        <w:spacing w:after="0" w:line="240" w:lineRule="auto"/>
        <w:ind w:left="17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.4.3.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vērtējums par iespējamo konkurentu ienākšanu nākamo triju gadu laikā un to potenciālo ietekmi uz konkurences procesu</w:t>
      </w:r>
      <w:r w:rsidR="00B02A66" w:rsidRPr="00E70066">
        <w:rPr>
          <w:rFonts w:ascii="Times New Roman" w:hAnsi="Times New Roman" w:cs="Times New Roman"/>
          <w:sz w:val="28"/>
          <w:szCs w:val="28"/>
        </w:rPr>
        <w:t>;</w:t>
      </w:r>
    </w:p>
    <w:p w14:paraId="56A1C003" w14:textId="77777777" w:rsidR="0048374A" w:rsidRDefault="0048374A" w:rsidP="0048374A">
      <w:pPr>
        <w:pStyle w:val="ListParagraph"/>
        <w:spacing w:after="0" w:line="240" w:lineRule="auto"/>
        <w:ind w:firstLine="4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98BAE2" w14:textId="5E9D6111" w:rsidR="000958B8" w:rsidRPr="00E70066" w:rsidRDefault="1ACFE0CC" w:rsidP="00E70066">
      <w:pPr>
        <w:pStyle w:val="ListParagraph"/>
        <w:spacing w:after="0" w:line="240" w:lineRule="auto"/>
        <w:ind w:left="11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.5.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tirgu vai nozari pārstāvošās organizācijas, to juridiskā adrese, telefona numurus, elektroniskā pasta adrese un apvienošanās dalībnieku dalība tajās</w:t>
      </w:r>
      <w:r w:rsidR="00B02A66" w:rsidRPr="00E70066">
        <w:rPr>
          <w:rFonts w:ascii="Times New Roman" w:hAnsi="Times New Roman" w:cs="Times New Roman"/>
          <w:sz w:val="28"/>
          <w:szCs w:val="28"/>
        </w:rPr>
        <w:t>;</w:t>
      </w:r>
    </w:p>
    <w:p w14:paraId="0805F481" w14:textId="77777777" w:rsidR="0048374A" w:rsidRDefault="0048374A" w:rsidP="0048374A">
      <w:pPr>
        <w:pStyle w:val="ListParagraph"/>
        <w:spacing w:after="0" w:line="240" w:lineRule="auto"/>
        <w:ind w:firstLine="4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D51F29" w14:textId="2A8694C4" w:rsidR="000958B8" w:rsidRPr="00E70066" w:rsidRDefault="144352F9" w:rsidP="00E70066">
      <w:pPr>
        <w:pStyle w:val="ListParagraph"/>
        <w:spacing w:after="0" w:line="240" w:lineRule="auto"/>
        <w:ind w:firstLine="4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.6.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apvienošanās paredzamās sekas: </w:t>
      </w:r>
    </w:p>
    <w:p w14:paraId="09068A22" w14:textId="77777777" w:rsidR="0048374A" w:rsidRDefault="0048374A" w:rsidP="0048374A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B193465" w14:textId="3DA1F37B" w:rsidR="000958B8" w:rsidRPr="00E70066" w:rsidRDefault="423EF066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.6.1.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iespējamās pozitīvās un negatīvās sekas, īpaši attiecībā uz konkurenci; </w:t>
      </w:r>
    </w:p>
    <w:p w14:paraId="5F8267E7" w14:textId="77777777" w:rsidR="00ED43CA" w:rsidRDefault="00ED43CA" w:rsidP="00ED43CA">
      <w:pPr>
        <w:pStyle w:val="ListParagraph"/>
        <w:spacing w:after="0" w:line="240" w:lineRule="auto"/>
        <w:ind w:left="1440" w:firstLine="2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FBF1FE" w14:textId="6E30C1A9" w:rsidR="000958B8" w:rsidRPr="00E70066" w:rsidRDefault="1F29DF10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.6.2.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ietekmi uz preču ražošanu vai izplatīšanu, tehnisko vai ekonomisko attīstību; </w:t>
      </w:r>
    </w:p>
    <w:p w14:paraId="2825BCFD" w14:textId="77777777" w:rsidR="001A6581" w:rsidRDefault="001A6581" w:rsidP="001A6581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4D7407" w14:textId="404813A0" w:rsidR="000958B8" w:rsidRPr="00E70066" w:rsidRDefault="5768E1EA" w:rsidP="00E70066">
      <w:pPr>
        <w:pStyle w:val="ListParagraph"/>
        <w:spacing w:after="0" w:line="240" w:lineRule="auto"/>
        <w:ind w:left="1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30</w:t>
      </w:r>
      <w:r w:rsidR="000958B8" w:rsidRPr="00E70066">
        <w:rPr>
          <w:rFonts w:ascii="Times New Roman" w:hAnsi="Times New Roman" w:cs="Times New Roman"/>
          <w:sz w:val="28"/>
          <w:szCs w:val="28"/>
        </w:rPr>
        <w:t>.6.3.</w:t>
      </w:r>
      <w:r w:rsidR="00B02A66" w:rsidRPr="00E70066">
        <w:rPr>
          <w:rFonts w:ascii="Times New Roman" w:hAnsi="Times New Roman" w:cs="Times New Roman"/>
          <w:sz w:val="28"/>
          <w:szCs w:val="28"/>
        </w:rPr>
        <w:t> </w:t>
      </w:r>
      <w:r w:rsidR="000958B8" w:rsidRPr="00E70066">
        <w:rPr>
          <w:rFonts w:ascii="Times New Roman" w:hAnsi="Times New Roman" w:cs="Times New Roman"/>
          <w:sz w:val="28"/>
          <w:szCs w:val="28"/>
        </w:rPr>
        <w:t>apvienošanās atbilstību klientu, patērētāju un sabiedrības interesēm kopumā.”</w:t>
      </w:r>
    </w:p>
    <w:p w14:paraId="2210D2C8" w14:textId="77777777" w:rsidR="00460C89" w:rsidRDefault="00460C89" w:rsidP="00460C89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DD8F3D" w14:textId="3250C435" w:rsidR="00557ACB" w:rsidRPr="00E70066" w:rsidRDefault="00211440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1.1</w:t>
      </w:r>
      <w:r w:rsidR="00460C89">
        <w:rPr>
          <w:rFonts w:ascii="Times New Roman" w:hAnsi="Times New Roman" w:cs="Times New Roman"/>
          <w:sz w:val="28"/>
          <w:szCs w:val="28"/>
        </w:rPr>
        <w:t>1</w:t>
      </w:r>
      <w:r w:rsidRPr="00E70066">
        <w:rPr>
          <w:rFonts w:ascii="Times New Roman" w:hAnsi="Times New Roman" w:cs="Times New Roman"/>
          <w:sz w:val="28"/>
          <w:szCs w:val="28"/>
        </w:rPr>
        <w:t>. p</w:t>
      </w:r>
      <w:r w:rsidR="00557ACB" w:rsidRPr="00E70066">
        <w:rPr>
          <w:rFonts w:ascii="Times New Roman" w:hAnsi="Times New Roman" w:cs="Times New Roman"/>
          <w:sz w:val="28"/>
          <w:szCs w:val="28"/>
        </w:rPr>
        <w:t xml:space="preserve">apildināt </w:t>
      </w:r>
      <w:r w:rsidR="001467D3" w:rsidRPr="00E70066">
        <w:rPr>
          <w:rFonts w:ascii="Times New Roman" w:hAnsi="Times New Roman" w:cs="Times New Roman"/>
          <w:sz w:val="28"/>
          <w:szCs w:val="28"/>
        </w:rPr>
        <w:t xml:space="preserve">noteikumus </w:t>
      </w:r>
      <w:r w:rsidR="008C5582" w:rsidRPr="00E70066">
        <w:rPr>
          <w:rFonts w:ascii="Times New Roman" w:hAnsi="Times New Roman" w:cs="Times New Roman"/>
          <w:sz w:val="28"/>
          <w:szCs w:val="28"/>
        </w:rPr>
        <w:t>ar 32.6.</w:t>
      </w:r>
      <w:r w:rsidR="00A10DF9" w:rsidRPr="00E70066">
        <w:rPr>
          <w:rFonts w:ascii="Times New Roman" w:hAnsi="Times New Roman" w:cs="Times New Roman"/>
          <w:sz w:val="28"/>
          <w:szCs w:val="28"/>
        </w:rPr>
        <w:t xml:space="preserve"> un 32.7.</w:t>
      </w:r>
      <w:r w:rsidRPr="00E70066">
        <w:rPr>
          <w:rFonts w:ascii="Times New Roman" w:hAnsi="Times New Roman" w:cs="Times New Roman"/>
          <w:sz w:val="28"/>
          <w:szCs w:val="28"/>
        </w:rPr>
        <w:t> </w:t>
      </w:r>
      <w:r w:rsidR="00557ACB" w:rsidRPr="00E70066">
        <w:rPr>
          <w:rFonts w:ascii="Times New Roman" w:hAnsi="Times New Roman" w:cs="Times New Roman"/>
          <w:sz w:val="28"/>
          <w:szCs w:val="28"/>
        </w:rPr>
        <w:t>apakšpunkt</w:t>
      </w:r>
      <w:r w:rsidR="008C5582" w:rsidRPr="00E70066">
        <w:rPr>
          <w:rFonts w:ascii="Times New Roman" w:hAnsi="Times New Roman" w:cs="Times New Roman"/>
          <w:sz w:val="28"/>
          <w:szCs w:val="28"/>
        </w:rPr>
        <w:t>u</w:t>
      </w:r>
      <w:r w:rsidR="00557ACB" w:rsidRPr="00E70066">
        <w:rPr>
          <w:rFonts w:ascii="Times New Roman" w:hAnsi="Times New Roman" w:cs="Times New Roman"/>
          <w:sz w:val="28"/>
          <w:szCs w:val="28"/>
        </w:rPr>
        <w:t xml:space="preserve"> šādā redakcijā:</w:t>
      </w:r>
    </w:p>
    <w:p w14:paraId="2A89A34C" w14:textId="77777777" w:rsidR="00460C89" w:rsidRDefault="00460C89" w:rsidP="00460C8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A7D9EA4" w14:textId="7A730B69" w:rsidR="008C5582" w:rsidRPr="00E70066" w:rsidRDefault="008C5582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“32.6.</w:t>
      </w:r>
      <w:r w:rsidR="00A10DF9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īsu nekonfidenciālu apvienošanās aprakstu, kuru padome izmantos sabiedrības informēšanai par plānoto apvienošanos</w:t>
      </w:r>
      <w:r w:rsidR="00135462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padomes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tīmekļa vietnē. Aprakstā norādāma sekojoša informācija:</w:t>
      </w:r>
    </w:p>
    <w:p w14:paraId="3C0F6DDB" w14:textId="77777777" w:rsidR="00460C89" w:rsidRDefault="00460C89" w:rsidP="00460C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403BF296" w14:textId="32714B1C" w:rsidR="008C5582" w:rsidRPr="00E70066" w:rsidRDefault="008C5582" w:rsidP="00E70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32.6.1.</w:t>
      </w:r>
      <w:r w:rsidR="00A608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apvienošanās darījuma dalībnieki;</w:t>
      </w:r>
    </w:p>
    <w:p w14:paraId="1DD66F52" w14:textId="77777777" w:rsidR="00460C89" w:rsidRDefault="00460C89" w:rsidP="00460C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6D64BD1" w14:textId="3F5B301D" w:rsidR="008C5582" w:rsidRPr="00E70066" w:rsidRDefault="008C5582" w:rsidP="00E70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32.6.2.</w:t>
      </w:r>
      <w:r w:rsidR="00A608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īss apvienošanās darījuma apraksts;</w:t>
      </w:r>
    </w:p>
    <w:p w14:paraId="375F4E7F" w14:textId="77777777" w:rsidR="00460C89" w:rsidRDefault="00460C89" w:rsidP="00460C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F6B714F" w14:textId="28519231" w:rsidR="00A10DF9" w:rsidRPr="00E70066" w:rsidRDefault="008C5582" w:rsidP="00E70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32.6.3.</w:t>
      </w:r>
      <w:r w:rsidR="00A608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ietekmētie tirgi un</w:t>
      </w:r>
      <w:r w:rsidR="000958B8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nozares</w:t>
      </w: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Latvijas teritorijā</w:t>
      </w:r>
      <w:r w:rsidR="00A10DF9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383E5303" w14:textId="77777777" w:rsidR="00460C89" w:rsidRDefault="00460C89" w:rsidP="00460C8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6D598387" w14:textId="4A036F48" w:rsidR="004872FE" w:rsidRPr="00E70066" w:rsidRDefault="00A10DF9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32.7. visus apvienošanās dalībnieku rīcībā esošus dokumentus attiecībā uz apvienošanās juridiskajiem un ekonomiskajiem aspektiem, kas atspoguļo apvienošanās mērķi, apvienošanās norises posmus un informāciju par konkurences apstākļiem katrā no ietekmētajiem tirgiem</w:t>
      </w:r>
      <w:r w:rsidR="008C5582" w:rsidRPr="00E70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.”</w:t>
      </w:r>
      <w:r w:rsidR="00460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0851FBE0" w14:textId="77777777" w:rsidR="00A60884" w:rsidRDefault="00A60884" w:rsidP="00CD05E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27A04" w14:textId="25B28374" w:rsidR="00144AAA" w:rsidRPr="00E70066" w:rsidRDefault="00B800A7" w:rsidP="00E7006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A608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7798B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papildināt noteikumu</w:t>
      </w:r>
      <w:r w:rsidR="001E2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VII nodaļu</w:t>
      </w:r>
      <w:r w:rsidR="0037798B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 43. punktu šādā redakcijā:</w:t>
      </w:r>
    </w:p>
    <w:p w14:paraId="1E69C442" w14:textId="77777777" w:rsidR="00647834" w:rsidRDefault="00647834" w:rsidP="00CD05E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7700FF" w14:textId="446CD17B" w:rsidR="2A422CFA" w:rsidRPr="00E70066" w:rsidRDefault="00211B64" w:rsidP="00E70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37798B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C49AA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798B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27E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Ziņojum</w:t>
      </w:r>
      <w:r w:rsidR="005A537D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56327E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6DB8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kas iesniegti </w:t>
      </w:r>
      <w:r w:rsidR="00DD3D09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līdz 202</w:t>
      </w:r>
      <w:r w:rsidR="00D155AA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3D09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1526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3D09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gada </w:t>
      </w:r>
      <w:r w:rsidR="00D155AA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28. </w:t>
      </w:r>
      <w:r w:rsidR="00781526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februārim</w:t>
      </w:r>
      <w:r w:rsidR="00DD3D09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izskatāmi, piemērojot </w:t>
      </w:r>
      <w:r w:rsidR="00CD05EA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A46E57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oteikumu redakciju, kas spēkā līdz 202</w:t>
      </w:r>
      <w:r w:rsidR="00781526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6E57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1526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46E57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gada</w:t>
      </w:r>
      <w:r w:rsidR="00781526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 februārim</w:t>
      </w:r>
      <w:r w:rsidR="003137D0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.”</w:t>
      </w:r>
    </w:p>
    <w:p w14:paraId="51731B78" w14:textId="3AC831E3" w:rsidR="00F65F0A" w:rsidRPr="00E70066" w:rsidRDefault="00F65F0A" w:rsidP="00E7006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AE922" w14:textId="13D12351" w:rsidR="00AE1C84" w:rsidRPr="00E70066" w:rsidRDefault="00AE1C84" w:rsidP="00E70066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2. Noteikumi stājas spēkā 2022.</w:t>
      </w:r>
      <w:r w:rsidR="006352C7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gada 1.</w:t>
      </w:r>
      <w:r w:rsidR="009D1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526"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martā</w:t>
      </w:r>
      <w:r w:rsidRPr="00E70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9AEFAC" w14:textId="2DE947DE" w:rsidR="00AE1C84" w:rsidRPr="00E70066" w:rsidRDefault="00AE1C84" w:rsidP="00E7006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3E28B6" w14:textId="27D2F40B" w:rsidR="00D94B06" w:rsidRPr="00E70066" w:rsidRDefault="00D94B06" w:rsidP="00E70066">
      <w:pPr>
        <w:tabs>
          <w:tab w:val="left" w:pos="7655"/>
        </w:tabs>
        <w:spacing w:after="0" w:line="240" w:lineRule="auto"/>
        <w:ind w:left="7655" w:right="-482" w:hanging="7655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 xml:space="preserve">Ministru </w:t>
      </w:r>
      <w:r w:rsidR="006834C6" w:rsidRPr="00E70066">
        <w:rPr>
          <w:rFonts w:ascii="Times New Roman" w:hAnsi="Times New Roman" w:cs="Times New Roman"/>
          <w:sz w:val="28"/>
          <w:szCs w:val="28"/>
        </w:rPr>
        <w:t>prezidents</w:t>
      </w:r>
      <w:r w:rsidR="006834C6" w:rsidRPr="00E70066">
        <w:rPr>
          <w:rFonts w:ascii="Times New Roman" w:hAnsi="Times New Roman" w:cs="Times New Roman"/>
          <w:sz w:val="28"/>
          <w:szCs w:val="28"/>
        </w:rPr>
        <w:tab/>
      </w:r>
      <w:r w:rsidRPr="00E70066">
        <w:rPr>
          <w:rFonts w:ascii="Times New Roman" w:hAnsi="Times New Roman" w:cs="Times New Roman"/>
          <w:sz w:val="28"/>
          <w:szCs w:val="28"/>
        </w:rPr>
        <w:t>A.</w:t>
      </w:r>
      <w:r w:rsidR="004212A6" w:rsidRPr="00E70066">
        <w:rPr>
          <w:rFonts w:ascii="Times New Roman" w:hAnsi="Times New Roman" w:cs="Times New Roman"/>
          <w:sz w:val="28"/>
          <w:szCs w:val="28"/>
        </w:rPr>
        <w:t> </w:t>
      </w:r>
      <w:r w:rsidRPr="00E70066">
        <w:rPr>
          <w:rFonts w:ascii="Times New Roman" w:hAnsi="Times New Roman" w:cs="Times New Roman"/>
          <w:sz w:val="28"/>
          <w:szCs w:val="28"/>
        </w:rPr>
        <w:t>K. Kariņš</w:t>
      </w:r>
    </w:p>
    <w:p w14:paraId="26ACC7BA" w14:textId="77777777" w:rsidR="00D94B06" w:rsidRPr="00E70066" w:rsidRDefault="00D94B06" w:rsidP="00E70066">
      <w:pPr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</w:p>
    <w:p w14:paraId="19AE0560" w14:textId="6378CE69" w:rsidR="00D94B06" w:rsidRPr="00E70066" w:rsidRDefault="00D94B06" w:rsidP="00E70066">
      <w:pPr>
        <w:spacing w:after="0" w:line="240" w:lineRule="auto"/>
        <w:ind w:left="7655" w:right="-482" w:hanging="7655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 xml:space="preserve">Ekonomikas </w:t>
      </w:r>
      <w:r w:rsidR="006834C6" w:rsidRPr="00E70066">
        <w:rPr>
          <w:rFonts w:ascii="Times New Roman" w:hAnsi="Times New Roman" w:cs="Times New Roman"/>
          <w:sz w:val="28"/>
          <w:szCs w:val="28"/>
        </w:rPr>
        <w:t>ministrs</w:t>
      </w:r>
      <w:r w:rsidR="006834C6" w:rsidRPr="00E70066">
        <w:rPr>
          <w:rFonts w:ascii="Times New Roman" w:hAnsi="Times New Roman" w:cs="Times New Roman"/>
          <w:sz w:val="28"/>
          <w:szCs w:val="28"/>
        </w:rPr>
        <w:tab/>
      </w:r>
      <w:r w:rsidR="00415192" w:rsidRPr="00E70066">
        <w:rPr>
          <w:rFonts w:ascii="Times New Roman" w:hAnsi="Times New Roman" w:cs="Times New Roman"/>
          <w:sz w:val="28"/>
          <w:szCs w:val="28"/>
        </w:rPr>
        <w:t>J. Vitenbergs</w:t>
      </w:r>
    </w:p>
    <w:p w14:paraId="44110685" w14:textId="77777777" w:rsidR="00D94B06" w:rsidRPr="00E70066" w:rsidRDefault="00D94B06" w:rsidP="00E70066">
      <w:pPr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</w:p>
    <w:p w14:paraId="5C340391" w14:textId="77777777" w:rsidR="00D94B06" w:rsidRPr="00E70066" w:rsidRDefault="00D94B06" w:rsidP="00E70066">
      <w:pPr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70066">
        <w:rPr>
          <w:rFonts w:ascii="Times New Roman" w:hAnsi="Times New Roman" w:cs="Times New Roman"/>
          <w:sz w:val="28"/>
          <w:szCs w:val="28"/>
        </w:rPr>
        <w:t>Vīza:</w:t>
      </w:r>
    </w:p>
    <w:p w14:paraId="58709241" w14:textId="2EFE7015" w:rsidR="007D18D9" w:rsidRPr="004212A6" w:rsidRDefault="00D94B06" w:rsidP="00E70066">
      <w:pPr>
        <w:spacing w:after="0" w:line="240" w:lineRule="auto"/>
        <w:ind w:left="7655" w:right="-482" w:hanging="7655"/>
        <w:rPr>
          <w:rFonts w:ascii="Times New Roman" w:hAnsi="Times New Roman" w:cs="Times New Roman"/>
        </w:rPr>
      </w:pPr>
      <w:r w:rsidRPr="00E70066">
        <w:rPr>
          <w:rFonts w:ascii="Times New Roman" w:hAnsi="Times New Roman" w:cs="Times New Roman"/>
          <w:sz w:val="28"/>
          <w:szCs w:val="28"/>
        </w:rPr>
        <w:t>Valsts sekretārs</w:t>
      </w:r>
      <w:r w:rsidR="006834C6" w:rsidRPr="00E70066">
        <w:rPr>
          <w:rFonts w:ascii="Times New Roman" w:hAnsi="Times New Roman" w:cs="Times New Roman"/>
          <w:sz w:val="28"/>
          <w:szCs w:val="28"/>
        </w:rPr>
        <w:tab/>
      </w:r>
      <w:r w:rsidR="00E736B8" w:rsidRPr="00E70066">
        <w:rPr>
          <w:rFonts w:ascii="Times New Roman" w:hAnsi="Times New Roman" w:cs="Times New Roman"/>
          <w:sz w:val="28"/>
          <w:szCs w:val="28"/>
        </w:rPr>
        <w:t>E. Valantis</w:t>
      </w:r>
    </w:p>
    <w:sectPr w:rsidR="007D18D9" w:rsidRPr="004212A6" w:rsidSect="0095795B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CC3A" w14:textId="77777777" w:rsidR="00E03C74" w:rsidRDefault="00E03C74" w:rsidP="00C14FD6">
      <w:pPr>
        <w:spacing w:after="0" w:line="240" w:lineRule="auto"/>
      </w:pPr>
      <w:r>
        <w:separator/>
      </w:r>
    </w:p>
  </w:endnote>
  <w:endnote w:type="continuationSeparator" w:id="0">
    <w:p w14:paraId="1675EF5D" w14:textId="77777777" w:rsidR="00E03C74" w:rsidRDefault="00E03C74" w:rsidP="00C1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412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ED71C" w14:textId="6BE53AC5" w:rsidR="00C14FD6" w:rsidRDefault="00C14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7F875" w14:textId="77777777" w:rsidR="00C14FD6" w:rsidRDefault="00C1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3BF0E" w14:textId="77777777" w:rsidR="00E03C74" w:rsidRDefault="00E03C74" w:rsidP="00C14FD6">
      <w:pPr>
        <w:spacing w:after="0" w:line="240" w:lineRule="auto"/>
      </w:pPr>
      <w:r>
        <w:separator/>
      </w:r>
    </w:p>
  </w:footnote>
  <w:footnote w:type="continuationSeparator" w:id="0">
    <w:p w14:paraId="45CC031D" w14:textId="77777777" w:rsidR="00E03C74" w:rsidRDefault="00E03C74" w:rsidP="00C1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5E84"/>
    <w:multiLevelType w:val="multilevel"/>
    <w:tmpl w:val="6576E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>
      <w:start w:val="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BB57D8"/>
    <w:multiLevelType w:val="hybridMultilevel"/>
    <w:tmpl w:val="82BA9C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D0"/>
    <w:rsid w:val="0002290C"/>
    <w:rsid w:val="00023562"/>
    <w:rsid w:val="0003381B"/>
    <w:rsid w:val="0003580E"/>
    <w:rsid w:val="00035E90"/>
    <w:rsid w:val="00040269"/>
    <w:rsid w:val="000523E1"/>
    <w:rsid w:val="00052840"/>
    <w:rsid w:val="00055E56"/>
    <w:rsid w:val="0005780D"/>
    <w:rsid w:val="00070F40"/>
    <w:rsid w:val="000804F8"/>
    <w:rsid w:val="00080D64"/>
    <w:rsid w:val="00081686"/>
    <w:rsid w:val="00082D8F"/>
    <w:rsid w:val="00084546"/>
    <w:rsid w:val="00086C55"/>
    <w:rsid w:val="0009129D"/>
    <w:rsid w:val="00093CA8"/>
    <w:rsid w:val="000958B8"/>
    <w:rsid w:val="00096987"/>
    <w:rsid w:val="000A13AD"/>
    <w:rsid w:val="000A62FD"/>
    <w:rsid w:val="000B1C5D"/>
    <w:rsid w:val="000C03C1"/>
    <w:rsid w:val="000C1966"/>
    <w:rsid w:val="000C3FBB"/>
    <w:rsid w:val="000C49AA"/>
    <w:rsid w:val="000C6A88"/>
    <w:rsid w:val="000D28C4"/>
    <w:rsid w:val="000D712C"/>
    <w:rsid w:val="000F401D"/>
    <w:rsid w:val="00101A5B"/>
    <w:rsid w:val="001125F5"/>
    <w:rsid w:val="00112D34"/>
    <w:rsid w:val="001311E9"/>
    <w:rsid w:val="00135462"/>
    <w:rsid w:val="00144AAA"/>
    <w:rsid w:val="001467D3"/>
    <w:rsid w:val="00147B7B"/>
    <w:rsid w:val="00152D01"/>
    <w:rsid w:val="00162F2B"/>
    <w:rsid w:val="00164E44"/>
    <w:rsid w:val="0017175F"/>
    <w:rsid w:val="0018297F"/>
    <w:rsid w:val="00194845"/>
    <w:rsid w:val="00194968"/>
    <w:rsid w:val="001951B1"/>
    <w:rsid w:val="00195B12"/>
    <w:rsid w:val="00195B85"/>
    <w:rsid w:val="001A002E"/>
    <w:rsid w:val="001A0FB6"/>
    <w:rsid w:val="001A178C"/>
    <w:rsid w:val="001A523E"/>
    <w:rsid w:val="001A52A9"/>
    <w:rsid w:val="001A6581"/>
    <w:rsid w:val="001A6787"/>
    <w:rsid w:val="001A7A8B"/>
    <w:rsid w:val="001B0E8C"/>
    <w:rsid w:val="001B1945"/>
    <w:rsid w:val="001B729B"/>
    <w:rsid w:val="001C4C87"/>
    <w:rsid w:val="001D4D91"/>
    <w:rsid w:val="001D50BC"/>
    <w:rsid w:val="001E285D"/>
    <w:rsid w:val="001E54E3"/>
    <w:rsid w:val="001F15DE"/>
    <w:rsid w:val="001F20D9"/>
    <w:rsid w:val="001F3DA1"/>
    <w:rsid w:val="00204B12"/>
    <w:rsid w:val="00211440"/>
    <w:rsid w:val="00211B64"/>
    <w:rsid w:val="00217077"/>
    <w:rsid w:val="002270F2"/>
    <w:rsid w:val="002320A3"/>
    <w:rsid w:val="00255222"/>
    <w:rsid w:val="00256E8B"/>
    <w:rsid w:val="00257518"/>
    <w:rsid w:val="00271252"/>
    <w:rsid w:val="002768CC"/>
    <w:rsid w:val="00285D79"/>
    <w:rsid w:val="00286583"/>
    <w:rsid w:val="0029366D"/>
    <w:rsid w:val="002A419B"/>
    <w:rsid w:val="002B3FD6"/>
    <w:rsid w:val="002B60E6"/>
    <w:rsid w:val="002C4AA0"/>
    <w:rsid w:val="002D2B8D"/>
    <w:rsid w:val="002D5FAC"/>
    <w:rsid w:val="002F0AEE"/>
    <w:rsid w:val="0031109B"/>
    <w:rsid w:val="003137D0"/>
    <w:rsid w:val="00314FAC"/>
    <w:rsid w:val="0031790E"/>
    <w:rsid w:val="0034185F"/>
    <w:rsid w:val="00353F7F"/>
    <w:rsid w:val="00364D33"/>
    <w:rsid w:val="00366633"/>
    <w:rsid w:val="0037798B"/>
    <w:rsid w:val="00383012"/>
    <w:rsid w:val="003833ED"/>
    <w:rsid w:val="003944F8"/>
    <w:rsid w:val="0039753F"/>
    <w:rsid w:val="003A1B67"/>
    <w:rsid w:val="003A7683"/>
    <w:rsid w:val="003B0ADD"/>
    <w:rsid w:val="003C62DD"/>
    <w:rsid w:val="003D0D9D"/>
    <w:rsid w:val="003D3667"/>
    <w:rsid w:val="003D37C7"/>
    <w:rsid w:val="003D3E10"/>
    <w:rsid w:val="003D4302"/>
    <w:rsid w:val="003D5730"/>
    <w:rsid w:val="003E29CE"/>
    <w:rsid w:val="003E401C"/>
    <w:rsid w:val="003E5E00"/>
    <w:rsid w:val="003F68C1"/>
    <w:rsid w:val="003F7D51"/>
    <w:rsid w:val="0040281C"/>
    <w:rsid w:val="004107CA"/>
    <w:rsid w:val="00411F80"/>
    <w:rsid w:val="004148D1"/>
    <w:rsid w:val="00415192"/>
    <w:rsid w:val="00416794"/>
    <w:rsid w:val="00417872"/>
    <w:rsid w:val="004212A6"/>
    <w:rsid w:val="004213CB"/>
    <w:rsid w:val="00422D9C"/>
    <w:rsid w:val="00425FEF"/>
    <w:rsid w:val="00432344"/>
    <w:rsid w:val="0043650C"/>
    <w:rsid w:val="00460A27"/>
    <w:rsid w:val="00460C89"/>
    <w:rsid w:val="00463A0C"/>
    <w:rsid w:val="0047588A"/>
    <w:rsid w:val="004823FD"/>
    <w:rsid w:val="0048374A"/>
    <w:rsid w:val="00485AF5"/>
    <w:rsid w:val="004872FE"/>
    <w:rsid w:val="0049301D"/>
    <w:rsid w:val="004A341A"/>
    <w:rsid w:val="004C3567"/>
    <w:rsid w:val="004E58D9"/>
    <w:rsid w:val="00501066"/>
    <w:rsid w:val="00514484"/>
    <w:rsid w:val="00514E82"/>
    <w:rsid w:val="00524006"/>
    <w:rsid w:val="005248B0"/>
    <w:rsid w:val="00527820"/>
    <w:rsid w:val="00533BDE"/>
    <w:rsid w:val="00541DF9"/>
    <w:rsid w:val="00546679"/>
    <w:rsid w:val="0054680C"/>
    <w:rsid w:val="00546B7C"/>
    <w:rsid w:val="005547BD"/>
    <w:rsid w:val="00557ACB"/>
    <w:rsid w:val="00561513"/>
    <w:rsid w:val="0056213B"/>
    <w:rsid w:val="0056327E"/>
    <w:rsid w:val="00571EA5"/>
    <w:rsid w:val="005800C5"/>
    <w:rsid w:val="00583444"/>
    <w:rsid w:val="0058694A"/>
    <w:rsid w:val="005A26CF"/>
    <w:rsid w:val="005A537D"/>
    <w:rsid w:val="005B364A"/>
    <w:rsid w:val="005C0230"/>
    <w:rsid w:val="005E3ACE"/>
    <w:rsid w:val="005E3D93"/>
    <w:rsid w:val="005E3EB9"/>
    <w:rsid w:val="005E4FD0"/>
    <w:rsid w:val="005F164C"/>
    <w:rsid w:val="005F2C63"/>
    <w:rsid w:val="005F2FB6"/>
    <w:rsid w:val="006019BA"/>
    <w:rsid w:val="00617492"/>
    <w:rsid w:val="006175FF"/>
    <w:rsid w:val="00617E80"/>
    <w:rsid w:val="00622B02"/>
    <w:rsid w:val="006352C7"/>
    <w:rsid w:val="006418B1"/>
    <w:rsid w:val="00644867"/>
    <w:rsid w:val="006452E6"/>
    <w:rsid w:val="00647834"/>
    <w:rsid w:val="00657343"/>
    <w:rsid w:val="00662119"/>
    <w:rsid w:val="0066544A"/>
    <w:rsid w:val="006676BF"/>
    <w:rsid w:val="00670F9B"/>
    <w:rsid w:val="0067375E"/>
    <w:rsid w:val="006759A2"/>
    <w:rsid w:val="00675C0B"/>
    <w:rsid w:val="00676DAC"/>
    <w:rsid w:val="00680974"/>
    <w:rsid w:val="006834C6"/>
    <w:rsid w:val="00684192"/>
    <w:rsid w:val="006841C3"/>
    <w:rsid w:val="0069019C"/>
    <w:rsid w:val="00690F8F"/>
    <w:rsid w:val="006925AB"/>
    <w:rsid w:val="0069411C"/>
    <w:rsid w:val="006946D9"/>
    <w:rsid w:val="006971B9"/>
    <w:rsid w:val="006A0BA8"/>
    <w:rsid w:val="006B01FB"/>
    <w:rsid w:val="006B192C"/>
    <w:rsid w:val="006B3613"/>
    <w:rsid w:val="006B44B3"/>
    <w:rsid w:val="006C074D"/>
    <w:rsid w:val="006C1E6E"/>
    <w:rsid w:val="006C3360"/>
    <w:rsid w:val="006C78C9"/>
    <w:rsid w:val="006C7A5A"/>
    <w:rsid w:val="006D0AFD"/>
    <w:rsid w:val="006D11CB"/>
    <w:rsid w:val="006D2FD4"/>
    <w:rsid w:val="006D360D"/>
    <w:rsid w:val="006D3D2A"/>
    <w:rsid w:val="006D486F"/>
    <w:rsid w:val="006D6138"/>
    <w:rsid w:val="006E109F"/>
    <w:rsid w:val="006F1D79"/>
    <w:rsid w:val="006F2FF7"/>
    <w:rsid w:val="006F57AF"/>
    <w:rsid w:val="0070697D"/>
    <w:rsid w:val="007117A9"/>
    <w:rsid w:val="00722025"/>
    <w:rsid w:val="007267CF"/>
    <w:rsid w:val="007355B6"/>
    <w:rsid w:val="0074563C"/>
    <w:rsid w:val="00752363"/>
    <w:rsid w:val="00753392"/>
    <w:rsid w:val="00756B0A"/>
    <w:rsid w:val="00771A36"/>
    <w:rsid w:val="00781526"/>
    <w:rsid w:val="00791A3B"/>
    <w:rsid w:val="0079437F"/>
    <w:rsid w:val="007958EB"/>
    <w:rsid w:val="007A1300"/>
    <w:rsid w:val="007A381F"/>
    <w:rsid w:val="007A60D2"/>
    <w:rsid w:val="007B5F4C"/>
    <w:rsid w:val="007D02A4"/>
    <w:rsid w:val="007D18D9"/>
    <w:rsid w:val="007D5091"/>
    <w:rsid w:val="00805642"/>
    <w:rsid w:val="00806AF5"/>
    <w:rsid w:val="008100EA"/>
    <w:rsid w:val="00814CB5"/>
    <w:rsid w:val="00815E4A"/>
    <w:rsid w:val="00816506"/>
    <w:rsid w:val="008205E8"/>
    <w:rsid w:val="00820B95"/>
    <w:rsid w:val="00825496"/>
    <w:rsid w:val="008340E7"/>
    <w:rsid w:val="008434B0"/>
    <w:rsid w:val="00854AD0"/>
    <w:rsid w:val="00855C03"/>
    <w:rsid w:val="00857E13"/>
    <w:rsid w:val="00860AEC"/>
    <w:rsid w:val="00863432"/>
    <w:rsid w:val="00873AD7"/>
    <w:rsid w:val="0087750A"/>
    <w:rsid w:val="00880570"/>
    <w:rsid w:val="00890523"/>
    <w:rsid w:val="00894D36"/>
    <w:rsid w:val="008A5D46"/>
    <w:rsid w:val="008A651A"/>
    <w:rsid w:val="008B606C"/>
    <w:rsid w:val="008B750F"/>
    <w:rsid w:val="008C2F23"/>
    <w:rsid w:val="008C411C"/>
    <w:rsid w:val="008C519E"/>
    <w:rsid w:val="008C5582"/>
    <w:rsid w:val="008D2683"/>
    <w:rsid w:val="008D4180"/>
    <w:rsid w:val="008D6F6E"/>
    <w:rsid w:val="008D7516"/>
    <w:rsid w:val="008D7611"/>
    <w:rsid w:val="008D7E10"/>
    <w:rsid w:val="008E1196"/>
    <w:rsid w:val="008E2F8F"/>
    <w:rsid w:val="008E3F7D"/>
    <w:rsid w:val="008E460D"/>
    <w:rsid w:val="008E4DCB"/>
    <w:rsid w:val="008E56C4"/>
    <w:rsid w:val="008E5819"/>
    <w:rsid w:val="008E6620"/>
    <w:rsid w:val="008F3A2E"/>
    <w:rsid w:val="00900FC8"/>
    <w:rsid w:val="009027F5"/>
    <w:rsid w:val="009135E2"/>
    <w:rsid w:val="00913F12"/>
    <w:rsid w:val="009266ED"/>
    <w:rsid w:val="00937383"/>
    <w:rsid w:val="00937B60"/>
    <w:rsid w:val="009468BB"/>
    <w:rsid w:val="00950B4D"/>
    <w:rsid w:val="00954335"/>
    <w:rsid w:val="0095795B"/>
    <w:rsid w:val="00965D62"/>
    <w:rsid w:val="009722FC"/>
    <w:rsid w:val="009772AA"/>
    <w:rsid w:val="00985BDA"/>
    <w:rsid w:val="0099512F"/>
    <w:rsid w:val="009B20C5"/>
    <w:rsid w:val="009B4FE6"/>
    <w:rsid w:val="009C02F7"/>
    <w:rsid w:val="009C4F17"/>
    <w:rsid w:val="009D1D20"/>
    <w:rsid w:val="009D69EB"/>
    <w:rsid w:val="009D6AFC"/>
    <w:rsid w:val="009E28D3"/>
    <w:rsid w:val="009F16BD"/>
    <w:rsid w:val="009F490E"/>
    <w:rsid w:val="009F4C9A"/>
    <w:rsid w:val="00A00165"/>
    <w:rsid w:val="00A037C7"/>
    <w:rsid w:val="00A06D11"/>
    <w:rsid w:val="00A10DF9"/>
    <w:rsid w:val="00A11285"/>
    <w:rsid w:val="00A135D9"/>
    <w:rsid w:val="00A23B27"/>
    <w:rsid w:val="00A27ABA"/>
    <w:rsid w:val="00A306E3"/>
    <w:rsid w:val="00A425DF"/>
    <w:rsid w:val="00A42D2B"/>
    <w:rsid w:val="00A46E57"/>
    <w:rsid w:val="00A60884"/>
    <w:rsid w:val="00A66352"/>
    <w:rsid w:val="00A7248B"/>
    <w:rsid w:val="00A91413"/>
    <w:rsid w:val="00AA36EB"/>
    <w:rsid w:val="00AC06C7"/>
    <w:rsid w:val="00AC2CE5"/>
    <w:rsid w:val="00AD08A0"/>
    <w:rsid w:val="00AD32D8"/>
    <w:rsid w:val="00AD6FD2"/>
    <w:rsid w:val="00AE1C84"/>
    <w:rsid w:val="00AF4B6E"/>
    <w:rsid w:val="00AF7595"/>
    <w:rsid w:val="00AF7B5E"/>
    <w:rsid w:val="00B02398"/>
    <w:rsid w:val="00B02A66"/>
    <w:rsid w:val="00B1113D"/>
    <w:rsid w:val="00B11788"/>
    <w:rsid w:val="00B133DD"/>
    <w:rsid w:val="00B236D2"/>
    <w:rsid w:val="00B3165A"/>
    <w:rsid w:val="00B31D51"/>
    <w:rsid w:val="00B32E96"/>
    <w:rsid w:val="00B42927"/>
    <w:rsid w:val="00B50BD9"/>
    <w:rsid w:val="00B600FF"/>
    <w:rsid w:val="00B64B04"/>
    <w:rsid w:val="00B749F3"/>
    <w:rsid w:val="00B76BBA"/>
    <w:rsid w:val="00B800A7"/>
    <w:rsid w:val="00B83110"/>
    <w:rsid w:val="00B87CAE"/>
    <w:rsid w:val="00B942BA"/>
    <w:rsid w:val="00B9669A"/>
    <w:rsid w:val="00B97A6F"/>
    <w:rsid w:val="00BA1D8F"/>
    <w:rsid w:val="00BB0E6D"/>
    <w:rsid w:val="00BB5325"/>
    <w:rsid w:val="00BB7A6B"/>
    <w:rsid w:val="00BC37CE"/>
    <w:rsid w:val="00BC61F1"/>
    <w:rsid w:val="00BC6DB8"/>
    <w:rsid w:val="00BE0A6D"/>
    <w:rsid w:val="00BE1113"/>
    <w:rsid w:val="00BF1A80"/>
    <w:rsid w:val="00BF6B0F"/>
    <w:rsid w:val="00C047A1"/>
    <w:rsid w:val="00C14669"/>
    <w:rsid w:val="00C14A77"/>
    <w:rsid w:val="00C14FD6"/>
    <w:rsid w:val="00C20270"/>
    <w:rsid w:val="00C23179"/>
    <w:rsid w:val="00C23258"/>
    <w:rsid w:val="00C25190"/>
    <w:rsid w:val="00C32474"/>
    <w:rsid w:val="00C33D73"/>
    <w:rsid w:val="00C37794"/>
    <w:rsid w:val="00C37E90"/>
    <w:rsid w:val="00C476C7"/>
    <w:rsid w:val="00C50CF3"/>
    <w:rsid w:val="00C530E1"/>
    <w:rsid w:val="00C53F22"/>
    <w:rsid w:val="00C5516E"/>
    <w:rsid w:val="00C56BBE"/>
    <w:rsid w:val="00C57E5A"/>
    <w:rsid w:val="00C66A6C"/>
    <w:rsid w:val="00C67ABE"/>
    <w:rsid w:val="00C73DE7"/>
    <w:rsid w:val="00C76E10"/>
    <w:rsid w:val="00C7703A"/>
    <w:rsid w:val="00C77A18"/>
    <w:rsid w:val="00C831E7"/>
    <w:rsid w:val="00C91847"/>
    <w:rsid w:val="00CA5C99"/>
    <w:rsid w:val="00CA6D33"/>
    <w:rsid w:val="00CB21B6"/>
    <w:rsid w:val="00CB3959"/>
    <w:rsid w:val="00CC074E"/>
    <w:rsid w:val="00CC12E0"/>
    <w:rsid w:val="00CC3FCF"/>
    <w:rsid w:val="00CD05EA"/>
    <w:rsid w:val="00CE72FC"/>
    <w:rsid w:val="00CE7546"/>
    <w:rsid w:val="00CF5DD2"/>
    <w:rsid w:val="00D019AB"/>
    <w:rsid w:val="00D06B2D"/>
    <w:rsid w:val="00D155AA"/>
    <w:rsid w:val="00D15B8F"/>
    <w:rsid w:val="00D20AC8"/>
    <w:rsid w:val="00D21A06"/>
    <w:rsid w:val="00D2463D"/>
    <w:rsid w:val="00D26753"/>
    <w:rsid w:val="00D32C54"/>
    <w:rsid w:val="00D363B8"/>
    <w:rsid w:val="00D36D68"/>
    <w:rsid w:val="00D4562C"/>
    <w:rsid w:val="00D616E7"/>
    <w:rsid w:val="00D65E76"/>
    <w:rsid w:val="00D66F37"/>
    <w:rsid w:val="00D66FAB"/>
    <w:rsid w:val="00D6713D"/>
    <w:rsid w:val="00D71B6A"/>
    <w:rsid w:val="00D73235"/>
    <w:rsid w:val="00D74FCE"/>
    <w:rsid w:val="00D86C1C"/>
    <w:rsid w:val="00D93466"/>
    <w:rsid w:val="00D94B06"/>
    <w:rsid w:val="00D966CA"/>
    <w:rsid w:val="00DA1163"/>
    <w:rsid w:val="00DA583B"/>
    <w:rsid w:val="00DA5FC3"/>
    <w:rsid w:val="00DB0861"/>
    <w:rsid w:val="00DB3833"/>
    <w:rsid w:val="00DB3D3A"/>
    <w:rsid w:val="00DB7CCD"/>
    <w:rsid w:val="00DC2090"/>
    <w:rsid w:val="00DC5F1E"/>
    <w:rsid w:val="00DD1C84"/>
    <w:rsid w:val="00DD1F0A"/>
    <w:rsid w:val="00DD3957"/>
    <w:rsid w:val="00DD3D09"/>
    <w:rsid w:val="00DD74A5"/>
    <w:rsid w:val="00E0240F"/>
    <w:rsid w:val="00E03C74"/>
    <w:rsid w:val="00E211D0"/>
    <w:rsid w:val="00E22E0C"/>
    <w:rsid w:val="00E3054D"/>
    <w:rsid w:val="00E475D3"/>
    <w:rsid w:val="00E67E07"/>
    <w:rsid w:val="00E70066"/>
    <w:rsid w:val="00E73428"/>
    <w:rsid w:val="00E736B8"/>
    <w:rsid w:val="00E95BF3"/>
    <w:rsid w:val="00EA081B"/>
    <w:rsid w:val="00EA7D04"/>
    <w:rsid w:val="00EC43BB"/>
    <w:rsid w:val="00EC7755"/>
    <w:rsid w:val="00ED43CA"/>
    <w:rsid w:val="00EE60E3"/>
    <w:rsid w:val="00EE6A39"/>
    <w:rsid w:val="00EF7950"/>
    <w:rsid w:val="00F013FE"/>
    <w:rsid w:val="00F05EF1"/>
    <w:rsid w:val="00F21A18"/>
    <w:rsid w:val="00F23E83"/>
    <w:rsid w:val="00F251B4"/>
    <w:rsid w:val="00F26A3E"/>
    <w:rsid w:val="00F4042F"/>
    <w:rsid w:val="00F40C29"/>
    <w:rsid w:val="00F440DB"/>
    <w:rsid w:val="00F52064"/>
    <w:rsid w:val="00F52F4A"/>
    <w:rsid w:val="00F60506"/>
    <w:rsid w:val="00F63D2B"/>
    <w:rsid w:val="00F647CB"/>
    <w:rsid w:val="00F65F0A"/>
    <w:rsid w:val="00F823DB"/>
    <w:rsid w:val="00F94953"/>
    <w:rsid w:val="00FA754D"/>
    <w:rsid w:val="00FA7622"/>
    <w:rsid w:val="00FA7944"/>
    <w:rsid w:val="00FA7DF6"/>
    <w:rsid w:val="00FB2CBC"/>
    <w:rsid w:val="00FC26DC"/>
    <w:rsid w:val="00FC2F9D"/>
    <w:rsid w:val="00FC6CAA"/>
    <w:rsid w:val="00FD20D1"/>
    <w:rsid w:val="00FD5044"/>
    <w:rsid w:val="00FD6699"/>
    <w:rsid w:val="00FE5A8C"/>
    <w:rsid w:val="00FE5E1F"/>
    <w:rsid w:val="00FF16B4"/>
    <w:rsid w:val="01DCCCEF"/>
    <w:rsid w:val="05817BC4"/>
    <w:rsid w:val="072788B7"/>
    <w:rsid w:val="0B6E8137"/>
    <w:rsid w:val="11951B84"/>
    <w:rsid w:val="11A74E8A"/>
    <w:rsid w:val="12658465"/>
    <w:rsid w:val="144352F9"/>
    <w:rsid w:val="14BBD3D7"/>
    <w:rsid w:val="1701DEDF"/>
    <w:rsid w:val="1A1F98D0"/>
    <w:rsid w:val="1ACFE0CC"/>
    <w:rsid w:val="1DD382EE"/>
    <w:rsid w:val="1DE90D09"/>
    <w:rsid w:val="1F29DF10"/>
    <w:rsid w:val="2188ECEE"/>
    <w:rsid w:val="22BFB43A"/>
    <w:rsid w:val="235C7896"/>
    <w:rsid w:val="2389A391"/>
    <w:rsid w:val="239B2DCA"/>
    <w:rsid w:val="24D6E98D"/>
    <w:rsid w:val="24F982D0"/>
    <w:rsid w:val="2834CE76"/>
    <w:rsid w:val="2891EDF5"/>
    <w:rsid w:val="29BBAE08"/>
    <w:rsid w:val="29C39B30"/>
    <w:rsid w:val="29EDBD93"/>
    <w:rsid w:val="29F10D75"/>
    <w:rsid w:val="2A422CFA"/>
    <w:rsid w:val="2A868C72"/>
    <w:rsid w:val="2B28E372"/>
    <w:rsid w:val="2C7989AB"/>
    <w:rsid w:val="36FFFFC1"/>
    <w:rsid w:val="3AE79B77"/>
    <w:rsid w:val="3B598943"/>
    <w:rsid w:val="3CC37F86"/>
    <w:rsid w:val="423EF066"/>
    <w:rsid w:val="44222241"/>
    <w:rsid w:val="4915CA6B"/>
    <w:rsid w:val="49B52169"/>
    <w:rsid w:val="4A48CB13"/>
    <w:rsid w:val="4A756B20"/>
    <w:rsid w:val="4D7666F2"/>
    <w:rsid w:val="4DC433D4"/>
    <w:rsid w:val="4E5FFFA5"/>
    <w:rsid w:val="4E91C08E"/>
    <w:rsid w:val="4E9DBF60"/>
    <w:rsid w:val="522E22AA"/>
    <w:rsid w:val="5403EDA0"/>
    <w:rsid w:val="550EE651"/>
    <w:rsid w:val="56ACE018"/>
    <w:rsid w:val="5768E1EA"/>
    <w:rsid w:val="58B6DCDF"/>
    <w:rsid w:val="5A69A65B"/>
    <w:rsid w:val="5BC03EB8"/>
    <w:rsid w:val="5BFF41B4"/>
    <w:rsid w:val="5C886575"/>
    <w:rsid w:val="5FC78F87"/>
    <w:rsid w:val="5FFB8AEC"/>
    <w:rsid w:val="6090534B"/>
    <w:rsid w:val="61EAB44D"/>
    <w:rsid w:val="662F4C88"/>
    <w:rsid w:val="668A582F"/>
    <w:rsid w:val="67C2F82E"/>
    <w:rsid w:val="6933CD94"/>
    <w:rsid w:val="6E3B7767"/>
    <w:rsid w:val="717DBEE4"/>
    <w:rsid w:val="7182A778"/>
    <w:rsid w:val="72A6016C"/>
    <w:rsid w:val="73561CDB"/>
    <w:rsid w:val="789D8148"/>
    <w:rsid w:val="7CE1B186"/>
    <w:rsid w:val="7F358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F1002"/>
  <w15:chartTrackingRefBased/>
  <w15:docId w15:val="{00730390-C824-4218-90BE-D5ACE8C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D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D6"/>
  </w:style>
  <w:style w:type="paragraph" w:styleId="Footer">
    <w:name w:val="footer"/>
    <w:basedOn w:val="Normal"/>
    <w:link w:val="FooterChar"/>
    <w:uiPriority w:val="99"/>
    <w:unhideWhenUsed/>
    <w:rsid w:val="00C14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D6"/>
  </w:style>
  <w:style w:type="paragraph" w:styleId="NormalWeb">
    <w:name w:val="Normal (Web)"/>
    <w:basedOn w:val="Normal"/>
    <w:uiPriority w:val="99"/>
    <w:unhideWhenUsed/>
    <w:rsid w:val="00DD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96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9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0FC8"/>
    <w:pPr>
      <w:spacing w:after="0" w:line="240" w:lineRule="auto"/>
    </w:pPr>
  </w:style>
  <w:style w:type="paragraph" w:customStyle="1" w:styleId="paragraph">
    <w:name w:val="paragraph"/>
    <w:basedOn w:val="Normal"/>
    <w:qFormat/>
    <w:rsid w:val="000958B8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0958B8"/>
  </w:style>
  <w:style w:type="character" w:customStyle="1" w:styleId="eop">
    <w:name w:val="eop"/>
    <w:basedOn w:val="DefaultParagraphFont"/>
    <w:rsid w:val="000958B8"/>
  </w:style>
  <w:style w:type="paragraph" w:customStyle="1" w:styleId="tv213">
    <w:name w:val="tv213"/>
    <w:basedOn w:val="Normal"/>
    <w:rsid w:val="0052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54890-konkurences-liku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54890-konkurences-liku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EF51970F36A49BB19B1201F6498FD" ma:contentTypeVersion="12" ma:contentTypeDescription="Create a new document." ma:contentTypeScope="" ma:versionID="73d16d927148197b437aad3a696de521">
  <xsd:schema xmlns:xsd="http://www.w3.org/2001/XMLSchema" xmlns:xs="http://www.w3.org/2001/XMLSchema" xmlns:p="http://schemas.microsoft.com/office/2006/metadata/properties" xmlns:ns3="1f975e99-0368-4019-9bcd-028aa034da81" xmlns:ns4="2d2f95b9-2ad2-44e9-848d-bb354b3cdfd3" targetNamespace="http://schemas.microsoft.com/office/2006/metadata/properties" ma:root="true" ma:fieldsID="5109738280cdbdb0d0e3cd84a32a5445" ns3:_="" ns4:_="">
    <xsd:import namespace="1f975e99-0368-4019-9bcd-028aa034da81"/>
    <xsd:import namespace="2d2f95b9-2ad2-44e9-848d-bb354b3cdf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75e99-0368-4019-9bcd-028aa034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95b9-2ad2-44e9-848d-bb354b3cd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A1CDF-7DA9-4AD8-8DB2-76B2BFECB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64391-2D57-41C2-9FF4-6BDEF306F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07628-D1B5-4934-9047-331AAC73F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3310E-059D-401C-B981-AC126E43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75e99-0368-4019-9bcd-028aa034da81"/>
    <ds:schemaRef ds:uri="2d2f95b9-2ad2-44e9-848d-bb354b3cd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6768</Words>
  <Characters>3858</Characters>
  <Application>Microsoft Office Word</Application>
  <DocSecurity>4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2008.gada 29.septembra noteikumos Nr. 800 ”Kārtība, kādā iesniedz un izskata pilno un saīsināto ziņojumu par tirgus dalībnieku apvienošanos”</vt:lpstr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2008.gada 29.septembra noteikumos Nr. 800 ”Kārtība, kādā iesniedz un izskata pilno un saīsināto ziņojumu par tirgus dalībnieku apvienošanos”</dc:title>
  <dc:subject/>
  <dc:creator>Dita Dzērviniece</dc:creator>
  <cp:keywords>Ministru kabineta noteikumu projekts</cp:keywords>
  <dc:description/>
  <cp:lastModifiedBy>Intars Eglītis</cp:lastModifiedBy>
  <cp:revision>2</cp:revision>
  <cp:lastPrinted>2021-07-12T11:36:00Z</cp:lastPrinted>
  <dcterms:created xsi:type="dcterms:W3CDTF">2021-09-02T07:59:00Z</dcterms:created>
  <dcterms:modified xsi:type="dcterms:W3CDTF">2021-09-02T07:59:00Z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0x010100990EF51970F36A49BB19B1201F6498FD</vt:lpwstr>
  </property>
</Properties>
</file>