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2CD60" w14:textId="77777777" w:rsidR="00671A0E" w:rsidRPr="004B62C1" w:rsidRDefault="00671A0E" w:rsidP="00671A0E">
      <w:pPr>
        <w:spacing w:line="276" w:lineRule="auto"/>
        <w:jc w:val="center"/>
        <w:rPr>
          <w:rFonts w:ascii="Tahoma" w:hAnsi="Tahoma" w:cs="Tahoma"/>
          <w:b/>
          <w:bCs/>
          <w:sz w:val="20"/>
          <w:szCs w:val="20"/>
        </w:rPr>
      </w:pPr>
      <w:r w:rsidRPr="004B62C1">
        <w:rPr>
          <w:rFonts w:ascii="Tahoma" w:hAnsi="Tahoma" w:cs="Tahoma"/>
          <w:b/>
          <w:bCs/>
          <w:sz w:val="20"/>
          <w:szCs w:val="20"/>
        </w:rPr>
        <w:t>Būvniecības padomes secinājumi par Zolitūdes izmeklēšanas komisijas gala ziņojumā definētiem uzdevumiem</w:t>
      </w:r>
    </w:p>
    <w:p w14:paraId="156084D0" w14:textId="375F5F3D" w:rsidR="00451BCC" w:rsidRPr="004B62C1" w:rsidRDefault="00451BCC" w:rsidP="00F057A5">
      <w:pPr>
        <w:spacing w:line="360" w:lineRule="auto"/>
        <w:jc w:val="both"/>
        <w:rPr>
          <w:rFonts w:ascii="Tahoma" w:hAnsi="Tahoma" w:cs="Tahoma"/>
          <w:sz w:val="20"/>
          <w:szCs w:val="20"/>
        </w:rPr>
      </w:pPr>
      <w:r w:rsidRPr="004B62C1">
        <w:rPr>
          <w:rFonts w:ascii="Tahoma" w:hAnsi="Tahoma" w:cs="Tahoma"/>
          <w:sz w:val="20"/>
          <w:szCs w:val="20"/>
        </w:rPr>
        <w:t xml:space="preserve">Komisija </w:t>
      </w:r>
      <w:r w:rsidR="00C15F20" w:rsidRPr="004B62C1">
        <w:rPr>
          <w:rFonts w:ascii="Tahoma" w:hAnsi="Tahoma" w:cs="Tahoma"/>
          <w:sz w:val="20"/>
          <w:szCs w:val="20"/>
        </w:rPr>
        <w:t xml:space="preserve">10.2015 </w:t>
      </w:r>
      <w:r w:rsidRPr="004B62C1">
        <w:rPr>
          <w:rFonts w:ascii="Tahoma" w:hAnsi="Tahoma" w:cs="Tahoma"/>
          <w:sz w:val="20"/>
          <w:szCs w:val="20"/>
        </w:rPr>
        <w:t xml:space="preserve">ir formulējusi virkni priekšlikumu </w:t>
      </w:r>
      <w:r w:rsidR="00C15F20" w:rsidRPr="004B62C1">
        <w:rPr>
          <w:rFonts w:ascii="Tahoma" w:hAnsi="Tahoma" w:cs="Tahoma"/>
          <w:sz w:val="20"/>
          <w:szCs w:val="20"/>
        </w:rPr>
        <w:t xml:space="preserve">būvniecības </w:t>
      </w:r>
      <w:r w:rsidRPr="004B62C1">
        <w:rPr>
          <w:rFonts w:ascii="Tahoma" w:hAnsi="Tahoma" w:cs="Tahoma"/>
          <w:sz w:val="20"/>
          <w:szCs w:val="20"/>
        </w:rPr>
        <w:t>normatīvā regulējuma un valsts un pašvaldību iestāžu darba uzlabošanai:</w:t>
      </w:r>
    </w:p>
    <w:p w14:paraId="32D3E1F3" w14:textId="77777777" w:rsidR="00451BCC" w:rsidRPr="004B62C1" w:rsidRDefault="00451BCC" w:rsidP="008C29D0">
      <w:pPr>
        <w:pStyle w:val="ListParagraph"/>
        <w:numPr>
          <w:ilvl w:val="0"/>
          <w:numId w:val="11"/>
        </w:numPr>
        <w:spacing w:line="360" w:lineRule="auto"/>
        <w:jc w:val="both"/>
        <w:rPr>
          <w:rFonts w:ascii="Tahoma" w:hAnsi="Tahoma" w:cs="Tahoma"/>
          <w:sz w:val="20"/>
          <w:szCs w:val="20"/>
        </w:rPr>
      </w:pPr>
      <w:r w:rsidRPr="004B62C1">
        <w:rPr>
          <w:rFonts w:ascii="Tahoma" w:hAnsi="Tahoma" w:cs="Tahoma"/>
          <w:sz w:val="20"/>
          <w:szCs w:val="20"/>
        </w:rPr>
        <w:t>būvniecības nozares mērķtiecīgai vadīšanai Ekonomikas ministrijai sadarbībā ar nevalstiskajām organizācijām ir jāizstrādā būvniecības politikas plānošanas dokuments tuvākajiem gadiem;</w:t>
      </w:r>
    </w:p>
    <w:p w14:paraId="058FFE93" w14:textId="2DBF73EC" w:rsidR="00451BCC" w:rsidRPr="004B62C1" w:rsidRDefault="00451BCC" w:rsidP="008C29D0">
      <w:pPr>
        <w:pStyle w:val="ListParagraph"/>
        <w:numPr>
          <w:ilvl w:val="0"/>
          <w:numId w:val="11"/>
        </w:numPr>
        <w:spacing w:line="360" w:lineRule="auto"/>
        <w:jc w:val="both"/>
        <w:rPr>
          <w:rFonts w:ascii="Tahoma" w:hAnsi="Tahoma" w:cs="Tahoma"/>
          <w:sz w:val="20"/>
          <w:szCs w:val="20"/>
        </w:rPr>
      </w:pPr>
      <w:r w:rsidRPr="004B62C1">
        <w:rPr>
          <w:rFonts w:ascii="Tahoma" w:hAnsi="Tahoma" w:cs="Tahoma"/>
          <w:sz w:val="20"/>
          <w:szCs w:val="20"/>
        </w:rPr>
        <w:t>jāizstrādā un jāpieņem grozījumi Būvniecības likumā, pastiprinot prasības būvprojektu ekspertīzei un būvju ekspluatācijas drošībai, kā arī palielinot būvniecības procesa dalībnieku atbildību visā būvniecības procesā. Būvniecības likumā un tam pakārtotajos Ministru kabineta noteikumos ir jāprecizē pub</w:t>
      </w:r>
      <w:r w:rsidR="001C485E" w:rsidRPr="004B62C1">
        <w:rPr>
          <w:rFonts w:ascii="Tahoma" w:hAnsi="Tahoma" w:cs="Tahoma"/>
          <w:sz w:val="20"/>
          <w:szCs w:val="20"/>
        </w:rPr>
        <w:t xml:space="preserve">liskas ēkas jēdziens, jānosaka </w:t>
      </w:r>
      <w:r w:rsidRPr="004B62C1">
        <w:rPr>
          <w:rFonts w:ascii="Tahoma" w:hAnsi="Tahoma" w:cs="Tahoma"/>
          <w:sz w:val="20"/>
          <w:szCs w:val="20"/>
        </w:rPr>
        <w:t>pienākums informēt sabiedrību par būvatļaujas nosacījumu izpildi, jānovērš terminoloģiskas neprecizitātes,  kā arī jāveic vairāki citi uzlabojumi;</w:t>
      </w:r>
    </w:p>
    <w:p w14:paraId="0025F1F9" w14:textId="77777777" w:rsidR="00451BCC" w:rsidRPr="004B62C1" w:rsidRDefault="00451BCC" w:rsidP="008C29D0">
      <w:pPr>
        <w:pStyle w:val="ListParagraph"/>
        <w:numPr>
          <w:ilvl w:val="0"/>
          <w:numId w:val="11"/>
        </w:numPr>
        <w:spacing w:line="360" w:lineRule="auto"/>
        <w:jc w:val="both"/>
        <w:rPr>
          <w:rFonts w:ascii="Tahoma" w:hAnsi="Tahoma" w:cs="Tahoma"/>
          <w:sz w:val="20"/>
          <w:szCs w:val="20"/>
        </w:rPr>
      </w:pPr>
      <w:r w:rsidRPr="004B62C1">
        <w:rPr>
          <w:rFonts w:ascii="Tahoma" w:hAnsi="Tahoma" w:cs="Tahoma"/>
          <w:sz w:val="20"/>
          <w:szCs w:val="20"/>
        </w:rPr>
        <w:t>ir nepieciešams noteikt, ka galvenā atbildība par neatbilstoša būvizstrādājuma iestrādāšanu būvē jāuzņemas būvdarbu veicējam (ģenerāluzņēmējam). Ir jānosaka administratīvā atbildība par atsevišķu prasību neizpildīšanu, kā arī jāprecizē kārtība, kādā būvvalde atļauj turpināt būvdarbus, kad tie ir apturēti. Internetā jāizveido datubāze, kurā būtu pieejama informācija par būvizstrādājumu atbilstību apliecinošu dokumentāciju, par kritērijiem, pēc kuriem tā jāvērtē, kā arī cita nepieciešamā informācija. Jāpalielina arī Patērētāju tiesību aizsardzības centra kapacitāte;</w:t>
      </w:r>
    </w:p>
    <w:p w14:paraId="4AC08325" w14:textId="77777777" w:rsidR="00451BCC" w:rsidRPr="004B62C1" w:rsidRDefault="00451BCC" w:rsidP="008C29D0">
      <w:pPr>
        <w:pStyle w:val="ListParagraph"/>
        <w:numPr>
          <w:ilvl w:val="0"/>
          <w:numId w:val="11"/>
        </w:numPr>
        <w:spacing w:line="360" w:lineRule="auto"/>
        <w:jc w:val="both"/>
        <w:rPr>
          <w:rFonts w:ascii="Tahoma" w:hAnsi="Tahoma" w:cs="Tahoma"/>
          <w:sz w:val="20"/>
          <w:szCs w:val="20"/>
        </w:rPr>
      </w:pPr>
      <w:r w:rsidRPr="004B62C1">
        <w:rPr>
          <w:rFonts w:ascii="Tahoma" w:hAnsi="Tahoma" w:cs="Tahoma"/>
          <w:sz w:val="20"/>
          <w:szCs w:val="20"/>
        </w:rPr>
        <w:t>publiskā iepirkuma procedūrā dominējošais zemākās cenas kritērijs, nekvalificētu apakšuzņēmēju algošana iepirkuma prasību izpildei, iepirkuma līgumu nesankcionēta grozīšana pēc uzvaras konkursā būtiski samazina būvju kvalitāti un drošumu. Nepieciešams izstrādāt vadlīnijas saimnieciski izdevīgākā piedāvājuma izvērtēšanai, paaugstināt iepirkuma speciālistu kvalifikāciju, kā arī ieviest drošības naudas iemaksu par sūdzību izskatīšanu Iepirkumu uzraudzības birojā. Lielāko iepirkumu veikšanai ieteicams izveidot centralizētas iepirkuma institūcijas;</w:t>
      </w:r>
    </w:p>
    <w:p w14:paraId="56740A4B" w14:textId="77777777" w:rsidR="00451BCC" w:rsidRPr="004B62C1" w:rsidRDefault="00451BCC" w:rsidP="008C29D0">
      <w:pPr>
        <w:pStyle w:val="ListParagraph"/>
        <w:numPr>
          <w:ilvl w:val="0"/>
          <w:numId w:val="11"/>
        </w:numPr>
        <w:spacing w:line="360" w:lineRule="auto"/>
        <w:jc w:val="both"/>
        <w:rPr>
          <w:rFonts w:ascii="Tahoma" w:hAnsi="Tahoma" w:cs="Tahoma"/>
          <w:sz w:val="20"/>
          <w:szCs w:val="20"/>
        </w:rPr>
      </w:pPr>
      <w:r w:rsidRPr="004B62C1">
        <w:rPr>
          <w:rFonts w:ascii="Tahoma" w:hAnsi="Tahoma" w:cs="Tahoma"/>
          <w:sz w:val="20"/>
          <w:szCs w:val="20"/>
        </w:rPr>
        <w:t>Būvniecības informācijas sistēma pašreizējā attīstības stadijā nenodrošina informāciju par būvniecības procesā esošajiem objektiem,</w:t>
      </w:r>
      <w:r w:rsidRPr="004B62C1">
        <w:rPr>
          <w:rStyle w:val="FootnoteReference"/>
          <w:rFonts w:ascii="Tahoma" w:hAnsi="Tahoma" w:cs="Tahoma"/>
          <w:sz w:val="20"/>
          <w:szCs w:val="20"/>
        </w:rPr>
        <w:t xml:space="preserve"> </w:t>
      </w:r>
      <w:r w:rsidRPr="004B62C1">
        <w:rPr>
          <w:rFonts w:ascii="Tahoma" w:hAnsi="Tahoma" w:cs="Tahoma"/>
          <w:sz w:val="20"/>
          <w:szCs w:val="20"/>
        </w:rPr>
        <w:t>tādēļ ir nepieciešams nekavējoties rast resursus informācijas sistēmas tālākai attīstīšanai, tādējādi samazinot birokrātiju un efektivizējot uzraugošo institūciju darbu;</w:t>
      </w:r>
    </w:p>
    <w:p w14:paraId="3CBBBE08" w14:textId="77777777" w:rsidR="00451BCC" w:rsidRPr="004B62C1" w:rsidRDefault="00451BCC" w:rsidP="008C29D0">
      <w:pPr>
        <w:pStyle w:val="ListParagraph"/>
        <w:numPr>
          <w:ilvl w:val="0"/>
          <w:numId w:val="11"/>
        </w:numPr>
        <w:spacing w:line="360" w:lineRule="auto"/>
        <w:jc w:val="both"/>
        <w:rPr>
          <w:rFonts w:ascii="Tahoma" w:hAnsi="Tahoma" w:cs="Tahoma"/>
          <w:sz w:val="20"/>
          <w:szCs w:val="20"/>
        </w:rPr>
      </w:pPr>
      <w:r w:rsidRPr="004B62C1">
        <w:rPr>
          <w:rFonts w:ascii="Tahoma" w:hAnsi="Tahoma" w:cs="Tahoma"/>
          <w:sz w:val="20"/>
          <w:szCs w:val="20"/>
        </w:rPr>
        <w:t>būvspeciālistu profesionālās augstākās izglītības programmās jāsamazina nespecializācijas priekšmetu īpatsvars, jāizstrādā mehānisms, kā ierobežot augstskolu administratīvos tēriņus, jānosaka, ka studentiem izvēloties izvēles priekšmetus, tie jāizvēlas kādā konkrētā būvspeciālista specializācijas jomā;</w:t>
      </w:r>
    </w:p>
    <w:p w14:paraId="09760A22" w14:textId="77777777" w:rsidR="00451BCC" w:rsidRPr="004B62C1" w:rsidRDefault="00451BCC" w:rsidP="008C29D0">
      <w:pPr>
        <w:pStyle w:val="ListParagraph"/>
        <w:numPr>
          <w:ilvl w:val="0"/>
          <w:numId w:val="11"/>
        </w:numPr>
        <w:tabs>
          <w:tab w:val="left" w:pos="-360"/>
          <w:tab w:val="left" w:pos="0"/>
        </w:tabs>
        <w:spacing w:line="360" w:lineRule="auto"/>
        <w:jc w:val="both"/>
        <w:rPr>
          <w:rFonts w:ascii="Tahoma" w:hAnsi="Tahoma" w:cs="Tahoma"/>
          <w:sz w:val="20"/>
          <w:szCs w:val="20"/>
        </w:rPr>
      </w:pPr>
      <w:r w:rsidRPr="004B62C1">
        <w:rPr>
          <w:rFonts w:ascii="Tahoma" w:hAnsi="Tahoma" w:cs="Tahoma"/>
          <w:sz w:val="20"/>
          <w:szCs w:val="20"/>
        </w:rPr>
        <w:t>būvspeciālistu sertifikācijas funkcija ir jādeleģē ar Būvniecības likumu, nevis ar deleģēšanas līgumiem. Sertifikācijas institūcijām jāparedz tiesības anulēt sertifikātus gadījumos, kad tās konstatē rupjus profesionālās darbības pārkāpumus. Normatīvajos aktos ir jānoteic, ka</w:t>
      </w:r>
      <w:r w:rsidRPr="004B62C1">
        <w:rPr>
          <w:rFonts w:ascii="Tahoma" w:eastAsia="Times New Roman" w:hAnsi="Tahoma" w:cs="Tahoma"/>
          <w:sz w:val="20"/>
          <w:szCs w:val="20"/>
        </w:rPr>
        <w:t xml:space="preserve"> </w:t>
      </w:r>
      <w:r w:rsidRPr="004B62C1">
        <w:rPr>
          <w:rFonts w:ascii="Tahoma" w:hAnsi="Tahoma" w:cs="Tahoma"/>
          <w:sz w:val="20"/>
          <w:szCs w:val="20"/>
        </w:rPr>
        <w:t>būvprojekta ekspertīzes veicējiem ir jābūt pieredzei to būvju projektēšanā, kurām ekspertīze noteikta kā obligāta, un attiecībā uz šiem speciālistiem jāietver prasība par profesionālās darbības un ētikas pārkāpumu neesamību;</w:t>
      </w:r>
    </w:p>
    <w:p w14:paraId="106F69EF" w14:textId="77777777" w:rsidR="00451BCC" w:rsidRPr="004B62C1" w:rsidRDefault="00451BCC" w:rsidP="008C29D0">
      <w:pPr>
        <w:pStyle w:val="ListParagraph"/>
        <w:numPr>
          <w:ilvl w:val="0"/>
          <w:numId w:val="11"/>
        </w:numPr>
        <w:tabs>
          <w:tab w:val="left" w:pos="-360"/>
        </w:tabs>
        <w:spacing w:after="0" w:line="360" w:lineRule="auto"/>
        <w:jc w:val="both"/>
        <w:rPr>
          <w:rFonts w:ascii="Tahoma" w:hAnsi="Tahoma" w:cs="Tahoma"/>
          <w:sz w:val="20"/>
          <w:szCs w:val="20"/>
        </w:rPr>
      </w:pPr>
      <w:r w:rsidRPr="004B62C1">
        <w:rPr>
          <w:rFonts w:ascii="Tahoma" w:hAnsi="Tahoma" w:cs="Tahoma"/>
          <w:sz w:val="20"/>
          <w:szCs w:val="20"/>
        </w:rPr>
        <w:t>Traģēdijas ietekmē izveidotā Būvniecības valsts kontroles biroja funkcijas būtu paplašināmas, jo šā biroja izveide veicina drošu būvniecību, bet tā finansējums būtu jāpalielina;</w:t>
      </w:r>
    </w:p>
    <w:p w14:paraId="1D3FB66A" w14:textId="77777777" w:rsidR="00451BCC" w:rsidRPr="004B62C1" w:rsidRDefault="00451BCC" w:rsidP="008C29D0">
      <w:pPr>
        <w:pStyle w:val="ListParagraph"/>
        <w:numPr>
          <w:ilvl w:val="0"/>
          <w:numId w:val="11"/>
        </w:numPr>
        <w:spacing w:line="360" w:lineRule="auto"/>
        <w:jc w:val="both"/>
        <w:rPr>
          <w:rFonts w:ascii="Tahoma" w:hAnsi="Tahoma" w:cs="Tahoma"/>
          <w:sz w:val="20"/>
          <w:szCs w:val="20"/>
        </w:rPr>
      </w:pPr>
      <w:r w:rsidRPr="004B62C1">
        <w:rPr>
          <w:rFonts w:ascii="Tahoma" w:hAnsi="Tahoma" w:cs="Tahoma"/>
          <w:sz w:val="20"/>
          <w:szCs w:val="20"/>
        </w:rPr>
        <w:t>ir jāstiprina pašvaldību būvvalžu kapacitāte un jāpaplašina to pilnvaras, tajā pašā laikā jācenšas būtiski nepalielināt tām uzdoto funkciju apjomu. Ir jāveicina apvienoto būvvalžu veidošana un jāpalielina metodiskās palīdzības apjoms pašvaldību būvvaldēm;</w:t>
      </w:r>
    </w:p>
    <w:p w14:paraId="3045CA04" w14:textId="77777777" w:rsidR="00451BCC" w:rsidRPr="004B62C1" w:rsidRDefault="00451BCC" w:rsidP="008C29D0">
      <w:pPr>
        <w:pStyle w:val="ListParagraph"/>
        <w:numPr>
          <w:ilvl w:val="0"/>
          <w:numId w:val="11"/>
        </w:numPr>
        <w:spacing w:line="360" w:lineRule="auto"/>
        <w:jc w:val="both"/>
        <w:rPr>
          <w:rFonts w:ascii="Tahoma" w:hAnsi="Tahoma" w:cs="Tahoma"/>
          <w:sz w:val="20"/>
          <w:szCs w:val="20"/>
        </w:rPr>
      </w:pPr>
      <w:r w:rsidRPr="004B62C1">
        <w:rPr>
          <w:rFonts w:ascii="Tahoma" w:hAnsi="Tahoma" w:cs="Tahoma"/>
          <w:sz w:val="20"/>
          <w:szCs w:val="20"/>
        </w:rPr>
        <w:t>nepieciešams normatīvi noteikt atbildību un sankcijas par vides pieejamības prasību neievērošanu visās būvniecības procesa stadijās;</w:t>
      </w:r>
    </w:p>
    <w:p w14:paraId="0063B633" w14:textId="77777777" w:rsidR="00451BCC" w:rsidRPr="004B62C1" w:rsidRDefault="00451BCC" w:rsidP="008C29D0">
      <w:pPr>
        <w:pStyle w:val="ListParagraph"/>
        <w:numPr>
          <w:ilvl w:val="0"/>
          <w:numId w:val="11"/>
        </w:numPr>
        <w:spacing w:line="360" w:lineRule="auto"/>
        <w:jc w:val="both"/>
        <w:rPr>
          <w:rFonts w:ascii="Tahoma" w:hAnsi="Tahoma" w:cs="Tahoma"/>
          <w:sz w:val="20"/>
          <w:szCs w:val="20"/>
        </w:rPr>
      </w:pPr>
      <w:r w:rsidRPr="004B62C1">
        <w:rPr>
          <w:rFonts w:ascii="Tahoma" w:hAnsi="Tahoma" w:cs="Tahoma"/>
          <w:sz w:val="20"/>
          <w:szCs w:val="20"/>
        </w:rPr>
        <w:t xml:space="preserve">jāizstrādā un jāpieņem lobēšanas atklātības likums, lai nodrošinātu lobēšanas procesa atklātību un lobētāju vienlīdzību, jāievieš publisks lobētāju reģistrs, tādējādi veicinot normatīvo aktu kvalitatīvu izstrādi. Korupcijas </w:t>
      </w:r>
      <w:r w:rsidRPr="004B62C1">
        <w:rPr>
          <w:rFonts w:ascii="Tahoma" w:hAnsi="Tahoma" w:cs="Tahoma"/>
          <w:sz w:val="20"/>
          <w:szCs w:val="20"/>
        </w:rPr>
        <w:lastRenderedPageBreak/>
        <w:t>novēršanas un apkarošanas birojam jāuzņemas korupcijas apkarošana arī privātajā sfērā. Tāpat ir nepieciešams ieviest identifikācijas kartes visiem būvniecībā nodarbinātajiem, lai panāktu būvdarbu drošu izpildījumu un samazinātu ēnu ekonomikas īpatsvaru būvniecībā;</w:t>
      </w:r>
    </w:p>
    <w:p w14:paraId="7C1E7A73" w14:textId="27906511" w:rsidR="00B23B27" w:rsidRPr="004B62C1" w:rsidRDefault="00451BCC" w:rsidP="002F08B9">
      <w:pPr>
        <w:pStyle w:val="ListParagraph"/>
        <w:numPr>
          <w:ilvl w:val="0"/>
          <w:numId w:val="11"/>
        </w:numPr>
        <w:spacing w:line="360" w:lineRule="auto"/>
        <w:jc w:val="both"/>
        <w:rPr>
          <w:rFonts w:ascii="Tahoma" w:hAnsi="Tahoma" w:cs="Tahoma"/>
          <w:sz w:val="20"/>
          <w:szCs w:val="20"/>
        </w:rPr>
      </w:pPr>
      <w:r w:rsidRPr="004B62C1">
        <w:rPr>
          <w:rFonts w:ascii="Tahoma" w:hAnsi="Tahoma" w:cs="Tahoma"/>
          <w:sz w:val="20"/>
          <w:szCs w:val="20"/>
        </w:rPr>
        <w:t xml:space="preserve">Saeimā jāizveido likumdošanas analītiskais dienests, ietverot tajā pirmslikumdošanas </w:t>
      </w:r>
      <w:r w:rsidRPr="004B62C1">
        <w:rPr>
          <w:rFonts w:ascii="Tahoma" w:hAnsi="Tahoma" w:cs="Tahoma"/>
          <w:i/>
          <w:sz w:val="20"/>
          <w:szCs w:val="20"/>
        </w:rPr>
        <w:t xml:space="preserve">(ex ante) </w:t>
      </w:r>
      <w:r w:rsidRPr="004B62C1">
        <w:rPr>
          <w:rFonts w:ascii="Tahoma" w:hAnsi="Tahoma" w:cs="Tahoma"/>
          <w:sz w:val="20"/>
          <w:szCs w:val="20"/>
        </w:rPr>
        <w:t xml:space="preserve">un pēclikumdošanas </w:t>
      </w:r>
      <w:r w:rsidRPr="004B62C1">
        <w:rPr>
          <w:rFonts w:ascii="Tahoma" w:hAnsi="Tahoma" w:cs="Tahoma"/>
          <w:i/>
          <w:sz w:val="20"/>
          <w:szCs w:val="20"/>
        </w:rPr>
        <w:t>(ex post)</w:t>
      </w:r>
      <w:r w:rsidRPr="004B62C1">
        <w:rPr>
          <w:rFonts w:ascii="Tahoma" w:hAnsi="Tahoma" w:cs="Tahoma"/>
          <w:sz w:val="20"/>
          <w:szCs w:val="20"/>
        </w:rPr>
        <w:t xml:space="preserve"> novērtēšanas sistēmu;</w:t>
      </w:r>
    </w:p>
    <w:p w14:paraId="55CC4582" w14:textId="16775C59" w:rsidR="002F08B9" w:rsidRPr="004B62C1" w:rsidRDefault="00B23B27" w:rsidP="002F08B9">
      <w:pPr>
        <w:rPr>
          <w:rFonts w:ascii="Tahoma" w:hAnsi="Tahoma" w:cs="Tahoma"/>
          <w:b/>
          <w:bCs/>
          <w:sz w:val="20"/>
          <w:szCs w:val="20"/>
          <w:u w:val="single"/>
        </w:rPr>
      </w:pPr>
      <w:r w:rsidRPr="004B62C1">
        <w:rPr>
          <w:rFonts w:ascii="Tahoma" w:hAnsi="Tahoma" w:cs="Tahoma"/>
          <w:b/>
          <w:bCs/>
          <w:sz w:val="20"/>
          <w:szCs w:val="20"/>
          <w:u w:val="single"/>
        </w:rPr>
        <w:t xml:space="preserve">Latvijas Būvniecības padomes secinājumi </w:t>
      </w:r>
    </w:p>
    <w:p w14:paraId="4FE2DA3A" w14:textId="082E2382" w:rsidR="00E61CB3" w:rsidRPr="004B62C1" w:rsidRDefault="004B62C1" w:rsidP="003A3882">
      <w:pPr>
        <w:jc w:val="both"/>
        <w:rPr>
          <w:rFonts w:ascii="Tahoma" w:hAnsi="Tahoma" w:cs="Tahoma"/>
          <w:sz w:val="20"/>
          <w:szCs w:val="20"/>
        </w:rPr>
      </w:pPr>
      <w:r>
        <w:rPr>
          <w:rFonts w:ascii="Tahoma" w:hAnsi="Tahoma" w:cs="Tahoma"/>
          <w:sz w:val="20"/>
          <w:szCs w:val="20"/>
        </w:rPr>
        <w:t>03.2020 i</w:t>
      </w:r>
      <w:r w:rsidR="00F946FD" w:rsidRPr="004B62C1">
        <w:rPr>
          <w:rFonts w:ascii="Tahoma" w:hAnsi="Tahoma" w:cs="Tahoma"/>
          <w:sz w:val="20"/>
          <w:szCs w:val="20"/>
        </w:rPr>
        <w:t>zvērtējot līdz šim paveikto un</w:t>
      </w:r>
      <w:r w:rsidR="007121E3" w:rsidRPr="004B62C1">
        <w:rPr>
          <w:rFonts w:ascii="Tahoma" w:hAnsi="Tahoma" w:cs="Tahoma"/>
          <w:sz w:val="20"/>
          <w:szCs w:val="20"/>
        </w:rPr>
        <w:t xml:space="preserve"> plānoto</w:t>
      </w:r>
      <w:r w:rsidR="00305A79" w:rsidRPr="004B62C1">
        <w:rPr>
          <w:rFonts w:ascii="Tahoma" w:hAnsi="Tahoma" w:cs="Tahoma"/>
          <w:sz w:val="20"/>
          <w:szCs w:val="20"/>
        </w:rPr>
        <w:t xml:space="preserve"> Latvijas Būvniecības padome</w:t>
      </w:r>
      <w:r w:rsidR="007121E3" w:rsidRPr="004B62C1">
        <w:rPr>
          <w:rFonts w:ascii="Tahoma" w:hAnsi="Tahoma" w:cs="Tahoma"/>
          <w:sz w:val="20"/>
          <w:szCs w:val="20"/>
        </w:rPr>
        <w:t xml:space="preserve"> </w:t>
      </w:r>
      <w:r w:rsidR="000B421F" w:rsidRPr="004B62C1">
        <w:rPr>
          <w:rFonts w:ascii="Tahoma" w:hAnsi="Tahoma" w:cs="Tahoma"/>
          <w:sz w:val="20"/>
          <w:szCs w:val="20"/>
        </w:rPr>
        <w:t>secina, ka</w:t>
      </w:r>
      <w:r w:rsidR="001873E2" w:rsidRPr="004B62C1">
        <w:rPr>
          <w:rFonts w:ascii="Tahoma" w:hAnsi="Tahoma" w:cs="Tahoma"/>
          <w:sz w:val="20"/>
          <w:szCs w:val="20"/>
        </w:rPr>
        <w:t xml:space="preserve"> </w:t>
      </w:r>
      <w:r w:rsidR="00DF6D7A" w:rsidRPr="004B62C1">
        <w:rPr>
          <w:rFonts w:ascii="Tahoma" w:hAnsi="Tahoma" w:cs="Tahoma"/>
          <w:sz w:val="20"/>
          <w:szCs w:val="20"/>
        </w:rPr>
        <w:t>būvniecības nozares likumdošanas sakārtošanā ir paveikts nozīmīgs progress</w:t>
      </w:r>
      <w:r w:rsidR="003A3882" w:rsidRPr="004B62C1">
        <w:rPr>
          <w:rFonts w:ascii="Tahoma" w:hAnsi="Tahoma" w:cs="Tahoma"/>
          <w:sz w:val="20"/>
          <w:szCs w:val="20"/>
        </w:rPr>
        <w:t>, vienlaikus</w:t>
      </w:r>
      <w:r w:rsidR="00DF6D7A" w:rsidRPr="004B62C1">
        <w:rPr>
          <w:rFonts w:ascii="Tahoma" w:hAnsi="Tahoma" w:cs="Tahoma"/>
          <w:sz w:val="20"/>
          <w:szCs w:val="20"/>
        </w:rPr>
        <w:t xml:space="preserve"> Latvijas Būvniecības padome</w:t>
      </w:r>
      <w:r w:rsidR="00E05277" w:rsidRPr="004B62C1">
        <w:rPr>
          <w:rFonts w:ascii="Tahoma" w:hAnsi="Tahoma" w:cs="Tahoma"/>
          <w:sz w:val="20"/>
          <w:szCs w:val="20"/>
        </w:rPr>
        <w:t xml:space="preserve"> </w:t>
      </w:r>
      <w:r w:rsidR="00D65C61" w:rsidRPr="004B62C1">
        <w:rPr>
          <w:rFonts w:ascii="Tahoma" w:hAnsi="Tahoma" w:cs="Tahoma"/>
          <w:sz w:val="20"/>
          <w:szCs w:val="20"/>
        </w:rPr>
        <w:t xml:space="preserve">definē </w:t>
      </w:r>
      <w:r w:rsidR="00E9152D" w:rsidRPr="004B62C1">
        <w:rPr>
          <w:rFonts w:ascii="Tahoma" w:hAnsi="Tahoma" w:cs="Tahoma"/>
          <w:sz w:val="20"/>
          <w:szCs w:val="20"/>
        </w:rPr>
        <w:t>prioritāros pasākumus, kas tuvākajā laikā jāievieš, lai uzlabotu būvniecības nozares regulējumu, veicinot drošu, kvalit</w:t>
      </w:r>
      <w:r w:rsidR="00BC7335" w:rsidRPr="004B62C1">
        <w:rPr>
          <w:rFonts w:ascii="Tahoma" w:hAnsi="Tahoma" w:cs="Tahoma"/>
          <w:sz w:val="20"/>
          <w:szCs w:val="20"/>
        </w:rPr>
        <w:t>a</w:t>
      </w:r>
      <w:r w:rsidR="00E9152D" w:rsidRPr="004B62C1">
        <w:rPr>
          <w:rFonts w:ascii="Tahoma" w:hAnsi="Tahoma" w:cs="Tahoma"/>
          <w:sz w:val="20"/>
          <w:szCs w:val="20"/>
        </w:rPr>
        <w:t>tīvu, konkurētspējīgu un ilgtspējīgu būvniecības attīstību.</w:t>
      </w:r>
      <w:r w:rsidR="007528CB" w:rsidRPr="004B62C1">
        <w:rPr>
          <w:rFonts w:ascii="Tahoma" w:hAnsi="Tahoma" w:cs="Tahoma"/>
          <w:sz w:val="20"/>
          <w:szCs w:val="20"/>
        </w:rPr>
        <w:t xml:space="preserve"> (</w:t>
      </w:r>
      <w:r w:rsidR="007528CB" w:rsidRPr="004B62C1">
        <w:rPr>
          <w:rFonts w:ascii="Tahoma" w:hAnsi="Tahoma" w:cs="Tahoma"/>
          <w:i/>
          <w:sz w:val="20"/>
          <w:szCs w:val="20"/>
        </w:rPr>
        <w:t>Pasākumos minētās atsauces atbilst no Zolitūdes komisijas ziņojuma numerācijai</w:t>
      </w:r>
      <w:r w:rsidR="007528CB" w:rsidRPr="004B62C1">
        <w:rPr>
          <w:rFonts w:ascii="Tahoma" w:hAnsi="Tahoma" w:cs="Tahoma"/>
          <w:sz w:val="20"/>
          <w:szCs w:val="20"/>
        </w:rPr>
        <w:t>)</w:t>
      </w:r>
    </w:p>
    <w:p w14:paraId="318BABB5" w14:textId="385CF9F6" w:rsidR="00C15F20" w:rsidRPr="004B62C1" w:rsidRDefault="00D12A90" w:rsidP="00C15F20">
      <w:pPr>
        <w:pStyle w:val="ListParagraph"/>
        <w:numPr>
          <w:ilvl w:val="0"/>
          <w:numId w:val="16"/>
        </w:numPr>
        <w:spacing w:line="240" w:lineRule="auto"/>
        <w:jc w:val="both"/>
        <w:rPr>
          <w:rStyle w:val="Emphasis"/>
          <w:rFonts w:ascii="Tahoma" w:hAnsi="Tahoma" w:cs="Tahoma"/>
          <w:i w:val="0"/>
          <w:iCs w:val="0"/>
          <w:sz w:val="20"/>
          <w:szCs w:val="20"/>
        </w:rPr>
      </w:pPr>
      <w:r w:rsidRPr="004B62C1">
        <w:rPr>
          <w:rFonts w:ascii="Tahoma" w:hAnsi="Tahoma" w:cs="Tahoma"/>
          <w:sz w:val="20"/>
          <w:szCs w:val="20"/>
        </w:rPr>
        <w:t xml:space="preserve">Jāturpina darbs pie </w:t>
      </w:r>
      <w:r w:rsidR="001C485E" w:rsidRPr="004B62C1">
        <w:rPr>
          <w:rStyle w:val="Emphasis"/>
          <w:rFonts w:ascii="Tahoma" w:hAnsi="Tahoma" w:cs="Tahoma"/>
          <w:color w:val="000000"/>
          <w:sz w:val="20"/>
          <w:szCs w:val="20"/>
        </w:rPr>
        <w:t>Latvijas Būvniecības</w:t>
      </w:r>
      <w:r w:rsidR="00057A66" w:rsidRPr="004B62C1">
        <w:rPr>
          <w:rStyle w:val="Emphasis"/>
          <w:rFonts w:ascii="Tahoma" w:hAnsi="Tahoma" w:cs="Tahoma"/>
          <w:color w:val="000000"/>
          <w:sz w:val="20"/>
          <w:szCs w:val="20"/>
        </w:rPr>
        <w:t xml:space="preserve"> nozares attīstības stratēģij</w:t>
      </w:r>
      <w:r w:rsidR="006053F3" w:rsidRPr="004B62C1">
        <w:rPr>
          <w:rStyle w:val="Emphasis"/>
          <w:rFonts w:ascii="Tahoma" w:hAnsi="Tahoma" w:cs="Tahoma"/>
          <w:color w:val="000000"/>
          <w:sz w:val="20"/>
          <w:szCs w:val="20"/>
        </w:rPr>
        <w:t>as</w:t>
      </w:r>
      <w:r w:rsidR="00057A66" w:rsidRPr="004B62C1">
        <w:rPr>
          <w:rStyle w:val="Emphasis"/>
          <w:rFonts w:ascii="Tahoma" w:hAnsi="Tahoma" w:cs="Tahoma"/>
          <w:color w:val="000000"/>
          <w:sz w:val="20"/>
          <w:szCs w:val="20"/>
        </w:rPr>
        <w:t xml:space="preserve"> 2017.-2024.gadam</w:t>
      </w:r>
      <w:r w:rsidR="00386EC7" w:rsidRPr="004B62C1">
        <w:rPr>
          <w:rStyle w:val="Emphasis"/>
          <w:rFonts w:ascii="Tahoma" w:hAnsi="Tahoma" w:cs="Tahoma"/>
          <w:color w:val="000000"/>
          <w:sz w:val="20"/>
          <w:szCs w:val="20"/>
        </w:rPr>
        <w:t xml:space="preserve"> pasākumu izpildes</w:t>
      </w:r>
      <w:r w:rsidR="001C485E" w:rsidRPr="004B62C1">
        <w:rPr>
          <w:rStyle w:val="Emphasis"/>
          <w:rFonts w:ascii="Tahoma" w:hAnsi="Tahoma" w:cs="Tahoma"/>
          <w:color w:val="000000"/>
          <w:sz w:val="20"/>
          <w:szCs w:val="20"/>
        </w:rPr>
        <w:t xml:space="preserve">, </w:t>
      </w:r>
      <w:r w:rsidR="001C485E" w:rsidRPr="004B62C1">
        <w:rPr>
          <w:rStyle w:val="Emphasis"/>
          <w:rFonts w:ascii="Tahoma" w:hAnsi="Tahoma" w:cs="Tahoma"/>
          <w:i w:val="0"/>
          <w:color w:val="000000"/>
          <w:sz w:val="20"/>
          <w:szCs w:val="20"/>
        </w:rPr>
        <w:t xml:space="preserve">kā arī atbilstoši </w:t>
      </w:r>
      <w:r w:rsidR="00616CF7" w:rsidRPr="004B62C1">
        <w:rPr>
          <w:rStyle w:val="Emphasis"/>
          <w:rFonts w:ascii="Tahoma" w:hAnsi="Tahoma" w:cs="Tahoma"/>
          <w:i w:val="0"/>
          <w:color w:val="000000"/>
          <w:sz w:val="20"/>
          <w:szCs w:val="20"/>
        </w:rPr>
        <w:t xml:space="preserve">aktuālai </w:t>
      </w:r>
      <w:r w:rsidR="001C485E" w:rsidRPr="004B62C1">
        <w:rPr>
          <w:rStyle w:val="Emphasis"/>
          <w:rFonts w:ascii="Tahoma" w:hAnsi="Tahoma" w:cs="Tahoma"/>
          <w:i w:val="0"/>
          <w:color w:val="000000"/>
          <w:sz w:val="20"/>
          <w:szCs w:val="20"/>
        </w:rPr>
        <w:t xml:space="preserve">ekonomikas situācijai valstī </w:t>
      </w:r>
      <w:r w:rsidR="00616CF7" w:rsidRPr="004B62C1">
        <w:rPr>
          <w:rStyle w:val="Emphasis"/>
          <w:rFonts w:ascii="Tahoma" w:hAnsi="Tahoma" w:cs="Tahoma"/>
          <w:i w:val="0"/>
          <w:color w:val="000000"/>
          <w:sz w:val="20"/>
          <w:szCs w:val="20"/>
        </w:rPr>
        <w:t xml:space="preserve">ir </w:t>
      </w:r>
      <w:r w:rsidR="001C485E" w:rsidRPr="004B62C1">
        <w:rPr>
          <w:rStyle w:val="Emphasis"/>
          <w:rFonts w:ascii="Tahoma" w:hAnsi="Tahoma" w:cs="Tahoma"/>
          <w:i w:val="0"/>
          <w:color w:val="000000"/>
          <w:sz w:val="20"/>
          <w:szCs w:val="20"/>
        </w:rPr>
        <w:t xml:space="preserve">jāpārskata </w:t>
      </w:r>
      <w:r w:rsidR="00616CF7" w:rsidRPr="004B62C1">
        <w:rPr>
          <w:rStyle w:val="Emphasis"/>
          <w:rFonts w:ascii="Tahoma" w:hAnsi="Tahoma" w:cs="Tahoma"/>
          <w:i w:val="0"/>
          <w:color w:val="000000"/>
          <w:sz w:val="20"/>
          <w:szCs w:val="20"/>
        </w:rPr>
        <w:t>būv</w:t>
      </w:r>
      <w:r w:rsidR="001C485E" w:rsidRPr="004B62C1">
        <w:rPr>
          <w:rStyle w:val="Emphasis"/>
          <w:rFonts w:ascii="Tahoma" w:hAnsi="Tahoma" w:cs="Tahoma"/>
          <w:i w:val="0"/>
          <w:color w:val="000000"/>
          <w:sz w:val="20"/>
          <w:szCs w:val="20"/>
        </w:rPr>
        <w:t xml:space="preserve">nozares stratēģijas </w:t>
      </w:r>
      <w:r w:rsidR="00616CF7" w:rsidRPr="004B62C1">
        <w:rPr>
          <w:rStyle w:val="Emphasis"/>
          <w:rFonts w:ascii="Tahoma" w:hAnsi="Tahoma" w:cs="Tahoma"/>
          <w:i w:val="0"/>
          <w:color w:val="000000"/>
          <w:sz w:val="20"/>
          <w:szCs w:val="20"/>
        </w:rPr>
        <w:t xml:space="preserve">mērķi, </w:t>
      </w:r>
      <w:r w:rsidR="001C485E" w:rsidRPr="004B62C1">
        <w:rPr>
          <w:rStyle w:val="Emphasis"/>
          <w:rFonts w:ascii="Tahoma" w:hAnsi="Tahoma" w:cs="Tahoma"/>
          <w:i w:val="0"/>
          <w:color w:val="000000"/>
          <w:sz w:val="20"/>
          <w:szCs w:val="20"/>
        </w:rPr>
        <w:t>prioritātes</w:t>
      </w:r>
      <w:r w:rsidR="00616CF7" w:rsidRPr="004B62C1">
        <w:rPr>
          <w:rStyle w:val="Emphasis"/>
          <w:rFonts w:ascii="Tahoma" w:hAnsi="Tahoma" w:cs="Tahoma"/>
          <w:i w:val="0"/>
          <w:color w:val="000000"/>
          <w:sz w:val="20"/>
          <w:szCs w:val="20"/>
        </w:rPr>
        <w:t>, aktivitātes 2021 - 2023</w:t>
      </w:r>
      <w:r w:rsidR="00F12F0C" w:rsidRPr="004B62C1">
        <w:rPr>
          <w:rStyle w:val="Emphasis"/>
          <w:rFonts w:ascii="Tahoma" w:hAnsi="Tahoma" w:cs="Tahoma"/>
          <w:i w:val="0"/>
          <w:color w:val="000000"/>
          <w:sz w:val="20"/>
          <w:szCs w:val="20"/>
        </w:rPr>
        <w:t xml:space="preserve"> (1)</w:t>
      </w:r>
    </w:p>
    <w:p w14:paraId="6E44C3DC" w14:textId="77777777" w:rsidR="00C15F20" w:rsidRPr="004B62C1" w:rsidRDefault="00C15F20" w:rsidP="00C15F20">
      <w:pPr>
        <w:pStyle w:val="ListParagraph"/>
        <w:spacing w:line="240" w:lineRule="auto"/>
        <w:jc w:val="both"/>
        <w:rPr>
          <w:rStyle w:val="Emphasis"/>
          <w:rFonts w:ascii="Tahoma" w:hAnsi="Tahoma" w:cs="Tahoma"/>
          <w:i w:val="0"/>
          <w:iCs w:val="0"/>
          <w:sz w:val="20"/>
          <w:szCs w:val="20"/>
        </w:rPr>
      </w:pPr>
    </w:p>
    <w:p w14:paraId="61989201" w14:textId="1A4DCEC5" w:rsidR="00C15F20" w:rsidRPr="004B62C1" w:rsidRDefault="007108CF" w:rsidP="00C15F20">
      <w:pPr>
        <w:pStyle w:val="ListParagraph"/>
        <w:numPr>
          <w:ilvl w:val="0"/>
          <w:numId w:val="16"/>
        </w:numPr>
        <w:spacing w:line="240" w:lineRule="auto"/>
        <w:jc w:val="both"/>
        <w:rPr>
          <w:rFonts w:ascii="Tahoma" w:hAnsi="Tahoma" w:cs="Tahoma"/>
          <w:sz w:val="20"/>
          <w:szCs w:val="20"/>
        </w:rPr>
      </w:pPr>
      <w:r w:rsidRPr="004B62C1">
        <w:rPr>
          <w:rFonts w:ascii="Tahoma" w:hAnsi="Tahoma" w:cs="Tahoma"/>
          <w:sz w:val="20"/>
          <w:szCs w:val="20"/>
        </w:rPr>
        <w:t>Jāt</w:t>
      </w:r>
      <w:r w:rsidR="00971E5C" w:rsidRPr="004B62C1">
        <w:rPr>
          <w:rFonts w:ascii="Tahoma" w:hAnsi="Tahoma" w:cs="Tahoma"/>
          <w:sz w:val="20"/>
          <w:szCs w:val="20"/>
        </w:rPr>
        <w:t>u</w:t>
      </w:r>
      <w:r w:rsidRPr="004B62C1">
        <w:rPr>
          <w:rFonts w:ascii="Tahoma" w:hAnsi="Tahoma" w:cs="Tahoma"/>
          <w:sz w:val="20"/>
          <w:szCs w:val="20"/>
        </w:rPr>
        <w:t xml:space="preserve">rpina virzīt </w:t>
      </w:r>
      <w:r w:rsidR="009D129A" w:rsidRPr="004B62C1">
        <w:rPr>
          <w:rFonts w:ascii="Tahoma" w:hAnsi="Tahoma" w:cs="Tahoma"/>
          <w:sz w:val="20"/>
          <w:szCs w:val="20"/>
        </w:rPr>
        <w:t xml:space="preserve">esošie </w:t>
      </w:r>
      <w:r w:rsidR="00971E5C" w:rsidRPr="004B62C1">
        <w:rPr>
          <w:rFonts w:ascii="Tahoma" w:hAnsi="Tahoma" w:cs="Tahoma"/>
          <w:sz w:val="20"/>
          <w:szCs w:val="20"/>
        </w:rPr>
        <w:t>grozījumi Būvniecības likumā,</w:t>
      </w:r>
      <w:r w:rsidR="002C0CE8" w:rsidRPr="004B62C1">
        <w:rPr>
          <w:rFonts w:ascii="Tahoma" w:hAnsi="Tahoma" w:cs="Tahoma"/>
          <w:sz w:val="20"/>
          <w:szCs w:val="20"/>
        </w:rPr>
        <w:t xml:space="preserve"> </w:t>
      </w:r>
      <w:r w:rsidR="00971E5C" w:rsidRPr="004B62C1">
        <w:rPr>
          <w:rFonts w:ascii="Tahoma" w:hAnsi="Tahoma" w:cs="Tahoma"/>
          <w:sz w:val="20"/>
          <w:szCs w:val="20"/>
        </w:rPr>
        <w:t xml:space="preserve">lai palielinātu būvniecības procesa dalībnieku </w:t>
      </w:r>
      <w:r w:rsidR="002C0CE8" w:rsidRPr="004B62C1">
        <w:rPr>
          <w:rFonts w:ascii="Tahoma" w:hAnsi="Tahoma" w:cs="Tahoma"/>
          <w:sz w:val="20"/>
          <w:szCs w:val="20"/>
        </w:rPr>
        <w:t xml:space="preserve">atbildību </w:t>
      </w:r>
      <w:r w:rsidR="00D72668" w:rsidRPr="004B62C1">
        <w:rPr>
          <w:rFonts w:ascii="Tahoma" w:hAnsi="Tahoma" w:cs="Tahoma"/>
          <w:sz w:val="20"/>
          <w:szCs w:val="20"/>
        </w:rPr>
        <w:t>visā būvniecības procesā, precizējot katr</w:t>
      </w:r>
      <w:r w:rsidR="000040F6" w:rsidRPr="004B62C1">
        <w:rPr>
          <w:rFonts w:ascii="Tahoma" w:hAnsi="Tahoma" w:cs="Tahoma"/>
          <w:sz w:val="20"/>
          <w:szCs w:val="20"/>
        </w:rPr>
        <w:t>a dalībnieka atbildības robežas: palielinot</w:t>
      </w:r>
      <w:r w:rsidR="009110E3" w:rsidRPr="004B62C1">
        <w:rPr>
          <w:rFonts w:ascii="Tahoma" w:hAnsi="Tahoma" w:cs="Tahoma"/>
          <w:sz w:val="20"/>
          <w:szCs w:val="20"/>
        </w:rPr>
        <w:t xml:space="preserve"> </w:t>
      </w:r>
      <w:r w:rsidR="000040F6" w:rsidRPr="004B62C1">
        <w:rPr>
          <w:rFonts w:ascii="Tahoma" w:hAnsi="Tahoma" w:cs="Tahoma"/>
          <w:sz w:val="20"/>
          <w:szCs w:val="20"/>
        </w:rPr>
        <w:t xml:space="preserve">īpašnieka/valdītāja/pasūtītāja/būvniecības ierosinātāja atbildību, precizējot </w:t>
      </w:r>
      <w:r w:rsidR="009110E3" w:rsidRPr="004B62C1">
        <w:rPr>
          <w:rFonts w:ascii="Tahoma" w:hAnsi="Tahoma" w:cs="Tahoma"/>
          <w:sz w:val="20"/>
          <w:szCs w:val="20"/>
        </w:rPr>
        <w:t xml:space="preserve">būvvalžu un BVKB </w:t>
      </w:r>
      <w:r w:rsidR="009A7F37" w:rsidRPr="004B62C1">
        <w:rPr>
          <w:rFonts w:ascii="Tahoma" w:hAnsi="Tahoma" w:cs="Tahoma"/>
          <w:sz w:val="20"/>
          <w:szCs w:val="20"/>
        </w:rPr>
        <w:t>kompetence un pi</w:t>
      </w:r>
      <w:r w:rsidR="000040F6" w:rsidRPr="004B62C1">
        <w:rPr>
          <w:rFonts w:ascii="Tahoma" w:hAnsi="Tahoma" w:cs="Tahoma"/>
          <w:sz w:val="20"/>
          <w:szCs w:val="20"/>
        </w:rPr>
        <w:t xml:space="preserve">lnvaras. Kā arī precizējot juridisko un fizisko personu atbildības pēc vienotiem principiem, ņemot vērā tām noteiktos pienākumus, tiesības un katra kompetenci </w:t>
      </w:r>
      <w:r w:rsidR="0029122F" w:rsidRPr="004B62C1">
        <w:rPr>
          <w:rFonts w:ascii="Tahoma" w:hAnsi="Tahoma" w:cs="Tahoma"/>
          <w:sz w:val="20"/>
          <w:szCs w:val="20"/>
        </w:rPr>
        <w:t>(</w:t>
      </w:r>
      <w:r w:rsidR="006D41DF" w:rsidRPr="004B62C1">
        <w:rPr>
          <w:rFonts w:ascii="Tahoma" w:hAnsi="Tahoma" w:cs="Tahoma"/>
          <w:sz w:val="20"/>
          <w:szCs w:val="20"/>
        </w:rPr>
        <w:t>2</w:t>
      </w:r>
      <w:r w:rsidR="002B0AC6" w:rsidRPr="004B62C1">
        <w:rPr>
          <w:rFonts w:ascii="Tahoma" w:hAnsi="Tahoma" w:cs="Tahoma"/>
          <w:sz w:val="20"/>
          <w:szCs w:val="20"/>
        </w:rPr>
        <w:t>; 3</w:t>
      </w:r>
      <w:r w:rsidR="00FC70F8" w:rsidRPr="004B62C1">
        <w:rPr>
          <w:rFonts w:ascii="Tahoma" w:hAnsi="Tahoma" w:cs="Tahoma"/>
          <w:sz w:val="20"/>
          <w:szCs w:val="20"/>
        </w:rPr>
        <w:t>; 9</w:t>
      </w:r>
      <w:r w:rsidR="007528CB" w:rsidRPr="004B62C1">
        <w:rPr>
          <w:rFonts w:ascii="Tahoma" w:hAnsi="Tahoma" w:cs="Tahoma"/>
          <w:sz w:val="20"/>
          <w:szCs w:val="20"/>
        </w:rPr>
        <w:t>, 9.5.1, 9.5.3., 9.6)</w:t>
      </w:r>
    </w:p>
    <w:p w14:paraId="5F1AB8CB" w14:textId="77777777" w:rsidR="00C15F20" w:rsidRPr="004B62C1" w:rsidRDefault="00C15F20" w:rsidP="00C15F20">
      <w:pPr>
        <w:pStyle w:val="ListParagraph"/>
        <w:spacing w:line="240" w:lineRule="auto"/>
        <w:jc w:val="both"/>
        <w:rPr>
          <w:rFonts w:ascii="Tahoma" w:hAnsi="Tahoma" w:cs="Tahoma"/>
          <w:sz w:val="20"/>
          <w:szCs w:val="20"/>
        </w:rPr>
      </w:pPr>
    </w:p>
    <w:p w14:paraId="6249E41C" w14:textId="65EEC28B" w:rsidR="00C35E43" w:rsidRPr="004B62C1" w:rsidRDefault="0029122F" w:rsidP="00C15F20">
      <w:pPr>
        <w:pStyle w:val="ListParagraph"/>
        <w:numPr>
          <w:ilvl w:val="0"/>
          <w:numId w:val="16"/>
        </w:numPr>
        <w:jc w:val="both"/>
        <w:rPr>
          <w:rFonts w:ascii="Tahoma" w:hAnsi="Tahoma" w:cs="Tahoma"/>
          <w:sz w:val="20"/>
          <w:szCs w:val="20"/>
        </w:rPr>
      </w:pPr>
      <w:r w:rsidRPr="004B62C1">
        <w:rPr>
          <w:rFonts w:ascii="Tahoma" w:hAnsi="Tahoma" w:cs="Tahoma"/>
          <w:sz w:val="20"/>
          <w:szCs w:val="20"/>
        </w:rPr>
        <w:t>J</w:t>
      </w:r>
      <w:r w:rsidR="009D129A" w:rsidRPr="004B62C1">
        <w:rPr>
          <w:rFonts w:ascii="Tahoma" w:hAnsi="Tahoma" w:cs="Tahoma"/>
          <w:sz w:val="20"/>
          <w:szCs w:val="20"/>
        </w:rPr>
        <w:t>āizstrādā jauns regulējums ieviešot efektīvu apdrošināšanas mehānismu</w:t>
      </w:r>
      <w:r w:rsidR="00E9267E" w:rsidRPr="004B62C1">
        <w:rPr>
          <w:rFonts w:ascii="Tahoma" w:hAnsi="Tahoma" w:cs="Tahoma"/>
          <w:sz w:val="20"/>
          <w:szCs w:val="20"/>
        </w:rPr>
        <w:t xml:space="preserve"> sabiedrības aizsardzībai</w:t>
      </w:r>
      <w:r w:rsidR="009D129A" w:rsidRPr="004B62C1">
        <w:rPr>
          <w:rFonts w:ascii="Tahoma" w:hAnsi="Tahoma" w:cs="Tahoma"/>
          <w:sz w:val="20"/>
          <w:szCs w:val="20"/>
        </w:rPr>
        <w:t>,</w:t>
      </w:r>
      <w:r w:rsidR="00D72668" w:rsidRPr="004B62C1">
        <w:rPr>
          <w:rFonts w:ascii="Tahoma" w:hAnsi="Tahoma" w:cs="Tahoma"/>
          <w:sz w:val="20"/>
          <w:szCs w:val="20"/>
        </w:rPr>
        <w:t xml:space="preserve"> </w:t>
      </w:r>
      <w:r w:rsidR="007072C4" w:rsidRPr="004B62C1">
        <w:rPr>
          <w:rFonts w:ascii="Tahoma" w:hAnsi="Tahoma" w:cs="Tahoma"/>
          <w:sz w:val="20"/>
          <w:szCs w:val="20"/>
        </w:rPr>
        <w:t xml:space="preserve">nosakot pasūtītājam pienākumu </w:t>
      </w:r>
      <w:r w:rsidR="00E9267E" w:rsidRPr="004B62C1">
        <w:rPr>
          <w:rFonts w:ascii="Tahoma" w:hAnsi="Tahoma" w:cs="Tahoma"/>
          <w:sz w:val="20"/>
          <w:szCs w:val="20"/>
        </w:rPr>
        <w:t>apdrošināt savu civiltiesisko atbildību pret trešajām pusēm</w:t>
      </w:r>
      <w:r w:rsidR="009D129A" w:rsidRPr="004B62C1">
        <w:rPr>
          <w:rFonts w:ascii="Tahoma" w:hAnsi="Tahoma" w:cs="Tahoma"/>
          <w:sz w:val="20"/>
          <w:szCs w:val="20"/>
        </w:rPr>
        <w:t>, ja būvniecības procesa dēļ cietušas trešās puses</w:t>
      </w:r>
      <w:r w:rsidR="003A3882" w:rsidRPr="004B62C1">
        <w:rPr>
          <w:rFonts w:ascii="Tahoma" w:hAnsi="Tahoma" w:cs="Tahoma"/>
          <w:sz w:val="20"/>
          <w:szCs w:val="20"/>
        </w:rPr>
        <w:t xml:space="preserve"> (</w:t>
      </w:r>
      <w:r w:rsidR="006B43A7" w:rsidRPr="004B62C1">
        <w:rPr>
          <w:rFonts w:ascii="Tahoma" w:hAnsi="Tahoma" w:cs="Tahoma"/>
          <w:sz w:val="20"/>
          <w:szCs w:val="20"/>
        </w:rPr>
        <w:t>2</w:t>
      </w:r>
      <w:r w:rsidR="00CE2003" w:rsidRPr="004B62C1">
        <w:rPr>
          <w:rFonts w:ascii="Tahoma" w:hAnsi="Tahoma" w:cs="Tahoma"/>
          <w:sz w:val="20"/>
          <w:szCs w:val="20"/>
        </w:rPr>
        <w:t>)</w:t>
      </w:r>
    </w:p>
    <w:p w14:paraId="1F3036EA" w14:textId="77777777" w:rsidR="00C15F20" w:rsidRPr="004B62C1" w:rsidRDefault="00C15F20" w:rsidP="00C15F20">
      <w:pPr>
        <w:pStyle w:val="ListParagraph"/>
        <w:jc w:val="both"/>
        <w:rPr>
          <w:rFonts w:ascii="Tahoma" w:hAnsi="Tahoma" w:cs="Tahoma"/>
          <w:sz w:val="20"/>
          <w:szCs w:val="20"/>
        </w:rPr>
      </w:pPr>
    </w:p>
    <w:p w14:paraId="5AAD7630" w14:textId="621D010B" w:rsidR="00D07D91" w:rsidRPr="004B62C1" w:rsidRDefault="00981923" w:rsidP="00C15F20">
      <w:pPr>
        <w:pStyle w:val="ListParagraph"/>
        <w:numPr>
          <w:ilvl w:val="0"/>
          <w:numId w:val="16"/>
        </w:numPr>
        <w:jc w:val="both"/>
        <w:rPr>
          <w:rFonts w:ascii="Tahoma" w:hAnsi="Tahoma" w:cs="Tahoma"/>
          <w:sz w:val="20"/>
          <w:szCs w:val="20"/>
        </w:rPr>
      </w:pPr>
      <w:r w:rsidRPr="004B62C1">
        <w:rPr>
          <w:rFonts w:ascii="Tahoma" w:hAnsi="Tahoma" w:cs="Tahoma"/>
          <w:sz w:val="20"/>
          <w:szCs w:val="20"/>
        </w:rPr>
        <w:t>Jāizstrādā grozīju</w:t>
      </w:r>
      <w:r w:rsidR="000040F6" w:rsidRPr="004B62C1">
        <w:rPr>
          <w:rFonts w:ascii="Tahoma" w:hAnsi="Tahoma" w:cs="Tahoma"/>
          <w:sz w:val="20"/>
          <w:szCs w:val="20"/>
        </w:rPr>
        <w:t xml:space="preserve">mi Vispārējos būvnoteikumos, lai tajos definētās būvniecības pušu atbildības ir precīzāk definētas, piemēram 28. un 95. punkts, jāizstrādā būvprojekta kvalitātes standarts un būvprojekta izstrādes labā profesionālā prakse, kā arī jāprecizē projektēšanas procedūras, lai </w:t>
      </w:r>
      <w:r w:rsidR="00D07D91" w:rsidRPr="004B62C1">
        <w:rPr>
          <w:rFonts w:ascii="Tahoma" w:hAnsi="Tahoma" w:cs="Tahoma"/>
          <w:sz w:val="20"/>
          <w:szCs w:val="20"/>
        </w:rPr>
        <w:t>definētu</w:t>
      </w:r>
      <w:r w:rsidRPr="004B62C1">
        <w:rPr>
          <w:rFonts w:ascii="Tahoma" w:hAnsi="Tahoma" w:cs="Tahoma"/>
          <w:sz w:val="20"/>
          <w:szCs w:val="20"/>
        </w:rPr>
        <w:t>, kad ir veicama ekspertīze, gan ekspertīzes veikšanas kārtību</w:t>
      </w:r>
      <w:r w:rsidR="00D07D91" w:rsidRPr="004B62C1">
        <w:rPr>
          <w:rFonts w:ascii="Tahoma" w:hAnsi="Tahoma" w:cs="Tahoma"/>
          <w:sz w:val="20"/>
          <w:szCs w:val="20"/>
        </w:rPr>
        <w:t>,</w:t>
      </w:r>
      <w:r w:rsidRPr="004B62C1">
        <w:rPr>
          <w:rFonts w:ascii="Tahoma" w:hAnsi="Tahoma" w:cs="Tahoma"/>
          <w:sz w:val="20"/>
          <w:szCs w:val="20"/>
        </w:rPr>
        <w:t xml:space="preserve"> paredzot </w:t>
      </w:r>
      <w:r w:rsidR="00D07D91" w:rsidRPr="004B62C1">
        <w:rPr>
          <w:rFonts w:ascii="Tahoma" w:hAnsi="Tahoma" w:cs="Tahoma"/>
          <w:sz w:val="20"/>
          <w:szCs w:val="20"/>
        </w:rPr>
        <w:t xml:space="preserve">to </w:t>
      </w:r>
      <w:r w:rsidRPr="004B62C1">
        <w:rPr>
          <w:rFonts w:ascii="Tahoma" w:hAnsi="Tahoma" w:cs="Tahoma"/>
          <w:sz w:val="20"/>
          <w:szCs w:val="20"/>
        </w:rPr>
        <w:t>kā projektēšanas darbu uzraudzību visā projektēšanas laikā</w:t>
      </w:r>
      <w:r w:rsidR="00CE2003" w:rsidRPr="004B62C1">
        <w:rPr>
          <w:rFonts w:ascii="Tahoma" w:hAnsi="Tahoma" w:cs="Tahoma"/>
          <w:sz w:val="20"/>
          <w:szCs w:val="20"/>
        </w:rPr>
        <w:t xml:space="preserve"> (2)</w:t>
      </w:r>
      <w:r w:rsidR="007528CB" w:rsidRPr="004B62C1">
        <w:rPr>
          <w:rFonts w:ascii="Tahoma" w:hAnsi="Tahoma" w:cs="Tahoma"/>
          <w:sz w:val="20"/>
          <w:szCs w:val="20"/>
        </w:rPr>
        <w:t xml:space="preserve"> (9.4.11 un 9.4.12)</w:t>
      </w:r>
    </w:p>
    <w:p w14:paraId="17B76974" w14:textId="77777777" w:rsidR="00C15F20" w:rsidRPr="004B62C1" w:rsidRDefault="00C15F20" w:rsidP="00C15F20">
      <w:pPr>
        <w:pStyle w:val="ListParagraph"/>
        <w:jc w:val="both"/>
        <w:rPr>
          <w:rFonts w:ascii="Tahoma" w:hAnsi="Tahoma" w:cs="Tahoma"/>
          <w:sz w:val="20"/>
          <w:szCs w:val="20"/>
        </w:rPr>
      </w:pPr>
    </w:p>
    <w:p w14:paraId="101D3195" w14:textId="3A7DA5B5" w:rsidR="00F64A9E" w:rsidRPr="004B62C1" w:rsidRDefault="00C61776" w:rsidP="00C15F20">
      <w:pPr>
        <w:pStyle w:val="ListParagraph"/>
        <w:numPr>
          <w:ilvl w:val="0"/>
          <w:numId w:val="16"/>
        </w:numPr>
        <w:jc w:val="both"/>
        <w:rPr>
          <w:rFonts w:ascii="Tahoma" w:hAnsi="Tahoma" w:cs="Tahoma"/>
          <w:sz w:val="20"/>
          <w:szCs w:val="20"/>
        </w:rPr>
      </w:pPr>
      <w:r w:rsidRPr="004B62C1">
        <w:rPr>
          <w:rFonts w:ascii="Tahoma" w:hAnsi="Tahoma" w:cs="Tahoma"/>
          <w:sz w:val="20"/>
          <w:szCs w:val="20"/>
        </w:rPr>
        <w:t xml:space="preserve">Jāuzlabo publisko iepirkumu sistēma, </w:t>
      </w:r>
      <w:r w:rsidR="004B16F1" w:rsidRPr="004B62C1">
        <w:rPr>
          <w:rFonts w:ascii="Tahoma" w:hAnsi="Tahoma" w:cs="Tahoma"/>
          <w:sz w:val="20"/>
          <w:szCs w:val="20"/>
        </w:rPr>
        <w:t>iedzīvinot saimnieciskā izdevīguma principa piemērošanu</w:t>
      </w:r>
      <w:r w:rsidR="007E6D9B" w:rsidRPr="004B62C1">
        <w:rPr>
          <w:rFonts w:ascii="Tahoma" w:hAnsi="Tahoma" w:cs="Tahoma"/>
          <w:sz w:val="20"/>
          <w:szCs w:val="20"/>
        </w:rPr>
        <w:t xml:space="preserve">, </w:t>
      </w:r>
      <w:r w:rsidR="00797108" w:rsidRPr="004B62C1">
        <w:rPr>
          <w:rFonts w:ascii="Tahoma" w:hAnsi="Tahoma" w:cs="Tahoma"/>
          <w:sz w:val="20"/>
          <w:szCs w:val="20"/>
        </w:rPr>
        <w:t xml:space="preserve">paaugstinot pasūtītāju kompetenci </w:t>
      </w:r>
      <w:r w:rsidR="00395FA7" w:rsidRPr="004B62C1">
        <w:rPr>
          <w:rFonts w:ascii="Tahoma" w:hAnsi="Tahoma" w:cs="Tahoma"/>
          <w:sz w:val="20"/>
          <w:szCs w:val="20"/>
        </w:rPr>
        <w:t xml:space="preserve">un kvalifikāciju </w:t>
      </w:r>
      <w:r w:rsidR="00F46F8A" w:rsidRPr="004B62C1">
        <w:rPr>
          <w:rFonts w:ascii="Tahoma" w:hAnsi="Tahoma" w:cs="Tahoma"/>
          <w:sz w:val="20"/>
          <w:szCs w:val="20"/>
        </w:rPr>
        <w:t>dokumentu izstrādē un pretendentu izvērtēšanā, kā arī ieviest tipveida līgum</w:t>
      </w:r>
      <w:r w:rsidR="00F64A9E" w:rsidRPr="004B62C1">
        <w:rPr>
          <w:rFonts w:ascii="Tahoma" w:hAnsi="Tahoma" w:cs="Tahoma"/>
          <w:sz w:val="20"/>
          <w:szCs w:val="20"/>
        </w:rPr>
        <w:t>u nosacījumus, par pamatu ņemot FIDIC līgumu paraugus.</w:t>
      </w:r>
      <w:r w:rsidR="003D6107" w:rsidRPr="004B62C1">
        <w:rPr>
          <w:rFonts w:ascii="Tahoma" w:hAnsi="Tahoma" w:cs="Tahoma"/>
          <w:sz w:val="20"/>
          <w:szCs w:val="20"/>
        </w:rPr>
        <w:t xml:space="preserve"> </w:t>
      </w:r>
      <w:r w:rsidR="00A27D99" w:rsidRPr="004B62C1">
        <w:rPr>
          <w:rFonts w:ascii="Tahoma" w:hAnsi="Tahoma" w:cs="Tahoma"/>
          <w:sz w:val="20"/>
          <w:szCs w:val="20"/>
        </w:rPr>
        <w:t xml:space="preserve">Izvērtēt iespēju </w:t>
      </w:r>
      <w:r w:rsidR="009A041C" w:rsidRPr="004B62C1">
        <w:rPr>
          <w:rFonts w:ascii="Tahoma" w:hAnsi="Tahoma" w:cs="Tahoma"/>
          <w:sz w:val="20"/>
          <w:szCs w:val="20"/>
        </w:rPr>
        <w:t xml:space="preserve">centralizēt iepirkumu procedūras </w:t>
      </w:r>
      <w:r w:rsidR="00A24762" w:rsidRPr="004B62C1">
        <w:rPr>
          <w:rFonts w:ascii="Tahoma" w:hAnsi="Tahoma" w:cs="Tahoma"/>
          <w:sz w:val="20"/>
          <w:szCs w:val="20"/>
        </w:rPr>
        <w:t>(4)</w:t>
      </w:r>
    </w:p>
    <w:p w14:paraId="725554B0" w14:textId="77777777" w:rsidR="00C15F20" w:rsidRPr="004B62C1" w:rsidRDefault="00C15F20" w:rsidP="00C15F20">
      <w:pPr>
        <w:pStyle w:val="ListParagraph"/>
        <w:jc w:val="both"/>
        <w:rPr>
          <w:rFonts w:ascii="Tahoma" w:hAnsi="Tahoma" w:cs="Tahoma"/>
          <w:sz w:val="20"/>
          <w:szCs w:val="20"/>
        </w:rPr>
      </w:pPr>
    </w:p>
    <w:p w14:paraId="1E843D10" w14:textId="1FA51FCC" w:rsidR="008E21FB" w:rsidRPr="004B62C1" w:rsidRDefault="005903FA" w:rsidP="00C15F20">
      <w:pPr>
        <w:pStyle w:val="ListParagraph"/>
        <w:numPr>
          <w:ilvl w:val="0"/>
          <w:numId w:val="16"/>
        </w:numPr>
        <w:jc w:val="both"/>
        <w:rPr>
          <w:rFonts w:ascii="Tahoma" w:hAnsi="Tahoma" w:cs="Tahoma"/>
          <w:sz w:val="20"/>
          <w:szCs w:val="20"/>
        </w:rPr>
      </w:pPr>
      <w:r w:rsidRPr="004B62C1">
        <w:rPr>
          <w:rFonts w:ascii="Tahoma" w:hAnsi="Tahoma" w:cs="Tahoma"/>
          <w:sz w:val="20"/>
          <w:szCs w:val="20"/>
        </w:rPr>
        <w:t xml:space="preserve">Jāuzlabo būvspeciālistu </w:t>
      </w:r>
      <w:r w:rsidR="00144A6E" w:rsidRPr="004B62C1">
        <w:rPr>
          <w:rFonts w:ascii="Tahoma" w:hAnsi="Tahoma" w:cs="Tahoma"/>
          <w:sz w:val="20"/>
          <w:szCs w:val="20"/>
        </w:rPr>
        <w:t>augstākās izglītības programmas</w:t>
      </w:r>
      <w:r w:rsidR="004F5AFB" w:rsidRPr="004B62C1">
        <w:rPr>
          <w:rFonts w:ascii="Tahoma" w:hAnsi="Tahoma" w:cs="Tahoma"/>
          <w:sz w:val="20"/>
          <w:szCs w:val="20"/>
        </w:rPr>
        <w:t xml:space="preserve"> (6) </w:t>
      </w:r>
      <w:r w:rsidR="008E21FB" w:rsidRPr="004B62C1">
        <w:rPr>
          <w:rFonts w:ascii="Tahoma" w:hAnsi="Tahoma" w:cs="Tahoma"/>
          <w:sz w:val="20"/>
          <w:szCs w:val="20"/>
        </w:rPr>
        <w:t xml:space="preserve"> </w:t>
      </w:r>
    </w:p>
    <w:p w14:paraId="4E9EE410" w14:textId="77777777" w:rsidR="00C15F20" w:rsidRPr="004B62C1" w:rsidRDefault="00C15F20" w:rsidP="00C15F20">
      <w:pPr>
        <w:pStyle w:val="ListParagraph"/>
        <w:jc w:val="both"/>
        <w:rPr>
          <w:rFonts w:ascii="Tahoma" w:hAnsi="Tahoma" w:cs="Tahoma"/>
          <w:sz w:val="20"/>
          <w:szCs w:val="20"/>
        </w:rPr>
      </w:pPr>
    </w:p>
    <w:p w14:paraId="12020853" w14:textId="4E624AD2" w:rsidR="00716083" w:rsidRPr="004B62C1" w:rsidRDefault="00305E1E" w:rsidP="00C15F20">
      <w:pPr>
        <w:pStyle w:val="ListParagraph"/>
        <w:numPr>
          <w:ilvl w:val="0"/>
          <w:numId w:val="16"/>
        </w:numPr>
        <w:jc w:val="both"/>
        <w:rPr>
          <w:rFonts w:ascii="Tahoma" w:hAnsi="Tahoma" w:cs="Tahoma"/>
          <w:sz w:val="20"/>
          <w:szCs w:val="20"/>
        </w:rPr>
      </w:pPr>
      <w:r w:rsidRPr="004B62C1">
        <w:rPr>
          <w:rFonts w:ascii="Tahoma" w:hAnsi="Tahoma" w:cs="Tahoma"/>
          <w:sz w:val="20"/>
          <w:szCs w:val="20"/>
        </w:rPr>
        <w:t xml:space="preserve">Jāuzlabo būvniecības </w:t>
      </w:r>
      <w:r w:rsidR="00A64BC4" w:rsidRPr="004B62C1">
        <w:rPr>
          <w:rFonts w:ascii="Tahoma" w:hAnsi="Tahoma" w:cs="Tahoma"/>
          <w:sz w:val="20"/>
          <w:szCs w:val="20"/>
        </w:rPr>
        <w:t>nozares likumdošanas analītisk</w:t>
      </w:r>
      <w:r w:rsidR="00F86E5D" w:rsidRPr="004B62C1">
        <w:rPr>
          <w:rFonts w:ascii="Tahoma" w:hAnsi="Tahoma" w:cs="Tahoma"/>
          <w:sz w:val="20"/>
          <w:szCs w:val="20"/>
        </w:rPr>
        <w:t>ā kapacitāte Ekonomikas ministrijā</w:t>
      </w:r>
      <w:r w:rsidR="00A94002" w:rsidRPr="004B62C1">
        <w:rPr>
          <w:rFonts w:ascii="Tahoma" w:hAnsi="Tahoma" w:cs="Tahoma"/>
          <w:sz w:val="20"/>
          <w:szCs w:val="20"/>
        </w:rPr>
        <w:t xml:space="preserve">, nodrošinot </w:t>
      </w:r>
      <w:r w:rsidR="00A94002" w:rsidRPr="004B62C1">
        <w:rPr>
          <w:rFonts w:ascii="Tahoma" w:hAnsi="Tahoma" w:cs="Tahoma"/>
          <w:i/>
          <w:iCs/>
          <w:sz w:val="20"/>
          <w:szCs w:val="20"/>
        </w:rPr>
        <w:t>ex ante, ex post</w:t>
      </w:r>
      <w:r w:rsidR="00A94002" w:rsidRPr="004B62C1">
        <w:rPr>
          <w:rFonts w:ascii="Tahoma" w:hAnsi="Tahoma" w:cs="Tahoma"/>
          <w:sz w:val="20"/>
          <w:szCs w:val="20"/>
        </w:rPr>
        <w:t xml:space="preserve"> novērtēšanas sistēmu, kā arī </w:t>
      </w:r>
      <w:r w:rsidR="004506CE" w:rsidRPr="004B62C1">
        <w:rPr>
          <w:rFonts w:ascii="Tahoma" w:hAnsi="Tahoma" w:cs="Tahoma"/>
          <w:sz w:val="20"/>
          <w:szCs w:val="20"/>
        </w:rPr>
        <w:t xml:space="preserve">veicināt sistemātisku normatīvo aktu </w:t>
      </w:r>
      <w:r w:rsidR="00066F31" w:rsidRPr="004B62C1">
        <w:rPr>
          <w:rFonts w:ascii="Tahoma" w:hAnsi="Tahoma" w:cs="Tahoma"/>
          <w:sz w:val="20"/>
          <w:szCs w:val="20"/>
        </w:rPr>
        <w:t>virzību</w:t>
      </w:r>
      <w:r w:rsidR="00A5753D" w:rsidRPr="004B62C1">
        <w:rPr>
          <w:rFonts w:ascii="Tahoma" w:hAnsi="Tahoma" w:cs="Tahoma"/>
          <w:sz w:val="20"/>
          <w:szCs w:val="20"/>
        </w:rPr>
        <w:t xml:space="preserve">, samazinot </w:t>
      </w:r>
      <w:r w:rsidR="00DA1211" w:rsidRPr="004B62C1">
        <w:rPr>
          <w:rFonts w:ascii="Tahoma" w:hAnsi="Tahoma" w:cs="Tahoma"/>
          <w:sz w:val="20"/>
          <w:szCs w:val="20"/>
        </w:rPr>
        <w:t>normatīvā regulējuma izmaiņu biežumu</w:t>
      </w:r>
      <w:r w:rsidR="00FC70F8" w:rsidRPr="004B62C1">
        <w:rPr>
          <w:rFonts w:ascii="Tahoma" w:hAnsi="Tahoma" w:cs="Tahoma"/>
          <w:sz w:val="20"/>
          <w:szCs w:val="20"/>
        </w:rPr>
        <w:t xml:space="preserve"> </w:t>
      </w:r>
      <w:r w:rsidR="000778C0" w:rsidRPr="004B62C1">
        <w:rPr>
          <w:rFonts w:ascii="Tahoma" w:hAnsi="Tahoma" w:cs="Tahoma"/>
          <w:sz w:val="20"/>
          <w:szCs w:val="20"/>
        </w:rPr>
        <w:t xml:space="preserve">un </w:t>
      </w:r>
      <w:r w:rsidR="00717F8C" w:rsidRPr="004B62C1">
        <w:rPr>
          <w:rFonts w:ascii="Tahoma" w:hAnsi="Tahoma" w:cs="Tahoma"/>
          <w:sz w:val="20"/>
          <w:szCs w:val="20"/>
        </w:rPr>
        <w:t xml:space="preserve">efektīvi iesaistot nozares nevalstiskās organizācijas </w:t>
      </w:r>
      <w:r w:rsidR="00FC70F8" w:rsidRPr="004B62C1">
        <w:rPr>
          <w:rFonts w:ascii="Tahoma" w:hAnsi="Tahoma" w:cs="Tahoma"/>
          <w:sz w:val="20"/>
          <w:szCs w:val="20"/>
        </w:rPr>
        <w:t>(12)</w:t>
      </w:r>
    </w:p>
    <w:p w14:paraId="40A02B08" w14:textId="77777777" w:rsidR="00C15F20" w:rsidRPr="004B62C1" w:rsidRDefault="00C15F20" w:rsidP="00C15F20">
      <w:pPr>
        <w:pStyle w:val="ListParagraph"/>
        <w:jc w:val="both"/>
        <w:rPr>
          <w:rFonts w:ascii="Tahoma" w:hAnsi="Tahoma" w:cs="Tahoma"/>
          <w:sz w:val="20"/>
          <w:szCs w:val="20"/>
        </w:rPr>
      </w:pPr>
    </w:p>
    <w:p w14:paraId="7D812B27" w14:textId="5245C489" w:rsidR="00716083" w:rsidRPr="004B62C1" w:rsidRDefault="00716083" w:rsidP="00C15F20">
      <w:pPr>
        <w:pStyle w:val="ListParagraph"/>
        <w:numPr>
          <w:ilvl w:val="0"/>
          <w:numId w:val="16"/>
        </w:numPr>
        <w:jc w:val="both"/>
        <w:rPr>
          <w:rFonts w:ascii="Tahoma" w:hAnsi="Tahoma" w:cs="Tahoma"/>
          <w:sz w:val="20"/>
          <w:szCs w:val="20"/>
        </w:rPr>
      </w:pPr>
      <w:r w:rsidRPr="004B62C1">
        <w:rPr>
          <w:rFonts w:ascii="Tahoma" w:hAnsi="Tahoma" w:cs="Tahoma"/>
          <w:sz w:val="20"/>
          <w:szCs w:val="20"/>
        </w:rPr>
        <w:t xml:space="preserve">Aicināt Ekonomikas ministriju izvērtēt BVKB </w:t>
      </w:r>
      <w:r w:rsidR="00275581">
        <w:rPr>
          <w:rFonts w:ascii="Tahoma" w:hAnsi="Tahoma" w:cs="Tahoma"/>
          <w:sz w:val="20"/>
          <w:szCs w:val="20"/>
        </w:rPr>
        <w:t>pamat</w:t>
      </w:r>
      <w:r w:rsidRPr="004B62C1">
        <w:rPr>
          <w:rFonts w:ascii="Tahoma" w:hAnsi="Tahoma" w:cs="Tahoma"/>
          <w:sz w:val="20"/>
          <w:szCs w:val="20"/>
        </w:rPr>
        <w:t xml:space="preserve">funkcijas, kompetences un resursus, kuras ir orientētas </w:t>
      </w:r>
      <w:r w:rsidR="00275581">
        <w:rPr>
          <w:rFonts w:ascii="Tahoma" w:hAnsi="Tahoma" w:cs="Tahoma"/>
          <w:sz w:val="20"/>
          <w:szCs w:val="20"/>
        </w:rPr>
        <w:t xml:space="preserve">primāri </w:t>
      </w:r>
      <w:r w:rsidRPr="004B62C1">
        <w:rPr>
          <w:rFonts w:ascii="Tahoma" w:hAnsi="Tahoma" w:cs="Tahoma"/>
          <w:sz w:val="20"/>
          <w:szCs w:val="20"/>
        </w:rPr>
        <w:t xml:space="preserve">uz būvniecības </w:t>
      </w:r>
      <w:r w:rsidR="00616CF7" w:rsidRPr="004B62C1">
        <w:rPr>
          <w:rFonts w:ascii="Tahoma" w:hAnsi="Tahoma" w:cs="Tahoma"/>
          <w:sz w:val="20"/>
          <w:szCs w:val="20"/>
        </w:rPr>
        <w:t xml:space="preserve">pakalpojumu un produktu </w:t>
      </w:r>
      <w:r w:rsidRPr="004B62C1">
        <w:rPr>
          <w:rFonts w:ascii="Tahoma" w:hAnsi="Tahoma" w:cs="Tahoma"/>
          <w:sz w:val="20"/>
          <w:szCs w:val="20"/>
        </w:rPr>
        <w:t>kvalitātes kontroli</w:t>
      </w:r>
      <w:r w:rsidR="00616CF7" w:rsidRPr="004B62C1">
        <w:rPr>
          <w:rFonts w:ascii="Tahoma" w:hAnsi="Tahoma" w:cs="Tahoma"/>
          <w:sz w:val="20"/>
          <w:szCs w:val="20"/>
        </w:rPr>
        <w:t xml:space="preserve"> sekojošās jomās: būvniecības ieceres, būvprojekti, būvdarbi. Kā arī izvērtēt </w:t>
      </w:r>
      <w:r w:rsidR="003665F9">
        <w:rPr>
          <w:rFonts w:ascii="Tahoma" w:hAnsi="Tahoma" w:cs="Tahoma"/>
          <w:sz w:val="20"/>
          <w:szCs w:val="20"/>
        </w:rPr>
        <w:t xml:space="preserve">BVKB papildus funkciju efektivitāti (ēku uzturēšana, BIS attīstība, enerģētika) un </w:t>
      </w:r>
      <w:r w:rsidR="00616CF7" w:rsidRPr="004B62C1">
        <w:rPr>
          <w:rFonts w:ascii="Tahoma" w:hAnsi="Tahoma" w:cs="Tahoma"/>
          <w:sz w:val="20"/>
          <w:szCs w:val="20"/>
        </w:rPr>
        <w:t>ideju par BVKB kā p</w:t>
      </w:r>
      <w:bookmarkStart w:id="0" w:name="_GoBack"/>
      <w:bookmarkEnd w:id="0"/>
      <w:r w:rsidR="00616CF7" w:rsidRPr="004B62C1">
        <w:rPr>
          <w:rFonts w:ascii="Tahoma" w:hAnsi="Tahoma" w:cs="Tahoma"/>
          <w:sz w:val="20"/>
          <w:szCs w:val="20"/>
        </w:rPr>
        <w:t>irmstiesas būvniecības strīdu risināšanas iestāde.</w:t>
      </w:r>
      <w:r w:rsidR="00C15F20" w:rsidRPr="004B62C1">
        <w:rPr>
          <w:rFonts w:ascii="Tahoma" w:hAnsi="Tahoma" w:cs="Tahoma"/>
          <w:sz w:val="20"/>
          <w:szCs w:val="20"/>
        </w:rPr>
        <w:t xml:space="preserve"> (8.3 un </w:t>
      </w:r>
      <w:r w:rsidR="007528CB" w:rsidRPr="004B62C1">
        <w:rPr>
          <w:rFonts w:ascii="Tahoma" w:hAnsi="Tahoma" w:cs="Tahoma"/>
          <w:sz w:val="20"/>
          <w:szCs w:val="20"/>
        </w:rPr>
        <w:t>8.6.3)</w:t>
      </w:r>
    </w:p>
    <w:p w14:paraId="4D8E2671" w14:textId="77777777" w:rsidR="00C15F20" w:rsidRPr="004B62C1" w:rsidRDefault="00C15F20" w:rsidP="00C15F20">
      <w:pPr>
        <w:pStyle w:val="ListParagraph"/>
        <w:jc w:val="both"/>
        <w:rPr>
          <w:rFonts w:ascii="Tahoma" w:hAnsi="Tahoma" w:cs="Tahoma"/>
          <w:sz w:val="20"/>
          <w:szCs w:val="20"/>
        </w:rPr>
      </w:pPr>
    </w:p>
    <w:p w14:paraId="2AC55139" w14:textId="08B6F545" w:rsidR="00C15F20" w:rsidRPr="004B62C1" w:rsidRDefault="00616CF7" w:rsidP="00C15F20">
      <w:pPr>
        <w:pStyle w:val="ListParagraph"/>
        <w:numPr>
          <w:ilvl w:val="0"/>
          <w:numId w:val="16"/>
        </w:numPr>
        <w:jc w:val="both"/>
        <w:rPr>
          <w:rFonts w:ascii="Tahoma" w:hAnsi="Tahoma" w:cs="Tahoma"/>
          <w:sz w:val="20"/>
          <w:szCs w:val="20"/>
        </w:rPr>
      </w:pPr>
      <w:r w:rsidRPr="004B62C1">
        <w:rPr>
          <w:rFonts w:ascii="Tahoma" w:hAnsi="Tahoma" w:cs="Tahoma"/>
          <w:sz w:val="20"/>
          <w:szCs w:val="20"/>
        </w:rPr>
        <w:t>Nepieciešams palielināt Ekonomikas ministrijas sniegto metodisko palīdzību pašvaldību būvvaldēm būvniecības normatīvo aktu piemērošanas jomā</w:t>
      </w:r>
      <w:r w:rsidR="007528CB" w:rsidRPr="004B62C1">
        <w:rPr>
          <w:rFonts w:ascii="Tahoma" w:hAnsi="Tahoma" w:cs="Tahoma"/>
          <w:sz w:val="20"/>
          <w:szCs w:val="20"/>
        </w:rPr>
        <w:t xml:space="preserve"> (8.5.2)</w:t>
      </w:r>
    </w:p>
    <w:p w14:paraId="5B9F96FD" w14:textId="77777777" w:rsidR="00C15F20" w:rsidRPr="004B62C1" w:rsidRDefault="00C15F20" w:rsidP="00C15F20">
      <w:pPr>
        <w:pStyle w:val="ListParagraph"/>
        <w:jc w:val="both"/>
        <w:rPr>
          <w:rFonts w:ascii="Tahoma" w:hAnsi="Tahoma" w:cs="Tahoma"/>
          <w:sz w:val="20"/>
          <w:szCs w:val="20"/>
        </w:rPr>
      </w:pPr>
    </w:p>
    <w:p w14:paraId="7ED8CE2E" w14:textId="11CF8820" w:rsidR="00C15F20" w:rsidRPr="004B62C1" w:rsidRDefault="00616CF7" w:rsidP="00C15F20">
      <w:pPr>
        <w:pStyle w:val="ListParagraph"/>
        <w:numPr>
          <w:ilvl w:val="0"/>
          <w:numId w:val="16"/>
        </w:numPr>
        <w:jc w:val="both"/>
        <w:rPr>
          <w:rFonts w:ascii="Tahoma" w:hAnsi="Tahoma" w:cs="Tahoma"/>
          <w:sz w:val="20"/>
          <w:szCs w:val="20"/>
        </w:rPr>
      </w:pPr>
      <w:r w:rsidRPr="004B62C1">
        <w:rPr>
          <w:rFonts w:ascii="Tahoma" w:hAnsi="Tahoma" w:cs="Tahoma"/>
          <w:sz w:val="20"/>
          <w:szCs w:val="20"/>
        </w:rPr>
        <w:t>Ekonomikas ministrijai jāmaina lēmumu pieņemšanas kultūra, pirms normatīvo ak</w:t>
      </w:r>
      <w:r w:rsidR="007528CB" w:rsidRPr="004B62C1">
        <w:rPr>
          <w:rFonts w:ascii="Tahoma" w:hAnsi="Tahoma" w:cs="Tahoma"/>
          <w:sz w:val="20"/>
          <w:szCs w:val="20"/>
        </w:rPr>
        <w:t xml:space="preserve">tu izstrādāšanas veicot analīzi, definējot mērķus, kas ar jauno regulējumu būtu jāsasniedz </w:t>
      </w:r>
      <w:r w:rsidRPr="004B62C1">
        <w:rPr>
          <w:rFonts w:ascii="Tahoma" w:hAnsi="Tahoma" w:cs="Tahoma"/>
          <w:sz w:val="20"/>
          <w:szCs w:val="20"/>
        </w:rPr>
        <w:t xml:space="preserve">un ieklausoties </w:t>
      </w:r>
      <w:r w:rsidR="007528CB" w:rsidRPr="004B62C1">
        <w:rPr>
          <w:rFonts w:ascii="Tahoma" w:hAnsi="Tahoma" w:cs="Tahoma"/>
          <w:sz w:val="20"/>
          <w:szCs w:val="20"/>
        </w:rPr>
        <w:t xml:space="preserve">nozares </w:t>
      </w:r>
      <w:r w:rsidRPr="004B62C1">
        <w:rPr>
          <w:rFonts w:ascii="Tahoma" w:hAnsi="Tahoma" w:cs="Tahoma"/>
          <w:sz w:val="20"/>
          <w:szCs w:val="20"/>
        </w:rPr>
        <w:t>nevalstisko organizāciju viedok</w:t>
      </w:r>
      <w:r w:rsidR="007528CB" w:rsidRPr="004B62C1">
        <w:rPr>
          <w:rFonts w:ascii="Tahoma" w:hAnsi="Tahoma" w:cs="Tahoma"/>
          <w:sz w:val="20"/>
          <w:szCs w:val="20"/>
        </w:rPr>
        <w:t>ļos (9.2 un 9.3)</w:t>
      </w:r>
      <w:r w:rsidRPr="004B62C1">
        <w:rPr>
          <w:rFonts w:ascii="Tahoma" w:hAnsi="Tahoma" w:cs="Tahoma"/>
          <w:sz w:val="20"/>
          <w:szCs w:val="20"/>
        </w:rPr>
        <w:t xml:space="preserve">  </w:t>
      </w:r>
    </w:p>
    <w:p w14:paraId="147053E3" w14:textId="77777777" w:rsidR="00C15F20" w:rsidRPr="004B62C1" w:rsidRDefault="00C15F20" w:rsidP="00C15F20">
      <w:pPr>
        <w:pStyle w:val="ListParagraph"/>
        <w:jc w:val="both"/>
        <w:rPr>
          <w:rFonts w:ascii="Tahoma" w:hAnsi="Tahoma" w:cs="Tahoma"/>
          <w:sz w:val="20"/>
          <w:szCs w:val="20"/>
        </w:rPr>
      </w:pPr>
    </w:p>
    <w:p w14:paraId="2B087763" w14:textId="23AE0A7E" w:rsidR="00C15F20" w:rsidRPr="004B62C1" w:rsidRDefault="00C15F20" w:rsidP="00C15F20">
      <w:pPr>
        <w:pStyle w:val="ListParagraph"/>
        <w:numPr>
          <w:ilvl w:val="0"/>
          <w:numId w:val="16"/>
        </w:numPr>
        <w:jc w:val="both"/>
        <w:rPr>
          <w:rFonts w:ascii="Tahoma" w:hAnsi="Tahoma" w:cs="Tahoma"/>
          <w:sz w:val="20"/>
          <w:szCs w:val="20"/>
        </w:rPr>
      </w:pPr>
      <w:r w:rsidRPr="004B62C1">
        <w:rPr>
          <w:rFonts w:ascii="Tahoma" w:hAnsi="Tahoma" w:cs="Tahoma"/>
          <w:sz w:val="20"/>
          <w:szCs w:val="20"/>
        </w:rPr>
        <w:t xml:space="preserve">Saeimas Tautsaimniecības komisijai būtu jāizstrādā un Saeimai jāizdara grozījumi Būvniecības likumā, nosakot tiešu deleģējumu būvspeciālistu </w:t>
      </w:r>
      <w:r w:rsidR="003665F9">
        <w:rPr>
          <w:rFonts w:ascii="Tahoma" w:hAnsi="Tahoma" w:cs="Tahoma"/>
          <w:sz w:val="20"/>
          <w:szCs w:val="20"/>
        </w:rPr>
        <w:t xml:space="preserve">pašpārvaldes organizāciju </w:t>
      </w:r>
      <w:r w:rsidRPr="004B62C1">
        <w:rPr>
          <w:rFonts w:ascii="Tahoma" w:hAnsi="Tahoma" w:cs="Tahoma"/>
          <w:sz w:val="20"/>
          <w:szCs w:val="20"/>
        </w:rPr>
        <w:t xml:space="preserve">sertifikācijas institūcijām, izvērtējot Ekonomikas </w:t>
      </w:r>
      <w:r w:rsidRPr="004B62C1">
        <w:rPr>
          <w:rFonts w:ascii="Tahoma" w:hAnsi="Tahoma" w:cs="Tahoma"/>
          <w:sz w:val="20"/>
          <w:szCs w:val="20"/>
        </w:rPr>
        <w:lastRenderedPageBreak/>
        <w:t>ministrijas iepriekš noslēgtos līgumus ar sertifikācijas institūcijām par būvspeciālistu sertifikācijas deleģējumiem</w:t>
      </w:r>
      <w:r w:rsidR="007528CB" w:rsidRPr="004B62C1">
        <w:rPr>
          <w:rFonts w:ascii="Tahoma" w:hAnsi="Tahoma" w:cs="Tahoma"/>
          <w:sz w:val="20"/>
          <w:szCs w:val="20"/>
        </w:rPr>
        <w:t xml:space="preserve"> (10.6.3)</w:t>
      </w:r>
    </w:p>
    <w:p w14:paraId="0DD90ED3" w14:textId="77777777" w:rsidR="007528CB" w:rsidRPr="004B62C1" w:rsidRDefault="007528CB" w:rsidP="007528CB">
      <w:pPr>
        <w:pStyle w:val="ListParagraph"/>
        <w:rPr>
          <w:rFonts w:ascii="Tahoma" w:hAnsi="Tahoma" w:cs="Tahoma"/>
          <w:sz w:val="20"/>
          <w:szCs w:val="20"/>
        </w:rPr>
      </w:pPr>
    </w:p>
    <w:p w14:paraId="79C4CC28" w14:textId="4033737D" w:rsidR="007528CB" w:rsidRPr="004B62C1" w:rsidRDefault="007528CB" w:rsidP="00C15F20">
      <w:pPr>
        <w:pStyle w:val="ListParagraph"/>
        <w:numPr>
          <w:ilvl w:val="0"/>
          <w:numId w:val="16"/>
        </w:numPr>
        <w:jc w:val="both"/>
        <w:rPr>
          <w:rFonts w:ascii="Tahoma" w:hAnsi="Tahoma" w:cs="Tahoma"/>
          <w:sz w:val="20"/>
          <w:szCs w:val="20"/>
        </w:rPr>
      </w:pPr>
      <w:r w:rsidRPr="004B62C1">
        <w:rPr>
          <w:rFonts w:ascii="Tahoma" w:hAnsi="Tahoma" w:cs="Tahoma"/>
          <w:sz w:val="20"/>
          <w:szCs w:val="20"/>
        </w:rPr>
        <w:t>Finanšu un Ekonomikas ministrijai, sadarbojoties ar nozares speciālistiem, būtu jāizstrādā un jāievieš vadlīnijas un kritēriji saimnieciski izdevīgākā publiskā iepirkuma piedāvājuma izvērtēšanai (12.3)</w:t>
      </w:r>
    </w:p>
    <w:p w14:paraId="344ED520" w14:textId="77777777" w:rsidR="00C15F20" w:rsidRPr="004B62C1" w:rsidRDefault="00C15F20" w:rsidP="00C15F20">
      <w:pPr>
        <w:pStyle w:val="ListParagraph"/>
        <w:jc w:val="both"/>
        <w:rPr>
          <w:rFonts w:ascii="Tahoma" w:hAnsi="Tahoma" w:cs="Tahoma"/>
          <w:sz w:val="20"/>
          <w:szCs w:val="20"/>
        </w:rPr>
      </w:pPr>
    </w:p>
    <w:p w14:paraId="39C5D6A2" w14:textId="77777777" w:rsidR="00C15F20" w:rsidRPr="004B62C1" w:rsidRDefault="00C15F20" w:rsidP="00C15F20">
      <w:pPr>
        <w:pStyle w:val="ListParagraph"/>
        <w:numPr>
          <w:ilvl w:val="0"/>
          <w:numId w:val="16"/>
        </w:numPr>
        <w:jc w:val="both"/>
        <w:rPr>
          <w:rFonts w:ascii="Tahoma" w:hAnsi="Tahoma" w:cs="Tahoma"/>
          <w:sz w:val="20"/>
          <w:szCs w:val="20"/>
        </w:rPr>
      </w:pPr>
      <w:r w:rsidRPr="004B62C1">
        <w:rPr>
          <w:rFonts w:ascii="Tahoma" w:hAnsi="Tahoma" w:cs="Tahoma"/>
          <w:sz w:val="20"/>
          <w:szCs w:val="20"/>
        </w:rPr>
        <w:t>Aicināt Ekonomikas ministriju izvērtēt tiesas pilno spriedumu Zolitūdes lietā, izdarīt secinājumus un sniegt novērtējumu par nepieciešamajiem uzlabojumiem būvniecības nozares regulējumā, likumdošanā, kā arī veicināt diskusiju Latvijas Būvniecības padomē par iespējamiem jauniem priekšlikumiem normatīvā regulējuma izmaiņām.</w:t>
      </w:r>
    </w:p>
    <w:p w14:paraId="3AADD4B4" w14:textId="77777777" w:rsidR="00C15F20" w:rsidRPr="004B62C1" w:rsidRDefault="00C15F20" w:rsidP="00C15F20">
      <w:pPr>
        <w:jc w:val="both"/>
        <w:rPr>
          <w:rFonts w:ascii="Tahoma" w:hAnsi="Tahoma" w:cs="Tahoma"/>
          <w:sz w:val="20"/>
          <w:szCs w:val="20"/>
        </w:rPr>
      </w:pPr>
    </w:p>
    <w:p w14:paraId="4CB413C4" w14:textId="77777777" w:rsidR="004B62C1" w:rsidRPr="004B62C1" w:rsidRDefault="004B62C1" w:rsidP="004B62C1">
      <w:pPr>
        <w:pStyle w:val="NormalWeb"/>
        <w:shd w:val="clear" w:color="auto" w:fill="FFFFFF"/>
        <w:spacing w:before="0" w:beforeAutospacing="0" w:after="0" w:afterAutospacing="0"/>
        <w:ind w:left="567"/>
        <w:jc w:val="both"/>
        <w:textAlignment w:val="baseline"/>
        <w:rPr>
          <w:rFonts w:ascii="Tahoma" w:hAnsi="Tahoma" w:cs="Tahoma"/>
          <w:bCs/>
          <w:i/>
          <w:sz w:val="20"/>
          <w:szCs w:val="20"/>
        </w:rPr>
      </w:pPr>
      <w:r w:rsidRPr="004B62C1">
        <w:rPr>
          <w:rFonts w:ascii="Tahoma" w:hAnsi="Tahoma" w:cs="Tahoma"/>
          <w:bCs/>
          <w:i/>
          <w:color w:val="000000"/>
          <w:sz w:val="20"/>
          <w:szCs w:val="20"/>
        </w:rPr>
        <w:t>Latvijas Arhitektu savienība</w:t>
      </w:r>
      <w:r w:rsidRPr="004B62C1">
        <w:rPr>
          <w:rFonts w:ascii="Tahoma" w:hAnsi="Tahoma" w:cs="Tahoma"/>
          <w:bCs/>
          <w:i/>
          <w:sz w:val="20"/>
          <w:szCs w:val="20"/>
        </w:rPr>
        <w:t>,</w:t>
      </w:r>
    </w:p>
    <w:p w14:paraId="3367365F" w14:textId="6DC88725" w:rsidR="004B62C1" w:rsidRPr="004B62C1" w:rsidRDefault="004B62C1" w:rsidP="004B62C1">
      <w:pPr>
        <w:pStyle w:val="NormalWeb"/>
        <w:shd w:val="clear" w:color="auto" w:fill="FFFFFF"/>
        <w:spacing w:before="0" w:beforeAutospacing="0" w:after="0" w:afterAutospacing="0"/>
        <w:ind w:left="567"/>
        <w:jc w:val="both"/>
        <w:textAlignment w:val="baseline"/>
        <w:rPr>
          <w:rFonts w:ascii="Tahoma" w:hAnsi="Tahoma" w:cs="Tahoma"/>
          <w:bCs/>
          <w:i/>
          <w:sz w:val="20"/>
          <w:szCs w:val="20"/>
        </w:rPr>
      </w:pPr>
      <w:r w:rsidRPr="004B62C1">
        <w:rPr>
          <w:rFonts w:ascii="Tahoma" w:hAnsi="Tahoma" w:cs="Tahoma"/>
          <w:bCs/>
          <w:i/>
          <w:color w:val="000000"/>
          <w:sz w:val="20"/>
          <w:szCs w:val="20"/>
        </w:rPr>
        <w:t>Latvijas būvinženieru savienība</w:t>
      </w:r>
      <w:r w:rsidRPr="004B62C1">
        <w:rPr>
          <w:rFonts w:ascii="Tahoma" w:hAnsi="Tahoma" w:cs="Tahoma"/>
          <w:bCs/>
          <w:i/>
          <w:sz w:val="20"/>
          <w:szCs w:val="20"/>
        </w:rPr>
        <w:t>,</w:t>
      </w:r>
    </w:p>
    <w:p w14:paraId="199DB122" w14:textId="40F58D5A" w:rsidR="004B62C1" w:rsidRPr="004B62C1" w:rsidRDefault="004B62C1" w:rsidP="004B62C1">
      <w:pPr>
        <w:pStyle w:val="NormalWeb"/>
        <w:shd w:val="clear" w:color="auto" w:fill="FFFFFF"/>
        <w:spacing w:before="0" w:beforeAutospacing="0" w:after="0" w:afterAutospacing="0"/>
        <w:ind w:left="567"/>
        <w:jc w:val="both"/>
        <w:textAlignment w:val="baseline"/>
        <w:rPr>
          <w:rFonts w:ascii="Tahoma" w:hAnsi="Tahoma" w:cs="Tahoma"/>
          <w:bCs/>
          <w:i/>
          <w:sz w:val="20"/>
          <w:szCs w:val="20"/>
        </w:rPr>
      </w:pPr>
      <w:r w:rsidRPr="004B62C1">
        <w:rPr>
          <w:rFonts w:ascii="Tahoma" w:hAnsi="Tahoma" w:cs="Tahoma"/>
          <w:bCs/>
          <w:i/>
          <w:color w:val="000000"/>
          <w:sz w:val="20"/>
          <w:szCs w:val="20"/>
        </w:rPr>
        <w:t>Latvijas ceļu būvētājs</w:t>
      </w:r>
      <w:r w:rsidRPr="004B62C1">
        <w:rPr>
          <w:rFonts w:ascii="Tahoma" w:hAnsi="Tahoma" w:cs="Tahoma"/>
          <w:bCs/>
          <w:i/>
          <w:sz w:val="20"/>
          <w:szCs w:val="20"/>
        </w:rPr>
        <w:t>,</w:t>
      </w:r>
    </w:p>
    <w:p w14:paraId="51A117ED" w14:textId="273C99BA" w:rsidR="004B62C1" w:rsidRPr="004B62C1" w:rsidRDefault="004B62C1" w:rsidP="004B62C1">
      <w:pPr>
        <w:pStyle w:val="NormalWeb"/>
        <w:shd w:val="clear" w:color="auto" w:fill="FFFFFF"/>
        <w:spacing w:before="0" w:beforeAutospacing="0" w:after="0" w:afterAutospacing="0"/>
        <w:ind w:left="567"/>
        <w:jc w:val="both"/>
        <w:textAlignment w:val="baseline"/>
        <w:rPr>
          <w:rFonts w:ascii="Tahoma" w:hAnsi="Tahoma" w:cs="Tahoma"/>
          <w:bCs/>
          <w:i/>
          <w:sz w:val="20"/>
          <w:szCs w:val="20"/>
        </w:rPr>
      </w:pPr>
      <w:r w:rsidRPr="004B62C1">
        <w:rPr>
          <w:rFonts w:ascii="Tahoma" w:hAnsi="Tahoma" w:cs="Tahoma"/>
          <w:bCs/>
          <w:i/>
          <w:color w:val="000000"/>
          <w:sz w:val="20"/>
          <w:szCs w:val="20"/>
        </w:rPr>
        <w:t>Būvmateriālu ražotāju asociācija</w:t>
      </w:r>
      <w:r w:rsidRPr="004B62C1">
        <w:rPr>
          <w:rFonts w:ascii="Tahoma" w:hAnsi="Tahoma" w:cs="Tahoma"/>
          <w:bCs/>
          <w:i/>
          <w:sz w:val="20"/>
          <w:szCs w:val="20"/>
        </w:rPr>
        <w:t>,</w:t>
      </w:r>
    </w:p>
    <w:p w14:paraId="2C1FD03E" w14:textId="5AE23ADA" w:rsidR="004B62C1" w:rsidRPr="004B62C1" w:rsidRDefault="004B62C1" w:rsidP="004B62C1">
      <w:pPr>
        <w:pStyle w:val="NormalWeb"/>
        <w:shd w:val="clear" w:color="auto" w:fill="FFFFFF"/>
        <w:spacing w:before="0" w:beforeAutospacing="0" w:after="0" w:afterAutospacing="0"/>
        <w:ind w:left="567"/>
        <w:jc w:val="both"/>
        <w:textAlignment w:val="baseline"/>
        <w:rPr>
          <w:rFonts w:ascii="Tahoma" w:hAnsi="Tahoma" w:cs="Tahoma"/>
          <w:bCs/>
          <w:i/>
          <w:sz w:val="20"/>
          <w:szCs w:val="20"/>
        </w:rPr>
      </w:pPr>
      <w:r w:rsidRPr="004B62C1">
        <w:rPr>
          <w:rFonts w:ascii="Tahoma" w:hAnsi="Tahoma" w:cs="Tahoma"/>
          <w:bCs/>
          <w:i/>
          <w:color w:val="000000"/>
          <w:sz w:val="20"/>
          <w:szCs w:val="20"/>
        </w:rPr>
        <w:t>Latvijas Būvuzņēmēju partnerība</w:t>
      </w:r>
      <w:r w:rsidRPr="004B62C1">
        <w:rPr>
          <w:rFonts w:ascii="Tahoma" w:hAnsi="Tahoma" w:cs="Tahoma"/>
          <w:bCs/>
          <w:i/>
          <w:sz w:val="20"/>
          <w:szCs w:val="20"/>
        </w:rPr>
        <w:t>,</w:t>
      </w:r>
    </w:p>
    <w:p w14:paraId="5B8498A3" w14:textId="33F8A592" w:rsidR="004B62C1" w:rsidRPr="004B62C1" w:rsidRDefault="004B62C1" w:rsidP="004B62C1">
      <w:pPr>
        <w:pStyle w:val="NormalWeb"/>
        <w:shd w:val="clear" w:color="auto" w:fill="FFFFFF"/>
        <w:spacing w:before="0" w:beforeAutospacing="0" w:after="0" w:afterAutospacing="0"/>
        <w:ind w:left="567"/>
        <w:jc w:val="both"/>
        <w:textAlignment w:val="baseline"/>
        <w:rPr>
          <w:rFonts w:ascii="Tahoma" w:hAnsi="Tahoma" w:cs="Tahoma"/>
          <w:bCs/>
          <w:i/>
          <w:sz w:val="20"/>
          <w:szCs w:val="20"/>
        </w:rPr>
      </w:pPr>
      <w:r w:rsidRPr="004B62C1">
        <w:rPr>
          <w:rFonts w:ascii="Tahoma" w:hAnsi="Tahoma" w:cs="Tahoma"/>
          <w:bCs/>
          <w:i/>
          <w:color w:val="000000"/>
          <w:sz w:val="20"/>
          <w:szCs w:val="20"/>
        </w:rPr>
        <w:t>Latvijas Būvnieku asociācija</w:t>
      </w:r>
      <w:r w:rsidRPr="004B62C1">
        <w:rPr>
          <w:rFonts w:ascii="Tahoma" w:hAnsi="Tahoma" w:cs="Tahoma"/>
          <w:bCs/>
          <w:i/>
          <w:sz w:val="20"/>
          <w:szCs w:val="20"/>
        </w:rPr>
        <w:t>,</w:t>
      </w:r>
    </w:p>
    <w:p w14:paraId="08E09550" w14:textId="64F4ACDA" w:rsidR="004B62C1" w:rsidRPr="004B62C1" w:rsidRDefault="004B62C1" w:rsidP="004B62C1">
      <w:pPr>
        <w:pStyle w:val="NormalWeb"/>
        <w:shd w:val="clear" w:color="auto" w:fill="FFFFFF"/>
        <w:spacing w:before="0" w:beforeAutospacing="0" w:after="0" w:afterAutospacing="0"/>
        <w:ind w:left="567"/>
        <w:jc w:val="both"/>
        <w:textAlignment w:val="baseline"/>
        <w:rPr>
          <w:rFonts w:ascii="Tahoma" w:hAnsi="Tahoma" w:cs="Tahoma"/>
          <w:bCs/>
          <w:i/>
          <w:sz w:val="20"/>
          <w:szCs w:val="20"/>
        </w:rPr>
      </w:pPr>
      <w:r w:rsidRPr="004B62C1">
        <w:rPr>
          <w:rFonts w:ascii="Tahoma" w:hAnsi="Tahoma" w:cs="Tahoma"/>
          <w:bCs/>
          <w:i/>
          <w:sz w:val="20"/>
          <w:szCs w:val="20"/>
        </w:rPr>
        <w:t>Latvijas Ilgtspējīgas Būvniecības padome,</w:t>
      </w:r>
    </w:p>
    <w:p w14:paraId="2ACCC75A" w14:textId="199806BB" w:rsidR="004B62C1" w:rsidRPr="004B62C1" w:rsidRDefault="004B62C1" w:rsidP="004B62C1">
      <w:pPr>
        <w:pStyle w:val="NormalWeb"/>
        <w:shd w:val="clear" w:color="auto" w:fill="FFFFFF"/>
        <w:spacing w:before="0" w:beforeAutospacing="0" w:after="0" w:afterAutospacing="0"/>
        <w:ind w:left="567"/>
        <w:jc w:val="both"/>
        <w:textAlignment w:val="baseline"/>
        <w:rPr>
          <w:rFonts w:ascii="Tahoma" w:hAnsi="Tahoma" w:cs="Tahoma"/>
          <w:bCs/>
          <w:i/>
          <w:sz w:val="20"/>
          <w:szCs w:val="20"/>
        </w:rPr>
      </w:pPr>
      <w:r w:rsidRPr="004B62C1">
        <w:rPr>
          <w:rFonts w:ascii="Tahoma" w:hAnsi="Tahoma" w:cs="Tahoma"/>
          <w:bCs/>
          <w:i/>
          <w:color w:val="000000"/>
          <w:sz w:val="20"/>
          <w:szCs w:val="20"/>
        </w:rPr>
        <w:t>Latvijas Būvkonstrukciju projektētāju asociācija</w:t>
      </w:r>
      <w:r w:rsidRPr="004B62C1">
        <w:rPr>
          <w:rFonts w:ascii="Tahoma" w:hAnsi="Tahoma" w:cs="Tahoma"/>
          <w:bCs/>
          <w:i/>
          <w:sz w:val="20"/>
          <w:szCs w:val="20"/>
        </w:rPr>
        <w:t>,</w:t>
      </w:r>
    </w:p>
    <w:p w14:paraId="0D087E65" w14:textId="7846FE1C" w:rsidR="004B62C1" w:rsidRPr="004B62C1" w:rsidRDefault="004B62C1" w:rsidP="004B62C1">
      <w:pPr>
        <w:pStyle w:val="NormalWeb"/>
        <w:shd w:val="clear" w:color="auto" w:fill="FFFFFF"/>
        <w:spacing w:before="0" w:beforeAutospacing="0" w:after="0" w:afterAutospacing="0"/>
        <w:ind w:left="567"/>
        <w:jc w:val="both"/>
        <w:textAlignment w:val="baseline"/>
        <w:rPr>
          <w:rFonts w:ascii="Tahoma" w:hAnsi="Tahoma" w:cs="Tahoma"/>
          <w:bCs/>
          <w:i/>
          <w:sz w:val="20"/>
          <w:szCs w:val="20"/>
        </w:rPr>
      </w:pPr>
      <w:r w:rsidRPr="004B62C1">
        <w:rPr>
          <w:rFonts w:ascii="Tahoma" w:hAnsi="Tahoma" w:cs="Tahoma"/>
          <w:bCs/>
          <w:i/>
          <w:color w:val="000000"/>
          <w:sz w:val="20"/>
          <w:szCs w:val="20"/>
        </w:rPr>
        <w:t>Latvijas Amatniecības kamera</w:t>
      </w:r>
      <w:r w:rsidRPr="004B62C1">
        <w:rPr>
          <w:rFonts w:ascii="Tahoma" w:hAnsi="Tahoma" w:cs="Tahoma"/>
          <w:bCs/>
          <w:i/>
          <w:sz w:val="20"/>
          <w:szCs w:val="20"/>
        </w:rPr>
        <w:t>,</w:t>
      </w:r>
    </w:p>
    <w:p w14:paraId="19E5B319" w14:textId="568F71A1" w:rsidR="004B62C1" w:rsidRPr="004B62C1" w:rsidRDefault="004B62C1" w:rsidP="004B62C1">
      <w:pPr>
        <w:pStyle w:val="NormalWeb"/>
        <w:shd w:val="clear" w:color="auto" w:fill="FFFFFF"/>
        <w:spacing w:before="0" w:beforeAutospacing="0" w:after="0" w:afterAutospacing="0"/>
        <w:ind w:left="567"/>
        <w:jc w:val="both"/>
        <w:textAlignment w:val="baseline"/>
        <w:rPr>
          <w:rFonts w:ascii="Tahoma" w:hAnsi="Tahoma" w:cs="Tahoma"/>
          <w:bCs/>
          <w:i/>
          <w:sz w:val="20"/>
          <w:szCs w:val="20"/>
        </w:rPr>
      </w:pPr>
      <w:r w:rsidRPr="004B62C1">
        <w:rPr>
          <w:rFonts w:ascii="Tahoma" w:hAnsi="Tahoma" w:cs="Tahoma"/>
          <w:bCs/>
          <w:i/>
          <w:color w:val="000000"/>
          <w:sz w:val="20"/>
          <w:szCs w:val="20"/>
        </w:rPr>
        <w:t>Latvijas siltuma, gāzes un ūdens tehnoloģijas inženieru savienība</w:t>
      </w:r>
      <w:r w:rsidRPr="004B62C1">
        <w:rPr>
          <w:rFonts w:ascii="Tahoma" w:hAnsi="Tahoma" w:cs="Tahoma"/>
          <w:bCs/>
          <w:i/>
          <w:sz w:val="20"/>
          <w:szCs w:val="20"/>
        </w:rPr>
        <w:t>,</w:t>
      </w:r>
    </w:p>
    <w:p w14:paraId="1C1487B9" w14:textId="58071843" w:rsidR="004B62C1" w:rsidRPr="004B62C1" w:rsidRDefault="004B62C1" w:rsidP="004B62C1">
      <w:pPr>
        <w:pStyle w:val="NormalWeb"/>
        <w:shd w:val="clear" w:color="auto" w:fill="FFFFFF"/>
        <w:spacing w:before="0" w:beforeAutospacing="0" w:after="0" w:afterAutospacing="0"/>
        <w:ind w:left="567"/>
        <w:jc w:val="both"/>
        <w:textAlignment w:val="baseline"/>
        <w:rPr>
          <w:rFonts w:ascii="Tahoma" w:hAnsi="Tahoma" w:cs="Tahoma"/>
          <w:bCs/>
          <w:i/>
          <w:sz w:val="20"/>
          <w:szCs w:val="20"/>
        </w:rPr>
      </w:pPr>
      <w:r w:rsidRPr="004B62C1">
        <w:rPr>
          <w:rFonts w:ascii="Tahoma" w:hAnsi="Tahoma" w:cs="Tahoma"/>
          <w:bCs/>
          <w:i/>
          <w:color w:val="000000"/>
          <w:sz w:val="20"/>
          <w:szCs w:val="20"/>
        </w:rPr>
        <w:t>Latvijas būvinspektoru un būvuzraugu asociācija</w:t>
      </w:r>
      <w:r w:rsidRPr="004B62C1">
        <w:rPr>
          <w:rFonts w:ascii="Tahoma" w:hAnsi="Tahoma" w:cs="Tahoma"/>
          <w:bCs/>
          <w:i/>
          <w:sz w:val="20"/>
          <w:szCs w:val="20"/>
        </w:rPr>
        <w:t>,</w:t>
      </w:r>
    </w:p>
    <w:p w14:paraId="5AA77C2D" w14:textId="233A95F6" w:rsidR="004B62C1" w:rsidRPr="004B62C1" w:rsidRDefault="004B62C1" w:rsidP="004B62C1">
      <w:pPr>
        <w:pStyle w:val="NormalWeb"/>
        <w:shd w:val="clear" w:color="auto" w:fill="FFFFFF"/>
        <w:spacing w:before="0" w:beforeAutospacing="0" w:after="0" w:afterAutospacing="0"/>
        <w:ind w:left="567"/>
        <w:jc w:val="both"/>
        <w:textAlignment w:val="baseline"/>
        <w:rPr>
          <w:rFonts w:ascii="Tahoma" w:hAnsi="Tahoma" w:cs="Tahoma"/>
          <w:bCs/>
          <w:i/>
          <w:color w:val="000000"/>
          <w:sz w:val="20"/>
          <w:szCs w:val="20"/>
        </w:rPr>
      </w:pPr>
      <w:r w:rsidRPr="004B62C1">
        <w:rPr>
          <w:rFonts w:ascii="Tahoma" w:hAnsi="Tahoma" w:cs="Tahoma"/>
          <w:bCs/>
          <w:i/>
          <w:color w:val="000000"/>
          <w:sz w:val="20"/>
          <w:szCs w:val="20"/>
        </w:rPr>
        <w:t>Latvijas Inženierkonsultantu asociācija</w:t>
      </w:r>
    </w:p>
    <w:p w14:paraId="6653BE7C" w14:textId="1997CD1F" w:rsidR="004B62C1" w:rsidRPr="004B62C1" w:rsidRDefault="004B62C1" w:rsidP="004B62C1">
      <w:pPr>
        <w:pStyle w:val="NormalWeb"/>
        <w:shd w:val="clear" w:color="auto" w:fill="FFFFFF"/>
        <w:spacing w:before="0" w:beforeAutospacing="0" w:after="0" w:afterAutospacing="0"/>
        <w:ind w:left="567"/>
        <w:jc w:val="both"/>
        <w:textAlignment w:val="baseline"/>
        <w:rPr>
          <w:rFonts w:ascii="Tahoma" w:hAnsi="Tahoma" w:cs="Tahoma"/>
          <w:bCs/>
          <w:i/>
          <w:color w:val="000000"/>
          <w:sz w:val="20"/>
          <w:szCs w:val="20"/>
        </w:rPr>
      </w:pPr>
      <w:r w:rsidRPr="004B62C1">
        <w:rPr>
          <w:rFonts w:ascii="Tahoma" w:hAnsi="Tahoma" w:cs="Tahoma"/>
          <w:bCs/>
          <w:i/>
          <w:color w:val="000000"/>
          <w:sz w:val="20"/>
          <w:szCs w:val="20"/>
        </w:rPr>
        <w:t>Latvijas Ģeotehniķu savienība</w:t>
      </w:r>
    </w:p>
    <w:p w14:paraId="35BF89B8" w14:textId="6FA4CE10" w:rsidR="004B62C1" w:rsidRPr="004B62C1" w:rsidRDefault="004B62C1" w:rsidP="004B62C1">
      <w:pPr>
        <w:pStyle w:val="NormalWeb"/>
        <w:shd w:val="clear" w:color="auto" w:fill="FFFFFF"/>
        <w:spacing w:before="0" w:beforeAutospacing="0" w:after="0" w:afterAutospacing="0"/>
        <w:ind w:left="567"/>
        <w:jc w:val="both"/>
        <w:textAlignment w:val="baseline"/>
        <w:rPr>
          <w:rFonts w:ascii="Tahoma" w:hAnsi="Tahoma" w:cs="Tahoma"/>
          <w:bCs/>
          <w:i/>
          <w:color w:val="000000"/>
          <w:sz w:val="20"/>
          <w:szCs w:val="20"/>
        </w:rPr>
      </w:pPr>
      <w:r w:rsidRPr="004B62C1">
        <w:rPr>
          <w:rFonts w:ascii="Tahoma" w:hAnsi="Tahoma" w:cs="Tahoma"/>
          <w:bCs/>
          <w:i/>
          <w:color w:val="000000"/>
          <w:sz w:val="20"/>
          <w:szCs w:val="20"/>
        </w:rPr>
        <w:t>Latvijas Elektroenerģētiķu un Energobūvnieku asociācija</w:t>
      </w:r>
    </w:p>
    <w:p w14:paraId="10131630" w14:textId="208237AC" w:rsidR="004B62C1" w:rsidRPr="004B62C1" w:rsidRDefault="004B62C1" w:rsidP="004B62C1">
      <w:pPr>
        <w:pStyle w:val="NormalWeb"/>
        <w:shd w:val="clear" w:color="auto" w:fill="FFFFFF"/>
        <w:spacing w:before="0" w:beforeAutospacing="0" w:after="0" w:afterAutospacing="0"/>
        <w:ind w:left="567"/>
        <w:jc w:val="both"/>
        <w:textAlignment w:val="baseline"/>
        <w:rPr>
          <w:rFonts w:ascii="Tahoma" w:hAnsi="Tahoma" w:cs="Tahoma"/>
          <w:i/>
          <w:sz w:val="20"/>
          <w:szCs w:val="20"/>
        </w:rPr>
      </w:pPr>
      <w:r w:rsidRPr="004B62C1">
        <w:rPr>
          <w:rFonts w:ascii="Tahoma" w:hAnsi="Tahoma" w:cs="Tahoma"/>
          <w:bCs/>
          <w:i/>
          <w:color w:val="000000"/>
          <w:sz w:val="20"/>
          <w:szCs w:val="20"/>
        </w:rPr>
        <w:t>Transportbūvju inženieru asociācija</w:t>
      </w:r>
    </w:p>
    <w:p w14:paraId="4746E7B5" w14:textId="77777777" w:rsidR="004B62C1" w:rsidRPr="004B62C1" w:rsidRDefault="004B62C1" w:rsidP="004B62C1">
      <w:pPr>
        <w:pStyle w:val="Body"/>
        <w:ind w:left="567"/>
        <w:jc w:val="both"/>
        <w:rPr>
          <w:rFonts w:ascii="Tahoma" w:hAnsi="Tahoma" w:cs="Tahoma"/>
          <w:sz w:val="20"/>
          <w:szCs w:val="20"/>
        </w:rPr>
      </w:pPr>
    </w:p>
    <w:p w14:paraId="0633F468" w14:textId="77777777" w:rsidR="004B62C1" w:rsidRPr="004B62C1" w:rsidRDefault="004B62C1" w:rsidP="004B62C1">
      <w:pPr>
        <w:pStyle w:val="Body"/>
        <w:ind w:left="567"/>
        <w:jc w:val="both"/>
        <w:rPr>
          <w:rFonts w:ascii="Tahoma" w:hAnsi="Tahoma" w:cs="Tahoma"/>
          <w:sz w:val="20"/>
          <w:szCs w:val="20"/>
        </w:rPr>
      </w:pPr>
    </w:p>
    <w:p w14:paraId="1233F19B" w14:textId="77777777" w:rsidR="004B62C1" w:rsidRPr="004B62C1" w:rsidRDefault="004B62C1" w:rsidP="004B62C1">
      <w:pPr>
        <w:pStyle w:val="Body"/>
        <w:ind w:left="567"/>
        <w:jc w:val="both"/>
        <w:rPr>
          <w:rFonts w:ascii="Tahoma" w:hAnsi="Tahoma" w:cs="Tahoma"/>
          <w:b/>
          <w:sz w:val="20"/>
          <w:szCs w:val="20"/>
        </w:rPr>
      </w:pPr>
      <w:r w:rsidRPr="004B62C1">
        <w:rPr>
          <w:rFonts w:ascii="Tahoma" w:hAnsi="Tahoma" w:cs="Tahoma"/>
          <w:b/>
          <w:sz w:val="20"/>
          <w:szCs w:val="20"/>
        </w:rPr>
        <w:t>Latvijas Būvniecības padomes priekšsēdētājs</w:t>
      </w:r>
      <w:r w:rsidRPr="004B62C1">
        <w:rPr>
          <w:rFonts w:ascii="Tahoma" w:hAnsi="Tahoma" w:cs="Tahoma"/>
          <w:b/>
          <w:sz w:val="20"/>
          <w:szCs w:val="20"/>
        </w:rPr>
        <w:tab/>
      </w:r>
      <w:r w:rsidRPr="004B62C1">
        <w:rPr>
          <w:rFonts w:ascii="Tahoma" w:hAnsi="Tahoma" w:cs="Tahoma"/>
          <w:b/>
          <w:sz w:val="20"/>
          <w:szCs w:val="20"/>
        </w:rPr>
        <w:tab/>
      </w:r>
      <w:r w:rsidRPr="004B62C1">
        <w:rPr>
          <w:rFonts w:ascii="Tahoma" w:hAnsi="Tahoma" w:cs="Tahoma"/>
          <w:b/>
          <w:sz w:val="20"/>
          <w:szCs w:val="20"/>
        </w:rPr>
        <w:tab/>
      </w:r>
      <w:r w:rsidRPr="004B62C1">
        <w:rPr>
          <w:rFonts w:ascii="Tahoma" w:hAnsi="Tahoma" w:cs="Tahoma"/>
          <w:b/>
          <w:sz w:val="20"/>
          <w:szCs w:val="20"/>
        </w:rPr>
        <w:tab/>
        <w:t>Gints Miķelsons</w:t>
      </w:r>
    </w:p>
    <w:p w14:paraId="49D07227" w14:textId="77777777" w:rsidR="004B62C1" w:rsidRPr="004B62C1" w:rsidRDefault="004B62C1" w:rsidP="00C15F20">
      <w:pPr>
        <w:jc w:val="both"/>
        <w:rPr>
          <w:rFonts w:ascii="Tahoma" w:hAnsi="Tahoma" w:cs="Tahoma"/>
          <w:sz w:val="20"/>
          <w:szCs w:val="20"/>
        </w:rPr>
      </w:pPr>
    </w:p>
    <w:sectPr w:rsidR="004B62C1" w:rsidRPr="004B62C1" w:rsidSect="001C485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A1297"/>
    <w:multiLevelType w:val="hybridMultilevel"/>
    <w:tmpl w:val="D5386626"/>
    <w:lvl w:ilvl="0" w:tplc="436C10BA">
      <w:start w:val="1"/>
      <w:numFmt w:val="decimal"/>
      <w:lvlText w:val="%1)"/>
      <w:lvlJc w:val="left"/>
      <w:pPr>
        <w:tabs>
          <w:tab w:val="num" w:pos="720"/>
        </w:tabs>
        <w:ind w:left="720" w:hanging="360"/>
      </w:pPr>
    </w:lvl>
    <w:lvl w:ilvl="1" w:tplc="0382E458" w:tentative="1">
      <w:start w:val="1"/>
      <w:numFmt w:val="decimal"/>
      <w:lvlText w:val="%2)"/>
      <w:lvlJc w:val="left"/>
      <w:pPr>
        <w:tabs>
          <w:tab w:val="num" w:pos="1440"/>
        </w:tabs>
        <w:ind w:left="1440" w:hanging="360"/>
      </w:pPr>
    </w:lvl>
    <w:lvl w:ilvl="2" w:tplc="92C8B16E" w:tentative="1">
      <w:start w:val="1"/>
      <w:numFmt w:val="decimal"/>
      <w:lvlText w:val="%3)"/>
      <w:lvlJc w:val="left"/>
      <w:pPr>
        <w:tabs>
          <w:tab w:val="num" w:pos="2160"/>
        </w:tabs>
        <w:ind w:left="2160" w:hanging="360"/>
      </w:pPr>
    </w:lvl>
    <w:lvl w:ilvl="3" w:tplc="3D4C21C6" w:tentative="1">
      <w:start w:val="1"/>
      <w:numFmt w:val="decimal"/>
      <w:lvlText w:val="%4)"/>
      <w:lvlJc w:val="left"/>
      <w:pPr>
        <w:tabs>
          <w:tab w:val="num" w:pos="2880"/>
        </w:tabs>
        <w:ind w:left="2880" w:hanging="360"/>
      </w:pPr>
    </w:lvl>
    <w:lvl w:ilvl="4" w:tplc="0AD0144E" w:tentative="1">
      <w:start w:val="1"/>
      <w:numFmt w:val="decimal"/>
      <w:lvlText w:val="%5)"/>
      <w:lvlJc w:val="left"/>
      <w:pPr>
        <w:tabs>
          <w:tab w:val="num" w:pos="3600"/>
        </w:tabs>
        <w:ind w:left="3600" w:hanging="360"/>
      </w:pPr>
    </w:lvl>
    <w:lvl w:ilvl="5" w:tplc="6E6225AE" w:tentative="1">
      <w:start w:val="1"/>
      <w:numFmt w:val="decimal"/>
      <w:lvlText w:val="%6)"/>
      <w:lvlJc w:val="left"/>
      <w:pPr>
        <w:tabs>
          <w:tab w:val="num" w:pos="4320"/>
        </w:tabs>
        <w:ind w:left="4320" w:hanging="360"/>
      </w:pPr>
    </w:lvl>
    <w:lvl w:ilvl="6" w:tplc="FAEE35B6" w:tentative="1">
      <w:start w:val="1"/>
      <w:numFmt w:val="decimal"/>
      <w:lvlText w:val="%7)"/>
      <w:lvlJc w:val="left"/>
      <w:pPr>
        <w:tabs>
          <w:tab w:val="num" w:pos="5040"/>
        </w:tabs>
        <w:ind w:left="5040" w:hanging="360"/>
      </w:pPr>
    </w:lvl>
    <w:lvl w:ilvl="7" w:tplc="E9BC5A1E" w:tentative="1">
      <w:start w:val="1"/>
      <w:numFmt w:val="decimal"/>
      <w:lvlText w:val="%8)"/>
      <w:lvlJc w:val="left"/>
      <w:pPr>
        <w:tabs>
          <w:tab w:val="num" w:pos="5760"/>
        </w:tabs>
        <w:ind w:left="5760" w:hanging="360"/>
      </w:pPr>
    </w:lvl>
    <w:lvl w:ilvl="8" w:tplc="C93EF40A" w:tentative="1">
      <w:start w:val="1"/>
      <w:numFmt w:val="decimal"/>
      <w:lvlText w:val="%9)"/>
      <w:lvlJc w:val="left"/>
      <w:pPr>
        <w:tabs>
          <w:tab w:val="num" w:pos="6480"/>
        </w:tabs>
        <w:ind w:left="6480" w:hanging="360"/>
      </w:pPr>
    </w:lvl>
  </w:abstractNum>
  <w:abstractNum w:abstractNumId="1" w15:restartNumberingAfterBreak="0">
    <w:nsid w:val="10AB1977"/>
    <w:multiLevelType w:val="hybridMultilevel"/>
    <w:tmpl w:val="06843010"/>
    <w:lvl w:ilvl="0" w:tplc="1ACA13D8">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F">
      <w:start w:val="1"/>
      <w:numFmt w:val="decimal"/>
      <w:lvlText w:val="%4."/>
      <w:lvlJc w:val="left"/>
      <w:pPr>
        <w:ind w:left="2880" w:hanging="360"/>
      </w:pPr>
      <w:rPr>
        <w:rFonts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2766D3"/>
    <w:multiLevelType w:val="hybridMultilevel"/>
    <w:tmpl w:val="1450A7EE"/>
    <w:lvl w:ilvl="0" w:tplc="0426000F">
      <w:start w:val="1"/>
      <w:numFmt w:val="decimal"/>
      <w:lvlText w:val="%1."/>
      <w:lvlJc w:val="left"/>
      <w:pPr>
        <w:ind w:left="720" w:hanging="360"/>
      </w:pPr>
    </w:lvl>
    <w:lvl w:ilvl="1" w:tplc="EFB211A2">
      <w:start w:val="1"/>
      <w:numFmt w:val="decimal"/>
      <w:lvlText w:val="%2)"/>
      <w:lvlJc w:val="left"/>
      <w:pPr>
        <w:ind w:left="1440" w:hanging="360"/>
      </w:pPr>
      <w:rPr>
        <w:b/>
        <w:bCs/>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1F5352D"/>
    <w:multiLevelType w:val="hybridMultilevel"/>
    <w:tmpl w:val="6B7C0058"/>
    <w:lvl w:ilvl="0" w:tplc="47167D58">
      <w:start w:val="6"/>
      <w:numFmt w:val="bullet"/>
      <w:lvlText w:val="-"/>
      <w:lvlJc w:val="left"/>
      <w:pPr>
        <w:ind w:left="720" w:hanging="360"/>
      </w:pPr>
      <w:rPr>
        <w:rFonts w:ascii="Calibri" w:eastAsia="Times New Roman"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708614A"/>
    <w:multiLevelType w:val="hybridMultilevel"/>
    <w:tmpl w:val="FCE21406"/>
    <w:lvl w:ilvl="0" w:tplc="D20007BC">
      <w:numFmt w:val="bullet"/>
      <w:lvlText w:val="-"/>
      <w:lvlJc w:val="left"/>
      <w:pPr>
        <w:ind w:left="720" w:hanging="360"/>
      </w:pPr>
      <w:rPr>
        <w:rFonts w:ascii="Calibri" w:eastAsiaTheme="minorHAnsi" w:hAnsi="Calibri"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46F3146D"/>
    <w:multiLevelType w:val="hybridMultilevel"/>
    <w:tmpl w:val="B6B25818"/>
    <w:lvl w:ilvl="0" w:tplc="04260011">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4CAE7AE5"/>
    <w:multiLevelType w:val="hybridMultilevel"/>
    <w:tmpl w:val="572212DE"/>
    <w:lvl w:ilvl="0" w:tplc="C52477E0">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46F63E3"/>
    <w:multiLevelType w:val="hybridMultilevel"/>
    <w:tmpl w:val="A024FAD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0BD0C2E"/>
    <w:multiLevelType w:val="hybridMultilevel"/>
    <w:tmpl w:val="D9D41AD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0DB7696"/>
    <w:multiLevelType w:val="hybridMultilevel"/>
    <w:tmpl w:val="EB7460AA"/>
    <w:lvl w:ilvl="0" w:tplc="3CC82AE4">
      <w:start w:val="1"/>
      <w:numFmt w:val="decimal"/>
      <w:lvlText w:val="%1)"/>
      <w:lvlJc w:val="left"/>
      <w:pPr>
        <w:ind w:left="72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EFD32AE"/>
    <w:multiLevelType w:val="hybridMultilevel"/>
    <w:tmpl w:val="CFD85286"/>
    <w:lvl w:ilvl="0" w:tplc="5F549CF4">
      <w:start w:val="1"/>
      <w:numFmt w:val="decimal"/>
      <w:lvlText w:val="%1)"/>
      <w:lvlJc w:val="left"/>
      <w:pPr>
        <w:tabs>
          <w:tab w:val="num" w:pos="720"/>
        </w:tabs>
        <w:ind w:left="720" w:hanging="360"/>
      </w:pPr>
    </w:lvl>
    <w:lvl w:ilvl="1" w:tplc="CCF0AF68" w:tentative="1">
      <w:start w:val="1"/>
      <w:numFmt w:val="decimal"/>
      <w:lvlText w:val="%2)"/>
      <w:lvlJc w:val="left"/>
      <w:pPr>
        <w:tabs>
          <w:tab w:val="num" w:pos="1440"/>
        </w:tabs>
        <w:ind w:left="1440" w:hanging="360"/>
      </w:pPr>
    </w:lvl>
    <w:lvl w:ilvl="2" w:tplc="BAEA33D8" w:tentative="1">
      <w:start w:val="1"/>
      <w:numFmt w:val="decimal"/>
      <w:lvlText w:val="%3)"/>
      <w:lvlJc w:val="left"/>
      <w:pPr>
        <w:tabs>
          <w:tab w:val="num" w:pos="2160"/>
        </w:tabs>
        <w:ind w:left="2160" w:hanging="360"/>
      </w:pPr>
    </w:lvl>
    <w:lvl w:ilvl="3" w:tplc="495CBDEA" w:tentative="1">
      <w:start w:val="1"/>
      <w:numFmt w:val="decimal"/>
      <w:lvlText w:val="%4)"/>
      <w:lvlJc w:val="left"/>
      <w:pPr>
        <w:tabs>
          <w:tab w:val="num" w:pos="2880"/>
        </w:tabs>
        <w:ind w:left="2880" w:hanging="360"/>
      </w:pPr>
    </w:lvl>
    <w:lvl w:ilvl="4" w:tplc="51048150" w:tentative="1">
      <w:start w:val="1"/>
      <w:numFmt w:val="decimal"/>
      <w:lvlText w:val="%5)"/>
      <w:lvlJc w:val="left"/>
      <w:pPr>
        <w:tabs>
          <w:tab w:val="num" w:pos="3600"/>
        </w:tabs>
        <w:ind w:left="3600" w:hanging="360"/>
      </w:pPr>
    </w:lvl>
    <w:lvl w:ilvl="5" w:tplc="3BE89132" w:tentative="1">
      <w:start w:val="1"/>
      <w:numFmt w:val="decimal"/>
      <w:lvlText w:val="%6)"/>
      <w:lvlJc w:val="left"/>
      <w:pPr>
        <w:tabs>
          <w:tab w:val="num" w:pos="4320"/>
        </w:tabs>
        <w:ind w:left="4320" w:hanging="360"/>
      </w:pPr>
    </w:lvl>
    <w:lvl w:ilvl="6" w:tplc="CA5017C8" w:tentative="1">
      <w:start w:val="1"/>
      <w:numFmt w:val="decimal"/>
      <w:lvlText w:val="%7)"/>
      <w:lvlJc w:val="left"/>
      <w:pPr>
        <w:tabs>
          <w:tab w:val="num" w:pos="5040"/>
        </w:tabs>
        <w:ind w:left="5040" w:hanging="360"/>
      </w:pPr>
    </w:lvl>
    <w:lvl w:ilvl="7" w:tplc="9872E2C4" w:tentative="1">
      <w:start w:val="1"/>
      <w:numFmt w:val="decimal"/>
      <w:lvlText w:val="%8)"/>
      <w:lvlJc w:val="left"/>
      <w:pPr>
        <w:tabs>
          <w:tab w:val="num" w:pos="5760"/>
        </w:tabs>
        <w:ind w:left="5760" w:hanging="360"/>
      </w:pPr>
    </w:lvl>
    <w:lvl w:ilvl="8" w:tplc="29F65034" w:tentative="1">
      <w:start w:val="1"/>
      <w:numFmt w:val="decimal"/>
      <w:lvlText w:val="%9)"/>
      <w:lvlJc w:val="left"/>
      <w:pPr>
        <w:tabs>
          <w:tab w:val="num" w:pos="6480"/>
        </w:tabs>
        <w:ind w:left="6480" w:hanging="360"/>
      </w:pPr>
    </w:lvl>
  </w:abstractNum>
  <w:abstractNum w:abstractNumId="11" w15:restartNumberingAfterBreak="0">
    <w:nsid w:val="70F0789E"/>
    <w:multiLevelType w:val="hybridMultilevel"/>
    <w:tmpl w:val="F346822C"/>
    <w:lvl w:ilvl="0" w:tplc="726298B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5186875"/>
    <w:multiLevelType w:val="hybridMultilevel"/>
    <w:tmpl w:val="582893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CEE1454"/>
    <w:multiLevelType w:val="hybridMultilevel"/>
    <w:tmpl w:val="344A8092"/>
    <w:lvl w:ilvl="0" w:tplc="0E02A75E">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EA30000"/>
    <w:multiLevelType w:val="hybridMultilevel"/>
    <w:tmpl w:val="772AF4B0"/>
    <w:lvl w:ilvl="0" w:tplc="FE105B8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
  </w:num>
  <w:num w:numId="4">
    <w:abstractNumId w:val="1"/>
  </w:num>
  <w:num w:numId="5">
    <w:abstractNumId w:val="6"/>
  </w:num>
  <w:num w:numId="6">
    <w:abstractNumId w:val="0"/>
  </w:num>
  <w:num w:numId="7">
    <w:abstractNumId w:val="10"/>
  </w:num>
  <w:num w:numId="8">
    <w:abstractNumId w:val="12"/>
  </w:num>
  <w:num w:numId="9">
    <w:abstractNumId w:val="4"/>
  </w:num>
  <w:num w:numId="10">
    <w:abstractNumId w:val="4"/>
  </w:num>
  <w:num w:numId="11">
    <w:abstractNumId w:val="5"/>
  </w:num>
  <w:num w:numId="12">
    <w:abstractNumId w:val="13"/>
  </w:num>
  <w:num w:numId="13">
    <w:abstractNumId w:val="11"/>
  </w:num>
  <w:num w:numId="14">
    <w:abstractNumId w:val="14"/>
  </w:num>
  <w:num w:numId="15">
    <w:abstractNumId w:val="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293"/>
    <w:rsid w:val="000024C1"/>
    <w:rsid w:val="000040F6"/>
    <w:rsid w:val="00033FA8"/>
    <w:rsid w:val="00036DD7"/>
    <w:rsid w:val="000529C1"/>
    <w:rsid w:val="00057A66"/>
    <w:rsid w:val="000661FF"/>
    <w:rsid w:val="00066F31"/>
    <w:rsid w:val="000778C0"/>
    <w:rsid w:val="000A267A"/>
    <w:rsid w:val="000A7232"/>
    <w:rsid w:val="000B421F"/>
    <w:rsid w:val="000F3070"/>
    <w:rsid w:val="000F3CFD"/>
    <w:rsid w:val="001243DA"/>
    <w:rsid w:val="00144A6E"/>
    <w:rsid w:val="00155A50"/>
    <w:rsid w:val="00176A8F"/>
    <w:rsid w:val="001873E2"/>
    <w:rsid w:val="001976E2"/>
    <w:rsid w:val="001B5293"/>
    <w:rsid w:val="001C485E"/>
    <w:rsid w:val="00205F8D"/>
    <w:rsid w:val="00257129"/>
    <w:rsid w:val="00275581"/>
    <w:rsid w:val="002779CE"/>
    <w:rsid w:val="0028221E"/>
    <w:rsid w:val="0029122F"/>
    <w:rsid w:val="002A3F70"/>
    <w:rsid w:val="002B0AC6"/>
    <w:rsid w:val="002C0CE8"/>
    <w:rsid w:val="002D641A"/>
    <w:rsid w:val="002F08B9"/>
    <w:rsid w:val="00305A79"/>
    <w:rsid w:val="00305E1E"/>
    <w:rsid w:val="003565F8"/>
    <w:rsid w:val="003652E8"/>
    <w:rsid w:val="003665F9"/>
    <w:rsid w:val="00382D64"/>
    <w:rsid w:val="00386EC7"/>
    <w:rsid w:val="003937AC"/>
    <w:rsid w:val="00395FA7"/>
    <w:rsid w:val="003A3882"/>
    <w:rsid w:val="003D6107"/>
    <w:rsid w:val="0040217C"/>
    <w:rsid w:val="004030F2"/>
    <w:rsid w:val="00422D40"/>
    <w:rsid w:val="004506CE"/>
    <w:rsid w:val="00451BCC"/>
    <w:rsid w:val="004624B1"/>
    <w:rsid w:val="00471963"/>
    <w:rsid w:val="00474430"/>
    <w:rsid w:val="0048230A"/>
    <w:rsid w:val="004B16F1"/>
    <w:rsid w:val="004B62C1"/>
    <w:rsid w:val="004F5AFB"/>
    <w:rsid w:val="005038A7"/>
    <w:rsid w:val="00544570"/>
    <w:rsid w:val="005903FA"/>
    <w:rsid w:val="005A75E2"/>
    <w:rsid w:val="005B000E"/>
    <w:rsid w:val="006053F3"/>
    <w:rsid w:val="00613948"/>
    <w:rsid w:val="00616CF7"/>
    <w:rsid w:val="00622416"/>
    <w:rsid w:val="006307D0"/>
    <w:rsid w:val="00671A0E"/>
    <w:rsid w:val="0068048A"/>
    <w:rsid w:val="006A7474"/>
    <w:rsid w:val="006A79E3"/>
    <w:rsid w:val="006B43A7"/>
    <w:rsid w:val="006D10B4"/>
    <w:rsid w:val="006D41DF"/>
    <w:rsid w:val="006E713D"/>
    <w:rsid w:val="006E770F"/>
    <w:rsid w:val="006F73C4"/>
    <w:rsid w:val="0070379A"/>
    <w:rsid w:val="007056E4"/>
    <w:rsid w:val="00705D8E"/>
    <w:rsid w:val="007072C4"/>
    <w:rsid w:val="007108CF"/>
    <w:rsid w:val="007121E3"/>
    <w:rsid w:val="00716083"/>
    <w:rsid w:val="00717F8C"/>
    <w:rsid w:val="00730C08"/>
    <w:rsid w:val="00742387"/>
    <w:rsid w:val="007528CB"/>
    <w:rsid w:val="007668C1"/>
    <w:rsid w:val="007805EC"/>
    <w:rsid w:val="00797108"/>
    <w:rsid w:val="007E6D9B"/>
    <w:rsid w:val="00827C55"/>
    <w:rsid w:val="00861D65"/>
    <w:rsid w:val="00882299"/>
    <w:rsid w:val="0088340F"/>
    <w:rsid w:val="00892FAE"/>
    <w:rsid w:val="008A5780"/>
    <w:rsid w:val="008C29D0"/>
    <w:rsid w:val="008D0A4A"/>
    <w:rsid w:val="008E21FB"/>
    <w:rsid w:val="008F12C1"/>
    <w:rsid w:val="00901100"/>
    <w:rsid w:val="009110E3"/>
    <w:rsid w:val="0091768A"/>
    <w:rsid w:val="00930B0A"/>
    <w:rsid w:val="00971E5C"/>
    <w:rsid w:val="0097726B"/>
    <w:rsid w:val="009818AE"/>
    <w:rsid w:val="00981923"/>
    <w:rsid w:val="009A041C"/>
    <w:rsid w:val="009A7F37"/>
    <w:rsid w:val="009B78F5"/>
    <w:rsid w:val="009D129A"/>
    <w:rsid w:val="00A172F6"/>
    <w:rsid w:val="00A24762"/>
    <w:rsid w:val="00A26E13"/>
    <w:rsid w:val="00A27D99"/>
    <w:rsid w:val="00A357F0"/>
    <w:rsid w:val="00A5753D"/>
    <w:rsid w:val="00A64BC4"/>
    <w:rsid w:val="00A75522"/>
    <w:rsid w:val="00A75B53"/>
    <w:rsid w:val="00A94002"/>
    <w:rsid w:val="00AA0E5F"/>
    <w:rsid w:val="00AB76DA"/>
    <w:rsid w:val="00AE4EA8"/>
    <w:rsid w:val="00AF28EF"/>
    <w:rsid w:val="00B23B27"/>
    <w:rsid w:val="00B37E32"/>
    <w:rsid w:val="00B667A4"/>
    <w:rsid w:val="00B9233E"/>
    <w:rsid w:val="00BB2E03"/>
    <w:rsid w:val="00BB5A7E"/>
    <w:rsid w:val="00BC7335"/>
    <w:rsid w:val="00BF26BD"/>
    <w:rsid w:val="00C15F20"/>
    <w:rsid w:val="00C35E43"/>
    <w:rsid w:val="00C468BC"/>
    <w:rsid w:val="00C61776"/>
    <w:rsid w:val="00C80026"/>
    <w:rsid w:val="00CC1587"/>
    <w:rsid w:val="00CC62DB"/>
    <w:rsid w:val="00CE2003"/>
    <w:rsid w:val="00CE5FD6"/>
    <w:rsid w:val="00D020F9"/>
    <w:rsid w:val="00D07D91"/>
    <w:rsid w:val="00D12A90"/>
    <w:rsid w:val="00D426AB"/>
    <w:rsid w:val="00D65C61"/>
    <w:rsid w:val="00D72668"/>
    <w:rsid w:val="00D86E82"/>
    <w:rsid w:val="00DA1211"/>
    <w:rsid w:val="00DF6D7A"/>
    <w:rsid w:val="00E05277"/>
    <w:rsid w:val="00E61CB3"/>
    <w:rsid w:val="00E75AEC"/>
    <w:rsid w:val="00E87AF8"/>
    <w:rsid w:val="00E9152D"/>
    <w:rsid w:val="00E9267E"/>
    <w:rsid w:val="00F057A5"/>
    <w:rsid w:val="00F12F0C"/>
    <w:rsid w:val="00F247C3"/>
    <w:rsid w:val="00F45B8B"/>
    <w:rsid w:val="00F46F8A"/>
    <w:rsid w:val="00F5477B"/>
    <w:rsid w:val="00F64A9E"/>
    <w:rsid w:val="00F86E5D"/>
    <w:rsid w:val="00F9402A"/>
    <w:rsid w:val="00F946FD"/>
    <w:rsid w:val="00FA0E7E"/>
    <w:rsid w:val="00FB20F7"/>
    <w:rsid w:val="00FB6847"/>
    <w:rsid w:val="00FC70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D6615"/>
  <w15:chartTrackingRefBased/>
  <w15:docId w15:val="{E14538F0-C0E4-4B75-AA98-3049DC880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8B9"/>
    <w:pPr>
      <w:ind w:left="720"/>
      <w:contextualSpacing/>
    </w:pPr>
  </w:style>
  <w:style w:type="character" w:styleId="Hyperlink">
    <w:name w:val="Hyperlink"/>
    <w:basedOn w:val="DefaultParagraphFont"/>
    <w:uiPriority w:val="99"/>
    <w:semiHidden/>
    <w:unhideWhenUsed/>
    <w:rsid w:val="00382D64"/>
    <w:rPr>
      <w:color w:val="0000FF"/>
      <w:u w:val="single"/>
    </w:rPr>
  </w:style>
  <w:style w:type="character" w:styleId="FootnoteReference">
    <w:name w:val="footnote reference"/>
    <w:basedOn w:val="DefaultParagraphFont"/>
    <w:uiPriority w:val="99"/>
    <w:semiHidden/>
    <w:unhideWhenUsed/>
    <w:rsid w:val="00451BCC"/>
    <w:rPr>
      <w:vertAlign w:val="superscript"/>
    </w:rPr>
  </w:style>
  <w:style w:type="character" w:styleId="Emphasis">
    <w:name w:val="Emphasis"/>
    <w:basedOn w:val="DefaultParagraphFont"/>
    <w:uiPriority w:val="20"/>
    <w:qFormat/>
    <w:rsid w:val="00057A66"/>
    <w:rPr>
      <w:i/>
      <w:iCs/>
    </w:rPr>
  </w:style>
  <w:style w:type="character" w:styleId="CommentReference">
    <w:name w:val="annotation reference"/>
    <w:basedOn w:val="DefaultParagraphFont"/>
    <w:uiPriority w:val="99"/>
    <w:semiHidden/>
    <w:unhideWhenUsed/>
    <w:rsid w:val="00616CF7"/>
    <w:rPr>
      <w:sz w:val="16"/>
      <w:szCs w:val="16"/>
    </w:rPr>
  </w:style>
  <w:style w:type="paragraph" w:styleId="CommentText">
    <w:name w:val="annotation text"/>
    <w:basedOn w:val="Normal"/>
    <w:link w:val="CommentTextChar"/>
    <w:uiPriority w:val="99"/>
    <w:semiHidden/>
    <w:unhideWhenUsed/>
    <w:rsid w:val="00616CF7"/>
    <w:pPr>
      <w:spacing w:line="240" w:lineRule="auto"/>
    </w:pPr>
    <w:rPr>
      <w:sz w:val="20"/>
      <w:szCs w:val="20"/>
    </w:rPr>
  </w:style>
  <w:style w:type="character" w:customStyle="1" w:styleId="CommentTextChar">
    <w:name w:val="Comment Text Char"/>
    <w:basedOn w:val="DefaultParagraphFont"/>
    <w:link w:val="CommentText"/>
    <w:uiPriority w:val="99"/>
    <w:semiHidden/>
    <w:rsid w:val="00616CF7"/>
    <w:rPr>
      <w:sz w:val="20"/>
      <w:szCs w:val="20"/>
    </w:rPr>
  </w:style>
  <w:style w:type="paragraph" w:styleId="BalloonText">
    <w:name w:val="Balloon Text"/>
    <w:basedOn w:val="Normal"/>
    <w:link w:val="BalloonTextChar"/>
    <w:uiPriority w:val="99"/>
    <w:semiHidden/>
    <w:unhideWhenUsed/>
    <w:rsid w:val="00616C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CF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16CF7"/>
    <w:rPr>
      <w:b/>
      <w:bCs/>
    </w:rPr>
  </w:style>
  <w:style w:type="character" w:customStyle="1" w:styleId="CommentSubjectChar">
    <w:name w:val="Comment Subject Char"/>
    <w:basedOn w:val="CommentTextChar"/>
    <w:link w:val="CommentSubject"/>
    <w:uiPriority w:val="99"/>
    <w:semiHidden/>
    <w:rsid w:val="00616CF7"/>
    <w:rPr>
      <w:b/>
      <w:bCs/>
      <w:sz w:val="20"/>
      <w:szCs w:val="20"/>
    </w:rPr>
  </w:style>
  <w:style w:type="paragraph" w:customStyle="1" w:styleId="Body">
    <w:name w:val="Body"/>
    <w:rsid w:val="004B62C1"/>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eastAsia="lv-LV"/>
      <w14:textOutline w14:w="0" w14:cap="flat" w14:cmpd="sng" w14:algn="ctr">
        <w14:noFill/>
        <w14:prstDash w14:val="solid"/>
        <w14:bevel/>
      </w14:textOutline>
    </w:rPr>
  </w:style>
  <w:style w:type="paragraph" w:styleId="NormalWeb">
    <w:name w:val="Normal (Web)"/>
    <w:basedOn w:val="Normal"/>
    <w:uiPriority w:val="99"/>
    <w:unhideWhenUsed/>
    <w:rsid w:val="004B62C1"/>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626806">
      <w:bodyDiv w:val="1"/>
      <w:marLeft w:val="0"/>
      <w:marRight w:val="0"/>
      <w:marTop w:val="0"/>
      <w:marBottom w:val="0"/>
      <w:divBdr>
        <w:top w:val="none" w:sz="0" w:space="0" w:color="auto"/>
        <w:left w:val="none" w:sz="0" w:space="0" w:color="auto"/>
        <w:bottom w:val="none" w:sz="0" w:space="0" w:color="auto"/>
        <w:right w:val="none" w:sz="0" w:space="0" w:color="auto"/>
      </w:divBdr>
      <w:divsChild>
        <w:div w:id="853809403">
          <w:marLeft w:val="806"/>
          <w:marRight w:val="0"/>
          <w:marTop w:val="200"/>
          <w:marBottom w:val="0"/>
          <w:divBdr>
            <w:top w:val="none" w:sz="0" w:space="0" w:color="auto"/>
            <w:left w:val="none" w:sz="0" w:space="0" w:color="auto"/>
            <w:bottom w:val="none" w:sz="0" w:space="0" w:color="auto"/>
            <w:right w:val="none" w:sz="0" w:space="0" w:color="auto"/>
          </w:divBdr>
        </w:div>
        <w:div w:id="230622731">
          <w:marLeft w:val="806"/>
          <w:marRight w:val="0"/>
          <w:marTop w:val="200"/>
          <w:marBottom w:val="0"/>
          <w:divBdr>
            <w:top w:val="none" w:sz="0" w:space="0" w:color="auto"/>
            <w:left w:val="none" w:sz="0" w:space="0" w:color="auto"/>
            <w:bottom w:val="none" w:sz="0" w:space="0" w:color="auto"/>
            <w:right w:val="none" w:sz="0" w:space="0" w:color="auto"/>
          </w:divBdr>
        </w:div>
        <w:div w:id="2081097832">
          <w:marLeft w:val="806"/>
          <w:marRight w:val="0"/>
          <w:marTop w:val="200"/>
          <w:marBottom w:val="0"/>
          <w:divBdr>
            <w:top w:val="none" w:sz="0" w:space="0" w:color="auto"/>
            <w:left w:val="none" w:sz="0" w:space="0" w:color="auto"/>
            <w:bottom w:val="none" w:sz="0" w:space="0" w:color="auto"/>
            <w:right w:val="none" w:sz="0" w:space="0" w:color="auto"/>
          </w:divBdr>
        </w:div>
      </w:divsChild>
    </w:div>
    <w:div w:id="931201389">
      <w:bodyDiv w:val="1"/>
      <w:marLeft w:val="0"/>
      <w:marRight w:val="0"/>
      <w:marTop w:val="0"/>
      <w:marBottom w:val="0"/>
      <w:divBdr>
        <w:top w:val="none" w:sz="0" w:space="0" w:color="auto"/>
        <w:left w:val="none" w:sz="0" w:space="0" w:color="auto"/>
        <w:bottom w:val="none" w:sz="0" w:space="0" w:color="auto"/>
        <w:right w:val="none" w:sz="0" w:space="0" w:color="auto"/>
      </w:divBdr>
      <w:divsChild>
        <w:div w:id="735014850">
          <w:marLeft w:val="806"/>
          <w:marRight w:val="0"/>
          <w:marTop w:val="200"/>
          <w:marBottom w:val="0"/>
          <w:divBdr>
            <w:top w:val="none" w:sz="0" w:space="0" w:color="auto"/>
            <w:left w:val="none" w:sz="0" w:space="0" w:color="auto"/>
            <w:bottom w:val="none" w:sz="0" w:space="0" w:color="auto"/>
            <w:right w:val="none" w:sz="0" w:space="0" w:color="auto"/>
          </w:divBdr>
        </w:div>
        <w:div w:id="1016230072">
          <w:marLeft w:val="806"/>
          <w:marRight w:val="0"/>
          <w:marTop w:val="200"/>
          <w:marBottom w:val="0"/>
          <w:divBdr>
            <w:top w:val="none" w:sz="0" w:space="0" w:color="auto"/>
            <w:left w:val="none" w:sz="0" w:space="0" w:color="auto"/>
            <w:bottom w:val="none" w:sz="0" w:space="0" w:color="auto"/>
            <w:right w:val="none" w:sz="0" w:space="0" w:color="auto"/>
          </w:divBdr>
        </w:div>
        <w:div w:id="1687175594">
          <w:marLeft w:val="806"/>
          <w:marRight w:val="0"/>
          <w:marTop w:val="200"/>
          <w:marBottom w:val="0"/>
          <w:divBdr>
            <w:top w:val="none" w:sz="0" w:space="0" w:color="auto"/>
            <w:left w:val="none" w:sz="0" w:space="0" w:color="auto"/>
            <w:bottom w:val="none" w:sz="0" w:space="0" w:color="auto"/>
            <w:right w:val="none" w:sz="0" w:space="0" w:color="auto"/>
          </w:divBdr>
        </w:div>
        <w:div w:id="1416586747">
          <w:marLeft w:val="806"/>
          <w:marRight w:val="0"/>
          <w:marTop w:val="200"/>
          <w:marBottom w:val="0"/>
          <w:divBdr>
            <w:top w:val="none" w:sz="0" w:space="0" w:color="auto"/>
            <w:left w:val="none" w:sz="0" w:space="0" w:color="auto"/>
            <w:bottom w:val="none" w:sz="0" w:space="0" w:color="auto"/>
            <w:right w:val="none" w:sz="0" w:space="0" w:color="auto"/>
          </w:divBdr>
        </w:div>
        <w:div w:id="666789880">
          <w:marLeft w:val="806"/>
          <w:marRight w:val="0"/>
          <w:marTop w:val="200"/>
          <w:marBottom w:val="0"/>
          <w:divBdr>
            <w:top w:val="none" w:sz="0" w:space="0" w:color="auto"/>
            <w:left w:val="none" w:sz="0" w:space="0" w:color="auto"/>
            <w:bottom w:val="none" w:sz="0" w:space="0" w:color="auto"/>
            <w:right w:val="none" w:sz="0" w:space="0" w:color="auto"/>
          </w:divBdr>
        </w:div>
      </w:divsChild>
    </w:div>
    <w:div w:id="1055352046">
      <w:bodyDiv w:val="1"/>
      <w:marLeft w:val="0"/>
      <w:marRight w:val="0"/>
      <w:marTop w:val="0"/>
      <w:marBottom w:val="0"/>
      <w:divBdr>
        <w:top w:val="none" w:sz="0" w:space="0" w:color="auto"/>
        <w:left w:val="none" w:sz="0" w:space="0" w:color="auto"/>
        <w:bottom w:val="none" w:sz="0" w:space="0" w:color="auto"/>
        <w:right w:val="none" w:sz="0" w:space="0" w:color="auto"/>
      </w:divBdr>
    </w:div>
    <w:div w:id="1809124484">
      <w:bodyDiv w:val="1"/>
      <w:marLeft w:val="0"/>
      <w:marRight w:val="0"/>
      <w:marTop w:val="0"/>
      <w:marBottom w:val="0"/>
      <w:divBdr>
        <w:top w:val="none" w:sz="0" w:space="0" w:color="auto"/>
        <w:left w:val="none" w:sz="0" w:space="0" w:color="auto"/>
        <w:bottom w:val="none" w:sz="0" w:space="0" w:color="auto"/>
        <w:right w:val="none" w:sz="0" w:space="0" w:color="auto"/>
      </w:divBdr>
    </w:div>
    <w:div w:id="1818494518">
      <w:bodyDiv w:val="1"/>
      <w:marLeft w:val="0"/>
      <w:marRight w:val="0"/>
      <w:marTop w:val="0"/>
      <w:marBottom w:val="0"/>
      <w:divBdr>
        <w:top w:val="none" w:sz="0" w:space="0" w:color="auto"/>
        <w:left w:val="none" w:sz="0" w:space="0" w:color="auto"/>
        <w:bottom w:val="none" w:sz="0" w:space="0" w:color="auto"/>
        <w:right w:val="none" w:sz="0" w:space="0" w:color="auto"/>
      </w:divBdr>
    </w:div>
    <w:div w:id="214731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D6DBDC6B1CCC42B41E74AA352C4FFD" ma:contentTypeVersion="12" ma:contentTypeDescription="Create a new document." ma:contentTypeScope="" ma:versionID="e576878481c998ecee8d4ac09294641f">
  <xsd:schema xmlns:xsd="http://www.w3.org/2001/XMLSchema" xmlns:xs="http://www.w3.org/2001/XMLSchema" xmlns:p="http://schemas.microsoft.com/office/2006/metadata/properties" xmlns:ns2="b3057933-4081-480e-9a83-5555dccee947" xmlns:ns3="06833f44-7947-476f-a6fe-035a1cdcb744" targetNamespace="http://schemas.microsoft.com/office/2006/metadata/properties" ma:root="true" ma:fieldsID="d37edf317618e85d61d2b3041f2f4639" ns2:_="" ns3:_="">
    <xsd:import namespace="b3057933-4081-480e-9a83-5555dccee947"/>
    <xsd:import namespace="06833f44-7947-476f-a6fe-035a1cdcb7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57933-4081-480e-9a83-5555dccee94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833f44-7947-476f-a6fe-035a1cdcb744"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2314EB-72AD-40F3-9960-6430CA2141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75D9AA-578C-49D3-995A-9542C9935D2E}">
  <ds:schemaRefs>
    <ds:schemaRef ds:uri="http://schemas.microsoft.com/sharepoint/v3/contenttype/forms"/>
  </ds:schemaRefs>
</ds:datastoreItem>
</file>

<file path=customXml/itemProps3.xml><?xml version="1.0" encoding="utf-8"?>
<ds:datastoreItem xmlns:ds="http://schemas.openxmlformats.org/officeDocument/2006/customXml" ds:itemID="{F5266010-C50F-4F1A-8C20-876627925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57933-4081-480e-9a83-5555dccee947"/>
    <ds:schemaRef ds:uri="06833f44-7947-476f-a6fe-035a1cdcb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5933</Words>
  <Characters>3383</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Upena</dc:creator>
  <cp:keywords/>
  <dc:description/>
  <cp:lastModifiedBy>Gints Mikelsons</cp:lastModifiedBy>
  <cp:revision>4</cp:revision>
  <cp:lastPrinted>2020-03-10T08:15:00Z</cp:lastPrinted>
  <dcterms:created xsi:type="dcterms:W3CDTF">2020-04-26T13:23:00Z</dcterms:created>
  <dcterms:modified xsi:type="dcterms:W3CDTF">2020-04-26T13:30:00Z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0x010100D6D6DBDC6B1CCC42B41E74AA352C4FFD</vt:lpwstr>
  </property>
</Properties>
</file>