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75B" w:rsidRDefault="0046275B" w:rsidP="0046275B">
      <w:bookmarkStart w:id="0" w:name="_GoBack"/>
      <w:bookmarkEnd w:id="0"/>
      <w:r>
        <w:rPr>
          <w:noProof/>
          <w:lang w:eastAsia="lv-LV" w:bidi="ar-SA"/>
        </w:rPr>
        <w:drawing>
          <wp:inline distT="0" distB="0" distL="0" distR="0">
            <wp:extent cx="5172075" cy="56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75B" w:rsidRDefault="0046275B" w:rsidP="0046275B">
      <w:pPr>
        <w:pStyle w:val="Standard"/>
        <w:spacing w:after="0" w:line="240" w:lineRule="auto"/>
        <w:jc w:val="center"/>
      </w:pPr>
      <w:r>
        <w:rPr>
          <w:sz w:val="20"/>
          <w:szCs w:val="20"/>
        </w:rPr>
        <w:t>Stirnu iela 34, Rīga, LV-1084, tālr. 67596849, mob.26636264,e-pasts: info@lsgutis.lv</w:t>
      </w:r>
    </w:p>
    <w:p w:rsidR="0046275B" w:rsidRDefault="0046275B" w:rsidP="0046275B">
      <w:pPr>
        <w:pStyle w:val="Standard"/>
        <w:spacing w:after="0" w:line="240" w:lineRule="auto"/>
        <w:jc w:val="center"/>
      </w:pPr>
      <w:r>
        <w:rPr>
          <w:sz w:val="20"/>
          <w:szCs w:val="20"/>
        </w:rPr>
        <w:t>Vienotais reģistrācijas Nr. 40008003039, AS SEB Latvijas Unibanka</w:t>
      </w:r>
    </w:p>
    <w:p w:rsidR="0046275B" w:rsidRDefault="0046275B" w:rsidP="0046275B">
      <w:pPr>
        <w:pStyle w:val="Standard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Konta Nr. LV18UNLA 0001 0007 0078 7, kods UNLALV2X</w:t>
      </w:r>
    </w:p>
    <w:p w:rsidR="00C271D0" w:rsidRDefault="00C271D0"/>
    <w:p w:rsidR="00C8023E" w:rsidRDefault="004D018B" w:rsidP="004D018B">
      <w:r>
        <w:t xml:space="preserve">04.04. 2019.                                                                              </w:t>
      </w:r>
      <w:r w:rsidR="00867CE8" w:rsidRPr="00E55741">
        <w:rPr>
          <w:b/>
        </w:rPr>
        <w:t>Ekonomikas ministrijai</w:t>
      </w:r>
    </w:p>
    <w:p w:rsidR="004D018B" w:rsidRDefault="004D018B" w:rsidP="00867CE8">
      <w:pPr>
        <w:jc w:val="right"/>
      </w:pPr>
    </w:p>
    <w:p w:rsidR="00867CE8" w:rsidRDefault="004D018B" w:rsidP="004D018B">
      <w:r>
        <w:t xml:space="preserve">Nr. 1-5/ 220/2019                                                                     </w:t>
      </w:r>
      <w:r w:rsidR="00E55741">
        <w:t xml:space="preserve"> </w:t>
      </w:r>
      <w:r w:rsidR="00867CE8" w:rsidRPr="00E55741">
        <w:rPr>
          <w:b/>
        </w:rPr>
        <w:t>Būvniecības Padomei</w:t>
      </w:r>
      <w:r w:rsidR="00867CE8">
        <w:t xml:space="preserve">   </w:t>
      </w:r>
    </w:p>
    <w:p w:rsidR="00C8023E" w:rsidRDefault="00C8023E"/>
    <w:p w:rsidR="004D018B" w:rsidRDefault="004D018B" w:rsidP="00C8023E">
      <w:pPr>
        <w:jc w:val="both"/>
      </w:pPr>
    </w:p>
    <w:p w:rsidR="00C8023E" w:rsidRDefault="00894043" w:rsidP="00C8023E">
      <w:pPr>
        <w:jc w:val="both"/>
      </w:pPr>
      <w:r>
        <w:t>Par Eiropas Parlamenta un Padomes Regula</w:t>
      </w:r>
      <w:r w:rsidR="00D5175C">
        <w:t>s,</w:t>
      </w:r>
      <w:r>
        <w:t xml:space="preserve">  </w:t>
      </w:r>
    </w:p>
    <w:p w:rsidR="00894043" w:rsidRDefault="0002536A" w:rsidP="00C8023E">
      <w:pPr>
        <w:jc w:val="both"/>
      </w:pPr>
      <w:r>
        <w:t>LR</w:t>
      </w:r>
      <w:r w:rsidR="00894043">
        <w:t xml:space="preserve"> Būvniecības likuma ievērošanu</w:t>
      </w:r>
      <w:r>
        <w:t>,</w:t>
      </w:r>
    </w:p>
    <w:p w:rsidR="00D5175C" w:rsidRDefault="00D5175C" w:rsidP="00C8023E">
      <w:pPr>
        <w:jc w:val="both"/>
      </w:pPr>
      <w:r>
        <w:t xml:space="preserve"> n</w:t>
      </w:r>
      <w:r w:rsidR="0002536A">
        <w:t>epieciešamo standartu tulkošanu un</w:t>
      </w:r>
    </w:p>
    <w:p w:rsidR="0002536A" w:rsidRDefault="0002536A" w:rsidP="00C8023E">
      <w:pPr>
        <w:jc w:val="both"/>
      </w:pPr>
      <w:r>
        <w:t>LBN izstrādāšanu ,,Saldēšanas būvēm un iekārtām”</w:t>
      </w:r>
    </w:p>
    <w:p w:rsidR="00D5175C" w:rsidRDefault="00D5175C" w:rsidP="00C8023E">
      <w:pPr>
        <w:jc w:val="both"/>
      </w:pPr>
    </w:p>
    <w:p w:rsidR="00D5175C" w:rsidRDefault="00D5175C" w:rsidP="00C8023E">
      <w:pPr>
        <w:jc w:val="both"/>
      </w:pPr>
    </w:p>
    <w:p w:rsidR="00C8023E" w:rsidRDefault="00C51B44" w:rsidP="00E55741">
      <w:pPr>
        <w:jc w:val="both"/>
      </w:pPr>
      <w:r>
        <w:t>Būvniecības likuma 4. pants ,,Būvniecības principi” 2. punkts nosaka:</w:t>
      </w:r>
    </w:p>
    <w:p w:rsidR="00C8023E" w:rsidRPr="00C51B44" w:rsidRDefault="00C51B44" w:rsidP="00E55741">
      <w:pPr>
        <w:jc w:val="both"/>
        <w:rPr>
          <w:rFonts w:cs="Times New Roman"/>
        </w:rPr>
      </w:pPr>
      <w:r w:rsidRPr="00C51B44">
        <w:rPr>
          <w:rFonts w:cs="Times New Roman"/>
          <w:color w:val="414142"/>
        </w:rPr>
        <w:t>2) inženiertehniskās kvalitātes principu, saskaņā ar kuru būves inženiertehniskais risinājums ir lietošanai drošs, kā arī ekonomiski un tehnoloģiski efektīvs;</w:t>
      </w:r>
    </w:p>
    <w:p w:rsidR="00C8023E" w:rsidRDefault="00EB31F3" w:rsidP="00E55741">
      <w:pPr>
        <w:jc w:val="both"/>
      </w:pPr>
      <w:r>
        <w:t>Eiropas Parlamenta un Padomes Regula  (EK) Nr.1005/2009 ,,Par ozona slāni noārdošam vielām” nosaka īpašus ierobežojumus un aizliegumus attiecībā ar ozona slāni noārdošām vielām un fluorētām siltumnīcefekta gāzēm.</w:t>
      </w:r>
    </w:p>
    <w:p w:rsidR="00EB31F3" w:rsidRDefault="00EB31F3" w:rsidP="00E55741">
      <w:pPr>
        <w:jc w:val="both"/>
      </w:pPr>
      <w:r>
        <w:t xml:space="preserve">Eiropas Savienība ir izdevusi un Latvija </w:t>
      </w:r>
      <w:r w:rsidR="00FD6D48">
        <w:t xml:space="preserve">2017. gadā </w:t>
      </w:r>
      <w:r>
        <w:t xml:space="preserve">ir </w:t>
      </w:r>
      <w:r w:rsidR="003E60BA">
        <w:t>reģistrējusi</w:t>
      </w:r>
      <w:r w:rsidR="00FD6D48">
        <w:t xml:space="preserve"> angļu valodā standartus par saldēšanas sistēmām.</w:t>
      </w:r>
    </w:p>
    <w:p w:rsidR="00C8023E" w:rsidRDefault="00181FCB" w:rsidP="00E55741">
      <w:pPr>
        <w:jc w:val="both"/>
      </w:pPr>
      <w:r>
        <w:rPr>
          <w:u w:val="single"/>
        </w:rPr>
        <w:t xml:space="preserve">Šie </w:t>
      </w:r>
      <w:r w:rsidR="00A70EBB">
        <w:rPr>
          <w:u w:val="single"/>
        </w:rPr>
        <w:t>normatīvi</w:t>
      </w:r>
      <w:r w:rsidR="00C8023E" w:rsidRPr="00DD3725">
        <w:rPr>
          <w:u w:val="single"/>
        </w:rPr>
        <w:t xml:space="preserve"> nosaka drošības un vides aizsardzības </w:t>
      </w:r>
      <w:r w:rsidR="00C8023E" w:rsidRPr="00DD3725">
        <w:rPr>
          <w:b/>
          <w:u w:val="single"/>
        </w:rPr>
        <w:t>prasības projektēšanas</w:t>
      </w:r>
      <w:r w:rsidR="00C8023E" w:rsidRPr="00DD3725">
        <w:rPr>
          <w:u w:val="single"/>
        </w:rPr>
        <w:t>,</w:t>
      </w:r>
      <w:r w:rsidR="00D833AD">
        <w:t xml:space="preserve"> </w:t>
      </w:r>
      <w:r w:rsidR="00C8023E">
        <w:t xml:space="preserve"> </w:t>
      </w:r>
      <w:r w:rsidR="00C8023E" w:rsidRPr="00DD3725">
        <w:rPr>
          <w:b/>
          <w:u w:val="single"/>
        </w:rPr>
        <w:t>būvniecības</w:t>
      </w:r>
      <w:r w:rsidR="00C8023E">
        <w:t xml:space="preserve">, </w:t>
      </w:r>
      <w:r w:rsidR="00D833AD">
        <w:t xml:space="preserve">ražošanas, </w:t>
      </w:r>
      <w:r w:rsidR="00C8023E">
        <w:t xml:space="preserve">montāžas, ekspluatācijas, tehniskās apkopes, remonta un iekārtu utilizācijas posmos attiecībā pret apkārtējo vidi telpās un apkārtējā vidē kopumā. </w:t>
      </w:r>
    </w:p>
    <w:p w:rsidR="00085138" w:rsidRDefault="00085138" w:rsidP="00E55741">
      <w:pPr>
        <w:jc w:val="both"/>
      </w:pPr>
    </w:p>
    <w:p w:rsidR="00085138" w:rsidRDefault="00085138" w:rsidP="00E55741">
      <w:pPr>
        <w:jc w:val="both"/>
      </w:pPr>
      <w:r>
        <w:t>Latvijā krasi ir pieaudzis saldēšanas pielietojums gan tirdzniecības centros, gan lielos loģistikas centros, pārtikas ražošanas uzņēmumos. Lielākā daļa saldēšanas tehnoloģiju būves tiek būvētas bez oficiāliem projektiem.</w:t>
      </w:r>
      <w:r w:rsidR="00E752C1">
        <w:t xml:space="preserve"> Arī tirdzniecības centros saldēšanas sadaļai tirdzniecības tīkla veikaliem saldēšanas sistēmu projektu iztrūkst. Jaunbūvējamā loģistikas centra Rīgā Deglava ielā 161, kur amonjaka apjoms virs 10t, oficiāls projekts nav.</w:t>
      </w:r>
      <w:r w:rsidR="00E409EB">
        <w:t xml:space="preserve"> Jau darbojās atsevišķi stāvoša saldētava Ķekavas pagasta Valdlaučos  vairāk kā 30000 m</w:t>
      </w:r>
      <w:r w:rsidR="00E409EB">
        <w:rPr>
          <w:vertAlign w:val="superscript"/>
        </w:rPr>
        <w:t xml:space="preserve">3 </w:t>
      </w:r>
      <w:r w:rsidR="00E409EB">
        <w:t>( 4,4 tūkst. m</w:t>
      </w:r>
      <w:r w:rsidR="00E409EB">
        <w:rPr>
          <w:vertAlign w:val="superscript"/>
        </w:rPr>
        <w:t>2</w:t>
      </w:r>
      <w:r w:rsidR="00E409EB">
        <w:t>) un strādā ar amonjaku.</w:t>
      </w:r>
      <w:r w:rsidR="00E409EB">
        <w:rPr>
          <w:vertAlign w:val="superscript"/>
        </w:rPr>
        <w:t xml:space="preserve"> </w:t>
      </w:r>
      <w:r w:rsidR="00E752C1">
        <w:t xml:space="preserve">  </w:t>
      </w:r>
      <w:r w:rsidR="00E409EB">
        <w:t>Celtniecības stadijā ir ,,Lidl” tirdzniecība</w:t>
      </w:r>
      <w:r w:rsidR="00577E52">
        <w:t>s centri</w:t>
      </w:r>
      <w:r w:rsidR="00E409EB">
        <w:t xml:space="preserve"> u.t.t.</w:t>
      </w:r>
    </w:p>
    <w:p w:rsidR="00E409EB" w:rsidRDefault="00E409EB" w:rsidP="00E55741">
      <w:pPr>
        <w:jc w:val="both"/>
      </w:pPr>
      <w:r>
        <w:t>Ir bijušas saldēšanas sistēmas avārijas tirdzniecības centros pat ar cilvēku evakuāciju.</w:t>
      </w:r>
    </w:p>
    <w:p w:rsidR="00E409EB" w:rsidRDefault="00E409EB" w:rsidP="00E55741">
      <w:pPr>
        <w:jc w:val="both"/>
      </w:pPr>
      <w:r>
        <w:t>Atruna ir vienkārša</w:t>
      </w:r>
      <w:r w:rsidR="00577E52">
        <w:t>: mums Latvijā neviens neko neprasa un mēs arī nekur neejam.</w:t>
      </w:r>
      <w:r>
        <w:t xml:space="preserve"> </w:t>
      </w:r>
    </w:p>
    <w:p w:rsidR="00C8023E" w:rsidRDefault="00424539" w:rsidP="00E55741">
      <w:pPr>
        <w:jc w:val="both"/>
      </w:pPr>
      <w:r>
        <w:t xml:space="preserve">Latvijā nav Būvnormatīvu ,,Saldēšanas būvēm un iekārtām”, kas noteiktu kārtību projektēšanai, būvniecībai, būvuzraudzībai, </w:t>
      </w:r>
      <w:r w:rsidR="00A70EBB">
        <w:t>ekspluatācijai.</w:t>
      </w:r>
      <w:r>
        <w:t xml:space="preserve"> </w:t>
      </w:r>
      <w:r w:rsidR="0002536A">
        <w:t>Augstāk minētie standarti nav tulkoti.</w:t>
      </w:r>
    </w:p>
    <w:p w:rsidR="00A35F2D" w:rsidRDefault="00A35F2D" w:rsidP="00E55741">
      <w:pPr>
        <w:jc w:val="both"/>
      </w:pPr>
    </w:p>
    <w:p w:rsidR="00C8023E" w:rsidRPr="00E94D91" w:rsidRDefault="00A35F2D" w:rsidP="00E55741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Šo normatīvu un </w:t>
      </w:r>
      <w:r w:rsidR="00C8023E" w:rsidRPr="00E94D91">
        <w:rPr>
          <w:b/>
          <w:i/>
          <w:u w:val="single"/>
        </w:rPr>
        <w:t xml:space="preserve"> standarta mērķis ir samazināt iespējamo avāriju iespējamību no saldēšanas iekārtu un </w:t>
      </w:r>
      <w:proofErr w:type="spellStart"/>
      <w:r w:rsidR="00C8023E" w:rsidRPr="00E94D91">
        <w:rPr>
          <w:b/>
          <w:i/>
          <w:u w:val="single"/>
        </w:rPr>
        <w:t>hlagentu</w:t>
      </w:r>
      <w:proofErr w:type="spellEnd"/>
      <w:r w:rsidR="00C8023E" w:rsidRPr="00E94D91">
        <w:rPr>
          <w:b/>
          <w:i/>
          <w:u w:val="single"/>
        </w:rPr>
        <w:t xml:space="preserve"> puses ar kaitējumu cilvēku dzīvībai un veselībai, īpašumam un videi.</w:t>
      </w:r>
    </w:p>
    <w:p w:rsidR="00C8023E" w:rsidRDefault="00C8023E" w:rsidP="00E55741">
      <w:pPr>
        <w:jc w:val="both"/>
      </w:pPr>
      <w:r>
        <w:t xml:space="preserve">Šīs avārijas galvenokārt var izraisīt </w:t>
      </w:r>
      <w:proofErr w:type="spellStart"/>
      <w:r>
        <w:t>hlagentu</w:t>
      </w:r>
      <w:proofErr w:type="spellEnd"/>
      <w:r>
        <w:t xml:space="preserve"> fizikāli ķīmiskie īpašumi, kā arī spiedieni un temperatūras, kas rodas saldēšanas ciklu realizācijas procesā.</w:t>
      </w:r>
    </w:p>
    <w:p w:rsidR="00C8023E" w:rsidRDefault="00C8023E" w:rsidP="00E55741">
      <w:pPr>
        <w:jc w:val="both"/>
      </w:pPr>
      <w:r w:rsidRPr="00DD3725">
        <w:rPr>
          <w:b/>
        </w:rPr>
        <w:lastRenderedPageBreak/>
        <w:t>Piesardzības pasākumu nepietiekamība var novest pie</w:t>
      </w:r>
      <w:r>
        <w:t>:</w:t>
      </w:r>
    </w:p>
    <w:p w:rsidR="00C8023E" w:rsidRDefault="00C8023E" w:rsidP="00E55741">
      <w:pPr>
        <w:jc w:val="both"/>
      </w:pPr>
      <w:r>
        <w:t>- atsevišķu sistēmas elementu, tai skaitā eksplozīva rakstura, iznīcināšanai ar turp</w:t>
      </w:r>
      <w:r w:rsidR="00085138">
        <w:t>māku šķembu izlidošanas iespēju;</w:t>
      </w:r>
    </w:p>
    <w:p w:rsidR="00C8023E" w:rsidRDefault="00C8023E" w:rsidP="00E55741">
      <w:pPr>
        <w:jc w:val="both"/>
      </w:pPr>
      <w:r>
        <w:t xml:space="preserve">- izsviest </w:t>
      </w:r>
      <w:proofErr w:type="spellStart"/>
      <w:r>
        <w:t>hlagentu</w:t>
      </w:r>
      <w:proofErr w:type="spellEnd"/>
      <w:r>
        <w:t xml:space="preserve"> ar risku nodarīt kaitējumu videi, saindēt atmosfēru ar toksiskām vielām bojājuma dēļ, noplūdes, ko izraisījusi slikta konstrukcija, nepareiza ekspluatācija, tehniskā apkope, remonts, uzpilde vai nepareiza utilizācija;</w:t>
      </w:r>
    </w:p>
    <w:p w:rsidR="00C8023E" w:rsidRDefault="00C8023E" w:rsidP="00E55741">
      <w:pPr>
        <w:jc w:val="both"/>
      </w:pPr>
      <w:r>
        <w:t xml:space="preserve">- uzliesmojoša </w:t>
      </w:r>
      <w:proofErr w:type="spellStart"/>
      <w:r>
        <w:t>hlagenta</w:t>
      </w:r>
      <w:proofErr w:type="spellEnd"/>
      <w:r>
        <w:t xml:space="preserve"> uzliesmojums (aizdegšanās) ar ugunsgrēka izcelšanās bīstamību un tai skaitā ar </w:t>
      </w:r>
      <w:proofErr w:type="spellStart"/>
      <w:r>
        <w:t>degtspējīgu</w:t>
      </w:r>
      <w:proofErr w:type="spellEnd"/>
      <w:r>
        <w:t xml:space="preserve"> </w:t>
      </w:r>
      <w:proofErr w:type="spellStart"/>
      <w:r>
        <w:t>hlagentu</w:t>
      </w:r>
      <w:proofErr w:type="spellEnd"/>
      <w:r>
        <w:t xml:space="preserve"> degšanas toksisko produktu veidošanās risku.</w:t>
      </w:r>
    </w:p>
    <w:p w:rsidR="00C8023E" w:rsidRDefault="003E60BA" w:rsidP="00E55741">
      <w:pPr>
        <w:jc w:val="both"/>
      </w:pPr>
      <w:r>
        <w:t xml:space="preserve">Lai </w:t>
      </w:r>
      <w:proofErr w:type="spellStart"/>
      <w:r>
        <w:t>būvspeciālistus</w:t>
      </w:r>
      <w:proofErr w:type="spellEnd"/>
      <w:r>
        <w:t xml:space="preserve">, mācību iestādes u.c. speciālistus nodrošinātu ar pieejamu </w:t>
      </w:r>
      <w:r w:rsidR="001366BD">
        <w:t xml:space="preserve">un saprotamu </w:t>
      </w:r>
      <w:r>
        <w:t>informāciju, nodrošinātu iepriekšminēto Direktīvu prasību izpildi</w:t>
      </w:r>
      <w:r w:rsidR="001366BD">
        <w:t>, nepieciešams</w:t>
      </w:r>
      <w:r>
        <w:t xml:space="preserve"> veikt sekojošu standartu tulkošanu latviešu valodā:</w:t>
      </w:r>
    </w:p>
    <w:p w:rsidR="003E60BA" w:rsidRPr="003E60BA" w:rsidRDefault="003E60BA" w:rsidP="00E55741">
      <w:pPr>
        <w:jc w:val="both"/>
        <w:outlineLvl w:val="0"/>
        <w:rPr>
          <w:rFonts w:eastAsia="Times New Roman" w:cs="Times New Roman"/>
          <w:bCs/>
          <w:color w:val="1B0D0E"/>
          <w:kern w:val="36"/>
          <w:lang w:eastAsia="lv-LV"/>
        </w:rPr>
      </w:pPr>
      <w:r>
        <w:t xml:space="preserve">1) </w:t>
      </w:r>
      <w:r w:rsidRPr="003E60BA">
        <w:rPr>
          <w:rFonts w:eastAsia="Times New Roman" w:cs="Times New Roman"/>
          <w:bCs/>
          <w:color w:val="1B0D0E"/>
          <w:kern w:val="36"/>
          <w:lang w:eastAsia="lv-LV"/>
        </w:rPr>
        <w:t xml:space="preserve">LVS EN 378-1:2017 </w:t>
      </w:r>
    </w:p>
    <w:p w:rsidR="003E60BA" w:rsidRPr="003E60BA" w:rsidRDefault="003E60BA" w:rsidP="00E55741">
      <w:pPr>
        <w:jc w:val="both"/>
        <w:outlineLvl w:val="1"/>
        <w:rPr>
          <w:rFonts w:eastAsia="Times New Roman" w:cs="Times New Roman"/>
          <w:bCs/>
          <w:color w:val="1B0D0E"/>
          <w:lang w:eastAsia="lv-LV"/>
        </w:rPr>
      </w:pPr>
      <w:r w:rsidRPr="003E60BA">
        <w:rPr>
          <w:rFonts w:eastAsia="Times New Roman" w:cs="Times New Roman"/>
          <w:bCs/>
          <w:color w:val="1B0D0E"/>
          <w:lang w:eastAsia="lv-LV"/>
        </w:rPr>
        <w:t>Saldēšanas un siltumsūkņi. Drošības un vides prasības. 1. daļa. Pamatprasības, definīcijas, klasifikācija un atlases kritēriji</w:t>
      </w:r>
      <w:r>
        <w:rPr>
          <w:rFonts w:eastAsia="Times New Roman" w:cs="Times New Roman"/>
          <w:bCs/>
          <w:color w:val="1B0D0E"/>
          <w:lang w:eastAsia="lv-LV"/>
        </w:rPr>
        <w:t>.</w:t>
      </w:r>
      <w:r w:rsidRPr="003E60BA">
        <w:rPr>
          <w:rFonts w:eastAsia="Times New Roman" w:cs="Times New Roman"/>
          <w:bCs/>
          <w:color w:val="1B0D0E"/>
          <w:lang w:eastAsia="lv-LV"/>
        </w:rPr>
        <w:t xml:space="preserve"> </w:t>
      </w:r>
    </w:p>
    <w:p w:rsidR="003E60BA" w:rsidRPr="003E60BA" w:rsidRDefault="003E60BA" w:rsidP="00E55741">
      <w:pPr>
        <w:jc w:val="both"/>
        <w:outlineLvl w:val="0"/>
        <w:rPr>
          <w:rFonts w:eastAsia="Times New Roman" w:cs="Times New Roman"/>
          <w:bCs/>
          <w:color w:val="1B0D0E"/>
          <w:kern w:val="36"/>
          <w:lang w:eastAsia="lv-LV"/>
        </w:rPr>
      </w:pPr>
      <w:r>
        <w:t xml:space="preserve">2) </w:t>
      </w:r>
      <w:r w:rsidRPr="003E60BA">
        <w:rPr>
          <w:rFonts w:eastAsia="Times New Roman" w:cs="Times New Roman"/>
          <w:bCs/>
          <w:color w:val="1B0D0E"/>
          <w:kern w:val="36"/>
          <w:lang w:eastAsia="lv-LV"/>
        </w:rPr>
        <w:t xml:space="preserve">LVS EN 378-2:2017 </w:t>
      </w:r>
    </w:p>
    <w:p w:rsidR="003E60BA" w:rsidRPr="003E60BA" w:rsidRDefault="003E60BA" w:rsidP="00E55741">
      <w:pPr>
        <w:jc w:val="both"/>
        <w:outlineLvl w:val="1"/>
        <w:rPr>
          <w:rFonts w:eastAsia="Times New Roman" w:cs="Times New Roman"/>
          <w:bCs/>
          <w:color w:val="1B0D0E"/>
          <w:lang w:eastAsia="lv-LV"/>
        </w:rPr>
      </w:pPr>
      <w:r w:rsidRPr="003E60BA">
        <w:rPr>
          <w:rFonts w:eastAsia="Times New Roman" w:cs="Times New Roman"/>
          <w:bCs/>
          <w:color w:val="1B0D0E"/>
          <w:lang w:eastAsia="lv-LV"/>
        </w:rPr>
        <w:t>Saldēšanas un siltumsūkņi. Drošības un vides prasības. 2.daļa. Projektēšana, izgatavošana, izgatavošana, testēšana, marķēšana un dokumentācija</w:t>
      </w:r>
      <w:r>
        <w:rPr>
          <w:rFonts w:eastAsia="Times New Roman" w:cs="Times New Roman"/>
          <w:bCs/>
          <w:color w:val="1B0D0E"/>
          <w:lang w:eastAsia="lv-LV"/>
        </w:rPr>
        <w:t>.</w:t>
      </w:r>
      <w:r w:rsidRPr="003E60BA">
        <w:rPr>
          <w:rFonts w:eastAsia="Times New Roman" w:cs="Times New Roman"/>
          <w:bCs/>
          <w:color w:val="1B0D0E"/>
          <w:lang w:eastAsia="lv-LV"/>
        </w:rPr>
        <w:t xml:space="preserve"> </w:t>
      </w:r>
    </w:p>
    <w:p w:rsidR="003E60BA" w:rsidRPr="003E60BA" w:rsidRDefault="003E60BA" w:rsidP="00E55741">
      <w:pPr>
        <w:jc w:val="both"/>
        <w:outlineLvl w:val="0"/>
        <w:rPr>
          <w:rFonts w:eastAsia="Times New Roman" w:cs="Times New Roman"/>
          <w:bCs/>
          <w:color w:val="1B0D0E"/>
          <w:kern w:val="36"/>
          <w:lang w:eastAsia="lv-LV"/>
        </w:rPr>
      </w:pPr>
      <w:r>
        <w:t xml:space="preserve">3) </w:t>
      </w:r>
      <w:r w:rsidRPr="003E60BA">
        <w:rPr>
          <w:rFonts w:eastAsia="Times New Roman" w:cs="Times New Roman"/>
          <w:bCs/>
          <w:color w:val="1B0D0E"/>
          <w:kern w:val="36"/>
          <w:lang w:eastAsia="lv-LV"/>
        </w:rPr>
        <w:t xml:space="preserve">LVN EN 378-3:2017 </w:t>
      </w:r>
    </w:p>
    <w:p w:rsidR="003E60BA" w:rsidRPr="00981CAC" w:rsidRDefault="003E60BA" w:rsidP="00E55741">
      <w:pPr>
        <w:jc w:val="both"/>
        <w:outlineLvl w:val="1"/>
        <w:rPr>
          <w:rFonts w:ascii="Verdana" w:eastAsia="Times New Roman" w:hAnsi="Verdana" w:cs="Times New Roman"/>
          <w:b/>
          <w:bCs/>
          <w:color w:val="1B0D0E"/>
          <w:sz w:val="32"/>
          <w:szCs w:val="32"/>
          <w:lang w:eastAsia="lv-LV"/>
        </w:rPr>
      </w:pPr>
      <w:r w:rsidRPr="003E60BA">
        <w:rPr>
          <w:rFonts w:eastAsia="Times New Roman" w:cs="Times New Roman"/>
          <w:bCs/>
          <w:color w:val="1B0D0E"/>
          <w:lang w:eastAsia="lv-LV"/>
        </w:rPr>
        <w:t>Saldēšanas un siltumsūkņi. Drošības un vides prasības. 3.daļa. Iekārtu izvietošana un personāla aizsardzība</w:t>
      </w:r>
      <w:r>
        <w:rPr>
          <w:rFonts w:eastAsia="Times New Roman" w:cs="Times New Roman"/>
          <w:bCs/>
          <w:color w:val="1B0D0E"/>
          <w:lang w:eastAsia="lv-LV"/>
        </w:rPr>
        <w:t>.</w:t>
      </w:r>
      <w:r w:rsidRPr="00981CAC">
        <w:rPr>
          <w:rFonts w:ascii="Verdana" w:eastAsia="Times New Roman" w:hAnsi="Verdana" w:cs="Times New Roman"/>
          <w:b/>
          <w:bCs/>
          <w:color w:val="1B0D0E"/>
          <w:sz w:val="32"/>
          <w:szCs w:val="32"/>
          <w:lang w:eastAsia="lv-LV"/>
        </w:rPr>
        <w:t xml:space="preserve"> </w:t>
      </w:r>
    </w:p>
    <w:p w:rsidR="001366BD" w:rsidRPr="001366BD" w:rsidRDefault="003E60BA" w:rsidP="00E55741">
      <w:pPr>
        <w:jc w:val="both"/>
        <w:outlineLvl w:val="0"/>
        <w:rPr>
          <w:rFonts w:eastAsia="Times New Roman" w:cs="Times New Roman"/>
          <w:bCs/>
          <w:color w:val="1B0D0E"/>
          <w:kern w:val="36"/>
          <w:lang w:eastAsia="lv-LV"/>
        </w:rPr>
      </w:pPr>
      <w:r>
        <w:t xml:space="preserve">4) </w:t>
      </w:r>
      <w:r w:rsidR="001366BD" w:rsidRPr="001366BD">
        <w:rPr>
          <w:rFonts w:eastAsia="Times New Roman" w:cs="Times New Roman"/>
          <w:bCs/>
          <w:color w:val="1B0D0E"/>
          <w:kern w:val="36"/>
          <w:lang w:eastAsia="lv-LV"/>
        </w:rPr>
        <w:t xml:space="preserve">LVS EN 378-4:2017 </w:t>
      </w:r>
    </w:p>
    <w:p w:rsidR="001366BD" w:rsidRDefault="001366BD" w:rsidP="00E55741">
      <w:pPr>
        <w:jc w:val="both"/>
        <w:outlineLvl w:val="1"/>
        <w:rPr>
          <w:rFonts w:eastAsia="Times New Roman" w:cs="Times New Roman"/>
          <w:bCs/>
          <w:color w:val="1B0D0E"/>
          <w:lang w:eastAsia="lv-LV"/>
        </w:rPr>
      </w:pPr>
      <w:r w:rsidRPr="001366BD">
        <w:rPr>
          <w:rFonts w:eastAsia="Times New Roman" w:cs="Times New Roman"/>
          <w:bCs/>
          <w:color w:val="1B0D0E"/>
          <w:lang w:eastAsia="lv-LV"/>
        </w:rPr>
        <w:t>Saldēšanas un siltumsūkņi. Drošības un vides prasības. 4. daļa. Darbība, apkope, remonts un atjaunošana</w:t>
      </w:r>
      <w:r>
        <w:rPr>
          <w:rFonts w:eastAsia="Times New Roman" w:cs="Times New Roman"/>
          <w:bCs/>
          <w:color w:val="1B0D0E"/>
          <w:lang w:eastAsia="lv-LV"/>
        </w:rPr>
        <w:t>.</w:t>
      </w:r>
    </w:p>
    <w:p w:rsidR="001366BD" w:rsidRDefault="001366BD" w:rsidP="00E55741">
      <w:pPr>
        <w:jc w:val="both"/>
        <w:outlineLvl w:val="1"/>
        <w:rPr>
          <w:rFonts w:eastAsia="Times New Roman" w:cs="Times New Roman"/>
          <w:bCs/>
          <w:color w:val="1B0D0E"/>
          <w:lang w:eastAsia="lv-LV"/>
        </w:rPr>
      </w:pPr>
    </w:p>
    <w:p w:rsidR="001366BD" w:rsidRPr="0002536A" w:rsidRDefault="001366BD" w:rsidP="00E55741">
      <w:pPr>
        <w:jc w:val="both"/>
        <w:outlineLvl w:val="1"/>
        <w:rPr>
          <w:rFonts w:eastAsia="Times New Roman" w:cs="Times New Roman"/>
          <w:b/>
          <w:bCs/>
          <w:color w:val="1B0D0E"/>
          <w:lang w:eastAsia="lv-LV"/>
        </w:rPr>
      </w:pPr>
      <w:r w:rsidRPr="0002536A">
        <w:rPr>
          <w:rFonts w:eastAsia="Times New Roman" w:cs="Times New Roman"/>
          <w:b/>
          <w:bCs/>
          <w:color w:val="1B0D0E"/>
          <w:lang w:eastAsia="lv-LV"/>
        </w:rPr>
        <w:t>Lūdzu Ekonomikas ministri</w:t>
      </w:r>
      <w:r w:rsidR="00894043" w:rsidRPr="0002536A">
        <w:rPr>
          <w:rFonts w:eastAsia="Times New Roman" w:cs="Times New Roman"/>
          <w:b/>
          <w:bCs/>
          <w:color w:val="1B0D0E"/>
          <w:lang w:eastAsia="lv-LV"/>
        </w:rPr>
        <w:t>j</w:t>
      </w:r>
      <w:r w:rsidR="00FB6159" w:rsidRPr="0002536A">
        <w:rPr>
          <w:rFonts w:eastAsia="Times New Roman" w:cs="Times New Roman"/>
          <w:b/>
          <w:bCs/>
          <w:color w:val="1B0D0E"/>
          <w:lang w:eastAsia="lv-LV"/>
        </w:rPr>
        <w:t>u rast nepieciešamos līdzekļus st</w:t>
      </w:r>
      <w:r w:rsidR="00894043" w:rsidRPr="0002536A">
        <w:rPr>
          <w:rFonts w:eastAsia="Times New Roman" w:cs="Times New Roman"/>
          <w:b/>
          <w:bCs/>
          <w:color w:val="1B0D0E"/>
          <w:lang w:eastAsia="lv-LV"/>
        </w:rPr>
        <w:t>andartu tulkošanai</w:t>
      </w:r>
      <w:r w:rsidR="00FB6159" w:rsidRPr="0002536A">
        <w:rPr>
          <w:rFonts w:eastAsia="Times New Roman" w:cs="Times New Roman"/>
          <w:b/>
          <w:bCs/>
          <w:color w:val="1B0D0E"/>
          <w:lang w:eastAsia="lv-LV"/>
        </w:rPr>
        <w:t xml:space="preserve"> un izstrādāt </w:t>
      </w:r>
      <w:r w:rsidR="00767455" w:rsidRPr="0002536A">
        <w:rPr>
          <w:rFonts w:eastAsia="Times New Roman" w:cs="Times New Roman"/>
          <w:b/>
          <w:bCs/>
          <w:color w:val="1B0D0E"/>
          <w:lang w:eastAsia="lv-LV"/>
        </w:rPr>
        <w:t>Latvijas Būvnormatīvus ,,Saldēšanas būvēm un iekārtām”</w:t>
      </w:r>
    </w:p>
    <w:p w:rsidR="001366BD" w:rsidRDefault="001366BD" w:rsidP="00E55741">
      <w:pPr>
        <w:jc w:val="both"/>
        <w:outlineLvl w:val="1"/>
        <w:rPr>
          <w:rFonts w:eastAsia="Times New Roman" w:cs="Times New Roman"/>
          <w:bCs/>
          <w:color w:val="1B0D0E"/>
          <w:lang w:eastAsia="lv-LV"/>
        </w:rPr>
      </w:pPr>
    </w:p>
    <w:p w:rsidR="001366BD" w:rsidRDefault="001366BD" w:rsidP="00894043">
      <w:r>
        <w:rPr>
          <w:rFonts w:eastAsia="Times New Roman" w:cs="Times New Roman"/>
          <w:bCs/>
          <w:color w:val="1B0D0E"/>
          <w:lang w:eastAsia="lv-LV"/>
        </w:rPr>
        <w:t xml:space="preserve">Pielikumā: </w:t>
      </w:r>
      <w:r w:rsidR="00894043" w:rsidRPr="00894043">
        <w:t xml:space="preserve">Saldēšanas sistēmu drošības </w:t>
      </w:r>
      <w:proofErr w:type="spellStart"/>
      <w:r w:rsidR="00894043">
        <w:t>i</w:t>
      </w:r>
      <w:r w:rsidR="00894043" w:rsidRPr="00894043">
        <w:t>evadnoteikumi</w:t>
      </w:r>
      <w:proofErr w:type="spellEnd"/>
      <w:r w:rsidR="00894043">
        <w:t xml:space="preserve"> – 3lpp.</w:t>
      </w:r>
    </w:p>
    <w:p w:rsidR="00E55741" w:rsidRDefault="00E55741" w:rsidP="00894043">
      <w:pPr>
        <w:rPr>
          <w:rFonts w:eastAsia="Times New Roman" w:cs="Times New Roman"/>
          <w:bCs/>
          <w:color w:val="1B0D0E"/>
          <w:lang w:eastAsia="lv-LV"/>
        </w:rPr>
      </w:pPr>
    </w:p>
    <w:p w:rsidR="001366BD" w:rsidRDefault="001366BD" w:rsidP="001366BD">
      <w:pPr>
        <w:outlineLvl w:val="1"/>
        <w:rPr>
          <w:rFonts w:eastAsia="Times New Roman" w:cs="Times New Roman"/>
          <w:bCs/>
          <w:color w:val="1B0D0E"/>
          <w:lang w:eastAsia="lv-LV"/>
        </w:rPr>
      </w:pPr>
    </w:p>
    <w:p w:rsidR="001366BD" w:rsidRPr="001512E8" w:rsidRDefault="001366BD" w:rsidP="001366BD">
      <w:pPr>
        <w:outlineLvl w:val="1"/>
        <w:rPr>
          <w:rFonts w:ascii="Verdana" w:eastAsia="Times New Roman" w:hAnsi="Verdana" w:cs="Times New Roman"/>
          <w:b/>
          <w:bCs/>
          <w:color w:val="1B0D0E"/>
          <w:sz w:val="32"/>
          <w:szCs w:val="32"/>
          <w:lang w:eastAsia="lv-LV"/>
        </w:rPr>
      </w:pPr>
      <w:r>
        <w:rPr>
          <w:rFonts w:eastAsia="Times New Roman" w:cs="Times New Roman"/>
          <w:bCs/>
          <w:color w:val="1B0D0E"/>
          <w:lang w:eastAsia="lv-LV"/>
        </w:rPr>
        <w:t>LSGŪTIS valdes loceklis:                                                                D. Ģēģers</w:t>
      </w:r>
      <w:r w:rsidRPr="001512E8">
        <w:rPr>
          <w:rFonts w:ascii="Verdana" w:eastAsia="Times New Roman" w:hAnsi="Verdana" w:cs="Times New Roman"/>
          <w:b/>
          <w:bCs/>
          <w:color w:val="1B0D0E"/>
          <w:sz w:val="32"/>
          <w:szCs w:val="32"/>
          <w:lang w:eastAsia="lv-LV"/>
        </w:rPr>
        <w:t xml:space="preserve"> </w:t>
      </w:r>
    </w:p>
    <w:p w:rsidR="003E60BA" w:rsidRDefault="003E60BA"/>
    <w:sectPr w:rsidR="003E60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5B"/>
    <w:rsid w:val="0002536A"/>
    <w:rsid w:val="00085138"/>
    <w:rsid w:val="001366BD"/>
    <w:rsid w:val="00181FCB"/>
    <w:rsid w:val="003E60BA"/>
    <w:rsid w:val="00424539"/>
    <w:rsid w:val="0046275B"/>
    <w:rsid w:val="004D018B"/>
    <w:rsid w:val="00577E52"/>
    <w:rsid w:val="006E432A"/>
    <w:rsid w:val="00767455"/>
    <w:rsid w:val="00867CE8"/>
    <w:rsid w:val="00894043"/>
    <w:rsid w:val="00A35F2D"/>
    <w:rsid w:val="00A70EBB"/>
    <w:rsid w:val="00AA571E"/>
    <w:rsid w:val="00B946DD"/>
    <w:rsid w:val="00C271D0"/>
    <w:rsid w:val="00C51B44"/>
    <w:rsid w:val="00C8023E"/>
    <w:rsid w:val="00D5175C"/>
    <w:rsid w:val="00D833AD"/>
    <w:rsid w:val="00E409EB"/>
    <w:rsid w:val="00E55741"/>
    <w:rsid w:val="00E752C1"/>
    <w:rsid w:val="00EB31F3"/>
    <w:rsid w:val="00FB6159"/>
    <w:rsid w:val="00FD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6D5C279-7DE3-4DDE-9FC9-0C0FFE94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75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6275B"/>
    <w:pPr>
      <w:suppressAutoHyphens/>
      <w:autoSpaceDN w:val="0"/>
    </w:pPr>
    <w:rPr>
      <w:rFonts w:ascii="Calibri" w:eastAsia="Calibri" w:hAnsi="Calibri" w:cs="Times New Roman"/>
      <w:kern w:val="3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5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5B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2811</Words>
  <Characters>1603</Characters>
  <Application>Microsoft Office Word</Application>
  <DocSecurity>4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Osvalds Tautietis</dc:creator>
  <cp:lastModifiedBy>Inese Rostoka</cp:lastModifiedBy>
  <cp:revision>2</cp:revision>
  <dcterms:created xsi:type="dcterms:W3CDTF">2019-04-04T13:37:00Z</dcterms:created>
  <dcterms:modified xsi:type="dcterms:W3CDTF">2019-04-04T13:37:00Z</dcterms:modified>
</cp:coreProperties>
</file>