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2D80" w14:textId="4AE9C6E6" w:rsidR="00275CEC" w:rsidRPr="003E0A68" w:rsidRDefault="00D77315" w:rsidP="007A6600">
      <w:pPr>
        <w:shd w:val="clear" w:color="auto" w:fill="FFFFFF"/>
        <w:spacing w:after="120" w:line="240" w:lineRule="auto"/>
        <w:jc w:val="center"/>
        <w:rPr>
          <w:rFonts w:ascii="Times New Roman" w:eastAsia="Times New Roman" w:hAnsi="Times New Roman" w:cs="Times New Roman"/>
          <w:b/>
          <w:bCs/>
          <w:sz w:val="26"/>
          <w:szCs w:val="26"/>
          <w:lang w:eastAsia="lv-LV"/>
        </w:rPr>
      </w:pPr>
      <w:bookmarkStart w:id="0" w:name="_GoBack"/>
      <w:bookmarkEnd w:id="0"/>
      <w:r w:rsidRPr="00DB6346">
        <w:rPr>
          <w:rFonts w:ascii="Times New Roman" w:eastAsia="Times New Roman" w:hAnsi="Times New Roman" w:cs="Times New Roman"/>
          <w:b/>
          <w:bCs/>
          <w:sz w:val="26"/>
          <w:szCs w:val="26"/>
          <w:lang w:eastAsia="lv-LV"/>
        </w:rPr>
        <w:t>Ministru kabineta noteikumu projekta “</w:t>
      </w:r>
      <w:r w:rsidR="007A6600" w:rsidRPr="007A6600">
        <w:rPr>
          <w:rFonts w:ascii="Times New Roman" w:eastAsia="Times New Roman" w:hAnsi="Times New Roman" w:cs="Times New Roman"/>
          <w:b/>
          <w:bCs/>
          <w:sz w:val="26"/>
          <w:szCs w:val="26"/>
          <w:lang w:eastAsia="lv-LV"/>
        </w:rPr>
        <w:t>Noteikumi par patērētāju informēšanu par transporta enerģijas veidu, sastāvu, īpašībām un salīdzināmajām cenām</w:t>
      </w:r>
      <w:r w:rsidRPr="00DB6346">
        <w:rPr>
          <w:rFonts w:ascii="Times New Roman" w:eastAsia="Times New Roman" w:hAnsi="Times New Roman" w:cs="Times New Roman"/>
          <w:b/>
          <w:bCs/>
          <w:sz w:val="26"/>
          <w:szCs w:val="26"/>
          <w:lang w:eastAsia="lv-LV"/>
        </w:rPr>
        <w:t>” sākotnējās ietekmes novērtējuma ziņojums (anotācija)</w:t>
      </w:r>
      <w:r w:rsidR="00C77E76">
        <w:rPr>
          <w:rFonts w:ascii="Times New Roman" w:eastAsia="Times New Roman" w:hAnsi="Times New Roman" w:cs="Times New Roman"/>
          <w:b/>
          <w:bCs/>
          <w:sz w:val="26"/>
          <w:szCs w:val="26"/>
          <w:lang w:eastAsia="lv-LV"/>
        </w:rPr>
        <w:t xml:space="preserve"> </w:t>
      </w:r>
    </w:p>
    <w:tbl>
      <w:tblPr>
        <w:tblStyle w:val="TableGrid"/>
        <w:tblW w:w="5000" w:type="pct"/>
        <w:tblLook w:val="04A0" w:firstRow="1" w:lastRow="0" w:firstColumn="1" w:lastColumn="0" w:noHBand="0" w:noVBand="1"/>
      </w:tblPr>
      <w:tblGrid>
        <w:gridCol w:w="2308"/>
        <w:gridCol w:w="7036"/>
      </w:tblGrid>
      <w:tr w:rsidR="008D3E90" w14:paraId="6401D0E0" w14:textId="77777777" w:rsidTr="00596EE6">
        <w:tc>
          <w:tcPr>
            <w:tcW w:w="0" w:type="auto"/>
            <w:gridSpan w:val="2"/>
            <w:hideMark/>
          </w:tcPr>
          <w:p w14:paraId="44574BC0" w14:textId="77777777" w:rsidR="00655F2C" w:rsidRPr="00503667" w:rsidRDefault="00D77315" w:rsidP="00A01748">
            <w:pPr>
              <w:spacing w:before="60" w:after="60"/>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Tiesību akta projekta anotācijas kopsavilkums</w:t>
            </w:r>
          </w:p>
        </w:tc>
      </w:tr>
      <w:tr w:rsidR="001B3673" w14:paraId="0FCFD487" w14:textId="77777777" w:rsidTr="00596EE6">
        <w:tc>
          <w:tcPr>
            <w:tcW w:w="1223" w:type="pct"/>
            <w:hideMark/>
          </w:tcPr>
          <w:p w14:paraId="34B71032" w14:textId="1E18FB77" w:rsidR="001B3673" w:rsidRPr="00503667" w:rsidRDefault="001B3673"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18A7F240" w14:textId="4B3BFBC9" w:rsidR="007A6600" w:rsidRDefault="00D80395" w:rsidP="00A01748">
            <w:pPr>
              <w:spacing w:before="60" w:after="60"/>
              <w:jc w:val="both"/>
              <w:rPr>
                <w:rFonts w:ascii="Times New Roman" w:hAnsi="Times New Roman" w:cs="Times New Roman"/>
                <w:sz w:val="24"/>
                <w:szCs w:val="24"/>
              </w:rPr>
            </w:pPr>
            <w:bookmarkStart w:id="1" w:name="_Hlk518645482"/>
            <w:r>
              <w:rPr>
                <w:rFonts w:ascii="Times New Roman" w:hAnsi="Times New Roman" w:cs="Times New Roman"/>
                <w:sz w:val="24"/>
                <w:szCs w:val="24"/>
              </w:rPr>
              <w:t>Ministru kabineta noteikumu projekts “</w:t>
            </w:r>
            <w:r w:rsidRPr="00D80395">
              <w:rPr>
                <w:rFonts w:ascii="Times New Roman" w:hAnsi="Times New Roman" w:cs="Times New Roman"/>
                <w:sz w:val="24"/>
                <w:szCs w:val="24"/>
              </w:rPr>
              <w:t>Noteikumi par patērētāju informēšanu par transporta enerģijas veidu, sastāvu, īpašībām un salīdzināmajām cenām</w:t>
            </w:r>
            <w:r>
              <w:rPr>
                <w:rFonts w:ascii="Times New Roman" w:hAnsi="Times New Roman" w:cs="Times New Roman"/>
                <w:sz w:val="24"/>
                <w:szCs w:val="24"/>
              </w:rPr>
              <w:t>” (turpmāk – noteikumu projekts), ir izstrādāts, lai vienā tiesību aktā iekļautu nosacījumus, kas attiecas uz patērētāju informēšanu par transporta enerģiju – informēšana par transporta enerģijas kvalitāti, par transporta enerģijas (degvielas) saturu</w:t>
            </w:r>
            <w:r w:rsidR="00A01748">
              <w:rPr>
                <w:rFonts w:ascii="Times New Roman" w:hAnsi="Times New Roman" w:cs="Times New Roman"/>
                <w:sz w:val="24"/>
                <w:szCs w:val="24"/>
              </w:rPr>
              <w:t>, kā arī par transporta enerģijas cenu salīdzināmās vienībās.</w:t>
            </w:r>
          </w:p>
          <w:p w14:paraId="45A76876" w14:textId="77777777" w:rsidR="00D80395" w:rsidRPr="009F530A" w:rsidRDefault="00D80395" w:rsidP="00A01748">
            <w:pPr>
              <w:spacing w:before="60" w:after="60"/>
              <w:jc w:val="both"/>
              <w:rPr>
                <w:rFonts w:ascii="Times New Roman" w:hAnsi="Times New Roman" w:cs="Times New Roman"/>
                <w:sz w:val="24"/>
                <w:szCs w:val="24"/>
              </w:rPr>
            </w:pPr>
            <w:r w:rsidRPr="009F530A">
              <w:rPr>
                <w:rFonts w:ascii="Times New Roman" w:hAnsi="Times New Roman" w:cs="Times New Roman"/>
                <w:sz w:val="24"/>
                <w:szCs w:val="24"/>
              </w:rPr>
              <w:t>Noteikumu projektā ietvertās normas izriet no likum</w:t>
            </w:r>
            <w:r>
              <w:rPr>
                <w:rFonts w:ascii="Times New Roman" w:hAnsi="Times New Roman" w:cs="Times New Roman"/>
                <w:sz w:val="24"/>
                <w:szCs w:val="24"/>
              </w:rPr>
              <w:t xml:space="preserve">a </w:t>
            </w:r>
            <w:r w:rsidRPr="009F530A">
              <w:rPr>
                <w:rFonts w:ascii="Times New Roman" w:hAnsi="Times New Roman" w:cs="Times New Roman"/>
                <w:sz w:val="24"/>
                <w:szCs w:val="24"/>
              </w:rPr>
              <w:t>“Transporta enerģijas likums”</w:t>
            </w:r>
            <w:r>
              <w:rPr>
                <w:rStyle w:val="FootnoteReference"/>
                <w:rFonts w:ascii="Times New Roman" w:hAnsi="Times New Roman" w:cs="Times New Roman"/>
                <w:sz w:val="24"/>
                <w:szCs w:val="24"/>
              </w:rPr>
              <w:footnoteReference w:id="1"/>
            </w:r>
            <w:r w:rsidRPr="009F530A">
              <w:rPr>
                <w:rFonts w:ascii="Times New Roman" w:hAnsi="Times New Roman" w:cs="Times New Roman"/>
                <w:sz w:val="24"/>
                <w:szCs w:val="24"/>
              </w:rPr>
              <w:t xml:space="preserve">  (turpmāk – Likums). </w:t>
            </w:r>
          </w:p>
          <w:p w14:paraId="6F043771" w14:textId="425F5FFE" w:rsidR="001B3673" w:rsidRPr="00503667" w:rsidRDefault="00D80395" w:rsidP="00A01748">
            <w:pPr>
              <w:spacing w:before="60" w:after="60"/>
              <w:jc w:val="both"/>
              <w:rPr>
                <w:rFonts w:ascii="Times New Roman" w:hAnsi="Times New Roman" w:cs="Times New Roman"/>
                <w:sz w:val="24"/>
                <w:szCs w:val="24"/>
              </w:rPr>
            </w:pPr>
            <w:r>
              <w:rPr>
                <w:rFonts w:ascii="Times New Roman" w:hAnsi="Times New Roman" w:cs="Times New Roman"/>
                <w:sz w:val="24"/>
                <w:szCs w:val="24"/>
              </w:rPr>
              <w:t>Noteikumu projekts tiks virzīts apstiprināšanai Ministru kabinetā pēc Likuma spēkā stāšanās.</w:t>
            </w:r>
            <w:bookmarkEnd w:id="1"/>
          </w:p>
        </w:tc>
      </w:tr>
    </w:tbl>
    <w:p w14:paraId="3318F6DE"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401"/>
        <w:gridCol w:w="1949"/>
        <w:gridCol w:w="6994"/>
      </w:tblGrid>
      <w:tr w:rsidR="008D3E90" w14:paraId="65A625F5" w14:textId="77777777" w:rsidTr="00451D24">
        <w:tc>
          <w:tcPr>
            <w:tcW w:w="0" w:type="auto"/>
            <w:gridSpan w:val="3"/>
            <w:hideMark/>
          </w:tcPr>
          <w:p w14:paraId="5FC3627C" w14:textId="77777777" w:rsidR="00655F2C" w:rsidRPr="00503667" w:rsidRDefault="00D77315" w:rsidP="00A01748">
            <w:pPr>
              <w:spacing w:before="60" w:after="60"/>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 Tiesību akta projekta izstrādes nepieciešamība</w:t>
            </w:r>
          </w:p>
        </w:tc>
      </w:tr>
      <w:tr w:rsidR="00473A61" w:rsidRPr="00451D24" w14:paraId="7FB6F25B" w14:textId="77777777" w:rsidTr="007A6600">
        <w:tc>
          <w:tcPr>
            <w:tcW w:w="301" w:type="pct"/>
            <w:hideMark/>
          </w:tcPr>
          <w:p w14:paraId="320B0BF6" w14:textId="77777777" w:rsidR="00473A61" w:rsidRPr="00451D24" w:rsidRDefault="00473A61"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1.</w:t>
            </w:r>
          </w:p>
        </w:tc>
        <w:tc>
          <w:tcPr>
            <w:tcW w:w="870" w:type="pct"/>
            <w:hideMark/>
          </w:tcPr>
          <w:p w14:paraId="6CD69BAE" w14:textId="77777777" w:rsidR="00473A61" w:rsidRPr="00451D24" w:rsidRDefault="00473A61"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Pamatojums</w:t>
            </w:r>
          </w:p>
        </w:tc>
        <w:tc>
          <w:tcPr>
            <w:tcW w:w="3829" w:type="pct"/>
          </w:tcPr>
          <w:p w14:paraId="0DA4A0BC" w14:textId="7C02BFE3" w:rsidR="00451D24" w:rsidRPr="00451D24" w:rsidRDefault="00A01748" w:rsidP="00A01748">
            <w:pPr>
              <w:spacing w:before="60" w:after="60"/>
              <w:jc w:val="both"/>
              <w:rPr>
                <w:rFonts w:ascii="Times New Roman" w:hAnsi="Times New Roman" w:cs="Times New Roman"/>
                <w:sz w:val="24"/>
                <w:szCs w:val="24"/>
              </w:rPr>
            </w:pPr>
            <w:r>
              <w:rPr>
                <w:rFonts w:ascii="Times New Roman" w:hAnsi="Times New Roman" w:cs="Times New Roman"/>
                <w:sz w:val="24"/>
                <w:szCs w:val="24"/>
              </w:rPr>
              <w:t>Likuma 7</w:t>
            </w:r>
            <w:r w:rsidRPr="00A01748">
              <w:rPr>
                <w:rFonts w:ascii="Times New Roman" w:hAnsi="Times New Roman" w:cs="Times New Roman"/>
                <w:sz w:val="24"/>
                <w:szCs w:val="24"/>
              </w:rPr>
              <w:t>.panta septīt</w:t>
            </w:r>
            <w:r w:rsidR="0089177E">
              <w:rPr>
                <w:rFonts w:ascii="Times New Roman" w:hAnsi="Times New Roman" w:cs="Times New Roman"/>
                <w:sz w:val="24"/>
                <w:szCs w:val="24"/>
              </w:rPr>
              <w:t>ā</w:t>
            </w:r>
            <w:r w:rsidRPr="00A01748">
              <w:rPr>
                <w:rFonts w:ascii="Times New Roman" w:hAnsi="Times New Roman" w:cs="Times New Roman"/>
                <w:sz w:val="24"/>
                <w:szCs w:val="24"/>
              </w:rPr>
              <w:t xml:space="preserve"> daļ</w:t>
            </w:r>
            <w:r w:rsidR="0089177E">
              <w:rPr>
                <w:rFonts w:ascii="Times New Roman" w:hAnsi="Times New Roman" w:cs="Times New Roman"/>
                <w:sz w:val="24"/>
                <w:szCs w:val="24"/>
              </w:rPr>
              <w:t>a.</w:t>
            </w:r>
          </w:p>
        </w:tc>
      </w:tr>
      <w:tr w:rsidR="008D3E90" w:rsidRPr="00451D24" w14:paraId="416657D3" w14:textId="77777777" w:rsidTr="00451D24">
        <w:tc>
          <w:tcPr>
            <w:tcW w:w="301" w:type="pct"/>
            <w:hideMark/>
          </w:tcPr>
          <w:p w14:paraId="287C97C1" w14:textId="77777777" w:rsidR="00D91D02" w:rsidRPr="00451D24" w:rsidRDefault="00D77315"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2.</w:t>
            </w:r>
          </w:p>
        </w:tc>
        <w:tc>
          <w:tcPr>
            <w:tcW w:w="870" w:type="pct"/>
            <w:hideMark/>
          </w:tcPr>
          <w:p w14:paraId="4ED682FB" w14:textId="77777777" w:rsidR="00D91D02" w:rsidRPr="00451D24" w:rsidRDefault="00D77315" w:rsidP="00A01748">
            <w:pPr>
              <w:spacing w:before="60" w:after="60"/>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829" w:type="pct"/>
          </w:tcPr>
          <w:p w14:paraId="6D132119" w14:textId="423D3AA8" w:rsidR="00507133" w:rsidRPr="006877C3" w:rsidRDefault="00535E0A" w:rsidP="0088589E">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Likumā ir iekļauts deleģējums Ministru kabinetam noteikt uz degvielas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staciju,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vai uzlādes punktu, vai citu transporta enerģijas tirdzniecības vietu attiecināmās prasības patērētāju informēšanai par transporta enerģijas veidu, sastāvu, īpašībām un salīdzināmajām cenām. Šobrīd daļa no šīm prasībām ir iekļauta Ministru kabineta 2000.gada 26.septembra noteikumu Nr.332 “Noteikumi par benzīna un dīzeļdegvielas atbilstības novērtēšanu” (turpmāk – Noteikumi Nr.332), Ministru kabineta 2005.gada 18.oktobra Nr.772 “Noteikumi par biodegvielas kvalitātes prasībām, atbilstības novērtēšanu, tirgus uzraudzību un patērētāju informēšanas kārtību” (turpmāk – Noteikumi Nr.772) un Ministru kabineta 2018.gada 6.februāra noteikumos Nr.78 “Prasības </w:t>
            </w:r>
            <w:proofErr w:type="spellStart"/>
            <w:r w:rsidRPr="006877C3">
              <w:rPr>
                <w:rFonts w:ascii="Times New Roman" w:hAnsi="Times New Roman" w:cs="Times New Roman"/>
                <w:sz w:val="24"/>
                <w:szCs w:val="24"/>
              </w:rPr>
              <w:t>elektrotransportlīdzekļu</w:t>
            </w:r>
            <w:proofErr w:type="spellEnd"/>
            <w:r w:rsidRPr="006877C3">
              <w:rPr>
                <w:rFonts w:ascii="Times New Roman" w:hAnsi="Times New Roman" w:cs="Times New Roman"/>
                <w:sz w:val="24"/>
                <w:szCs w:val="24"/>
              </w:rPr>
              <w:t xml:space="preserve"> uzlādes, dabasgāzes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ūdeņraža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un krasta </w:t>
            </w:r>
            <w:proofErr w:type="spellStart"/>
            <w:r w:rsidRPr="006877C3">
              <w:rPr>
                <w:rFonts w:ascii="Times New Roman" w:hAnsi="Times New Roman" w:cs="Times New Roman"/>
                <w:sz w:val="24"/>
                <w:szCs w:val="24"/>
              </w:rPr>
              <w:t>elektropadeves</w:t>
            </w:r>
            <w:proofErr w:type="spellEnd"/>
            <w:r w:rsidRPr="006877C3">
              <w:rPr>
                <w:rFonts w:ascii="Times New Roman" w:hAnsi="Times New Roman" w:cs="Times New Roman"/>
                <w:sz w:val="24"/>
                <w:szCs w:val="24"/>
              </w:rPr>
              <w:t xml:space="preserve"> iekārtām” (turpmāk – Noteikumi Nr.78).</w:t>
            </w:r>
          </w:p>
          <w:p w14:paraId="42001D37" w14:textId="182C9262" w:rsidR="006877C3" w:rsidRDefault="006877C3">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Noteikumu projekts ir izstrādāts, lai vienkopus izteiktu visas prasības, kas degvielas piegādātājiem, uzlādes vai </w:t>
            </w:r>
            <w:proofErr w:type="spellStart"/>
            <w:r w:rsidRPr="006877C3">
              <w:rPr>
                <w:rFonts w:ascii="Times New Roman" w:hAnsi="Times New Roman" w:cs="Times New Roman"/>
                <w:sz w:val="24"/>
                <w:szCs w:val="24"/>
              </w:rPr>
              <w:t>uzpildes</w:t>
            </w:r>
            <w:proofErr w:type="spellEnd"/>
            <w:r w:rsidRPr="006877C3">
              <w:rPr>
                <w:rFonts w:ascii="Times New Roman" w:hAnsi="Times New Roman" w:cs="Times New Roman"/>
                <w:sz w:val="24"/>
                <w:szCs w:val="24"/>
              </w:rPr>
              <w:t xml:space="preserve"> staciju operatoriem ir noteikti attiecībā uz patērētāju informēšanu.</w:t>
            </w:r>
          </w:p>
          <w:p w14:paraId="00F88608" w14:textId="54A23332" w:rsidR="00FC549B" w:rsidRDefault="00FC549B">
            <w:pPr>
              <w:spacing w:before="60" w:after="60"/>
              <w:ind w:right="79"/>
              <w:jc w:val="both"/>
              <w:rPr>
                <w:rFonts w:ascii="Times New Roman" w:hAnsi="Times New Roman" w:cs="Times New Roman"/>
                <w:sz w:val="24"/>
                <w:szCs w:val="24"/>
              </w:rPr>
            </w:pPr>
            <w:r>
              <w:rPr>
                <w:rFonts w:ascii="Times New Roman" w:hAnsi="Times New Roman" w:cs="Times New Roman"/>
                <w:sz w:val="24"/>
                <w:szCs w:val="24"/>
              </w:rPr>
              <w:t xml:space="preserve">Noteikumu projekta II. nodaļā ir iekļauti šobrīd Noteikumos Nr.332 un Noteikumos Nr.772 iekļautie nosacījumi attiecībā uz informēšanu par </w:t>
            </w:r>
            <w:r w:rsidR="00882E3A">
              <w:rPr>
                <w:rFonts w:ascii="Times New Roman" w:hAnsi="Times New Roman" w:cs="Times New Roman"/>
                <w:sz w:val="24"/>
                <w:szCs w:val="24"/>
              </w:rPr>
              <w:t>transporta enerģijas kvalitāti, saturu, piejaukumu īpatsvaru, metālu piedevām u.c. Ir arī noteikts, ka transporta enerģijas kvalitāti apliecinošs dokuments ir jāuzrāda patērētājam vai kompetentajai iestādei pēc to pieprasījuma. Šis dokuments būtu jāuzrāda</w:t>
            </w:r>
            <w:r w:rsidR="00C03AB1">
              <w:rPr>
                <w:rFonts w:ascii="Times New Roman" w:hAnsi="Times New Roman" w:cs="Times New Roman"/>
                <w:sz w:val="24"/>
                <w:szCs w:val="24"/>
              </w:rPr>
              <w:t xml:space="preserve"> gan patērētājam, ja viņš to pieprasa, jo patērētājam ir tiesības uzzināt izmantotās transporta enerģijas kvalitātes datus, kā arī kompetentajai iestādei, kas būtu Būvniecības valsts kontroles birojs, Patērētāju </w:t>
            </w:r>
            <w:r w:rsidR="00C03AB1">
              <w:rPr>
                <w:rFonts w:ascii="Times New Roman" w:hAnsi="Times New Roman" w:cs="Times New Roman"/>
                <w:sz w:val="24"/>
                <w:szCs w:val="24"/>
              </w:rPr>
              <w:lastRenderedPageBreak/>
              <w:t>tiesību aizsardzības centrs, Valsts vides dienests vai Valsts ieņēmumu dienests.</w:t>
            </w:r>
          </w:p>
          <w:p w14:paraId="6D92EBD0" w14:textId="4D9B77EE" w:rsidR="00740879" w:rsidRPr="006877C3" w:rsidRDefault="00740879" w:rsidP="0088589E">
            <w:pPr>
              <w:spacing w:before="60" w:after="60"/>
              <w:ind w:right="79"/>
              <w:jc w:val="both"/>
              <w:rPr>
                <w:rFonts w:ascii="Times New Roman" w:hAnsi="Times New Roman" w:cs="Times New Roman"/>
                <w:sz w:val="24"/>
                <w:szCs w:val="24"/>
              </w:rPr>
            </w:pPr>
            <w:r>
              <w:rPr>
                <w:rFonts w:ascii="Times New Roman" w:hAnsi="Times New Roman" w:cs="Times New Roman"/>
                <w:sz w:val="24"/>
                <w:szCs w:val="24"/>
              </w:rPr>
              <w:t>Tāpat Noteikumu projektā ir iekļauti nosacījumi, kas papildina Ministru kabineta 2005.gada 30.augusta noteikumos Nr.662 “Akcīzes preču aprites kārtība” iekļautos nosacījumus attiecībā uz speciālās atļaujas (licences) izvietošanu, nosakot, ka tā ir jāizvieto arī transporta enerģijas uzglabāšanas vietā, kā arī nosakot, ka pēc pieprasījuma var uzrādīt ne tikai speciālās atļaujas (licences) oriģināls papīra formātā, bet arī elektroniskā dokumenta, kas parakstīts ar drošu elektronisko parakstu, formātā</w:t>
            </w:r>
          </w:p>
          <w:p w14:paraId="355E57D3" w14:textId="73BEA26B" w:rsidR="00E07D1D" w:rsidRDefault="00E07D1D">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Noteikumu projekta II nodaļā iekļauto pienākumu izpildi uzraudzīs Patērētāju tiesību aizsardzības centrs vienlaikus ar uzraudzības darbībām, kas veiktas likuma “Par bīstamo iekārtu tehnisko uzraudzību” ietvaros.</w:t>
            </w:r>
          </w:p>
          <w:p w14:paraId="7369C8FF" w14:textId="09EC987A" w:rsidR="00740879" w:rsidRPr="006877C3" w:rsidRDefault="00740879" w:rsidP="0088589E">
            <w:pPr>
              <w:spacing w:before="60" w:after="60"/>
              <w:ind w:right="79"/>
              <w:jc w:val="both"/>
              <w:rPr>
                <w:rFonts w:ascii="Times New Roman" w:hAnsi="Times New Roman" w:cs="Times New Roman"/>
                <w:sz w:val="24"/>
                <w:szCs w:val="24"/>
              </w:rPr>
            </w:pPr>
            <w:r>
              <w:rPr>
                <w:rFonts w:ascii="Times New Roman" w:hAnsi="Times New Roman" w:cs="Times New Roman"/>
                <w:sz w:val="24"/>
                <w:szCs w:val="24"/>
              </w:rPr>
              <w:t>Noteikumu projekta III. nodaļā iekļauti nosacījumi, kādā veidā tiek aprēķināta un patērētājiem darīta zināma informācija par transporta enerģijas cenām tādā veidā, kas būtu viegli salīdzināms, lai patērētājiem būtu iespēja izvērtēt dažādu transporta enerģijas veidu priekšrocības.</w:t>
            </w:r>
          </w:p>
          <w:p w14:paraId="4A1A5974" w14:textId="7A8AF9CE" w:rsidR="00535E0A" w:rsidRPr="006877C3" w:rsidRDefault="00535E0A" w:rsidP="0088589E">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Noteikumos Nr.78 nav iekļauti detalizēti nosacījumi, kā tiek aprēķināta un darīta patērētājiem pieejama informācija par transporta enerģijas cenām salīdzināmās vienībās, kur šī prasība izriet no Eiropas Parlamenta un Padomes 2014.gada 22.oktobra direktīvas Nr.2014/94/ES par alternatīvo degvielu infrastruktūras ieviešanu (turpmāk – Direktīva 2014/94/ES) 7.panta 3.punkta.</w:t>
            </w:r>
          </w:p>
          <w:p w14:paraId="79DE13B0" w14:textId="55C3FCC6" w:rsidR="00535E0A" w:rsidRPr="006877C3" w:rsidRDefault="00535E0A" w:rsidP="0088589E">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Tikai 2018.gada 17.maijā tika pieņemta Komisijas īstenošanas regula Nr.2018/732 par kopīgu metodoloģiju alternatīvu degvielu vienības cenu salīdzināšanai saskaņā ar Eiropas Parlamenta un Padomes Direktīvu 2014/94/ES (turpmāk – Regula 2018/732), kas nosaka metodoloģiju šādu cenu salīdzināmās vienībās aprēķinam, vienlaikus šajā regulā iekļautā metodoloģija ir ļoti vienkāršota. Lai palīdzētu Eiropas Savienības dalībvalstīm izpildīt direktīvas 2014/94/ES prasības un lai palīdzētu īstenot Regulas 2018/732 prasības, Eiropas Komisija ir finansējusi projektu pieejama “</w:t>
            </w:r>
            <w:proofErr w:type="spellStart"/>
            <w:r w:rsidRPr="006877C3">
              <w:rPr>
                <w:rFonts w:ascii="Times New Roman" w:hAnsi="Times New Roman" w:cs="Times New Roman"/>
                <w:i/>
                <w:iCs/>
                <w:sz w:val="24"/>
                <w:szCs w:val="24"/>
              </w:rPr>
              <w:t>Programme</w:t>
            </w:r>
            <w:proofErr w:type="spellEnd"/>
            <w:r w:rsidRPr="006877C3">
              <w:rPr>
                <w:rFonts w:ascii="Times New Roman" w:hAnsi="Times New Roman" w:cs="Times New Roman"/>
                <w:i/>
                <w:iCs/>
                <w:sz w:val="24"/>
                <w:szCs w:val="24"/>
              </w:rPr>
              <w:t xml:space="preserve"> Support </w:t>
            </w:r>
            <w:proofErr w:type="spellStart"/>
            <w:r w:rsidRPr="006877C3">
              <w:rPr>
                <w:rFonts w:ascii="Times New Roman" w:hAnsi="Times New Roman" w:cs="Times New Roman"/>
                <w:i/>
                <w:iCs/>
                <w:sz w:val="24"/>
                <w:szCs w:val="24"/>
              </w:rPr>
              <w:t>Action</w:t>
            </w:r>
            <w:proofErr w:type="spellEnd"/>
            <w:r w:rsidRPr="006877C3">
              <w:rPr>
                <w:rFonts w:ascii="Times New Roman" w:hAnsi="Times New Roman" w:cs="Times New Roman"/>
                <w:i/>
                <w:iCs/>
                <w:sz w:val="24"/>
                <w:szCs w:val="24"/>
              </w:rPr>
              <w:t xml:space="preserve"> (PSA): </w:t>
            </w:r>
            <w:proofErr w:type="spellStart"/>
            <w:r w:rsidRPr="006877C3">
              <w:rPr>
                <w:rFonts w:ascii="Times New Roman" w:hAnsi="Times New Roman" w:cs="Times New Roman"/>
                <w:i/>
                <w:iCs/>
                <w:sz w:val="24"/>
                <w:szCs w:val="24"/>
              </w:rPr>
              <w:t>Assisting</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Member</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States</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the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implementation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of</w:t>
            </w:r>
            <w:proofErr w:type="spellEnd"/>
            <w:r w:rsidRPr="006877C3">
              <w:rPr>
                <w:rFonts w:ascii="Times New Roman" w:hAnsi="Times New Roman" w:cs="Times New Roman"/>
                <w:i/>
                <w:iCs/>
                <w:sz w:val="24"/>
                <w:szCs w:val="24"/>
              </w:rPr>
              <w:t xml:space="preserve"> a </w:t>
            </w:r>
            <w:proofErr w:type="spellStart"/>
            <w:r w:rsidRPr="006877C3">
              <w:rPr>
                <w:rFonts w:ascii="Times New Roman" w:hAnsi="Times New Roman" w:cs="Times New Roman"/>
                <w:i/>
                <w:iCs/>
                <w:sz w:val="24"/>
                <w:szCs w:val="24"/>
              </w:rPr>
              <w:t>common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methodology</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for</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alternative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fuels</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unit</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price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comparison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in</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accordance</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with</w:t>
            </w:r>
            <w:proofErr w:type="spellEnd"/>
            <w:r w:rsidRPr="006877C3">
              <w:rPr>
                <w:rFonts w:ascii="Times New Roman" w:hAnsi="Times New Roman" w:cs="Times New Roman"/>
                <w:i/>
                <w:iCs/>
                <w:sz w:val="24"/>
                <w:szCs w:val="24"/>
              </w:rPr>
              <w:t xml:space="preserve"> </w:t>
            </w:r>
            <w:proofErr w:type="spellStart"/>
            <w:r w:rsidRPr="006877C3">
              <w:rPr>
                <w:rFonts w:ascii="Times New Roman" w:hAnsi="Times New Roman" w:cs="Times New Roman"/>
                <w:i/>
                <w:iCs/>
                <w:sz w:val="24"/>
                <w:szCs w:val="24"/>
              </w:rPr>
              <w:t>Directive</w:t>
            </w:r>
            <w:proofErr w:type="spellEnd"/>
            <w:r w:rsidRPr="006877C3">
              <w:rPr>
                <w:rFonts w:ascii="Times New Roman" w:hAnsi="Times New Roman" w:cs="Times New Roman"/>
                <w:i/>
                <w:iCs/>
                <w:sz w:val="24"/>
                <w:szCs w:val="24"/>
              </w:rPr>
              <w:t xml:space="preserve"> 2014/94/EU “FPC4Consumers</w:t>
            </w:r>
            <w:r w:rsidRPr="006877C3">
              <w:rPr>
                <w:rFonts w:ascii="Times New Roman" w:hAnsi="Times New Roman" w:cs="Times New Roman"/>
                <w:sz w:val="24"/>
                <w:szCs w:val="24"/>
              </w:rPr>
              <w:t>””</w:t>
            </w:r>
            <w:r w:rsidR="000A414D" w:rsidRPr="006877C3">
              <w:rPr>
                <w:rFonts w:ascii="Times New Roman" w:hAnsi="Times New Roman" w:cs="Times New Roman"/>
                <w:sz w:val="24"/>
                <w:szCs w:val="24"/>
              </w:rPr>
              <w:t>, kura ietvaros tiek izstrādātas detalizētas vadlīnijas cenu salīdzināmo vienību aprēķinam</w:t>
            </w:r>
            <w:r w:rsidR="003F04E4" w:rsidRPr="006877C3">
              <w:rPr>
                <w:rFonts w:ascii="Times New Roman" w:hAnsi="Times New Roman" w:cs="Times New Roman"/>
                <w:sz w:val="24"/>
                <w:szCs w:val="24"/>
              </w:rPr>
              <w:t>, un tikai no šīm vadlīnijām ir skaidrs, kā cenas salīdzināmās vienībās būtu jāaprēķina un kādi dati tajos ir jāizmanto</w:t>
            </w:r>
            <w:r w:rsidR="000A414D" w:rsidRPr="006877C3">
              <w:rPr>
                <w:rFonts w:ascii="Times New Roman" w:hAnsi="Times New Roman" w:cs="Times New Roman"/>
                <w:sz w:val="24"/>
                <w:szCs w:val="24"/>
              </w:rPr>
              <w:t>.</w:t>
            </w:r>
            <w:r w:rsidR="00246E6B" w:rsidRPr="006877C3">
              <w:rPr>
                <w:rFonts w:ascii="Times New Roman" w:hAnsi="Times New Roman" w:cs="Times New Roman"/>
                <w:sz w:val="24"/>
                <w:szCs w:val="24"/>
              </w:rPr>
              <w:t xml:space="preserve"> Noteikumu projekts paredz, ka minētās vadlīnijas, lai gan ir saistošas tikai valsts iestādēm, tiek publicētas arī Ekonomikas ministrijas tīmekļvietnē, lai sabiedrībai ir iespējams iepazīties ar to, kā cenas salīdzināmās vienībās tiek aprēķinātas.</w:t>
            </w:r>
            <w:r w:rsidRPr="006877C3">
              <w:rPr>
                <w:rFonts w:ascii="Times New Roman" w:hAnsi="Times New Roman" w:cs="Times New Roman"/>
                <w:sz w:val="24"/>
                <w:szCs w:val="24"/>
              </w:rPr>
              <w:t xml:space="preserve">  </w:t>
            </w:r>
          </w:p>
          <w:p w14:paraId="298975DF" w14:textId="77777777" w:rsidR="00535E0A" w:rsidRPr="006877C3" w:rsidRDefault="006877C3" w:rsidP="0088589E">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 xml:space="preserve">Cenu salīdzināmās vienībās aprēķinam ir nepieciešams izmantot datus par tehniskajā kārtībā esošo ceļa transporta transportlīdzekļu skaitu sadalījumā pa transportlīdzekļu modeļiem automobiļu segmentos – mazā klase, kompaktā klase, vidējā un lielā klase, apvidus automobiļu klase un </w:t>
            </w:r>
            <w:proofErr w:type="spellStart"/>
            <w:r w:rsidRPr="006877C3">
              <w:rPr>
                <w:rFonts w:ascii="Times New Roman" w:hAnsi="Times New Roman" w:cs="Times New Roman"/>
                <w:sz w:val="24"/>
                <w:szCs w:val="24"/>
              </w:rPr>
              <w:t>daudzfukciju</w:t>
            </w:r>
            <w:proofErr w:type="spellEnd"/>
            <w:r w:rsidRPr="006877C3">
              <w:rPr>
                <w:rFonts w:ascii="Times New Roman" w:hAnsi="Times New Roman" w:cs="Times New Roman"/>
                <w:sz w:val="24"/>
                <w:szCs w:val="24"/>
              </w:rPr>
              <w:t xml:space="preserve"> automobiļu klase un patērētā degvielas veida – dīzeļdegviela, benzīns, sašķidrinātā naftas gāze, tikai dabasgāze, tikai </w:t>
            </w:r>
            <w:r w:rsidRPr="006877C3">
              <w:rPr>
                <w:rFonts w:ascii="Times New Roman" w:hAnsi="Times New Roman" w:cs="Times New Roman"/>
                <w:sz w:val="24"/>
                <w:szCs w:val="24"/>
              </w:rPr>
              <w:lastRenderedPageBreak/>
              <w:t>elektroenerģija, tikai ūdeņradi, kur šādus datus var sniegt Ceļu satiksmes drošības direkcija.</w:t>
            </w:r>
          </w:p>
          <w:p w14:paraId="7E0F9289" w14:textId="77777777" w:rsidR="006877C3" w:rsidRDefault="006877C3" w:rsidP="006877C3">
            <w:pPr>
              <w:spacing w:before="60" w:after="60"/>
              <w:ind w:right="79"/>
              <w:jc w:val="both"/>
              <w:rPr>
                <w:rFonts w:ascii="Times New Roman" w:hAnsi="Times New Roman" w:cs="Times New Roman"/>
                <w:sz w:val="24"/>
                <w:szCs w:val="24"/>
              </w:rPr>
            </w:pPr>
            <w:r w:rsidRPr="006877C3">
              <w:rPr>
                <w:rFonts w:ascii="Times New Roman" w:hAnsi="Times New Roman" w:cs="Times New Roman"/>
                <w:sz w:val="24"/>
                <w:szCs w:val="24"/>
              </w:rPr>
              <w:t>Tāpat ir nepieciešami dati par transporta enerģijas vidējo mazumtirdzniecības cenu. Šobrīd dati par dažu transporta enerģijas veidu svērto aritmētisko cenu ir pieejama Centrālai statistikas pārvaldei.</w:t>
            </w:r>
            <w:r w:rsidRPr="0088589E">
              <w:rPr>
                <w:rFonts w:ascii="Times New Roman" w:hAnsi="Times New Roman" w:cs="Times New Roman"/>
                <w:sz w:val="24"/>
                <w:szCs w:val="24"/>
              </w:rPr>
              <w:t xml:space="preserve"> M</w:t>
            </w:r>
            <w:r w:rsidRPr="006877C3">
              <w:rPr>
                <w:rFonts w:ascii="Times New Roman" w:hAnsi="Times New Roman" w:cs="Times New Roman"/>
                <w:sz w:val="24"/>
                <w:szCs w:val="24"/>
              </w:rPr>
              <w:t xml:space="preserve">azumtirdzniecības cenas (faktiskās pārdošanas cenas mazumtirdzniecībā ieskaitot nodokļus un ņemot vērā atlaides, kas tiek piedāvātas visiem pircējiem) tiek vāktas katru mēnesi patēriņa cenu indeksa (turpmāk – PCI) </w:t>
            </w:r>
            <w:proofErr w:type="spellStart"/>
            <w:r w:rsidRPr="006877C3">
              <w:rPr>
                <w:rFonts w:ascii="Times New Roman" w:hAnsi="Times New Roman" w:cs="Times New Roman"/>
                <w:sz w:val="24"/>
                <w:szCs w:val="24"/>
              </w:rPr>
              <w:t>apsekojuma</w:t>
            </w:r>
            <w:proofErr w:type="spellEnd"/>
            <w:r w:rsidRPr="006877C3">
              <w:rPr>
                <w:rFonts w:ascii="Times New Roman" w:hAnsi="Times New Roman" w:cs="Times New Roman"/>
                <w:sz w:val="24"/>
                <w:szCs w:val="24"/>
              </w:rPr>
              <w:t xml:space="preserve"> ietvaros. </w:t>
            </w:r>
            <w:proofErr w:type="spellStart"/>
            <w:r w:rsidRPr="006877C3">
              <w:rPr>
                <w:rFonts w:ascii="Times New Roman" w:hAnsi="Times New Roman" w:cs="Times New Roman"/>
                <w:sz w:val="24"/>
                <w:szCs w:val="24"/>
              </w:rPr>
              <w:t>Apsekojuma</w:t>
            </w:r>
            <w:proofErr w:type="spellEnd"/>
            <w:r w:rsidRPr="006877C3">
              <w:rPr>
                <w:rFonts w:ascii="Times New Roman" w:hAnsi="Times New Roman" w:cs="Times New Roman"/>
                <w:sz w:val="24"/>
                <w:szCs w:val="24"/>
              </w:rPr>
              <w:t xml:space="preserve"> mērķis nav iegūt vidējās cenas precēm un pakalpojumiem, bet gan aprēķināt vidējā cenu līmeņa pārmaiņas iedzīvotāju patēriņā nozīmīgākajām precēm un pakalpojumiem noteiktā laika periodā.</w:t>
            </w:r>
            <w:r>
              <w:rPr>
                <w:rFonts w:ascii="Times New Roman" w:hAnsi="Times New Roman" w:cs="Times New Roman"/>
                <w:sz w:val="24"/>
                <w:szCs w:val="24"/>
              </w:rPr>
              <w:t xml:space="preserve"> </w:t>
            </w:r>
            <w:r w:rsidRPr="006877C3">
              <w:rPr>
                <w:rFonts w:ascii="Times New Roman" w:hAnsi="Times New Roman" w:cs="Times New Roman"/>
                <w:sz w:val="24"/>
                <w:szCs w:val="24"/>
              </w:rPr>
              <w:t>Visas preces un pakalpojumi PCI grozā ir sagrupēti atbilstoši Eiropas individuālā patēriņa veidu klasifikācijai (ECOICOP). Individuālo preču un pakalpojumu izvēle katras ECOICOP apakšklases ietvaros netiek regulēta ar normatīvajiem aktiem, bet gan tiek veikta, balstoties uz PCI apkopošanas mērķi, metodoloģijas un kvalitātes prasībām, tai skaitā informāciju par iedzīvotāju izdevumu struktūru, nozaru statistiskas datiem, kā arī citu informāciju, kura nodrošina PCI groza reprezentativitātes uzturēšanu.</w:t>
            </w:r>
            <w:r>
              <w:rPr>
                <w:rFonts w:ascii="Times New Roman" w:hAnsi="Times New Roman" w:cs="Times New Roman"/>
                <w:sz w:val="24"/>
                <w:szCs w:val="24"/>
              </w:rPr>
              <w:t xml:space="preserve"> Vienlaikus a</w:t>
            </w:r>
            <w:r w:rsidRPr="006877C3">
              <w:rPr>
                <w:rFonts w:ascii="Times New Roman" w:hAnsi="Times New Roman" w:cs="Times New Roman"/>
                <w:sz w:val="24"/>
                <w:szCs w:val="24"/>
              </w:rPr>
              <w:t>tsevišķas mazumtirdzniecības cenas, tai skaitā degvielas cenas, kas ir publicētās Oficiālās statistikas portālā ir svērtās aritmētiskās cenas pārstāvjiem, kas viegli sagrupējami un aprakstāmi pēc kopīgām pazīmēm. Publicētās cenas var arī nereprezentēt valsts vidējās cenas, bet gan atspoguļo indikatīvu cenu līmeni precēm un pakalpojumiem noteiktās specifikācijas ietvaros, kurus parasti pērk pircēji visā valstī un no kuriem tādejādi tiek aprēķināts PCI.</w:t>
            </w:r>
            <w:r>
              <w:rPr>
                <w:rFonts w:ascii="Times New Roman" w:hAnsi="Times New Roman" w:cs="Times New Roman"/>
                <w:sz w:val="24"/>
                <w:szCs w:val="24"/>
              </w:rPr>
              <w:t xml:space="preserve"> </w:t>
            </w:r>
            <w:r w:rsidRPr="006877C3">
              <w:rPr>
                <w:rFonts w:ascii="Times New Roman" w:hAnsi="Times New Roman" w:cs="Times New Roman"/>
                <w:sz w:val="24"/>
                <w:szCs w:val="24"/>
              </w:rPr>
              <w:t>Šobrīd Oficiālās statistikas portālā ir pieejama informācija par 95. markas benzīna, 98. markas benzīna, dīzeļdegvielas un auto gāzes cenām.</w:t>
            </w:r>
          </w:p>
          <w:p w14:paraId="2E6059EB" w14:textId="5E437D24" w:rsidR="006877C3" w:rsidRPr="006877C3" w:rsidRDefault="006877C3" w:rsidP="0088589E">
            <w:pPr>
              <w:spacing w:before="60" w:after="60"/>
              <w:ind w:right="79"/>
              <w:jc w:val="both"/>
              <w:rPr>
                <w:rFonts w:ascii="Times New Roman" w:hAnsi="Times New Roman" w:cs="Times New Roman"/>
                <w:sz w:val="24"/>
                <w:szCs w:val="24"/>
              </w:rPr>
            </w:pPr>
            <w:r>
              <w:rPr>
                <w:rFonts w:ascii="Times New Roman" w:hAnsi="Times New Roman" w:cs="Times New Roman"/>
                <w:sz w:val="24"/>
                <w:szCs w:val="24"/>
              </w:rPr>
              <w:t xml:space="preserve">Ņemot vērā iepriekšminēto būs nepieciešams izstrādāt nosacījumus, kā iegūt tādu transporta enerģijas veidu kā dabasgāze, elektroenerģija un ūdeņradis vidējo mazumtirdzniecības cenu, vienlaikus ņemot vērā, ka dabasgāzes un elektroenerģijas kā transporta enerģijas patēriņš arvien palielinās, un šie transporta enerģijas veidi būs jāņem vērā arī iespējams būs jāiekļauj PCI </w:t>
            </w:r>
            <w:proofErr w:type="spellStart"/>
            <w:r>
              <w:rPr>
                <w:rFonts w:ascii="Times New Roman" w:hAnsi="Times New Roman" w:cs="Times New Roman"/>
                <w:sz w:val="24"/>
                <w:szCs w:val="24"/>
              </w:rPr>
              <w:t>apsekojumos</w:t>
            </w:r>
            <w:proofErr w:type="spellEnd"/>
            <w:r>
              <w:rPr>
                <w:rFonts w:ascii="Times New Roman" w:hAnsi="Times New Roman" w:cs="Times New Roman"/>
                <w:sz w:val="24"/>
                <w:szCs w:val="24"/>
              </w:rPr>
              <w:t>.</w:t>
            </w:r>
          </w:p>
        </w:tc>
      </w:tr>
      <w:tr w:rsidR="008D3E90" w14:paraId="7E3A0EF5" w14:textId="77777777" w:rsidTr="00451D24">
        <w:tc>
          <w:tcPr>
            <w:tcW w:w="301" w:type="pct"/>
            <w:hideMark/>
          </w:tcPr>
          <w:p w14:paraId="0E44101F"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870" w:type="pct"/>
            <w:hideMark/>
          </w:tcPr>
          <w:p w14:paraId="642B4043"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829" w:type="pct"/>
          </w:tcPr>
          <w:p w14:paraId="312BF3F0" w14:textId="5DFE29D2" w:rsidR="00D91D02" w:rsidRPr="00503667" w:rsidRDefault="00D77315" w:rsidP="00A01748">
            <w:pPr>
              <w:spacing w:before="60" w:after="60"/>
              <w:jc w:val="both"/>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Ekonomikas ministrija</w:t>
            </w:r>
            <w:r w:rsidR="00A01748">
              <w:rPr>
                <w:rFonts w:ascii="Times New Roman" w:eastAsia="Times New Roman" w:hAnsi="Times New Roman" w:cs="Times New Roman"/>
                <w:iCs/>
                <w:sz w:val="24"/>
                <w:szCs w:val="24"/>
                <w:lang w:eastAsia="lv-LV"/>
              </w:rPr>
              <w:t>, Patērētāju tiesību aizsardzības centrs</w:t>
            </w:r>
            <w:r w:rsidR="003F04E4">
              <w:rPr>
                <w:rFonts w:ascii="Times New Roman" w:eastAsia="Times New Roman" w:hAnsi="Times New Roman" w:cs="Times New Roman"/>
                <w:iCs/>
                <w:sz w:val="24"/>
                <w:szCs w:val="24"/>
                <w:lang w:eastAsia="lv-LV"/>
              </w:rPr>
              <w:t xml:space="preserve"> (turpmāk – PTAC)</w:t>
            </w:r>
            <w:r w:rsidR="006877C3">
              <w:rPr>
                <w:rFonts w:ascii="Times New Roman" w:eastAsia="Times New Roman" w:hAnsi="Times New Roman" w:cs="Times New Roman"/>
                <w:iCs/>
                <w:sz w:val="24"/>
                <w:szCs w:val="24"/>
                <w:lang w:eastAsia="lv-LV"/>
              </w:rPr>
              <w:t>, Centrālās statistikas pārvalde un Būvniecības valsts kontroles birojs.</w:t>
            </w:r>
          </w:p>
        </w:tc>
      </w:tr>
      <w:tr w:rsidR="008D3E90" w14:paraId="060D5BA9" w14:textId="77777777" w:rsidTr="00451D24">
        <w:tc>
          <w:tcPr>
            <w:tcW w:w="301" w:type="pct"/>
            <w:hideMark/>
          </w:tcPr>
          <w:p w14:paraId="145CC5DE"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870" w:type="pct"/>
            <w:hideMark/>
          </w:tcPr>
          <w:p w14:paraId="461F88AD"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829" w:type="pct"/>
            <w:hideMark/>
          </w:tcPr>
          <w:p w14:paraId="42CB2313" w14:textId="77777777" w:rsidR="00D91D02" w:rsidRPr="00503667" w:rsidRDefault="00D77315" w:rsidP="00A01748">
            <w:pPr>
              <w:spacing w:before="60" w:after="60"/>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820802"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jc w:val="center"/>
        <w:tblCellMar>
          <w:left w:w="28" w:type="dxa"/>
          <w:right w:w="28" w:type="dxa"/>
        </w:tblCellMar>
        <w:tblLook w:val="04A0" w:firstRow="1" w:lastRow="0" w:firstColumn="1" w:lastColumn="0" w:noHBand="0" w:noVBand="1"/>
      </w:tblPr>
      <w:tblGrid>
        <w:gridCol w:w="560"/>
        <w:gridCol w:w="2695"/>
        <w:gridCol w:w="6089"/>
      </w:tblGrid>
      <w:tr w:rsidR="008D3E90" w14:paraId="129BD632" w14:textId="77777777" w:rsidTr="0048720C">
        <w:trPr>
          <w:jc w:val="center"/>
        </w:trPr>
        <w:tc>
          <w:tcPr>
            <w:tcW w:w="0" w:type="auto"/>
            <w:gridSpan w:val="3"/>
            <w:hideMark/>
          </w:tcPr>
          <w:p w14:paraId="1C7A159D"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D3E90" w14:paraId="2A2E3E31" w14:textId="77777777" w:rsidTr="007A6600">
        <w:trPr>
          <w:jc w:val="center"/>
        </w:trPr>
        <w:tc>
          <w:tcPr>
            <w:tcW w:w="300" w:type="pct"/>
            <w:hideMark/>
          </w:tcPr>
          <w:p w14:paraId="7F74EB71"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442" w:type="pct"/>
            <w:hideMark/>
          </w:tcPr>
          <w:p w14:paraId="43793F7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Sabiedrības </w:t>
            </w:r>
            <w:proofErr w:type="spellStart"/>
            <w:r w:rsidRPr="00503667">
              <w:rPr>
                <w:rFonts w:ascii="Times New Roman" w:eastAsia="Times New Roman" w:hAnsi="Times New Roman" w:cs="Times New Roman"/>
                <w:iCs/>
                <w:sz w:val="24"/>
                <w:szCs w:val="24"/>
                <w:lang w:eastAsia="lv-LV"/>
              </w:rPr>
              <w:t>mērķgrupas</w:t>
            </w:r>
            <w:proofErr w:type="spellEnd"/>
            <w:r w:rsidRPr="00503667">
              <w:rPr>
                <w:rFonts w:ascii="Times New Roman" w:eastAsia="Times New Roman" w:hAnsi="Times New Roman" w:cs="Times New Roman"/>
                <w:iCs/>
                <w:sz w:val="24"/>
                <w:szCs w:val="24"/>
                <w:lang w:eastAsia="lv-LV"/>
              </w:rPr>
              <w:t>, kuras tiesiskais regulējums ietekmē vai varētu ietekmēt</w:t>
            </w:r>
          </w:p>
        </w:tc>
        <w:tc>
          <w:tcPr>
            <w:tcW w:w="3258" w:type="pct"/>
          </w:tcPr>
          <w:p w14:paraId="5C912AE7" w14:textId="409E4700" w:rsidR="00E5323B" w:rsidRDefault="00A01748" w:rsidP="005E454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neskars sabiedrību kopumā</w:t>
            </w:r>
            <w:r w:rsidR="00687684">
              <w:rPr>
                <w:rFonts w:ascii="Times New Roman" w:eastAsia="Times New Roman" w:hAnsi="Times New Roman" w:cs="Times New Roman"/>
                <w:iCs/>
                <w:sz w:val="24"/>
                <w:szCs w:val="24"/>
                <w:lang w:eastAsia="lv-LV"/>
              </w:rPr>
              <w:t>, bet attiecas uz konkrētiem komersantiem – degvielas piegādātājiem</w:t>
            </w:r>
            <w:r w:rsidR="008A73BA">
              <w:rPr>
                <w:rFonts w:ascii="Times New Roman" w:eastAsia="Times New Roman" w:hAnsi="Times New Roman" w:cs="Times New Roman"/>
                <w:iCs/>
                <w:sz w:val="24"/>
                <w:szCs w:val="24"/>
                <w:lang w:eastAsia="lv-LV"/>
              </w:rPr>
              <w:t xml:space="preserve"> vai </w:t>
            </w:r>
            <w:r w:rsidR="00687684">
              <w:rPr>
                <w:rFonts w:ascii="Times New Roman" w:eastAsia="Times New Roman" w:hAnsi="Times New Roman" w:cs="Times New Roman"/>
                <w:iCs/>
                <w:sz w:val="24"/>
                <w:szCs w:val="24"/>
                <w:lang w:eastAsia="lv-LV"/>
              </w:rPr>
              <w:t xml:space="preserve">uzlādes vai </w:t>
            </w:r>
            <w:proofErr w:type="spellStart"/>
            <w:r w:rsidR="00687684">
              <w:rPr>
                <w:rFonts w:ascii="Times New Roman" w:eastAsia="Times New Roman" w:hAnsi="Times New Roman" w:cs="Times New Roman"/>
                <w:iCs/>
                <w:sz w:val="24"/>
                <w:szCs w:val="24"/>
                <w:lang w:eastAsia="lv-LV"/>
              </w:rPr>
              <w:t>uzpildes</w:t>
            </w:r>
            <w:proofErr w:type="spellEnd"/>
            <w:r w:rsidR="00687684">
              <w:rPr>
                <w:rFonts w:ascii="Times New Roman" w:eastAsia="Times New Roman" w:hAnsi="Times New Roman" w:cs="Times New Roman"/>
                <w:iCs/>
                <w:sz w:val="24"/>
                <w:szCs w:val="24"/>
                <w:lang w:eastAsia="lv-LV"/>
              </w:rPr>
              <w:t xml:space="preserve"> punkta operatoriem.</w:t>
            </w:r>
          </w:p>
          <w:p w14:paraId="1D859EEA" w14:textId="023B593E" w:rsidR="00A01748" w:rsidRPr="00503667" w:rsidRDefault="00A01748" w:rsidP="005E454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Noteikumu projekts nosaka pienākumu transporta enerģijas </w:t>
            </w:r>
            <w:proofErr w:type="spellStart"/>
            <w:r>
              <w:rPr>
                <w:rFonts w:ascii="Times New Roman" w:eastAsia="Times New Roman" w:hAnsi="Times New Roman" w:cs="Times New Roman"/>
                <w:iCs/>
                <w:sz w:val="24"/>
                <w:szCs w:val="24"/>
                <w:lang w:eastAsia="lv-LV"/>
              </w:rPr>
              <w:t>uzpildes</w:t>
            </w:r>
            <w:proofErr w:type="spellEnd"/>
            <w:r>
              <w:rPr>
                <w:rFonts w:ascii="Times New Roman" w:eastAsia="Times New Roman" w:hAnsi="Times New Roman" w:cs="Times New Roman"/>
                <w:iCs/>
                <w:sz w:val="24"/>
                <w:szCs w:val="24"/>
                <w:lang w:eastAsia="lv-LV"/>
              </w:rPr>
              <w:t xml:space="preserve"> vai </w:t>
            </w:r>
          </w:p>
        </w:tc>
      </w:tr>
      <w:tr w:rsidR="003F04E4" w14:paraId="1FDA240E" w14:textId="77777777" w:rsidTr="007A6600">
        <w:trPr>
          <w:jc w:val="center"/>
        </w:trPr>
        <w:tc>
          <w:tcPr>
            <w:tcW w:w="300" w:type="pct"/>
            <w:hideMark/>
          </w:tcPr>
          <w:p w14:paraId="4B14A6B5"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2.</w:t>
            </w:r>
          </w:p>
        </w:tc>
        <w:tc>
          <w:tcPr>
            <w:tcW w:w="1442" w:type="pct"/>
            <w:hideMark/>
          </w:tcPr>
          <w:p w14:paraId="724C3D7A"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Tiesiskā regulējuma ietekme uz tautsaimniecību un administratīvo slogu</w:t>
            </w:r>
          </w:p>
        </w:tc>
        <w:tc>
          <w:tcPr>
            <w:tcW w:w="3258" w:type="pct"/>
          </w:tcPr>
          <w:p w14:paraId="27BB4A4A" w14:textId="71946AFF" w:rsidR="003F04E4" w:rsidRDefault="003F04E4" w:rsidP="003F04E4">
            <w:pPr>
              <w:contextualSpacing/>
              <w:jc w:val="both"/>
              <w:rPr>
                <w:rFonts w:ascii="Times New Roman" w:hAnsi="Times New Roman" w:cs="Times New Roman"/>
                <w:sz w:val="24"/>
                <w:szCs w:val="24"/>
              </w:rPr>
            </w:pPr>
            <w:r w:rsidRPr="009F530A">
              <w:rPr>
                <w:rFonts w:ascii="Times New Roman" w:hAnsi="Times New Roman" w:cs="Times New Roman"/>
                <w:sz w:val="24"/>
                <w:szCs w:val="24"/>
              </w:rPr>
              <w:t>Noteikumu projekts pēc būtības neuzliek papildu slogu komersantiem, jo tiek precizēti spēkā esošie nosacījumi – Noteikumi Nr.332 un Noteikumi Nr.772</w:t>
            </w:r>
            <w:r>
              <w:rPr>
                <w:rFonts w:ascii="Times New Roman" w:hAnsi="Times New Roman" w:cs="Times New Roman"/>
                <w:sz w:val="24"/>
                <w:szCs w:val="24"/>
              </w:rPr>
              <w:t>. Komersantiem tiek precizēta tā informācija, kas viņiem ir uzlikta kā darāma pieejama patērētājiem ar spēkā esošajiem Ministru kabineta noteikumiem</w:t>
            </w:r>
            <w:r w:rsidRPr="009F530A">
              <w:rPr>
                <w:rFonts w:ascii="Times New Roman" w:hAnsi="Times New Roman" w:cs="Times New Roman"/>
                <w:sz w:val="24"/>
                <w:szCs w:val="24"/>
              </w:rPr>
              <w:t>.</w:t>
            </w:r>
          </w:p>
          <w:p w14:paraId="65D9B9A9" w14:textId="6CB48081" w:rsidR="003F04E4" w:rsidRDefault="003F04E4" w:rsidP="003F04E4">
            <w:pPr>
              <w:contextualSpacing/>
              <w:jc w:val="both"/>
              <w:rPr>
                <w:rFonts w:ascii="Times New Roman" w:hAnsi="Times New Roman" w:cs="Times New Roman"/>
                <w:sz w:val="24"/>
                <w:szCs w:val="24"/>
              </w:rPr>
            </w:pPr>
          </w:p>
          <w:p w14:paraId="63B2B538" w14:textId="69A149B8" w:rsidR="003F04E4" w:rsidRDefault="003F04E4" w:rsidP="003F04E4">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projekts palielinās administratīvo slogu Ekonomikas ministrijai un PTAC attiecībā uz cenu salīdzināmās vienībās aprēķina metodes </w:t>
            </w:r>
            <w:proofErr w:type="spellStart"/>
            <w:r>
              <w:rPr>
                <w:rFonts w:ascii="Times New Roman" w:hAnsi="Times New Roman" w:cs="Times New Roman"/>
                <w:sz w:val="24"/>
                <w:szCs w:val="24"/>
              </w:rPr>
              <w:t>apropriēšanu</w:t>
            </w:r>
            <w:proofErr w:type="spellEnd"/>
            <w:r>
              <w:rPr>
                <w:rFonts w:ascii="Times New Roman" w:hAnsi="Times New Roman" w:cs="Times New Roman"/>
                <w:sz w:val="24"/>
                <w:szCs w:val="24"/>
              </w:rPr>
              <w:t xml:space="preserve"> un šo aprēķinu veikšanu</w:t>
            </w:r>
            <w:r w:rsidR="003C6054">
              <w:rPr>
                <w:rFonts w:ascii="Times New Roman" w:hAnsi="Times New Roman" w:cs="Times New Roman"/>
                <w:sz w:val="24"/>
                <w:szCs w:val="24"/>
              </w:rPr>
              <w:t xml:space="preserve"> katru pusgadu</w:t>
            </w:r>
            <w:r>
              <w:rPr>
                <w:rFonts w:ascii="Times New Roman" w:hAnsi="Times New Roman" w:cs="Times New Roman"/>
                <w:sz w:val="24"/>
                <w:szCs w:val="24"/>
              </w:rPr>
              <w:t>.</w:t>
            </w:r>
          </w:p>
          <w:p w14:paraId="053350CC" w14:textId="1CAF5FC7" w:rsidR="003F04E4" w:rsidRDefault="003F04E4" w:rsidP="003F04E4">
            <w:pPr>
              <w:contextualSpacing/>
              <w:jc w:val="both"/>
              <w:rPr>
                <w:rFonts w:ascii="Times New Roman" w:hAnsi="Times New Roman" w:cs="Times New Roman"/>
                <w:sz w:val="24"/>
                <w:szCs w:val="24"/>
              </w:rPr>
            </w:pPr>
          </w:p>
          <w:p w14:paraId="71DF5559" w14:textId="66DAC080" w:rsidR="003F04E4" w:rsidRPr="003F04E4" w:rsidRDefault="003F04E4" w:rsidP="003F04E4">
            <w:pPr>
              <w:contextualSpacing/>
              <w:jc w:val="both"/>
              <w:rPr>
                <w:rFonts w:ascii="Times New Roman" w:hAnsi="Times New Roman" w:cs="Times New Roman"/>
                <w:sz w:val="24"/>
                <w:szCs w:val="24"/>
              </w:rPr>
            </w:pPr>
            <w:r>
              <w:rPr>
                <w:rFonts w:ascii="Times New Roman" w:hAnsi="Times New Roman" w:cs="Times New Roman"/>
                <w:sz w:val="24"/>
                <w:szCs w:val="24"/>
              </w:rPr>
              <w:t>Noteikumu projekts varētu nedaudz palielināt administratīvo slogu Centrālajai statistikas pārvaldei un Ceļu satiksmes drošības direkcijai, jo tiek paredzēts, ka šīs iestādes pietiekami ātri sniedz datus Ekonomikas ministrijai.</w:t>
            </w:r>
            <w:r w:rsidRPr="009F530A">
              <w:rPr>
                <w:rFonts w:ascii="Times New Roman" w:hAnsi="Times New Roman" w:cs="Times New Roman"/>
                <w:sz w:val="24"/>
                <w:szCs w:val="24"/>
              </w:rPr>
              <w:t xml:space="preserve"> </w:t>
            </w:r>
          </w:p>
        </w:tc>
      </w:tr>
      <w:tr w:rsidR="003F04E4" w14:paraId="436558CF" w14:textId="77777777" w:rsidTr="0048720C">
        <w:trPr>
          <w:jc w:val="center"/>
        </w:trPr>
        <w:tc>
          <w:tcPr>
            <w:tcW w:w="300" w:type="pct"/>
            <w:hideMark/>
          </w:tcPr>
          <w:p w14:paraId="0EA5F625"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442" w:type="pct"/>
            <w:hideMark/>
          </w:tcPr>
          <w:p w14:paraId="0FE0A0BE"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Administratīvo izmaksu monetārs novērtējums</w:t>
            </w:r>
          </w:p>
        </w:tc>
        <w:tc>
          <w:tcPr>
            <w:tcW w:w="3258" w:type="pct"/>
            <w:hideMark/>
          </w:tcPr>
          <w:p w14:paraId="37834E73" w14:textId="187B0292" w:rsidR="003F04E4" w:rsidRPr="00503667" w:rsidRDefault="003F04E4" w:rsidP="003F04E4">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3F04E4" w14:paraId="077A9313" w14:textId="77777777" w:rsidTr="0048720C">
        <w:trPr>
          <w:jc w:val="center"/>
        </w:trPr>
        <w:tc>
          <w:tcPr>
            <w:tcW w:w="300" w:type="pct"/>
            <w:hideMark/>
          </w:tcPr>
          <w:p w14:paraId="220CDE89"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442" w:type="pct"/>
            <w:hideMark/>
          </w:tcPr>
          <w:p w14:paraId="62C1DF5F"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Atbilstības izmaksu monetārs novērtējums</w:t>
            </w:r>
          </w:p>
        </w:tc>
        <w:tc>
          <w:tcPr>
            <w:tcW w:w="3258" w:type="pct"/>
            <w:hideMark/>
          </w:tcPr>
          <w:p w14:paraId="42A322CB" w14:textId="21211F55" w:rsidR="003F04E4" w:rsidRPr="00503667" w:rsidRDefault="003F04E4" w:rsidP="003F04E4">
            <w:pPr>
              <w:contextualSpacing/>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3F04E4" w14:paraId="0C79738A" w14:textId="77777777" w:rsidTr="0048720C">
        <w:trPr>
          <w:jc w:val="center"/>
        </w:trPr>
        <w:tc>
          <w:tcPr>
            <w:tcW w:w="300" w:type="pct"/>
            <w:hideMark/>
          </w:tcPr>
          <w:p w14:paraId="046904C4"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5.</w:t>
            </w:r>
          </w:p>
        </w:tc>
        <w:tc>
          <w:tcPr>
            <w:tcW w:w="1442" w:type="pct"/>
            <w:hideMark/>
          </w:tcPr>
          <w:p w14:paraId="4BE883E8" w14:textId="77777777"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258" w:type="pct"/>
            <w:hideMark/>
          </w:tcPr>
          <w:p w14:paraId="321937AB" w14:textId="54775DBA" w:rsidR="003F04E4" w:rsidRPr="00503667" w:rsidRDefault="003F04E4" w:rsidP="003F04E4">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E2FC51" w14:textId="476DBF79"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4BFF3420" w14:textId="77777777" w:rsidTr="00754A0D">
        <w:trPr>
          <w:trHeight w:val="20"/>
        </w:trPr>
        <w:tc>
          <w:tcPr>
            <w:tcW w:w="0" w:type="auto"/>
            <w:hideMark/>
          </w:tcPr>
          <w:p w14:paraId="2B5DE3F7" w14:textId="582FB853" w:rsidR="0064745E" w:rsidRPr="00503667" w:rsidRDefault="0064745E" w:rsidP="00754A0D">
            <w:pPr>
              <w:jc w:val="center"/>
              <w:rPr>
                <w:rFonts w:ascii="Times New Roman" w:eastAsia="Times New Roman" w:hAnsi="Times New Roman" w:cs="Times New Roman"/>
                <w:b/>
                <w:bCs/>
                <w:iCs/>
                <w:sz w:val="24"/>
                <w:szCs w:val="24"/>
                <w:lang w:eastAsia="lv-LV"/>
              </w:rPr>
            </w:pPr>
            <w:r w:rsidRPr="0064745E">
              <w:rPr>
                <w:rFonts w:ascii="Times New Roman" w:eastAsia="Times New Roman" w:hAnsi="Times New Roman" w:cs="Times New Roman"/>
                <w:b/>
                <w:bCs/>
                <w:iCs/>
                <w:sz w:val="24"/>
                <w:szCs w:val="24"/>
                <w:lang w:eastAsia="lv-LV"/>
              </w:rPr>
              <w:t>III. Tiesību akta projekta ietekme uz valsts budžetu un pašvaldību budžetiem</w:t>
            </w:r>
          </w:p>
        </w:tc>
      </w:tr>
      <w:tr w:rsidR="0064745E" w:rsidRPr="00E619B0" w14:paraId="7092A2D9" w14:textId="77777777" w:rsidTr="00507133">
        <w:trPr>
          <w:trHeight w:val="426"/>
        </w:trPr>
        <w:tc>
          <w:tcPr>
            <w:tcW w:w="4967" w:type="pct"/>
            <w:vAlign w:val="center"/>
            <w:hideMark/>
          </w:tcPr>
          <w:p w14:paraId="187F8EB6" w14:textId="77777777" w:rsidR="0064745E" w:rsidRPr="00E619B0" w:rsidRDefault="0064745E" w:rsidP="00507133">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0EF9CD24"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1"/>
        <w:gridCol w:w="2125"/>
        <w:gridCol w:w="6652"/>
      </w:tblGrid>
      <w:tr w:rsidR="00046D18" w:rsidRPr="00DE447B" w14:paraId="438E9170" w14:textId="77777777" w:rsidTr="00DE447B">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F9D9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E447B">
              <w:rPr>
                <w:rFonts w:ascii="Times New Roman" w:eastAsia="Times New Roman" w:hAnsi="Times New Roman" w:cs="Times New Roman"/>
                <w:b/>
                <w:bCs/>
                <w:sz w:val="24"/>
                <w:szCs w:val="24"/>
                <w:lang w:eastAsia="lv-LV"/>
              </w:rPr>
              <w:t>IV. Tiesību akta projekta ietekme uz spēkā esošo tiesību normu sistēmu</w:t>
            </w:r>
          </w:p>
        </w:tc>
      </w:tr>
      <w:tr w:rsidR="00046D18" w:rsidRPr="00DE447B" w14:paraId="6BEE116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F6E43C3"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1.</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42A7405"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Saistītie tiesību aktu projekti</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7BB1B808" w14:textId="36DCE5D8" w:rsidR="00046D18" w:rsidRPr="00DE447B" w:rsidRDefault="00046D18" w:rsidP="0048720C">
            <w:pPr>
              <w:spacing w:before="60" w:after="60" w:line="240" w:lineRule="auto"/>
              <w:jc w:val="both"/>
              <w:rPr>
                <w:rFonts w:ascii="Times New Roman" w:eastAsia="Times New Roman" w:hAnsi="Times New Roman" w:cs="Times New Roman"/>
                <w:sz w:val="24"/>
                <w:szCs w:val="24"/>
                <w:lang w:eastAsia="lv-LV"/>
              </w:rPr>
            </w:pPr>
            <w:r w:rsidRPr="00046D18">
              <w:rPr>
                <w:rFonts w:ascii="Times New Roman" w:eastAsia="Times New Roman" w:hAnsi="Times New Roman" w:cs="Times New Roman"/>
                <w:sz w:val="24"/>
                <w:szCs w:val="24"/>
                <w:lang w:eastAsia="lv-LV"/>
              </w:rPr>
              <w:t>Noteikumu projekts ir virzāms un skatāms kopā ar Ministru kabineta noteikumu projektu “</w:t>
            </w:r>
            <w:r w:rsidR="007A6600" w:rsidRPr="007A6600">
              <w:rPr>
                <w:rFonts w:ascii="Times New Roman" w:eastAsia="Times New Roman" w:hAnsi="Times New Roman" w:cs="Times New Roman"/>
                <w:sz w:val="24"/>
                <w:szCs w:val="24"/>
                <w:lang w:eastAsia="lv-LV"/>
              </w:rPr>
              <w:t>Noteikumi par transporta enerģijas kvalitātes prasībām, atbilstības novērtēšanu un tirgus uzraudzību</w:t>
            </w:r>
            <w:r w:rsidRPr="00046D18">
              <w:rPr>
                <w:rFonts w:ascii="Times New Roman" w:eastAsia="Times New Roman" w:hAnsi="Times New Roman" w:cs="Times New Roman"/>
                <w:sz w:val="24"/>
                <w:szCs w:val="24"/>
                <w:lang w:eastAsia="lv-LV"/>
              </w:rPr>
              <w:t>”. Minētais noteikumu projekts tiek izstrādāts saskaņā ar Likumu.</w:t>
            </w:r>
          </w:p>
        </w:tc>
      </w:tr>
      <w:tr w:rsidR="00046D18" w:rsidRPr="00DE447B" w14:paraId="33FD09A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71E780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2.</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6F0909E"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Atbildīgā institūcija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65E8EDF0" w14:textId="33AECD3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r>
      <w:tr w:rsidR="00046D18" w:rsidRPr="00DE447B" w14:paraId="2D7B3521"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D67E9A5"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3.</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667B053A"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Cita informācija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18847B4F" w14:textId="7B371B2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65A611C" w14:textId="6AB20C00" w:rsidR="00DE447B" w:rsidRDefault="00DE447B" w:rsidP="005D444B">
      <w:pPr>
        <w:spacing w:after="0" w:line="240" w:lineRule="auto"/>
        <w:contextualSpacing/>
        <w:rPr>
          <w:rFonts w:ascii="Times New Roman" w:eastAsia="Times New Roman" w:hAnsi="Times New Roman" w:cs="Times New Roman"/>
          <w:iCs/>
          <w:sz w:val="28"/>
          <w:szCs w:val="28"/>
          <w:lang w:eastAsia="lv-LV"/>
        </w:rPr>
      </w:pPr>
      <w:r w:rsidRPr="00DE447B">
        <w:rPr>
          <w:rFonts w:ascii="Arial" w:eastAsia="Times New Roman" w:hAnsi="Arial" w:cs="Arial"/>
          <w:color w:val="414142"/>
          <w:sz w:val="27"/>
          <w:szCs w:val="27"/>
          <w:shd w:val="clear" w:color="auto" w:fill="FFFFFF"/>
          <w:lang w:eastAsia="lv-LV"/>
        </w:rPr>
        <w:t> </w:t>
      </w:r>
    </w:p>
    <w:tbl>
      <w:tblPr>
        <w:tblStyle w:val="TableGrid"/>
        <w:tblW w:w="5000" w:type="pct"/>
        <w:tblLook w:val="04A0" w:firstRow="1" w:lastRow="0" w:firstColumn="1" w:lastColumn="0" w:noHBand="0" w:noVBand="1"/>
      </w:tblPr>
      <w:tblGrid>
        <w:gridCol w:w="529"/>
        <w:gridCol w:w="2794"/>
        <w:gridCol w:w="6021"/>
      </w:tblGrid>
      <w:tr w:rsidR="008D3E90" w14:paraId="65BDD4F9" w14:textId="4AFBDCB3" w:rsidTr="0064745E">
        <w:tc>
          <w:tcPr>
            <w:tcW w:w="0" w:type="auto"/>
            <w:gridSpan w:val="3"/>
            <w:hideMark/>
          </w:tcPr>
          <w:p w14:paraId="3B4E913A" w14:textId="302E0EDA" w:rsidR="00B46EE6"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D3E90" w14:paraId="27BA2A9F" w14:textId="50263284" w:rsidTr="00402E08">
        <w:tc>
          <w:tcPr>
            <w:tcW w:w="283" w:type="pct"/>
            <w:hideMark/>
          </w:tcPr>
          <w:p w14:paraId="3EA053C3" w14:textId="3DC3ECC8"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1.</w:t>
            </w:r>
          </w:p>
        </w:tc>
        <w:tc>
          <w:tcPr>
            <w:tcW w:w="1495" w:type="pct"/>
          </w:tcPr>
          <w:p w14:paraId="0A36841B" w14:textId="6CA39856"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Saistības pret Eiropas Savienību</w:t>
            </w:r>
          </w:p>
        </w:tc>
        <w:tc>
          <w:tcPr>
            <w:tcW w:w="3222" w:type="pct"/>
          </w:tcPr>
          <w:p w14:paraId="307F2442" w14:textId="77777777" w:rsidR="007A6600"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sz w:val="24"/>
                <w:szCs w:val="24"/>
              </w:rPr>
              <w:t xml:space="preserve">Direktīva </w:t>
            </w:r>
            <w:r w:rsidR="007A6600">
              <w:rPr>
                <w:rFonts w:ascii="Times New Roman" w:hAnsi="Times New Roman" w:cs="Times New Roman"/>
                <w:sz w:val="24"/>
                <w:szCs w:val="24"/>
              </w:rPr>
              <w:t>98/70/EK (konsolidētā versija)</w:t>
            </w:r>
          </w:p>
          <w:p w14:paraId="1391DE18" w14:textId="607043BF" w:rsidR="0064745E" w:rsidRPr="00C41B05" w:rsidRDefault="007A6600" w:rsidP="0064745E">
            <w:pPr>
              <w:spacing w:before="60" w:after="60"/>
              <w:jc w:val="both"/>
              <w:rPr>
                <w:rFonts w:ascii="Times New Roman" w:hAnsi="Times New Roman" w:cs="Times New Roman"/>
                <w:sz w:val="24"/>
                <w:szCs w:val="24"/>
              </w:rPr>
            </w:pPr>
            <w:r>
              <w:rPr>
                <w:rFonts w:ascii="Times New Roman" w:hAnsi="Times New Roman" w:cs="Times New Roman"/>
                <w:sz w:val="24"/>
                <w:szCs w:val="24"/>
              </w:rPr>
              <w:t>Direktīva 2014/94/ES (konsolidētā versija)</w:t>
            </w:r>
          </w:p>
          <w:p w14:paraId="646CC0A0" w14:textId="2C6EB83A" w:rsidR="00503667" w:rsidRPr="00C41B05" w:rsidRDefault="00503667" w:rsidP="0064745E">
            <w:pPr>
              <w:jc w:val="both"/>
              <w:rPr>
                <w:rFonts w:ascii="Times New Roman" w:hAnsi="Times New Roman" w:cs="Times New Roman"/>
                <w:bCs/>
                <w:sz w:val="24"/>
                <w:szCs w:val="24"/>
              </w:rPr>
            </w:pPr>
          </w:p>
        </w:tc>
      </w:tr>
      <w:tr w:rsidR="008D3E90" w14:paraId="6DC2F42F" w14:textId="3B26AFB0" w:rsidTr="00402E08">
        <w:tc>
          <w:tcPr>
            <w:tcW w:w="283" w:type="pct"/>
          </w:tcPr>
          <w:p w14:paraId="15AB7562" w14:textId="7073BA47"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2.</w:t>
            </w:r>
          </w:p>
        </w:tc>
        <w:tc>
          <w:tcPr>
            <w:tcW w:w="1495" w:type="pct"/>
          </w:tcPr>
          <w:p w14:paraId="2A95628A" w14:textId="141D836F"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Citas starptautiskās saistības</w:t>
            </w:r>
          </w:p>
        </w:tc>
        <w:tc>
          <w:tcPr>
            <w:tcW w:w="3222" w:type="pct"/>
          </w:tcPr>
          <w:p w14:paraId="562ECC8D" w14:textId="785B148B"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hAnsi="Times New Roman" w:cs="Times New Roman"/>
                <w:sz w:val="24"/>
                <w:szCs w:val="24"/>
              </w:rPr>
              <w:t>Projekts šo jomu neskar.</w:t>
            </w:r>
          </w:p>
        </w:tc>
      </w:tr>
      <w:tr w:rsidR="008D3E90" w14:paraId="10F83307" w14:textId="5C6A205A" w:rsidTr="00402E08">
        <w:tc>
          <w:tcPr>
            <w:tcW w:w="283" w:type="pct"/>
          </w:tcPr>
          <w:p w14:paraId="28564740" w14:textId="7C8440DB"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3.</w:t>
            </w:r>
          </w:p>
        </w:tc>
        <w:tc>
          <w:tcPr>
            <w:tcW w:w="1495" w:type="pct"/>
          </w:tcPr>
          <w:p w14:paraId="474D5C49" w14:textId="3A6EB681"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 informācija</w:t>
            </w:r>
          </w:p>
        </w:tc>
        <w:tc>
          <w:tcPr>
            <w:tcW w:w="3222" w:type="pct"/>
          </w:tcPr>
          <w:p w14:paraId="6E680272" w14:textId="74382620"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Nav.</w:t>
            </w:r>
          </w:p>
        </w:tc>
      </w:tr>
    </w:tbl>
    <w:p w14:paraId="1B876B0E" w14:textId="1D74968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24" w:type="pct"/>
        <w:tblLook w:val="04A0" w:firstRow="1" w:lastRow="0" w:firstColumn="1" w:lastColumn="0" w:noHBand="0" w:noVBand="1"/>
      </w:tblPr>
      <w:tblGrid>
        <w:gridCol w:w="1746"/>
        <w:gridCol w:w="2293"/>
        <w:gridCol w:w="2616"/>
        <w:gridCol w:w="2734"/>
      </w:tblGrid>
      <w:tr w:rsidR="008D3E90" w14:paraId="47341335" w14:textId="77777777" w:rsidTr="00BC3301">
        <w:tc>
          <w:tcPr>
            <w:tcW w:w="5000" w:type="pct"/>
            <w:gridSpan w:val="4"/>
            <w:hideMark/>
          </w:tcPr>
          <w:p w14:paraId="50E047EC" w14:textId="77777777" w:rsidR="00B46EE6" w:rsidRPr="00503667" w:rsidRDefault="00D77315" w:rsidP="00533476">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1. tabula</w:t>
            </w:r>
            <w:r w:rsidRPr="00503667">
              <w:rPr>
                <w:rFonts w:ascii="Times New Roman" w:eastAsia="Times New Roman" w:hAnsi="Times New Roman" w:cs="Times New Roman"/>
                <w:b/>
                <w:bCs/>
                <w:sz w:val="24"/>
                <w:szCs w:val="24"/>
                <w:lang w:eastAsia="lv-LV"/>
              </w:rPr>
              <w:br/>
              <w:t>Tiesību akta projekta atbilstība ES tiesību aktiem</w:t>
            </w:r>
          </w:p>
        </w:tc>
      </w:tr>
      <w:tr w:rsidR="008D3E90" w14:paraId="4A60F008" w14:textId="77777777" w:rsidTr="00BC3301">
        <w:tc>
          <w:tcPr>
            <w:tcW w:w="930" w:type="pct"/>
            <w:hideMark/>
          </w:tcPr>
          <w:p w14:paraId="33D1B65D" w14:textId="77777777" w:rsidR="00B46EE6" w:rsidRPr="00503667" w:rsidRDefault="00D77315" w:rsidP="00B46EE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 xml:space="preserve">Attiecīgā ES tiesību akta </w:t>
            </w:r>
            <w:r w:rsidRPr="00503667">
              <w:rPr>
                <w:rFonts w:ascii="Times New Roman" w:eastAsia="Times New Roman" w:hAnsi="Times New Roman" w:cs="Times New Roman"/>
                <w:sz w:val="24"/>
                <w:szCs w:val="24"/>
                <w:lang w:eastAsia="lv-LV"/>
              </w:rPr>
              <w:lastRenderedPageBreak/>
              <w:t>datums, numurs un nosaukums</w:t>
            </w:r>
          </w:p>
        </w:tc>
        <w:tc>
          <w:tcPr>
            <w:tcW w:w="4070" w:type="pct"/>
            <w:gridSpan w:val="3"/>
            <w:hideMark/>
          </w:tcPr>
          <w:p w14:paraId="0A39117F" w14:textId="4DE3D35F" w:rsidR="00B46EE6" w:rsidRPr="00C41B05" w:rsidRDefault="00B46EE6" w:rsidP="00402E08">
            <w:pPr>
              <w:jc w:val="both"/>
              <w:rPr>
                <w:rFonts w:ascii="Times New Roman" w:hAnsi="Times New Roman" w:cs="Times New Roman"/>
                <w:bCs/>
                <w:sz w:val="24"/>
                <w:szCs w:val="24"/>
              </w:rPr>
            </w:pPr>
          </w:p>
        </w:tc>
      </w:tr>
      <w:tr w:rsidR="0008249C" w:rsidRPr="0064745E" w14:paraId="5B287A17" w14:textId="77777777" w:rsidTr="00BC3301">
        <w:tc>
          <w:tcPr>
            <w:tcW w:w="930" w:type="pct"/>
            <w:hideMark/>
          </w:tcPr>
          <w:p w14:paraId="03E533E8"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A</w:t>
            </w:r>
          </w:p>
        </w:tc>
        <w:tc>
          <w:tcPr>
            <w:tcW w:w="1221" w:type="pct"/>
            <w:hideMark/>
          </w:tcPr>
          <w:p w14:paraId="0B050C53"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B</w:t>
            </w:r>
          </w:p>
        </w:tc>
        <w:tc>
          <w:tcPr>
            <w:tcW w:w="1393" w:type="pct"/>
            <w:hideMark/>
          </w:tcPr>
          <w:p w14:paraId="5BB672BD"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C</w:t>
            </w:r>
          </w:p>
        </w:tc>
        <w:tc>
          <w:tcPr>
            <w:tcW w:w="1456" w:type="pct"/>
            <w:hideMark/>
          </w:tcPr>
          <w:p w14:paraId="015CAB69"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D</w:t>
            </w:r>
          </w:p>
        </w:tc>
      </w:tr>
      <w:tr w:rsidR="0008249C" w:rsidRPr="0064745E" w14:paraId="3FCCDF49" w14:textId="77777777" w:rsidTr="00BC3301">
        <w:tc>
          <w:tcPr>
            <w:tcW w:w="930" w:type="pct"/>
            <w:hideMark/>
          </w:tcPr>
          <w:p w14:paraId="3AE09EDF"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Attiecīgā ES tiesību akta panta numurs (uzskaitot katru tiesību akta vienību – pantu, daļu, punktu, apakšpunktu)</w:t>
            </w:r>
          </w:p>
        </w:tc>
        <w:tc>
          <w:tcPr>
            <w:tcW w:w="1221" w:type="pct"/>
            <w:hideMark/>
          </w:tcPr>
          <w:p w14:paraId="563BA023"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Projekta vienība, kas pārņem vai ievieš katru šīs tabulas A ailē minēto ES tiesību akta vienību, vai tiesību akts, kur attiecīgā ES tiesību akta vienība pārņemta vai ieviesta</w:t>
            </w:r>
          </w:p>
        </w:tc>
        <w:tc>
          <w:tcPr>
            <w:tcW w:w="1393" w:type="pct"/>
            <w:hideMark/>
          </w:tcPr>
          <w:p w14:paraId="487B315C"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A ailē minētās ES tiesību akta vienības tiek pārņemtas vai ieviestas pilnībā vai daļēji.</w:t>
            </w:r>
          </w:p>
          <w:p w14:paraId="39217DAC"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attiecīgā ES tiesību akta vienība tiek pārņemta vai ieviesta daļēji, sniedz attiecīgu skaidrojumu, kā arī precīzi norāda, kad un kādā veidā ES tiesību akta vienība tiks pārņemta vai ieviesta pilnībā.</w:t>
            </w:r>
          </w:p>
          <w:p w14:paraId="54DF14DD"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institūciju, kas ir atbildīga par šo saistību izpildi pilnībā</w:t>
            </w:r>
          </w:p>
        </w:tc>
        <w:tc>
          <w:tcPr>
            <w:tcW w:w="1456" w:type="pct"/>
            <w:hideMark/>
          </w:tcPr>
          <w:p w14:paraId="0D3032E9"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B ailē minētās projekta vienības paredz stingrākas prasības nekā šīs tabulas A ailē minētās ES tiesību akta vienības.</w:t>
            </w:r>
          </w:p>
          <w:p w14:paraId="0D1DD935"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projekts satur stingrākas prasības nekā attiecīgais ES tiesību akts, norāda pamatojumu un samērīgumu.</w:t>
            </w:r>
          </w:p>
          <w:p w14:paraId="4D228172"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C00E70" w:rsidRPr="005A48A5" w14:paraId="552371D3" w14:textId="77777777" w:rsidTr="00BC3301">
        <w:tc>
          <w:tcPr>
            <w:tcW w:w="930" w:type="pct"/>
          </w:tcPr>
          <w:p w14:paraId="59C86313" w14:textId="77777777" w:rsidR="00C00E70" w:rsidRDefault="00C00E70" w:rsidP="00C00E70">
            <w:pPr>
              <w:rPr>
                <w:rFonts w:ascii="Times New Roman" w:hAnsi="Times New Roman" w:cs="Times New Roman"/>
                <w:sz w:val="24"/>
                <w:szCs w:val="24"/>
              </w:rPr>
            </w:pPr>
            <w:r>
              <w:rPr>
                <w:rFonts w:ascii="Times New Roman" w:hAnsi="Times New Roman" w:cs="Times New Roman"/>
                <w:sz w:val="24"/>
                <w:szCs w:val="24"/>
              </w:rPr>
              <w:t>Direktīvas 2014/94/EK 7.panta 2.punkts</w:t>
            </w:r>
          </w:p>
          <w:p w14:paraId="319ECA70" w14:textId="6B64DEBD" w:rsidR="00C00E70" w:rsidRPr="005A48A5" w:rsidRDefault="00C00E70" w:rsidP="00C00E70">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4.panta 1.punkta 3.rindkopa</w:t>
            </w:r>
          </w:p>
        </w:tc>
        <w:tc>
          <w:tcPr>
            <w:tcW w:w="1221" w:type="pct"/>
          </w:tcPr>
          <w:p w14:paraId="33C8F923" w14:textId="5D791AA6" w:rsidR="00C00E70" w:rsidRPr="005A48A5"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un 3.punkts</w:t>
            </w:r>
          </w:p>
        </w:tc>
        <w:tc>
          <w:tcPr>
            <w:tcW w:w="1393" w:type="pct"/>
          </w:tcPr>
          <w:p w14:paraId="70EAE67D" w14:textId="00C753B6" w:rsidR="00C00E70" w:rsidRPr="005A48A5" w:rsidRDefault="00C00E70" w:rsidP="00C00E70">
            <w:pPr>
              <w:jc w:val="both"/>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7E992B6A" w14:textId="79E31F64" w:rsidR="00C00E70" w:rsidRPr="005A48A5"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34E500AF" w14:textId="77777777" w:rsidTr="00BC3301">
        <w:tc>
          <w:tcPr>
            <w:tcW w:w="930" w:type="pct"/>
          </w:tcPr>
          <w:p w14:paraId="333121A1" w14:textId="035A45F7" w:rsidR="00C00E70"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98/70/EK 3.panta 3.punkts</w:t>
            </w:r>
          </w:p>
        </w:tc>
        <w:tc>
          <w:tcPr>
            <w:tcW w:w="1221" w:type="pct"/>
          </w:tcPr>
          <w:p w14:paraId="7EE3EBB6" w14:textId="27F98AD5" w:rsidR="00C00E70"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3.2.punkts</w:t>
            </w:r>
          </w:p>
        </w:tc>
        <w:tc>
          <w:tcPr>
            <w:tcW w:w="1393" w:type="pct"/>
          </w:tcPr>
          <w:p w14:paraId="08D6973D" w14:textId="19383AF7"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B74A4DA" w14:textId="1D3AC982"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1DFA87CB" w14:textId="77777777" w:rsidTr="00BC3301">
        <w:tc>
          <w:tcPr>
            <w:tcW w:w="930" w:type="pct"/>
          </w:tcPr>
          <w:p w14:paraId="4BD29048" w14:textId="7F96ABBA"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98/70/EK 8.a panta 4.-6.punkts</w:t>
            </w:r>
          </w:p>
        </w:tc>
        <w:tc>
          <w:tcPr>
            <w:tcW w:w="1221" w:type="pct"/>
          </w:tcPr>
          <w:p w14:paraId="67F5F1D2" w14:textId="7EE015CA"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3.3.punkts</w:t>
            </w:r>
          </w:p>
        </w:tc>
        <w:tc>
          <w:tcPr>
            <w:tcW w:w="1393" w:type="pct"/>
          </w:tcPr>
          <w:p w14:paraId="342221B4" w14:textId="73514768"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C73B52F" w14:textId="102D500E"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C00E70" w14:paraId="285B8D93" w14:textId="77777777" w:rsidTr="00BC3301">
        <w:tc>
          <w:tcPr>
            <w:tcW w:w="930" w:type="pct"/>
          </w:tcPr>
          <w:p w14:paraId="6FAFC97F" w14:textId="67451A3D"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2014/94/ES 7.panta 3.punkts</w:t>
            </w:r>
          </w:p>
        </w:tc>
        <w:tc>
          <w:tcPr>
            <w:tcW w:w="1221" w:type="pct"/>
          </w:tcPr>
          <w:p w14:paraId="45D21249" w14:textId="4213124B" w:rsidR="00C00E70" w:rsidRPr="00503667" w:rsidRDefault="00C00E70" w:rsidP="00C00E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6-14.punkts</w:t>
            </w:r>
          </w:p>
        </w:tc>
        <w:tc>
          <w:tcPr>
            <w:tcW w:w="1393" w:type="pct"/>
          </w:tcPr>
          <w:p w14:paraId="27144BD2" w14:textId="3564D286"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0AD6DD6" w14:textId="77ED2350" w:rsidR="00C00E70" w:rsidRPr="00503667" w:rsidRDefault="00C00E70" w:rsidP="00C00E70">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624074" w14:paraId="71C07607" w14:textId="77777777" w:rsidTr="00BC3301">
        <w:tc>
          <w:tcPr>
            <w:tcW w:w="930" w:type="pct"/>
            <w:hideMark/>
          </w:tcPr>
          <w:p w14:paraId="4F81DD29"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 xml:space="preserve">Kā ir izmantota ES tiesību aktā paredzētā </w:t>
            </w:r>
            <w:r w:rsidRPr="00503667">
              <w:rPr>
                <w:rFonts w:ascii="Times New Roman" w:eastAsia="Times New Roman" w:hAnsi="Times New Roman" w:cs="Times New Roman"/>
                <w:sz w:val="24"/>
                <w:szCs w:val="24"/>
                <w:lang w:eastAsia="lv-LV"/>
              </w:rPr>
              <w:lastRenderedPageBreak/>
              <w:t>rīcības brīvība dalībvalstij pārņemt vai ieviest noteiktas ES tiesību akta normas?</w:t>
            </w:r>
            <w:r w:rsidRPr="00503667">
              <w:rPr>
                <w:rFonts w:ascii="Times New Roman" w:eastAsia="Times New Roman" w:hAnsi="Times New Roman" w:cs="Times New Roman"/>
                <w:sz w:val="24"/>
                <w:szCs w:val="24"/>
                <w:lang w:eastAsia="lv-LV"/>
              </w:rPr>
              <w:br/>
              <w:t>Kādēļ?</w:t>
            </w:r>
          </w:p>
        </w:tc>
        <w:tc>
          <w:tcPr>
            <w:tcW w:w="4070" w:type="pct"/>
            <w:gridSpan w:val="3"/>
            <w:hideMark/>
          </w:tcPr>
          <w:p w14:paraId="440E402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lastRenderedPageBreak/>
              <w:t>Projekts šo jomu neskar.</w:t>
            </w:r>
          </w:p>
        </w:tc>
      </w:tr>
      <w:tr w:rsidR="00624074" w14:paraId="46E48AFD" w14:textId="77777777" w:rsidTr="00BC3301">
        <w:tc>
          <w:tcPr>
            <w:tcW w:w="930" w:type="pct"/>
            <w:hideMark/>
          </w:tcPr>
          <w:p w14:paraId="7F7CE486"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70" w:type="pct"/>
            <w:gridSpan w:val="3"/>
            <w:hideMark/>
          </w:tcPr>
          <w:p w14:paraId="7557DDC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624074" w14:paraId="1C6F1064" w14:textId="77777777" w:rsidTr="00BC3301">
        <w:tc>
          <w:tcPr>
            <w:tcW w:w="930" w:type="pct"/>
            <w:hideMark/>
          </w:tcPr>
          <w:p w14:paraId="48B4E872"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Cita informācija</w:t>
            </w:r>
          </w:p>
        </w:tc>
        <w:tc>
          <w:tcPr>
            <w:tcW w:w="4070" w:type="pct"/>
            <w:gridSpan w:val="3"/>
            <w:hideMark/>
          </w:tcPr>
          <w:p w14:paraId="4B1269BB" w14:textId="6C7225B5" w:rsidR="00624074" w:rsidRPr="00503667" w:rsidRDefault="00624074" w:rsidP="00624074">
            <w:pPr>
              <w:ind w:right="93"/>
              <w:jc w:val="both"/>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Nav.</w:t>
            </w:r>
          </w:p>
        </w:tc>
      </w:tr>
      <w:tr w:rsidR="00624074" w14:paraId="51E19763" w14:textId="77777777" w:rsidTr="00BC3301">
        <w:tc>
          <w:tcPr>
            <w:tcW w:w="5000" w:type="pct"/>
            <w:gridSpan w:val="4"/>
            <w:hideMark/>
          </w:tcPr>
          <w:p w14:paraId="6BD47D8E" w14:textId="77777777" w:rsidR="00624074" w:rsidRPr="00503667" w:rsidRDefault="00624074" w:rsidP="00624074">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2. tabula</w:t>
            </w:r>
            <w:r w:rsidRPr="00503667">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503667">
              <w:rPr>
                <w:rFonts w:ascii="Times New Roman" w:eastAsia="Times New Roman" w:hAnsi="Times New Roman" w:cs="Times New Roman"/>
                <w:b/>
                <w:bCs/>
                <w:sz w:val="24"/>
                <w:szCs w:val="24"/>
                <w:lang w:eastAsia="lv-LV"/>
              </w:rPr>
              <w:br/>
              <w:t>Pasākumi šo saistību izpildei</w:t>
            </w:r>
          </w:p>
        </w:tc>
      </w:tr>
      <w:tr w:rsidR="00624074" w14:paraId="1105448B" w14:textId="77777777" w:rsidTr="00BC3301">
        <w:tc>
          <w:tcPr>
            <w:tcW w:w="5000" w:type="pct"/>
            <w:gridSpan w:val="4"/>
            <w:hideMark/>
          </w:tcPr>
          <w:p w14:paraId="567992E5" w14:textId="77777777" w:rsidR="00624074" w:rsidRPr="00503667" w:rsidRDefault="00624074" w:rsidP="00624074">
            <w:pPr>
              <w:jc w:val="cente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bl>
    <w:p w14:paraId="4DD0610E" w14:textId="7777777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63"/>
        <w:gridCol w:w="2020"/>
        <w:gridCol w:w="6761"/>
      </w:tblGrid>
      <w:tr w:rsidR="008D3E90" w14:paraId="355F533E" w14:textId="77777777" w:rsidTr="0064745E">
        <w:tc>
          <w:tcPr>
            <w:tcW w:w="0" w:type="auto"/>
            <w:gridSpan w:val="3"/>
            <w:hideMark/>
          </w:tcPr>
          <w:p w14:paraId="5D2A2877"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 Sabiedrības līdzdalība un komunikācijas aktivitātes</w:t>
            </w:r>
          </w:p>
        </w:tc>
      </w:tr>
      <w:tr w:rsidR="00BD67BC" w14:paraId="59B4D522" w14:textId="77777777" w:rsidTr="00BD67BC">
        <w:tc>
          <w:tcPr>
            <w:tcW w:w="301" w:type="pct"/>
            <w:hideMark/>
          </w:tcPr>
          <w:p w14:paraId="25094E9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081" w:type="pct"/>
            <w:hideMark/>
          </w:tcPr>
          <w:p w14:paraId="71189AE5"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18" w:type="pct"/>
          </w:tcPr>
          <w:p w14:paraId="69D0D52B" w14:textId="77777777" w:rsidR="00BD67BC" w:rsidRPr="00754A0D" w:rsidRDefault="00BD67BC" w:rsidP="00BD67BC">
            <w:pPr>
              <w:spacing w:before="60" w:after="60"/>
              <w:ind w:right="140"/>
              <w:jc w:val="both"/>
              <w:rPr>
                <w:rFonts w:ascii="Times New Roman" w:hAnsi="Times New Roman" w:cs="Times New Roman"/>
                <w:sz w:val="24"/>
                <w:szCs w:val="24"/>
              </w:rPr>
            </w:pPr>
            <w:r w:rsidRPr="00754A0D">
              <w:rPr>
                <w:rFonts w:ascii="Times New Roman" w:hAnsi="Times New Roman" w:cs="Times New Roman"/>
                <w:sz w:val="24"/>
                <w:szCs w:val="24"/>
              </w:rPr>
              <w:t>Saskaņā ar MK 2009. gada 25. augusta noteikumu Nr. 970 „Sabiedrības līdzdalības kārtība attīstības plānošanas procesā” 7.4.</w:t>
            </w:r>
            <w:r w:rsidRPr="00754A0D">
              <w:rPr>
                <w:rFonts w:ascii="Times New Roman" w:hAnsi="Times New Roman" w:cs="Times New Roman"/>
                <w:sz w:val="24"/>
                <w:szCs w:val="24"/>
                <w:vertAlign w:val="superscript"/>
              </w:rPr>
              <w:t>1</w:t>
            </w:r>
            <w:r w:rsidRPr="00754A0D">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tā izstrādes stadijā.</w:t>
            </w:r>
          </w:p>
          <w:p w14:paraId="57FB2B31" w14:textId="1316ABE3" w:rsidR="00BD67BC" w:rsidRPr="00503667" w:rsidRDefault="00BD67BC" w:rsidP="00BD67BC">
            <w:pPr>
              <w:contextualSpacing/>
              <w:jc w:val="both"/>
              <w:rPr>
                <w:rFonts w:ascii="Times New Roman" w:eastAsia="Times New Roman" w:hAnsi="Times New Roman" w:cs="Times New Roman"/>
                <w:b/>
                <w:iCs/>
                <w:sz w:val="24"/>
                <w:szCs w:val="24"/>
                <w:lang w:eastAsia="lv-LV"/>
              </w:rPr>
            </w:pPr>
            <w:r w:rsidRPr="00754A0D">
              <w:rPr>
                <w:rFonts w:ascii="Times New Roman" w:hAnsi="Times New Roman" w:cs="Times New Roman"/>
                <w:sz w:val="24"/>
                <w:szCs w:val="24"/>
              </w:rPr>
              <w:t>Sabiedrības pārstāvji tiks informēti par iespēju līdzdarboties, publicējot paziņojumu par līdzdalības procesu E</w:t>
            </w:r>
            <w:r w:rsidR="00327841">
              <w:rPr>
                <w:rFonts w:ascii="Times New Roman" w:hAnsi="Times New Roman" w:cs="Times New Roman"/>
                <w:sz w:val="24"/>
                <w:szCs w:val="24"/>
              </w:rPr>
              <w:t>konomikas ministrija</w:t>
            </w:r>
            <w:r w:rsidRPr="00754A0D">
              <w:rPr>
                <w:rFonts w:ascii="Times New Roman" w:hAnsi="Times New Roman" w:cs="Times New Roman"/>
                <w:sz w:val="24"/>
                <w:szCs w:val="24"/>
              </w:rPr>
              <w:t xml:space="preserve"> tīmekļvietnē.</w:t>
            </w:r>
          </w:p>
        </w:tc>
      </w:tr>
      <w:tr w:rsidR="00BD67BC" w14:paraId="71171ABA" w14:textId="77777777" w:rsidTr="00BD67BC">
        <w:tc>
          <w:tcPr>
            <w:tcW w:w="301" w:type="pct"/>
            <w:hideMark/>
          </w:tcPr>
          <w:p w14:paraId="09616D7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081" w:type="pct"/>
            <w:hideMark/>
          </w:tcPr>
          <w:p w14:paraId="79B24313"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 projekta izstrādē</w:t>
            </w:r>
          </w:p>
        </w:tc>
        <w:tc>
          <w:tcPr>
            <w:tcW w:w="3618" w:type="pct"/>
          </w:tcPr>
          <w:p w14:paraId="46C43AF8" w14:textId="67CCD19E" w:rsidR="00BD67BC" w:rsidRPr="00503667"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E</w:t>
            </w:r>
            <w:r w:rsidR="00327841">
              <w:rPr>
                <w:rFonts w:ascii="Times New Roman" w:hAnsi="Times New Roman" w:cs="Times New Roman"/>
                <w:sz w:val="24"/>
                <w:szCs w:val="24"/>
              </w:rPr>
              <w:t>konomikas ministrija</w:t>
            </w:r>
            <w:r w:rsidRPr="00754A0D">
              <w:rPr>
                <w:rFonts w:ascii="Times New Roman" w:hAnsi="Times New Roman" w:cs="Times New Roman"/>
                <w:sz w:val="24"/>
                <w:szCs w:val="24"/>
              </w:rPr>
              <w:t xml:space="preserve"> tīmekļa vietnē un izteikt par to viedokli.</w:t>
            </w:r>
          </w:p>
        </w:tc>
      </w:tr>
      <w:tr w:rsidR="00BD67BC" w14:paraId="60230B37" w14:textId="77777777" w:rsidTr="00BD67BC">
        <w:tc>
          <w:tcPr>
            <w:tcW w:w="301" w:type="pct"/>
            <w:hideMark/>
          </w:tcPr>
          <w:p w14:paraId="1E693B39"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081" w:type="pct"/>
            <w:hideMark/>
          </w:tcPr>
          <w:p w14:paraId="4611B1A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līdzdalības rezultāti</w:t>
            </w:r>
          </w:p>
        </w:tc>
        <w:tc>
          <w:tcPr>
            <w:tcW w:w="3618" w:type="pct"/>
          </w:tcPr>
          <w:p w14:paraId="2FDA2DFD" w14:textId="43431496" w:rsidR="00BD67BC" w:rsidRPr="007C26EE"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Tiks apkopoti pēc saņemto viedokļu apkopošanas.</w:t>
            </w:r>
          </w:p>
        </w:tc>
      </w:tr>
      <w:tr w:rsidR="00BD67BC" w14:paraId="268B2B1B" w14:textId="77777777" w:rsidTr="00BD67BC">
        <w:tc>
          <w:tcPr>
            <w:tcW w:w="301" w:type="pct"/>
            <w:hideMark/>
          </w:tcPr>
          <w:p w14:paraId="3B7221A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4.</w:t>
            </w:r>
          </w:p>
        </w:tc>
        <w:tc>
          <w:tcPr>
            <w:tcW w:w="1081" w:type="pct"/>
            <w:hideMark/>
          </w:tcPr>
          <w:p w14:paraId="2483153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618" w:type="pct"/>
            <w:hideMark/>
          </w:tcPr>
          <w:p w14:paraId="53D17BE7" w14:textId="752C6753" w:rsidR="00BD67BC" w:rsidRPr="00503667" w:rsidRDefault="00BD67BC" w:rsidP="00BD67BC">
            <w:pPr>
              <w:contextualSpacing/>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Nav.</w:t>
            </w:r>
          </w:p>
        </w:tc>
      </w:tr>
    </w:tbl>
    <w:p w14:paraId="44016AA6"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560"/>
        <w:gridCol w:w="2411"/>
        <w:gridCol w:w="6373"/>
      </w:tblGrid>
      <w:tr w:rsidR="008D3E90" w14:paraId="165CB927" w14:textId="77777777" w:rsidTr="00BD67BC">
        <w:tc>
          <w:tcPr>
            <w:tcW w:w="0" w:type="auto"/>
            <w:gridSpan w:val="3"/>
            <w:hideMark/>
          </w:tcPr>
          <w:p w14:paraId="056532DB"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D67BC" w14:paraId="68DD66DC" w14:textId="77777777" w:rsidTr="00BD67BC">
        <w:tc>
          <w:tcPr>
            <w:tcW w:w="300" w:type="pct"/>
            <w:hideMark/>
          </w:tcPr>
          <w:p w14:paraId="7E37CC7B"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290" w:type="pct"/>
            <w:hideMark/>
          </w:tcPr>
          <w:p w14:paraId="3DAC772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izpildē iesaistītās institūcijas</w:t>
            </w:r>
          </w:p>
        </w:tc>
        <w:tc>
          <w:tcPr>
            <w:tcW w:w="3410" w:type="pct"/>
          </w:tcPr>
          <w:p w14:paraId="1C64FA27" w14:textId="622F06B7" w:rsidR="00BD67BC" w:rsidRPr="00503667" w:rsidRDefault="003C6054"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PTAC, CSDD</w:t>
            </w:r>
            <w:r w:rsidR="00810472">
              <w:rPr>
                <w:rFonts w:ascii="Times New Roman" w:hAnsi="Times New Roman" w:cs="Times New Roman"/>
                <w:sz w:val="24"/>
                <w:szCs w:val="24"/>
              </w:rPr>
              <w:t xml:space="preserve">, </w:t>
            </w:r>
            <w:r w:rsidR="007B2E47">
              <w:rPr>
                <w:rFonts w:ascii="Times New Roman" w:hAnsi="Times New Roman" w:cs="Times New Roman"/>
                <w:sz w:val="24"/>
                <w:szCs w:val="24"/>
              </w:rPr>
              <w:t>CSP</w:t>
            </w:r>
          </w:p>
        </w:tc>
      </w:tr>
      <w:tr w:rsidR="00BD67BC" w14:paraId="7C229FCA" w14:textId="77777777" w:rsidTr="00BD67BC">
        <w:tc>
          <w:tcPr>
            <w:tcW w:w="300" w:type="pct"/>
            <w:hideMark/>
          </w:tcPr>
          <w:p w14:paraId="10BFE4B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290" w:type="pct"/>
            <w:hideMark/>
          </w:tcPr>
          <w:p w14:paraId="2CB5C4FA"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izpildes ietekme uz pārvaldes funkcijām un institucionālo struktūru.</w:t>
            </w:r>
            <w:r w:rsidRPr="005036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410" w:type="pct"/>
          </w:tcPr>
          <w:p w14:paraId="23D5C9BF"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5BA95B3C"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0B1DE524"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BD67BC" w14:paraId="548BB437" w14:textId="77777777" w:rsidTr="00BD67BC">
        <w:tc>
          <w:tcPr>
            <w:tcW w:w="300" w:type="pct"/>
            <w:hideMark/>
          </w:tcPr>
          <w:p w14:paraId="5758F840"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290" w:type="pct"/>
            <w:hideMark/>
          </w:tcPr>
          <w:p w14:paraId="0B38906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410" w:type="pct"/>
          </w:tcPr>
          <w:p w14:paraId="1409BC5B" w14:textId="48B1B40A"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503667" w:rsidRDefault="00180B04" w:rsidP="005D444B">
      <w:pPr>
        <w:spacing w:after="0" w:line="240" w:lineRule="auto"/>
        <w:contextualSpacing/>
        <w:rPr>
          <w:rFonts w:ascii="Times New Roman" w:hAnsi="Times New Roman" w:cs="Times New Roman"/>
          <w:sz w:val="28"/>
          <w:szCs w:val="28"/>
        </w:rPr>
      </w:pPr>
    </w:p>
    <w:p w14:paraId="3805D8DA" w14:textId="77777777" w:rsidR="00BD67BC" w:rsidRPr="00754A0D" w:rsidRDefault="00BD67BC" w:rsidP="00BD67BC">
      <w:pPr>
        <w:spacing w:before="120" w:after="120"/>
        <w:rPr>
          <w:rFonts w:ascii="Times New Roman" w:hAnsi="Times New Roman" w:cs="Times New Roman"/>
          <w:sz w:val="24"/>
          <w:szCs w:val="24"/>
        </w:rPr>
      </w:pPr>
      <w:r w:rsidRPr="00754A0D">
        <w:rPr>
          <w:rFonts w:ascii="Times New Roman" w:hAnsi="Times New Roman" w:cs="Times New Roman"/>
          <w:sz w:val="24"/>
          <w:szCs w:val="24"/>
        </w:rPr>
        <w:t>Ekonomikas ministrs</w:t>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J.Vitenbergs</w:t>
      </w:r>
      <w:proofErr w:type="spellEnd"/>
    </w:p>
    <w:p w14:paraId="535CEAE7" w14:textId="77777777" w:rsidR="00BD67BC" w:rsidRPr="00754A0D" w:rsidRDefault="00BD67BC" w:rsidP="00BD67BC">
      <w:pPr>
        <w:spacing w:before="120" w:after="120"/>
        <w:jc w:val="right"/>
        <w:rPr>
          <w:rFonts w:ascii="Times New Roman" w:eastAsia="Calibri" w:hAnsi="Times New Roman" w:cs="Times New Roman"/>
          <w:sz w:val="24"/>
          <w:szCs w:val="24"/>
        </w:rPr>
      </w:pPr>
    </w:p>
    <w:p w14:paraId="2EAC733D" w14:textId="77777777" w:rsidR="00BD67BC" w:rsidRPr="00754A0D" w:rsidRDefault="00BD67BC" w:rsidP="00BD67BC">
      <w:pPr>
        <w:tabs>
          <w:tab w:val="left" w:pos="7513"/>
        </w:tabs>
        <w:rPr>
          <w:rFonts w:ascii="Times New Roman" w:hAnsi="Times New Roman" w:cs="Times New Roman"/>
          <w:sz w:val="24"/>
          <w:szCs w:val="24"/>
        </w:rPr>
      </w:pPr>
      <w:r w:rsidRPr="00754A0D">
        <w:rPr>
          <w:rFonts w:ascii="Times New Roman" w:hAnsi="Times New Roman" w:cs="Times New Roman"/>
          <w:sz w:val="24"/>
          <w:szCs w:val="24"/>
        </w:rPr>
        <w:t>Vīza: Valsts sekretārs</w:t>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E.Valantis</w:t>
      </w:r>
      <w:proofErr w:type="spellEnd"/>
      <w:r w:rsidRPr="00754A0D">
        <w:rPr>
          <w:rFonts w:ascii="Times New Roman" w:hAnsi="Times New Roman" w:cs="Times New Roman"/>
          <w:sz w:val="24"/>
          <w:szCs w:val="24"/>
        </w:rPr>
        <w:tab/>
        <w:t xml:space="preserve"> </w:t>
      </w:r>
    </w:p>
    <w:p w14:paraId="75D3678A" w14:textId="3E99F189" w:rsidR="00894C55" w:rsidRDefault="00894C55" w:rsidP="009417DF">
      <w:pPr>
        <w:spacing w:after="0" w:line="240" w:lineRule="auto"/>
        <w:contextualSpacing/>
        <w:rPr>
          <w:rFonts w:ascii="Times New Roman" w:hAnsi="Times New Roman" w:cs="Times New Roman"/>
          <w:sz w:val="28"/>
          <w:szCs w:val="28"/>
        </w:rPr>
      </w:pPr>
    </w:p>
    <w:p w14:paraId="185E1199" w14:textId="77777777" w:rsidR="00133C58" w:rsidRPr="0042629F" w:rsidRDefault="00133C58" w:rsidP="00133C58">
      <w:pPr>
        <w:spacing w:after="0" w:line="240" w:lineRule="auto"/>
        <w:contextualSpacing/>
        <w:rPr>
          <w:rFonts w:ascii="Times New Roman" w:hAnsi="Times New Roman" w:cs="Times New Roman"/>
          <w:sz w:val="20"/>
          <w:szCs w:val="20"/>
        </w:rPr>
      </w:pPr>
      <w:proofErr w:type="spellStart"/>
      <w:r w:rsidRPr="0042629F">
        <w:rPr>
          <w:rFonts w:ascii="Times New Roman" w:hAnsi="Times New Roman" w:cs="Times New Roman"/>
          <w:sz w:val="20"/>
          <w:szCs w:val="20"/>
        </w:rPr>
        <w:t>H.Rimša</w:t>
      </w:r>
      <w:proofErr w:type="spellEnd"/>
      <w:r w:rsidRPr="0042629F">
        <w:rPr>
          <w:rFonts w:ascii="Times New Roman" w:hAnsi="Times New Roman" w:cs="Times New Roman"/>
          <w:sz w:val="20"/>
          <w:szCs w:val="20"/>
        </w:rPr>
        <w:t>, 67013244</w:t>
      </w:r>
    </w:p>
    <w:p w14:paraId="01971078" w14:textId="37929668" w:rsidR="00354F3E" w:rsidRDefault="00871EB9">
      <w:pPr>
        <w:spacing w:after="0" w:line="240" w:lineRule="auto"/>
        <w:contextualSpacing/>
        <w:rPr>
          <w:rFonts w:ascii="Times New Roman" w:hAnsi="Times New Roman" w:cs="Times New Roman"/>
          <w:sz w:val="28"/>
          <w:szCs w:val="28"/>
        </w:rPr>
      </w:pPr>
      <w:hyperlink r:id="rId8" w:history="1">
        <w:r w:rsidR="00133C58" w:rsidRPr="0042629F">
          <w:rPr>
            <w:rStyle w:val="Hyperlink"/>
            <w:rFonts w:ascii="Times New Roman" w:hAnsi="Times New Roman" w:cs="Times New Roman"/>
            <w:sz w:val="20"/>
            <w:szCs w:val="20"/>
          </w:rPr>
          <w:t>Helena.Rimsa@em.gov.lv</w:t>
        </w:r>
      </w:hyperlink>
      <w:r w:rsidR="00133C58" w:rsidRPr="0042629F">
        <w:rPr>
          <w:rFonts w:ascii="Times New Roman" w:hAnsi="Times New Roman" w:cs="Times New Roman"/>
          <w:sz w:val="20"/>
          <w:szCs w:val="20"/>
        </w:rPr>
        <w:t xml:space="preserve"> </w:t>
      </w:r>
    </w:p>
    <w:sectPr w:rsidR="00354F3E" w:rsidSect="00BB4BA7">
      <w:headerReference w:type="default" r:id="rId9"/>
      <w:footerReference w:type="default" r:id="rId10"/>
      <w:footerReference w:type="first" r:id="rId11"/>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82F0F" w14:textId="77777777" w:rsidR="00871EB9" w:rsidRDefault="00871EB9">
      <w:pPr>
        <w:spacing w:after="0" w:line="240" w:lineRule="auto"/>
      </w:pPr>
      <w:r>
        <w:separator/>
      </w:r>
    </w:p>
  </w:endnote>
  <w:endnote w:type="continuationSeparator" w:id="0">
    <w:p w14:paraId="3C7AE99D" w14:textId="77777777" w:rsidR="00871EB9" w:rsidRDefault="0087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8A91" w14:textId="17E2A336" w:rsidR="00792407" w:rsidRPr="00792407" w:rsidRDefault="00792407" w:rsidP="00792407">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A0259B">
      <w:rPr>
        <w:rFonts w:ascii="Times New Roman" w:hAnsi="Times New Roman" w:cs="Times New Roman"/>
        <w:noProof/>
        <w:sz w:val="20"/>
        <w:szCs w:val="20"/>
      </w:rPr>
      <w:t>EMAnot_04062021_Informesana_TEL.docx</w:t>
    </w:r>
    <w:r w:rsidRPr="0079240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3B76" w14:textId="22405A5F" w:rsidR="002E7F64" w:rsidRPr="00792407" w:rsidRDefault="00792407" w:rsidP="006218D6">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A0259B">
      <w:rPr>
        <w:rFonts w:ascii="Times New Roman" w:hAnsi="Times New Roman" w:cs="Times New Roman"/>
        <w:noProof/>
        <w:sz w:val="20"/>
        <w:szCs w:val="20"/>
      </w:rPr>
      <w:t>EMAnot_04062021_Informesana_TEL.docx</w:t>
    </w:r>
    <w:r w:rsidRPr="00792407">
      <w:rPr>
        <w:rFonts w:ascii="Times New Roman" w:hAnsi="Times New Roman" w:cs="Times New Roman"/>
        <w:sz w:val="20"/>
        <w:szCs w:val="20"/>
      </w:rPr>
      <w:fldChar w:fldCharType="end"/>
    </w:r>
  </w:p>
  <w:p w14:paraId="5C4D8376" w14:textId="128A970A" w:rsidR="002E7F64" w:rsidRPr="006218D6" w:rsidRDefault="002E7F64" w:rsidP="008B419B">
    <w:pPr>
      <w:pStyle w:val="Footer"/>
      <w:jc w:val="both"/>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72FD7" w14:textId="77777777" w:rsidR="00871EB9" w:rsidRDefault="00871EB9" w:rsidP="00894C55">
      <w:pPr>
        <w:spacing w:after="0" w:line="240" w:lineRule="auto"/>
      </w:pPr>
      <w:r>
        <w:separator/>
      </w:r>
    </w:p>
  </w:footnote>
  <w:footnote w:type="continuationSeparator" w:id="0">
    <w:p w14:paraId="085E8E2C" w14:textId="77777777" w:rsidR="00871EB9" w:rsidRDefault="00871EB9" w:rsidP="00894C55">
      <w:pPr>
        <w:spacing w:after="0" w:line="240" w:lineRule="auto"/>
      </w:pPr>
      <w:r>
        <w:continuationSeparator/>
      </w:r>
    </w:p>
  </w:footnote>
  <w:footnote w:id="1">
    <w:p w14:paraId="5FF2670B" w14:textId="77777777" w:rsidR="00D80395" w:rsidRPr="00DE34F4" w:rsidRDefault="00D80395" w:rsidP="00D80395">
      <w:pPr>
        <w:pStyle w:val="FootnoteText"/>
        <w:rPr>
          <w:rFonts w:ascii="Times New Roman" w:hAnsi="Times New Roman" w:cs="Times New Roman"/>
        </w:rPr>
      </w:pPr>
      <w:r w:rsidRPr="00DE34F4">
        <w:rPr>
          <w:rStyle w:val="FootnoteReference"/>
          <w:rFonts w:ascii="Times New Roman" w:hAnsi="Times New Roman" w:cs="Times New Roman"/>
        </w:rPr>
        <w:footnoteRef/>
      </w:r>
      <w:r w:rsidRPr="00DE34F4">
        <w:rPr>
          <w:rFonts w:ascii="Times New Roman" w:hAnsi="Times New Roman" w:cs="Times New Roman"/>
        </w:rPr>
        <w:t xml:space="preserve"> </w:t>
      </w:r>
      <w:r>
        <w:rPr>
          <w:rFonts w:ascii="Times New Roman" w:hAnsi="Times New Roman" w:cs="Times New Roman"/>
        </w:rPr>
        <w:t>š</w:t>
      </w:r>
      <w:r w:rsidRPr="00DE34F4">
        <w:rPr>
          <w:rFonts w:ascii="Times New Roman" w:hAnsi="Times New Roman" w:cs="Times New Roman"/>
        </w:rPr>
        <w:t xml:space="preserve">obrīd </w:t>
      </w:r>
      <w:proofErr w:type="spellStart"/>
      <w:r w:rsidRPr="00DE34F4">
        <w:rPr>
          <w:rFonts w:ascii="Times New Roman" w:hAnsi="Times New Roman" w:cs="Times New Roman"/>
        </w:rPr>
        <w:t>starpministriju</w:t>
      </w:r>
      <w:proofErr w:type="spellEnd"/>
      <w:r w:rsidRPr="00DE34F4">
        <w:rPr>
          <w:rFonts w:ascii="Times New Roman" w:hAnsi="Times New Roman" w:cs="Times New Roman"/>
        </w:rPr>
        <w:t xml:space="preserve"> saskaņošanas p</w:t>
      </w:r>
      <w:r>
        <w:rPr>
          <w:rFonts w:ascii="Times New Roman" w:hAnsi="Times New Roman" w:cs="Times New Roman"/>
        </w:rPr>
        <w:t>rocesā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95711"/>
      <w:docPartObj>
        <w:docPartGallery w:val="Page Numbers (Top of Page)"/>
        <w:docPartUnique/>
      </w:docPartObj>
    </w:sdtPr>
    <w:sdtEndPr>
      <w:rPr>
        <w:rFonts w:ascii="Times New Roman" w:hAnsi="Times New Roman" w:cs="Times New Roman"/>
        <w:noProof/>
        <w:sz w:val="24"/>
        <w:szCs w:val="20"/>
      </w:rPr>
    </w:sdtEndPr>
    <w:sdtContent>
      <w:p w14:paraId="532D6AE1" w14:textId="1CCCC642" w:rsidR="002E7F64" w:rsidRPr="00C25B49" w:rsidRDefault="002E7F6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63156"/>
    <w:multiLevelType w:val="hybridMultilevel"/>
    <w:tmpl w:val="E9BC810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0">
    <w:nsid w:val="13490759"/>
    <w:multiLevelType w:val="hybridMultilevel"/>
    <w:tmpl w:val="83E09492"/>
    <w:lvl w:ilvl="0" w:tplc="E96C5446">
      <w:start w:val="2018"/>
      <w:numFmt w:val="bullet"/>
      <w:lvlText w:val="-"/>
      <w:lvlJc w:val="left"/>
      <w:pPr>
        <w:ind w:left="720" w:hanging="360"/>
      </w:pPr>
      <w:rPr>
        <w:rFonts w:ascii="Times New Roman" w:eastAsiaTheme="minorHAnsi" w:hAnsi="Times New Roman" w:cs="Times New Roman" w:hint="default"/>
      </w:rPr>
    </w:lvl>
    <w:lvl w:ilvl="1" w:tplc="7B863DFE">
      <w:start w:val="1"/>
      <w:numFmt w:val="bullet"/>
      <w:lvlText w:val="o"/>
      <w:lvlJc w:val="left"/>
      <w:pPr>
        <w:ind w:left="1440" w:hanging="360"/>
      </w:pPr>
      <w:rPr>
        <w:rFonts w:ascii="Courier New" w:hAnsi="Courier New" w:cs="Courier New" w:hint="default"/>
      </w:rPr>
    </w:lvl>
    <w:lvl w:ilvl="2" w:tplc="CE96CE00">
      <w:start w:val="1"/>
      <w:numFmt w:val="bullet"/>
      <w:lvlText w:val=""/>
      <w:lvlJc w:val="left"/>
      <w:pPr>
        <w:ind w:left="2160" w:hanging="360"/>
      </w:pPr>
      <w:rPr>
        <w:rFonts w:ascii="Wingdings" w:hAnsi="Wingdings" w:hint="default"/>
      </w:rPr>
    </w:lvl>
    <w:lvl w:ilvl="3" w:tplc="8320F5CA">
      <w:start w:val="1"/>
      <w:numFmt w:val="bullet"/>
      <w:lvlText w:val=""/>
      <w:lvlJc w:val="left"/>
      <w:pPr>
        <w:ind w:left="2880" w:hanging="360"/>
      </w:pPr>
      <w:rPr>
        <w:rFonts w:ascii="Symbol" w:hAnsi="Symbol" w:hint="default"/>
      </w:rPr>
    </w:lvl>
    <w:lvl w:ilvl="4" w:tplc="C7B63978">
      <w:start w:val="1"/>
      <w:numFmt w:val="bullet"/>
      <w:lvlText w:val="o"/>
      <w:lvlJc w:val="left"/>
      <w:pPr>
        <w:ind w:left="3600" w:hanging="360"/>
      </w:pPr>
      <w:rPr>
        <w:rFonts w:ascii="Courier New" w:hAnsi="Courier New" w:cs="Courier New" w:hint="default"/>
      </w:rPr>
    </w:lvl>
    <w:lvl w:ilvl="5" w:tplc="418876C8">
      <w:start w:val="1"/>
      <w:numFmt w:val="bullet"/>
      <w:lvlText w:val=""/>
      <w:lvlJc w:val="left"/>
      <w:pPr>
        <w:ind w:left="4320" w:hanging="360"/>
      </w:pPr>
      <w:rPr>
        <w:rFonts w:ascii="Wingdings" w:hAnsi="Wingdings" w:hint="default"/>
      </w:rPr>
    </w:lvl>
    <w:lvl w:ilvl="6" w:tplc="4DECB564">
      <w:start w:val="1"/>
      <w:numFmt w:val="bullet"/>
      <w:lvlText w:val=""/>
      <w:lvlJc w:val="left"/>
      <w:pPr>
        <w:ind w:left="5040" w:hanging="360"/>
      </w:pPr>
      <w:rPr>
        <w:rFonts w:ascii="Symbol" w:hAnsi="Symbol" w:hint="default"/>
      </w:rPr>
    </w:lvl>
    <w:lvl w:ilvl="7" w:tplc="30B26D12">
      <w:start w:val="1"/>
      <w:numFmt w:val="bullet"/>
      <w:lvlText w:val="o"/>
      <w:lvlJc w:val="left"/>
      <w:pPr>
        <w:ind w:left="5760" w:hanging="360"/>
      </w:pPr>
      <w:rPr>
        <w:rFonts w:ascii="Courier New" w:hAnsi="Courier New" w:cs="Courier New" w:hint="default"/>
      </w:rPr>
    </w:lvl>
    <w:lvl w:ilvl="8" w:tplc="D92640B4">
      <w:start w:val="1"/>
      <w:numFmt w:val="bullet"/>
      <w:lvlText w:val=""/>
      <w:lvlJc w:val="left"/>
      <w:pPr>
        <w:ind w:left="6480" w:hanging="360"/>
      </w:pPr>
      <w:rPr>
        <w:rFonts w:ascii="Wingdings" w:hAnsi="Wingdings" w:hint="default"/>
      </w:rPr>
    </w:lvl>
  </w:abstractNum>
  <w:abstractNum w:abstractNumId="3" w15:restartNumberingAfterBreak="1">
    <w:nsid w:val="37A339A7"/>
    <w:multiLevelType w:val="hybridMultilevel"/>
    <w:tmpl w:val="6B841032"/>
    <w:lvl w:ilvl="0" w:tplc="70C0F484">
      <w:start w:val="1"/>
      <w:numFmt w:val="decimal"/>
      <w:lvlText w:val="%1)"/>
      <w:lvlJc w:val="left"/>
      <w:pPr>
        <w:ind w:left="720" w:hanging="360"/>
      </w:pPr>
      <w:rPr>
        <w:rFonts w:hint="default"/>
      </w:rPr>
    </w:lvl>
    <w:lvl w:ilvl="1" w:tplc="04E29442" w:tentative="1">
      <w:start w:val="1"/>
      <w:numFmt w:val="lowerLetter"/>
      <w:lvlText w:val="%2."/>
      <w:lvlJc w:val="left"/>
      <w:pPr>
        <w:ind w:left="1440" w:hanging="360"/>
      </w:pPr>
    </w:lvl>
    <w:lvl w:ilvl="2" w:tplc="47A04A12" w:tentative="1">
      <w:start w:val="1"/>
      <w:numFmt w:val="lowerRoman"/>
      <w:lvlText w:val="%3."/>
      <w:lvlJc w:val="right"/>
      <w:pPr>
        <w:ind w:left="2160" w:hanging="180"/>
      </w:pPr>
    </w:lvl>
    <w:lvl w:ilvl="3" w:tplc="E60C0D3E" w:tentative="1">
      <w:start w:val="1"/>
      <w:numFmt w:val="decimal"/>
      <w:lvlText w:val="%4."/>
      <w:lvlJc w:val="left"/>
      <w:pPr>
        <w:ind w:left="2880" w:hanging="360"/>
      </w:pPr>
    </w:lvl>
    <w:lvl w:ilvl="4" w:tplc="611285D4" w:tentative="1">
      <w:start w:val="1"/>
      <w:numFmt w:val="lowerLetter"/>
      <w:lvlText w:val="%5."/>
      <w:lvlJc w:val="left"/>
      <w:pPr>
        <w:ind w:left="3600" w:hanging="360"/>
      </w:pPr>
    </w:lvl>
    <w:lvl w:ilvl="5" w:tplc="910E5AC0" w:tentative="1">
      <w:start w:val="1"/>
      <w:numFmt w:val="lowerRoman"/>
      <w:lvlText w:val="%6."/>
      <w:lvlJc w:val="right"/>
      <w:pPr>
        <w:ind w:left="4320" w:hanging="180"/>
      </w:pPr>
    </w:lvl>
    <w:lvl w:ilvl="6" w:tplc="FE9EADBA" w:tentative="1">
      <w:start w:val="1"/>
      <w:numFmt w:val="decimal"/>
      <w:lvlText w:val="%7."/>
      <w:lvlJc w:val="left"/>
      <w:pPr>
        <w:ind w:left="5040" w:hanging="360"/>
      </w:pPr>
    </w:lvl>
    <w:lvl w:ilvl="7" w:tplc="2BF25D3C" w:tentative="1">
      <w:start w:val="1"/>
      <w:numFmt w:val="lowerLetter"/>
      <w:lvlText w:val="%8."/>
      <w:lvlJc w:val="left"/>
      <w:pPr>
        <w:ind w:left="5760" w:hanging="360"/>
      </w:pPr>
    </w:lvl>
    <w:lvl w:ilvl="8" w:tplc="510CB8A0" w:tentative="1">
      <w:start w:val="1"/>
      <w:numFmt w:val="lowerRoman"/>
      <w:lvlText w:val="%9."/>
      <w:lvlJc w:val="right"/>
      <w:pPr>
        <w:ind w:left="6480" w:hanging="180"/>
      </w:pPr>
    </w:lvl>
  </w:abstractNum>
  <w:abstractNum w:abstractNumId="4" w15:restartNumberingAfterBreak="1">
    <w:nsid w:val="51B014EE"/>
    <w:multiLevelType w:val="hybridMultilevel"/>
    <w:tmpl w:val="49C09F50"/>
    <w:lvl w:ilvl="0" w:tplc="A24CA85A">
      <w:start w:val="1"/>
      <w:numFmt w:val="decimal"/>
      <w:lvlText w:val="%1."/>
      <w:lvlJc w:val="left"/>
      <w:pPr>
        <w:ind w:left="720" w:hanging="360"/>
      </w:pPr>
      <w:rPr>
        <w:rFonts w:hint="default"/>
      </w:rPr>
    </w:lvl>
    <w:lvl w:ilvl="1" w:tplc="03866FFE" w:tentative="1">
      <w:start w:val="1"/>
      <w:numFmt w:val="lowerLetter"/>
      <w:lvlText w:val="%2."/>
      <w:lvlJc w:val="left"/>
      <w:pPr>
        <w:ind w:left="1440" w:hanging="360"/>
      </w:pPr>
    </w:lvl>
    <w:lvl w:ilvl="2" w:tplc="C986D1C0" w:tentative="1">
      <w:start w:val="1"/>
      <w:numFmt w:val="lowerRoman"/>
      <w:lvlText w:val="%3."/>
      <w:lvlJc w:val="right"/>
      <w:pPr>
        <w:ind w:left="2160" w:hanging="180"/>
      </w:pPr>
    </w:lvl>
    <w:lvl w:ilvl="3" w:tplc="29AAC48E" w:tentative="1">
      <w:start w:val="1"/>
      <w:numFmt w:val="decimal"/>
      <w:lvlText w:val="%4."/>
      <w:lvlJc w:val="left"/>
      <w:pPr>
        <w:ind w:left="2880" w:hanging="360"/>
      </w:pPr>
    </w:lvl>
    <w:lvl w:ilvl="4" w:tplc="F93C298A" w:tentative="1">
      <w:start w:val="1"/>
      <w:numFmt w:val="lowerLetter"/>
      <w:lvlText w:val="%5."/>
      <w:lvlJc w:val="left"/>
      <w:pPr>
        <w:ind w:left="3600" w:hanging="360"/>
      </w:pPr>
    </w:lvl>
    <w:lvl w:ilvl="5" w:tplc="1A1601F6" w:tentative="1">
      <w:start w:val="1"/>
      <w:numFmt w:val="lowerRoman"/>
      <w:lvlText w:val="%6."/>
      <w:lvlJc w:val="right"/>
      <w:pPr>
        <w:ind w:left="4320" w:hanging="180"/>
      </w:pPr>
    </w:lvl>
    <w:lvl w:ilvl="6" w:tplc="94EE0672" w:tentative="1">
      <w:start w:val="1"/>
      <w:numFmt w:val="decimal"/>
      <w:lvlText w:val="%7."/>
      <w:lvlJc w:val="left"/>
      <w:pPr>
        <w:ind w:left="5040" w:hanging="360"/>
      </w:pPr>
    </w:lvl>
    <w:lvl w:ilvl="7" w:tplc="9B545732" w:tentative="1">
      <w:start w:val="1"/>
      <w:numFmt w:val="lowerLetter"/>
      <w:lvlText w:val="%8."/>
      <w:lvlJc w:val="left"/>
      <w:pPr>
        <w:ind w:left="5760" w:hanging="360"/>
      </w:pPr>
    </w:lvl>
    <w:lvl w:ilvl="8" w:tplc="9F089CA0" w:tentative="1">
      <w:start w:val="1"/>
      <w:numFmt w:val="lowerRoman"/>
      <w:lvlText w:val="%9."/>
      <w:lvlJc w:val="right"/>
      <w:pPr>
        <w:ind w:left="6480" w:hanging="180"/>
      </w:pPr>
    </w:lvl>
  </w:abstractNum>
  <w:abstractNum w:abstractNumId="5" w15:restartNumberingAfterBreak="0">
    <w:nsid w:val="52E60E28"/>
    <w:multiLevelType w:val="hybridMultilevel"/>
    <w:tmpl w:val="0B8AFC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A3F7A07"/>
    <w:multiLevelType w:val="hybridMultilevel"/>
    <w:tmpl w:val="A552BFFA"/>
    <w:lvl w:ilvl="0" w:tplc="99EA0ED0">
      <w:start w:val="1"/>
      <w:numFmt w:val="decimal"/>
      <w:lvlText w:val="%1."/>
      <w:lvlJc w:val="left"/>
      <w:pPr>
        <w:ind w:left="720" w:hanging="360"/>
      </w:pPr>
      <w:rPr>
        <w:rFonts w:hint="default"/>
      </w:rPr>
    </w:lvl>
    <w:lvl w:ilvl="1" w:tplc="BD58924E" w:tentative="1">
      <w:start w:val="1"/>
      <w:numFmt w:val="lowerLetter"/>
      <w:lvlText w:val="%2."/>
      <w:lvlJc w:val="left"/>
      <w:pPr>
        <w:ind w:left="1440" w:hanging="360"/>
      </w:pPr>
    </w:lvl>
    <w:lvl w:ilvl="2" w:tplc="3DCC2914" w:tentative="1">
      <w:start w:val="1"/>
      <w:numFmt w:val="lowerRoman"/>
      <w:lvlText w:val="%3."/>
      <w:lvlJc w:val="right"/>
      <w:pPr>
        <w:ind w:left="2160" w:hanging="180"/>
      </w:pPr>
    </w:lvl>
    <w:lvl w:ilvl="3" w:tplc="57C6A474" w:tentative="1">
      <w:start w:val="1"/>
      <w:numFmt w:val="decimal"/>
      <w:lvlText w:val="%4."/>
      <w:lvlJc w:val="left"/>
      <w:pPr>
        <w:ind w:left="2880" w:hanging="360"/>
      </w:pPr>
    </w:lvl>
    <w:lvl w:ilvl="4" w:tplc="97DA2B20" w:tentative="1">
      <w:start w:val="1"/>
      <w:numFmt w:val="lowerLetter"/>
      <w:lvlText w:val="%5."/>
      <w:lvlJc w:val="left"/>
      <w:pPr>
        <w:ind w:left="3600" w:hanging="360"/>
      </w:pPr>
    </w:lvl>
    <w:lvl w:ilvl="5" w:tplc="EE387242" w:tentative="1">
      <w:start w:val="1"/>
      <w:numFmt w:val="lowerRoman"/>
      <w:lvlText w:val="%6."/>
      <w:lvlJc w:val="right"/>
      <w:pPr>
        <w:ind w:left="4320" w:hanging="180"/>
      </w:pPr>
    </w:lvl>
    <w:lvl w:ilvl="6" w:tplc="BEC297FE" w:tentative="1">
      <w:start w:val="1"/>
      <w:numFmt w:val="decimal"/>
      <w:lvlText w:val="%7."/>
      <w:lvlJc w:val="left"/>
      <w:pPr>
        <w:ind w:left="5040" w:hanging="360"/>
      </w:pPr>
    </w:lvl>
    <w:lvl w:ilvl="7" w:tplc="6EE4BBE4" w:tentative="1">
      <w:start w:val="1"/>
      <w:numFmt w:val="lowerLetter"/>
      <w:lvlText w:val="%8."/>
      <w:lvlJc w:val="left"/>
      <w:pPr>
        <w:ind w:left="5760" w:hanging="360"/>
      </w:pPr>
    </w:lvl>
    <w:lvl w:ilvl="8" w:tplc="8AB481AE" w:tentative="1">
      <w:start w:val="1"/>
      <w:numFmt w:val="lowerRoman"/>
      <w:lvlText w:val="%9."/>
      <w:lvlJc w:val="right"/>
      <w:pPr>
        <w:ind w:left="6480" w:hanging="180"/>
      </w:pPr>
    </w:lvl>
  </w:abstractNum>
  <w:abstractNum w:abstractNumId="7" w15:restartNumberingAfterBreak="0">
    <w:nsid w:val="79AD34AA"/>
    <w:multiLevelType w:val="hybridMultilevel"/>
    <w:tmpl w:val="42DC8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5CB3"/>
    <w:rsid w:val="0001783B"/>
    <w:rsid w:val="000213BD"/>
    <w:rsid w:val="000246E1"/>
    <w:rsid w:val="00027DC9"/>
    <w:rsid w:val="000315E2"/>
    <w:rsid w:val="00031A3C"/>
    <w:rsid w:val="00033651"/>
    <w:rsid w:val="00035EC9"/>
    <w:rsid w:val="000408B3"/>
    <w:rsid w:val="00040C19"/>
    <w:rsid w:val="00043D10"/>
    <w:rsid w:val="000446D0"/>
    <w:rsid w:val="00046D18"/>
    <w:rsid w:val="00052689"/>
    <w:rsid w:val="00054838"/>
    <w:rsid w:val="00054921"/>
    <w:rsid w:val="000553BE"/>
    <w:rsid w:val="000621E9"/>
    <w:rsid w:val="000708C3"/>
    <w:rsid w:val="00071DFF"/>
    <w:rsid w:val="000808BA"/>
    <w:rsid w:val="0008249C"/>
    <w:rsid w:val="00097046"/>
    <w:rsid w:val="000971F4"/>
    <w:rsid w:val="000A414D"/>
    <w:rsid w:val="000A4DA8"/>
    <w:rsid w:val="000A66EC"/>
    <w:rsid w:val="000A6D83"/>
    <w:rsid w:val="000B54DC"/>
    <w:rsid w:val="000B673B"/>
    <w:rsid w:val="000B7D7C"/>
    <w:rsid w:val="000C149D"/>
    <w:rsid w:val="000C45C0"/>
    <w:rsid w:val="000C483C"/>
    <w:rsid w:val="000C4D0C"/>
    <w:rsid w:val="000C6651"/>
    <w:rsid w:val="000D41E2"/>
    <w:rsid w:val="000D51EF"/>
    <w:rsid w:val="000E219C"/>
    <w:rsid w:val="000E478D"/>
    <w:rsid w:val="000E4C8A"/>
    <w:rsid w:val="000E4F88"/>
    <w:rsid w:val="000F356E"/>
    <w:rsid w:val="000F51EE"/>
    <w:rsid w:val="000F7778"/>
    <w:rsid w:val="0010042C"/>
    <w:rsid w:val="00100F5F"/>
    <w:rsid w:val="0010254A"/>
    <w:rsid w:val="00103DE5"/>
    <w:rsid w:val="0011127C"/>
    <w:rsid w:val="00113A39"/>
    <w:rsid w:val="00113EB0"/>
    <w:rsid w:val="0011521D"/>
    <w:rsid w:val="00121389"/>
    <w:rsid w:val="00127CBC"/>
    <w:rsid w:val="0013136E"/>
    <w:rsid w:val="00131B42"/>
    <w:rsid w:val="00133C58"/>
    <w:rsid w:val="00134089"/>
    <w:rsid w:val="00135351"/>
    <w:rsid w:val="00136202"/>
    <w:rsid w:val="00136E03"/>
    <w:rsid w:val="00140A3A"/>
    <w:rsid w:val="001421CF"/>
    <w:rsid w:val="00142735"/>
    <w:rsid w:val="00153397"/>
    <w:rsid w:val="00154BE9"/>
    <w:rsid w:val="001577BB"/>
    <w:rsid w:val="0016547F"/>
    <w:rsid w:val="00165BFE"/>
    <w:rsid w:val="0016709D"/>
    <w:rsid w:val="00167ECB"/>
    <w:rsid w:val="00172558"/>
    <w:rsid w:val="001738B2"/>
    <w:rsid w:val="00175335"/>
    <w:rsid w:val="00180B04"/>
    <w:rsid w:val="00181341"/>
    <w:rsid w:val="00182348"/>
    <w:rsid w:val="00183810"/>
    <w:rsid w:val="0018464E"/>
    <w:rsid w:val="00184EF4"/>
    <w:rsid w:val="00193D6E"/>
    <w:rsid w:val="001B3673"/>
    <w:rsid w:val="001C3EA3"/>
    <w:rsid w:val="001C5009"/>
    <w:rsid w:val="001C610C"/>
    <w:rsid w:val="001D05CE"/>
    <w:rsid w:val="001D4834"/>
    <w:rsid w:val="001D779B"/>
    <w:rsid w:val="001E1286"/>
    <w:rsid w:val="001E6FC8"/>
    <w:rsid w:val="001F14D5"/>
    <w:rsid w:val="001F3C4C"/>
    <w:rsid w:val="001F7FB1"/>
    <w:rsid w:val="002015A6"/>
    <w:rsid w:val="00204E7C"/>
    <w:rsid w:val="002054B4"/>
    <w:rsid w:val="00205B4A"/>
    <w:rsid w:val="002064B2"/>
    <w:rsid w:val="002129D8"/>
    <w:rsid w:val="00215896"/>
    <w:rsid w:val="002234AF"/>
    <w:rsid w:val="0023073A"/>
    <w:rsid w:val="00234474"/>
    <w:rsid w:val="00234910"/>
    <w:rsid w:val="00234D91"/>
    <w:rsid w:val="002419FA"/>
    <w:rsid w:val="002429F1"/>
    <w:rsid w:val="00243426"/>
    <w:rsid w:val="002438DB"/>
    <w:rsid w:val="00246E6B"/>
    <w:rsid w:val="0025603D"/>
    <w:rsid w:val="00256555"/>
    <w:rsid w:val="0026472F"/>
    <w:rsid w:val="00265BB6"/>
    <w:rsid w:val="00275CEC"/>
    <w:rsid w:val="00277B42"/>
    <w:rsid w:val="00280EEE"/>
    <w:rsid w:val="00281552"/>
    <w:rsid w:val="00283431"/>
    <w:rsid w:val="002849A9"/>
    <w:rsid w:val="002949C7"/>
    <w:rsid w:val="002A5D84"/>
    <w:rsid w:val="002B2643"/>
    <w:rsid w:val="002B643D"/>
    <w:rsid w:val="002C1169"/>
    <w:rsid w:val="002C1556"/>
    <w:rsid w:val="002C437B"/>
    <w:rsid w:val="002D2B97"/>
    <w:rsid w:val="002D3DE4"/>
    <w:rsid w:val="002E0D27"/>
    <w:rsid w:val="002E1C05"/>
    <w:rsid w:val="002E72F4"/>
    <w:rsid w:val="002E7F64"/>
    <w:rsid w:val="002F6931"/>
    <w:rsid w:val="00300942"/>
    <w:rsid w:val="00304B0F"/>
    <w:rsid w:val="003050E4"/>
    <w:rsid w:val="0031026E"/>
    <w:rsid w:val="0031285A"/>
    <w:rsid w:val="0031420D"/>
    <w:rsid w:val="003244FD"/>
    <w:rsid w:val="00327841"/>
    <w:rsid w:val="00342D63"/>
    <w:rsid w:val="003530B2"/>
    <w:rsid w:val="00354F3E"/>
    <w:rsid w:val="003559F1"/>
    <w:rsid w:val="0036712B"/>
    <w:rsid w:val="003817CE"/>
    <w:rsid w:val="003873A4"/>
    <w:rsid w:val="0039024B"/>
    <w:rsid w:val="003906ED"/>
    <w:rsid w:val="00392CF9"/>
    <w:rsid w:val="00394559"/>
    <w:rsid w:val="003A12C6"/>
    <w:rsid w:val="003A1315"/>
    <w:rsid w:val="003A2A3B"/>
    <w:rsid w:val="003A5222"/>
    <w:rsid w:val="003B006A"/>
    <w:rsid w:val="003B0BF9"/>
    <w:rsid w:val="003B34DA"/>
    <w:rsid w:val="003B7290"/>
    <w:rsid w:val="003C2120"/>
    <w:rsid w:val="003C57CB"/>
    <w:rsid w:val="003C6054"/>
    <w:rsid w:val="003D03E0"/>
    <w:rsid w:val="003D4285"/>
    <w:rsid w:val="003E0791"/>
    <w:rsid w:val="003E0A68"/>
    <w:rsid w:val="003E1EE2"/>
    <w:rsid w:val="003E5BB5"/>
    <w:rsid w:val="003F04E4"/>
    <w:rsid w:val="003F28AC"/>
    <w:rsid w:val="003F779F"/>
    <w:rsid w:val="00402E08"/>
    <w:rsid w:val="0041105D"/>
    <w:rsid w:val="0041187A"/>
    <w:rsid w:val="00417E92"/>
    <w:rsid w:val="0042051F"/>
    <w:rsid w:val="00420EA5"/>
    <w:rsid w:val="004210AF"/>
    <w:rsid w:val="00423355"/>
    <w:rsid w:val="004238B6"/>
    <w:rsid w:val="00426E0C"/>
    <w:rsid w:val="004274B8"/>
    <w:rsid w:val="00427E0A"/>
    <w:rsid w:val="004307AF"/>
    <w:rsid w:val="00430C37"/>
    <w:rsid w:val="004320A2"/>
    <w:rsid w:val="0043556B"/>
    <w:rsid w:val="00442EAA"/>
    <w:rsid w:val="00442EB7"/>
    <w:rsid w:val="00443056"/>
    <w:rsid w:val="004454FE"/>
    <w:rsid w:val="00447606"/>
    <w:rsid w:val="0045034F"/>
    <w:rsid w:val="00451D24"/>
    <w:rsid w:val="00452500"/>
    <w:rsid w:val="00452E5A"/>
    <w:rsid w:val="004546A4"/>
    <w:rsid w:val="00456E40"/>
    <w:rsid w:val="004605D5"/>
    <w:rsid w:val="00463C42"/>
    <w:rsid w:val="00471970"/>
    <w:rsid w:val="00471F27"/>
    <w:rsid w:val="00473A61"/>
    <w:rsid w:val="00475171"/>
    <w:rsid w:val="00477A4B"/>
    <w:rsid w:val="00477C91"/>
    <w:rsid w:val="0048720C"/>
    <w:rsid w:val="004877D2"/>
    <w:rsid w:val="00490BC4"/>
    <w:rsid w:val="00492359"/>
    <w:rsid w:val="0049341D"/>
    <w:rsid w:val="004934DE"/>
    <w:rsid w:val="00494A1F"/>
    <w:rsid w:val="004A168B"/>
    <w:rsid w:val="004A21B0"/>
    <w:rsid w:val="004A3B03"/>
    <w:rsid w:val="004B0110"/>
    <w:rsid w:val="004B4F59"/>
    <w:rsid w:val="004C02E3"/>
    <w:rsid w:val="004C1874"/>
    <w:rsid w:val="004C1FE1"/>
    <w:rsid w:val="004C3AE7"/>
    <w:rsid w:val="004C3CB3"/>
    <w:rsid w:val="004C4A83"/>
    <w:rsid w:val="004C6C05"/>
    <w:rsid w:val="004C78A3"/>
    <w:rsid w:val="004D2743"/>
    <w:rsid w:val="004D3804"/>
    <w:rsid w:val="004E2258"/>
    <w:rsid w:val="004E6137"/>
    <w:rsid w:val="004E6966"/>
    <w:rsid w:val="004E7B8A"/>
    <w:rsid w:val="004F12CD"/>
    <w:rsid w:val="005005F6"/>
    <w:rsid w:val="0050178F"/>
    <w:rsid w:val="00503667"/>
    <w:rsid w:val="00507133"/>
    <w:rsid w:val="00507B40"/>
    <w:rsid w:val="00510C34"/>
    <w:rsid w:val="00512422"/>
    <w:rsid w:val="00515458"/>
    <w:rsid w:val="00517162"/>
    <w:rsid w:val="00521E60"/>
    <w:rsid w:val="00523FAE"/>
    <w:rsid w:val="00526465"/>
    <w:rsid w:val="00526751"/>
    <w:rsid w:val="00533476"/>
    <w:rsid w:val="00535D90"/>
    <w:rsid w:val="00535E0A"/>
    <w:rsid w:val="005365B7"/>
    <w:rsid w:val="005401D2"/>
    <w:rsid w:val="00551FF8"/>
    <w:rsid w:val="00552437"/>
    <w:rsid w:val="005545A4"/>
    <w:rsid w:val="0055599E"/>
    <w:rsid w:val="005578C4"/>
    <w:rsid w:val="00570916"/>
    <w:rsid w:val="005738A8"/>
    <w:rsid w:val="005751B8"/>
    <w:rsid w:val="00584271"/>
    <w:rsid w:val="00584E3C"/>
    <w:rsid w:val="005851DD"/>
    <w:rsid w:val="005860CF"/>
    <w:rsid w:val="005862D0"/>
    <w:rsid w:val="00587F16"/>
    <w:rsid w:val="00596EE6"/>
    <w:rsid w:val="005A2645"/>
    <w:rsid w:val="005A2EA2"/>
    <w:rsid w:val="005A3ACA"/>
    <w:rsid w:val="005A41BA"/>
    <w:rsid w:val="005A48A5"/>
    <w:rsid w:val="005A614C"/>
    <w:rsid w:val="005A7C92"/>
    <w:rsid w:val="005B4D5D"/>
    <w:rsid w:val="005C3809"/>
    <w:rsid w:val="005D02A9"/>
    <w:rsid w:val="005D08BB"/>
    <w:rsid w:val="005D1A4D"/>
    <w:rsid w:val="005D444B"/>
    <w:rsid w:val="005D5293"/>
    <w:rsid w:val="005D6B9A"/>
    <w:rsid w:val="005E192F"/>
    <w:rsid w:val="005E454E"/>
    <w:rsid w:val="005F0988"/>
    <w:rsid w:val="005F1ADD"/>
    <w:rsid w:val="005F36F2"/>
    <w:rsid w:val="005F62FF"/>
    <w:rsid w:val="006054D6"/>
    <w:rsid w:val="006074C2"/>
    <w:rsid w:val="00612322"/>
    <w:rsid w:val="006162C4"/>
    <w:rsid w:val="00617B58"/>
    <w:rsid w:val="00620EDB"/>
    <w:rsid w:val="006218D6"/>
    <w:rsid w:val="006239DC"/>
    <w:rsid w:val="00623C63"/>
    <w:rsid w:val="00624074"/>
    <w:rsid w:val="00625EE0"/>
    <w:rsid w:val="0062690F"/>
    <w:rsid w:val="00630AAD"/>
    <w:rsid w:val="00634695"/>
    <w:rsid w:val="00641BEE"/>
    <w:rsid w:val="00642714"/>
    <w:rsid w:val="00643FED"/>
    <w:rsid w:val="0064436C"/>
    <w:rsid w:val="0064447A"/>
    <w:rsid w:val="00644516"/>
    <w:rsid w:val="0064745E"/>
    <w:rsid w:val="006505A8"/>
    <w:rsid w:val="00651851"/>
    <w:rsid w:val="00651A99"/>
    <w:rsid w:val="00653D16"/>
    <w:rsid w:val="006541CA"/>
    <w:rsid w:val="00655AF3"/>
    <w:rsid w:val="00655F2C"/>
    <w:rsid w:val="00664C42"/>
    <w:rsid w:val="00675DF3"/>
    <w:rsid w:val="00687684"/>
    <w:rsid w:val="006877C3"/>
    <w:rsid w:val="00690870"/>
    <w:rsid w:val="00691466"/>
    <w:rsid w:val="00692851"/>
    <w:rsid w:val="00692948"/>
    <w:rsid w:val="006932EE"/>
    <w:rsid w:val="006A2D81"/>
    <w:rsid w:val="006A50EA"/>
    <w:rsid w:val="006A7856"/>
    <w:rsid w:val="006B58D1"/>
    <w:rsid w:val="006C0183"/>
    <w:rsid w:val="006C1721"/>
    <w:rsid w:val="006C1D55"/>
    <w:rsid w:val="006C266A"/>
    <w:rsid w:val="006C5741"/>
    <w:rsid w:val="006C5DF8"/>
    <w:rsid w:val="006E1081"/>
    <w:rsid w:val="006E7403"/>
    <w:rsid w:val="006E7EA4"/>
    <w:rsid w:val="006F0553"/>
    <w:rsid w:val="006F2CE2"/>
    <w:rsid w:val="006F49D0"/>
    <w:rsid w:val="006F6014"/>
    <w:rsid w:val="006F61A8"/>
    <w:rsid w:val="006F6EE0"/>
    <w:rsid w:val="006F7B88"/>
    <w:rsid w:val="007007FB"/>
    <w:rsid w:val="00705E63"/>
    <w:rsid w:val="00714ACB"/>
    <w:rsid w:val="00720585"/>
    <w:rsid w:val="00725471"/>
    <w:rsid w:val="00726A9F"/>
    <w:rsid w:val="00732CE4"/>
    <w:rsid w:val="00733379"/>
    <w:rsid w:val="007357B7"/>
    <w:rsid w:val="00735FDC"/>
    <w:rsid w:val="00737D8A"/>
    <w:rsid w:val="00740879"/>
    <w:rsid w:val="0074770D"/>
    <w:rsid w:val="00747CE0"/>
    <w:rsid w:val="00751BD4"/>
    <w:rsid w:val="0075302D"/>
    <w:rsid w:val="0075411B"/>
    <w:rsid w:val="007560E5"/>
    <w:rsid w:val="00765C19"/>
    <w:rsid w:val="0076758B"/>
    <w:rsid w:val="00773AF6"/>
    <w:rsid w:val="00773CA6"/>
    <w:rsid w:val="00775B68"/>
    <w:rsid w:val="007767C3"/>
    <w:rsid w:val="00781127"/>
    <w:rsid w:val="007828E7"/>
    <w:rsid w:val="00784CD4"/>
    <w:rsid w:val="00787E18"/>
    <w:rsid w:val="00792407"/>
    <w:rsid w:val="00795F71"/>
    <w:rsid w:val="00796248"/>
    <w:rsid w:val="007A1C65"/>
    <w:rsid w:val="007A5140"/>
    <w:rsid w:val="007A6600"/>
    <w:rsid w:val="007B1A00"/>
    <w:rsid w:val="007B1D67"/>
    <w:rsid w:val="007B2E47"/>
    <w:rsid w:val="007B3B4C"/>
    <w:rsid w:val="007B594D"/>
    <w:rsid w:val="007C26EE"/>
    <w:rsid w:val="007C61DB"/>
    <w:rsid w:val="007D1CC8"/>
    <w:rsid w:val="007D20EA"/>
    <w:rsid w:val="007D488B"/>
    <w:rsid w:val="007E55DE"/>
    <w:rsid w:val="007E57A0"/>
    <w:rsid w:val="007E5F7A"/>
    <w:rsid w:val="007E73AB"/>
    <w:rsid w:val="007E7AB9"/>
    <w:rsid w:val="007F0506"/>
    <w:rsid w:val="007F0C10"/>
    <w:rsid w:val="007F4015"/>
    <w:rsid w:val="007F5379"/>
    <w:rsid w:val="007F6E26"/>
    <w:rsid w:val="00801F6B"/>
    <w:rsid w:val="008024F9"/>
    <w:rsid w:val="00803328"/>
    <w:rsid w:val="00805F57"/>
    <w:rsid w:val="00810472"/>
    <w:rsid w:val="008105E5"/>
    <w:rsid w:val="00811C0C"/>
    <w:rsid w:val="00816C11"/>
    <w:rsid w:val="00820324"/>
    <w:rsid w:val="00820DC8"/>
    <w:rsid w:val="00832616"/>
    <w:rsid w:val="00837661"/>
    <w:rsid w:val="00842D9C"/>
    <w:rsid w:val="008458B1"/>
    <w:rsid w:val="00845967"/>
    <w:rsid w:val="00853560"/>
    <w:rsid w:val="00853EAC"/>
    <w:rsid w:val="00855D9A"/>
    <w:rsid w:val="00863809"/>
    <w:rsid w:val="0086452E"/>
    <w:rsid w:val="00864DAA"/>
    <w:rsid w:val="00866633"/>
    <w:rsid w:val="00871EB9"/>
    <w:rsid w:val="008764F1"/>
    <w:rsid w:val="00877644"/>
    <w:rsid w:val="00882A00"/>
    <w:rsid w:val="00882E3A"/>
    <w:rsid w:val="00883E54"/>
    <w:rsid w:val="0088589E"/>
    <w:rsid w:val="0088646C"/>
    <w:rsid w:val="00886820"/>
    <w:rsid w:val="0089177E"/>
    <w:rsid w:val="00894C55"/>
    <w:rsid w:val="00895AA3"/>
    <w:rsid w:val="00897193"/>
    <w:rsid w:val="008A1535"/>
    <w:rsid w:val="008A1BF8"/>
    <w:rsid w:val="008A348F"/>
    <w:rsid w:val="008A5984"/>
    <w:rsid w:val="008A73BA"/>
    <w:rsid w:val="008A7808"/>
    <w:rsid w:val="008B26A2"/>
    <w:rsid w:val="008B2E2F"/>
    <w:rsid w:val="008B419B"/>
    <w:rsid w:val="008B556F"/>
    <w:rsid w:val="008C195A"/>
    <w:rsid w:val="008C2E92"/>
    <w:rsid w:val="008C77F3"/>
    <w:rsid w:val="008D3E90"/>
    <w:rsid w:val="008E09DF"/>
    <w:rsid w:val="008E4C48"/>
    <w:rsid w:val="008E79B5"/>
    <w:rsid w:val="008E7EDB"/>
    <w:rsid w:val="008F22A4"/>
    <w:rsid w:val="00900022"/>
    <w:rsid w:val="00902556"/>
    <w:rsid w:val="00905793"/>
    <w:rsid w:val="00913445"/>
    <w:rsid w:val="00915975"/>
    <w:rsid w:val="00916557"/>
    <w:rsid w:val="00917C3E"/>
    <w:rsid w:val="00922207"/>
    <w:rsid w:val="00923556"/>
    <w:rsid w:val="00924621"/>
    <w:rsid w:val="00927F48"/>
    <w:rsid w:val="00932841"/>
    <w:rsid w:val="0093312A"/>
    <w:rsid w:val="00933DB3"/>
    <w:rsid w:val="00934028"/>
    <w:rsid w:val="009417DF"/>
    <w:rsid w:val="00942191"/>
    <w:rsid w:val="009455AA"/>
    <w:rsid w:val="00946192"/>
    <w:rsid w:val="009518A8"/>
    <w:rsid w:val="00952D95"/>
    <w:rsid w:val="00960D81"/>
    <w:rsid w:val="009659A6"/>
    <w:rsid w:val="00972E10"/>
    <w:rsid w:val="00975354"/>
    <w:rsid w:val="00977CD8"/>
    <w:rsid w:val="0098205C"/>
    <w:rsid w:val="00982332"/>
    <w:rsid w:val="009853B7"/>
    <w:rsid w:val="00986DF2"/>
    <w:rsid w:val="00992EB5"/>
    <w:rsid w:val="00995840"/>
    <w:rsid w:val="0099660A"/>
    <w:rsid w:val="009967D7"/>
    <w:rsid w:val="009A0FAA"/>
    <w:rsid w:val="009A2654"/>
    <w:rsid w:val="009A426A"/>
    <w:rsid w:val="009A68E1"/>
    <w:rsid w:val="009A69DB"/>
    <w:rsid w:val="009A75EB"/>
    <w:rsid w:val="009B5913"/>
    <w:rsid w:val="009C2C4F"/>
    <w:rsid w:val="009C675D"/>
    <w:rsid w:val="009D1286"/>
    <w:rsid w:val="009D5F8E"/>
    <w:rsid w:val="009E08FA"/>
    <w:rsid w:val="009E2C59"/>
    <w:rsid w:val="009E35DB"/>
    <w:rsid w:val="009E48F2"/>
    <w:rsid w:val="009E741C"/>
    <w:rsid w:val="009E7AA1"/>
    <w:rsid w:val="009F3341"/>
    <w:rsid w:val="009F4C10"/>
    <w:rsid w:val="009F6F8D"/>
    <w:rsid w:val="00A0062D"/>
    <w:rsid w:val="00A01748"/>
    <w:rsid w:val="00A01A9F"/>
    <w:rsid w:val="00A0259B"/>
    <w:rsid w:val="00A026EB"/>
    <w:rsid w:val="00A0348E"/>
    <w:rsid w:val="00A05EDD"/>
    <w:rsid w:val="00A060BF"/>
    <w:rsid w:val="00A10FC3"/>
    <w:rsid w:val="00A11567"/>
    <w:rsid w:val="00A15C8D"/>
    <w:rsid w:val="00A202E6"/>
    <w:rsid w:val="00A221D9"/>
    <w:rsid w:val="00A22597"/>
    <w:rsid w:val="00A22E79"/>
    <w:rsid w:val="00A2332A"/>
    <w:rsid w:val="00A27928"/>
    <w:rsid w:val="00A33031"/>
    <w:rsid w:val="00A34CE4"/>
    <w:rsid w:val="00A429BA"/>
    <w:rsid w:val="00A467CF"/>
    <w:rsid w:val="00A527E1"/>
    <w:rsid w:val="00A53DDF"/>
    <w:rsid w:val="00A551F7"/>
    <w:rsid w:val="00A554E4"/>
    <w:rsid w:val="00A6073E"/>
    <w:rsid w:val="00A633DB"/>
    <w:rsid w:val="00A7336C"/>
    <w:rsid w:val="00A7513A"/>
    <w:rsid w:val="00A7611F"/>
    <w:rsid w:val="00A76C37"/>
    <w:rsid w:val="00A76EE2"/>
    <w:rsid w:val="00A77254"/>
    <w:rsid w:val="00A82886"/>
    <w:rsid w:val="00A90512"/>
    <w:rsid w:val="00AA0398"/>
    <w:rsid w:val="00AA3D14"/>
    <w:rsid w:val="00AB0595"/>
    <w:rsid w:val="00AB113A"/>
    <w:rsid w:val="00AC0166"/>
    <w:rsid w:val="00AC274B"/>
    <w:rsid w:val="00AD0816"/>
    <w:rsid w:val="00AD188E"/>
    <w:rsid w:val="00AD76D4"/>
    <w:rsid w:val="00AD7A37"/>
    <w:rsid w:val="00AE0C46"/>
    <w:rsid w:val="00AE1A09"/>
    <w:rsid w:val="00AE1E20"/>
    <w:rsid w:val="00AE428F"/>
    <w:rsid w:val="00AE5567"/>
    <w:rsid w:val="00AE70EE"/>
    <w:rsid w:val="00AF055A"/>
    <w:rsid w:val="00AF1239"/>
    <w:rsid w:val="00AF24D0"/>
    <w:rsid w:val="00AF27B5"/>
    <w:rsid w:val="00AF3BF7"/>
    <w:rsid w:val="00AF4AF6"/>
    <w:rsid w:val="00AF5018"/>
    <w:rsid w:val="00AF6C8C"/>
    <w:rsid w:val="00B009FD"/>
    <w:rsid w:val="00B00A83"/>
    <w:rsid w:val="00B01025"/>
    <w:rsid w:val="00B051CA"/>
    <w:rsid w:val="00B06B17"/>
    <w:rsid w:val="00B07701"/>
    <w:rsid w:val="00B11315"/>
    <w:rsid w:val="00B117B5"/>
    <w:rsid w:val="00B13DD5"/>
    <w:rsid w:val="00B14A9F"/>
    <w:rsid w:val="00B16480"/>
    <w:rsid w:val="00B2165C"/>
    <w:rsid w:val="00B247C9"/>
    <w:rsid w:val="00B30970"/>
    <w:rsid w:val="00B31435"/>
    <w:rsid w:val="00B32220"/>
    <w:rsid w:val="00B41AF3"/>
    <w:rsid w:val="00B46C29"/>
    <w:rsid w:val="00B46EE6"/>
    <w:rsid w:val="00B54D43"/>
    <w:rsid w:val="00B576A4"/>
    <w:rsid w:val="00B5774B"/>
    <w:rsid w:val="00B62ED5"/>
    <w:rsid w:val="00B7245E"/>
    <w:rsid w:val="00B7637E"/>
    <w:rsid w:val="00B80228"/>
    <w:rsid w:val="00B838EC"/>
    <w:rsid w:val="00B9218A"/>
    <w:rsid w:val="00B93220"/>
    <w:rsid w:val="00B949DB"/>
    <w:rsid w:val="00BA1365"/>
    <w:rsid w:val="00BA20AA"/>
    <w:rsid w:val="00BA294D"/>
    <w:rsid w:val="00BA4D48"/>
    <w:rsid w:val="00BA71AE"/>
    <w:rsid w:val="00BA787B"/>
    <w:rsid w:val="00BB425A"/>
    <w:rsid w:val="00BB4BA7"/>
    <w:rsid w:val="00BC0727"/>
    <w:rsid w:val="00BC0A76"/>
    <w:rsid w:val="00BC1866"/>
    <w:rsid w:val="00BC3301"/>
    <w:rsid w:val="00BC49DC"/>
    <w:rsid w:val="00BC60C2"/>
    <w:rsid w:val="00BC6BCC"/>
    <w:rsid w:val="00BD017D"/>
    <w:rsid w:val="00BD40C3"/>
    <w:rsid w:val="00BD4425"/>
    <w:rsid w:val="00BD52CE"/>
    <w:rsid w:val="00BD67BC"/>
    <w:rsid w:val="00BD770C"/>
    <w:rsid w:val="00BD796B"/>
    <w:rsid w:val="00BE0231"/>
    <w:rsid w:val="00BE03BD"/>
    <w:rsid w:val="00BE0583"/>
    <w:rsid w:val="00BE335F"/>
    <w:rsid w:val="00BE4E30"/>
    <w:rsid w:val="00BF031C"/>
    <w:rsid w:val="00BF1CF5"/>
    <w:rsid w:val="00BF2F92"/>
    <w:rsid w:val="00BF59E8"/>
    <w:rsid w:val="00BF5CED"/>
    <w:rsid w:val="00BF6ADF"/>
    <w:rsid w:val="00C00E70"/>
    <w:rsid w:val="00C023A5"/>
    <w:rsid w:val="00C03AB1"/>
    <w:rsid w:val="00C1262A"/>
    <w:rsid w:val="00C12C03"/>
    <w:rsid w:val="00C14357"/>
    <w:rsid w:val="00C14570"/>
    <w:rsid w:val="00C1692A"/>
    <w:rsid w:val="00C25B49"/>
    <w:rsid w:val="00C35FD3"/>
    <w:rsid w:val="00C41B05"/>
    <w:rsid w:val="00C44329"/>
    <w:rsid w:val="00C56935"/>
    <w:rsid w:val="00C60AB5"/>
    <w:rsid w:val="00C60DAB"/>
    <w:rsid w:val="00C60DFE"/>
    <w:rsid w:val="00C61C96"/>
    <w:rsid w:val="00C642D5"/>
    <w:rsid w:val="00C64F22"/>
    <w:rsid w:val="00C656C0"/>
    <w:rsid w:val="00C70BDA"/>
    <w:rsid w:val="00C741D7"/>
    <w:rsid w:val="00C74808"/>
    <w:rsid w:val="00C75742"/>
    <w:rsid w:val="00C77E76"/>
    <w:rsid w:val="00C8020C"/>
    <w:rsid w:val="00C80E0B"/>
    <w:rsid w:val="00C8324A"/>
    <w:rsid w:val="00C85518"/>
    <w:rsid w:val="00C8653D"/>
    <w:rsid w:val="00C86DDB"/>
    <w:rsid w:val="00C92EBE"/>
    <w:rsid w:val="00CA0D9E"/>
    <w:rsid w:val="00CA1AD9"/>
    <w:rsid w:val="00CA46B6"/>
    <w:rsid w:val="00CB181E"/>
    <w:rsid w:val="00CB5166"/>
    <w:rsid w:val="00CC0D2D"/>
    <w:rsid w:val="00CC2F4B"/>
    <w:rsid w:val="00CC343A"/>
    <w:rsid w:val="00CC3DB5"/>
    <w:rsid w:val="00CC79B5"/>
    <w:rsid w:val="00CD0FC1"/>
    <w:rsid w:val="00CD178B"/>
    <w:rsid w:val="00CD278E"/>
    <w:rsid w:val="00CD2AFE"/>
    <w:rsid w:val="00CD2FF6"/>
    <w:rsid w:val="00CD487D"/>
    <w:rsid w:val="00CE0F1E"/>
    <w:rsid w:val="00CE4430"/>
    <w:rsid w:val="00CE5657"/>
    <w:rsid w:val="00CE6ED0"/>
    <w:rsid w:val="00CF2004"/>
    <w:rsid w:val="00D0586C"/>
    <w:rsid w:val="00D06088"/>
    <w:rsid w:val="00D06255"/>
    <w:rsid w:val="00D120F9"/>
    <w:rsid w:val="00D1223E"/>
    <w:rsid w:val="00D133F8"/>
    <w:rsid w:val="00D14A3E"/>
    <w:rsid w:val="00D17E7F"/>
    <w:rsid w:val="00D219F3"/>
    <w:rsid w:val="00D23399"/>
    <w:rsid w:val="00D24CBC"/>
    <w:rsid w:val="00D33897"/>
    <w:rsid w:val="00D4235B"/>
    <w:rsid w:val="00D43C04"/>
    <w:rsid w:val="00D44150"/>
    <w:rsid w:val="00D4473B"/>
    <w:rsid w:val="00D61868"/>
    <w:rsid w:val="00D65332"/>
    <w:rsid w:val="00D77315"/>
    <w:rsid w:val="00D80395"/>
    <w:rsid w:val="00D81DF2"/>
    <w:rsid w:val="00D91D02"/>
    <w:rsid w:val="00D92B34"/>
    <w:rsid w:val="00D958D1"/>
    <w:rsid w:val="00DA4CEE"/>
    <w:rsid w:val="00DA670A"/>
    <w:rsid w:val="00DB0771"/>
    <w:rsid w:val="00DB3C26"/>
    <w:rsid w:val="00DB41EF"/>
    <w:rsid w:val="00DB6346"/>
    <w:rsid w:val="00DB7254"/>
    <w:rsid w:val="00DC4EB2"/>
    <w:rsid w:val="00DD12DE"/>
    <w:rsid w:val="00DD1B53"/>
    <w:rsid w:val="00DD535C"/>
    <w:rsid w:val="00DD5BF9"/>
    <w:rsid w:val="00DD774B"/>
    <w:rsid w:val="00DE2667"/>
    <w:rsid w:val="00DE447B"/>
    <w:rsid w:val="00DE55A4"/>
    <w:rsid w:val="00DE6248"/>
    <w:rsid w:val="00DE724B"/>
    <w:rsid w:val="00DE7A86"/>
    <w:rsid w:val="00DF3B61"/>
    <w:rsid w:val="00E07682"/>
    <w:rsid w:val="00E07839"/>
    <w:rsid w:val="00E07D1D"/>
    <w:rsid w:val="00E11210"/>
    <w:rsid w:val="00E11590"/>
    <w:rsid w:val="00E13C86"/>
    <w:rsid w:val="00E15E42"/>
    <w:rsid w:val="00E207AF"/>
    <w:rsid w:val="00E32BF3"/>
    <w:rsid w:val="00E3623B"/>
    <w:rsid w:val="00E36955"/>
    <w:rsid w:val="00E3716B"/>
    <w:rsid w:val="00E373A9"/>
    <w:rsid w:val="00E37A31"/>
    <w:rsid w:val="00E405EB"/>
    <w:rsid w:val="00E44ADF"/>
    <w:rsid w:val="00E45719"/>
    <w:rsid w:val="00E46178"/>
    <w:rsid w:val="00E530A1"/>
    <w:rsid w:val="00E5323B"/>
    <w:rsid w:val="00E5383B"/>
    <w:rsid w:val="00E54837"/>
    <w:rsid w:val="00E56DC6"/>
    <w:rsid w:val="00E619B0"/>
    <w:rsid w:val="00E61A95"/>
    <w:rsid w:val="00E66DA1"/>
    <w:rsid w:val="00E67583"/>
    <w:rsid w:val="00E74F4E"/>
    <w:rsid w:val="00E7512D"/>
    <w:rsid w:val="00E75EFD"/>
    <w:rsid w:val="00E769C5"/>
    <w:rsid w:val="00E80C58"/>
    <w:rsid w:val="00E81563"/>
    <w:rsid w:val="00E8749E"/>
    <w:rsid w:val="00E90589"/>
    <w:rsid w:val="00E9075B"/>
    <w:rsid w:val="00E90C01"/>
    <w:rsid w:val="00E91184"/>
    <w:rsid w:val="00E91BC6"/>
    <w:rsid w:val="00E9567A"/>
    <w:rsid w:val="00E972B9"/>
    <w:rsid w:val="00EA2A68"/>
    <w:rsid w:val="00EA486E"/>
    <w:rsid w:val="00EA73D6"/>
    <w:rsid w:val="00EA7A43"/>
    <w:rsid w:val="00EB46F3"/>
    <w:rsid w:val="00EC56A7"/>
    <w:rsid w:val="00ED032E"/>
    <w:rsid w:val="00ED450E"/>
    <w:rsid w:val="00ED67B6"/>
    <w:rsid w:val="00ED7DCD"/>
    <w:rsid w:val="00EE3800"/>
    <w:rsid w:val="00EE4BEA"/>
    <w:rsid w:val="00EF77D2"/>
    <w:rsid w:val="00F05F76"/>
    <w:rsid w:val="00F074B4"/>
    <w:rsid w:val="00F104AC"/>
    <w:rsid w:val="00F14122"/>
    <w:rsid w:val="00F21C55"/>
    <w:rsid w:val="00F21E5B"/>
    <w:rsid w:val="00F241F8"/>
    <w:rsid w:val="00F26F7F"/>
    <w:rsid w:val="00F271B0"/>
    <w:rsid w:val="00F30159"/>
    <w:rsid w:val="00F400EC"/>
    <w:rsid w:val="00F40991"/>
    <w:rsid w:val="00F42BCB"/>
    <w:rsid w:val="00F43320"/>
    <w:rsid w:val="00F5035F"/>
    <w:rsid w:val="00F5331E"/>
    <w:rsid w:val="00F573ED"/>
    <w:rsid w:val="00F57B0C"/>
    <w:rsid w:val="00F600FF"/>
    <w:rsid w:val="00F639F7"/>
    <w:rsid w:val="00F715A3"/>
    <w:rsid w:val="00F75B90"/>
    <w:rsid w:val="00F75D20"/>
    <w:rsid w:val="00F8076E"/>
    <w:rsid w:val="00F81BAD"/>
    <w:rsid w:val="00F846E9"/>
    <w:rsid w:val="00F865CA"/>
    <w:rsid w:val="00F92B44"/>
    <w:rsid w:val="00F95046"/>
    <w:rsid w:val="00F95130"/>
    <w:rsid w:val="00F95734"/>
    <w:rsid w:val="00F9787A"/>
    <w:rsid w:val="00FA2A0F"/>
    <w:rsid w:val="00FA4F7B"/>
    <w:rsid w:val="00FB171B"/>
    <w:rsid w:val="00FB2385"/>
    <w:rsid w:val="00FB26A0"/>
    <w:rsid w:val="00FB32D3"/>
    <w:rsid w:val="00FC549B"/>
    <w:rsid w:val="00FD069C"/>
    <w:rsid w:val="00FD2404"/>
    <w:rsid w:val="00FD4BD6"/>
    <w:rsid w:val="00FD5268"/>
    <w:rsid w:val="00FD6371"/>
    <w:rsid w:val="00FD7014"/>
    <w:rsid w:val="00FE3D88"/>
    <w:rsid w:val="00FE5F98"/>
    <w:rsid w:val="00FF10C0"/>
    <w:rsid w:val="00FF2446"/>
    <w:rsid w:val="00FF4C62"/>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67F"/>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semiHidden/>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semiHidden/>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E37A31"/>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E37A31"/>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styleId="Mention">
    <w:name w:val="Mention"/>
    <w:basedOn w:val="DefaultParagraphFont"/>
    <w:uiPriority w:val="99"/>
    <w:rsid w:val="009A69DB"/>
    <w:rPr>
      <w:color w:val="2B579A"/>
      <w:shd w:val="clear" w:color="auto" w:fill="E6E6E6"/>
    </w:rPr>
  </w:style>
  <w:style w:type="character" w:styleId="UnresolvedMention">
    <w:name w:val="Unresolved Mention"/>
    <w:basedOn w:val="DefaultParagraphFont"/>
    <w:uiPriority w:val="99"/>
    <w:semiHidden/>
    <w:unhideWhenUsed/>
    <w:rsid w:val="0010254A"/>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451D24"/>
    <w:pPr>
      <w:spacing w:line="240" w:lineRule="exact"/>
      <w:ind w:firstLine="720"/>
      <w:jc w:val="both"/>
    </w:pPr>
    <w:rPr>
      <w:vertAlign w:val="superscript"/>
    </w:rPr>
  </w:style>
  <w:style w:type="paragraph" w:styleId="NormalWeb">
    <w:name w:val="Normal (Web)"/>
    <w:basedOn w:val="Normal"/>
    <w:link w:val="NormalWebChar"/>
    <w:uiPriority w:val="99"/>
    <w:rsid w:val="00820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20DC8"/>
    <w:rPr>
      <w:rFonts w:ascii="Times New Roman" w:eastAsia="Times New Roman" w:hAnsi="Times New Roman" w:cs="Times New Roman"/>
      <w:sz w:val="24"/>
      <w:szCs w:val="24"/>
      <w:lang w:eastAsia="lv-LV"/>
    </w:rPr>
  </w:style>
  <w:style w:type="paragraph" w:customStyle="1" w:styleId="paragraph">
    <w:name w:val="paragraph"/>
    <w:basedOn w:val="Normal"/>
    <w:rsid w:val="0050713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943">
      <w:bodyDiv w:val="1"/>
      <w:marLeft w:val="0"/>
      <w:marRight w:val="0"/>
      <w:marTop w:val="0"/>
      <w:marBottom w:val="0"/>
      <w:divBdr>
        <w:top w:val="none" w:sz="0" w:space="0" w:color="auto"/>
        <w:left w:val="none" w:sz="0" w:space="0" w:color="auto"/>
        <w:bottom w:val="none" w:sz="0" w:space="0" w:color="auto"/>
        <w:right w:val="none" w:sz="0" w:space="0" w:color="auto"/>
      </w:divBdr>
    </w:div>
    <w:div w:id="111215177">
      <w:bodyDiv w:val="1"/>
      <w:marLeft w:val="0"/>
      <w:marRight w:val="0"/>
      <w:marTop w:val="0"/>
      <w:marBottom w:val="0"/>
      <w:divBdr>
        <w:top w:val="none" w:sz="0" w:space="0" w:color="auto"/>
        <w:left w:val="none" w:sz="0" w:space="0" w:color="auto"/>
        <w:bottom w:val="none" w:sz="0" w:space="0" w:color="auto"/>
        <w:right w:val="none" w:sz="0" w:space="0" w:color="auto"/>
      </w:divBdr>
    </w:div>
    <w:div w:id="271910685">
      <w:bodyDiv w:val="1"/>
      <w:marLeft w:val="0"/>
      <w:marRight w:val="0"/>
      <w:marTop w:val="0"/>
      <w:marBottom w:val="0"/>
      <w:divBdr>
        <w:top w:val="none" w:sz="0" w:space="0" w:color="auto"/>
        <w:left w:val="none" w:sz="0" w:space="0" w:color="auto"/>
        <w:bottom w:val="none" w:sz="0" w:space="0" w:color="auto"/>
        <w:right w:val="none" w:sz="0" w:space="0" w:color="auto"/>
      </w:divBdr>
      <w:divsChild>
        <w:div w:id="1344434591">
          <w:marLeft w:val="150"/>
          <w:marRight w:val="0"/>
          <w:marTop w:val="0"/>
          <w:marBottom w:val="0"/>
          <w:divBdr>
            <w:top w:val="none" w:sz="0" w:space="0" w:color="auto"/>
            <w:left w:val="none" w:sz="0" w:space="0" w:color="auto"/>
            <w:bottom w:val="none" w:sz="0" w:space="0" w:color="auto"/>
            <w:right w:val="none" w:sz="0" w:space="0" w:color="auto"/>
          </w:divBdr>
          <w:divsChild>
            <w:div w:id="1491018773">
              <w:marLeft w:val="150"/>
              <w:marRight w:val="0"/>
              <w:marTop w:val="0"/>
              <w:marBottom w:val="0"/>
              <w:divBdr>
                <w:top w:val="none" w:sz="0" w:space="0" w:color="auto"/>
                <w:left w:val="none" w:sz="0" w:space="0" w:color="auto"/>
                <w:bottom w:val="none" w:sz="0" w:space="0" w:color="auto"/>
                <w:right w:val="none" w:sz="0" w:space="0" w:color="auto"/>
              </w:divBdr>
              <w:divsChild>
                <w:div w:id="615138314">
                  <w:marLeft w:val="0"/>
                  <w:marRight w:val="0"/>
                  <w:marTop w:val="0"/>
                  <w:marBottom w:val="0"/>
                  <w:divBdr>
                    <w:top w:val="none" w:sz="0" w:space="0" w:color="auto"/>
                    <w:left w:val="none" w:sz="0" w:space="0" w:color="auto"/>
                    <w:bottom w:val="none" w:sz="0" w:space="0" w:color="auto"/>
                    <w:right w:val="none" w:sz="0" w:space="0" w:color="auto"/>
                  </w:divBdr>
                  <w:divsChild>
                    <w:div w:id="2086875807">
                      <w:marLeft w:val="0"/>
                      <w:marRight w:val="0"/>
                      <w:marTop w:val="30"/>
                      <w:marBottom w:val="0"/>
                      <w:divBdr>
                        <w:top w:val="none" w:sz="0" w:space="0" w:color="auto"/>
                        <w:left w:val="none" w:sz="0" w:space="0" w:color="auto"/>
                        <w:bottom w:val="none" w:sz="0" w:space="0" w:color="auto"/>
                        <w:right w:val="none" w:sz="0" w:space="0" w:color="auto"/>
                      </w:divBdr>
                    </w:div>
                    <w:div w:id="1318417193">
                      <w:marLeft w:val="0"/>
                      <w:marRight w:val="0"/>
                      <w:marTop w:val="0"/>
                      <w:marBottom w:val="0"/>
                      <w:divBdr>
                        <w:top w:val="none" w:sz="0" w:space="0" w:color="auto"/>
                        <w:left w:val="none" w:sz="0" w:space="0" w:color="auto"/>
                        <w:bottom w:val="none" w:sz="0" w:space="0" w:color="auto"/>
                        <w:right w:val="none" w:sz="0" w:space="0" w:color="auto"/>
                      </w:divBdr>
                      <w:divsChild>
                        <w:div w:id="790972860">
                          <w:marLeft w:val="0"/>
                          <w:marRight w:val="0"/>
                          <w:marTop w:val="0"/>
                          <w:marBottom w:val="0"/>
                          <w:divBdr>
                            <w:top w:val="none" w:sz="0" w:space="0" w:color="auto"/>
                            <w:left w:val="none" w:sz="0" w:space="0" w:color="auto"/>
                            <w:bottom w:val="none" w:sz="0" w:space="0" w:color="auto"/>
                            <w:right w:val="none" w:sz="0" w:space="0" w:color="auto"/>
                          </w:divBdr>
                          <w:divsChild>
                            <w:div w:id="75708425">
                              <w:marLeft w:val="0"/>
                              <w:marRight w:val="0"/>
                              <w:marTop w:val="0"/>
                              <w:marBottom w:val="0"/>
                              <w:divBdr>
                                <w:top w:val="none" w:sz="0" w:space="0" w:color="auto"/>
                                <w:left w:val="none" w:sz="0" w:space="0" w:color="auto"/>
                                <w:bottom w:val="none" w:sz="0" w:space="0" w:color="auto"/>
                                <w:right w:val="none" w:sz="0" w:space="0" w:color="auto"/>
                              </w:divBdr>
                            </w:div>
                            <w:div w:id="1077675974">
                              <w:marLeft w:val="0"/>
                              <w:marRight w:val="0"/>
                              <w:marTop w:val="0"/>
                              <w:marBottom w:val="0"/>
                              <w:divBdr>
                                <w:top w:val="none" w:sz="0" w:space="0" w:color="auto"/>
                                <w:left w:val="none" w:sz="0" w:space="0" w:color="auto"/>
                                <w:bottom w:val="none" w:sz="0" w:space="0" w:color="auto"/>
                                <w:right w:val="none" w:sz="0" w:space="0" w:color="auto"/>
                              </w:divBdr>
                              <w:divsChild>
                                <w:div w:id="96928237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6702">
          <w:marLeft w:val="0"/>
          <w:marRight w:val="0"/>
          <w:marTop w:val="0"/>
          <w:marBottom w:val="0"/>
          <w:divBdr>
            <w:top w:val="none" w:sz="0" w:space="0" w:color="auto"/>
            <w:left w:val="none" w:sz="0" w:space="0" w:color="auto"/>
            <w:bottom w:val="none" w:sz="0" w:space="0" w:color="auto"/>
            <w:right w:val="none" w:sz="0" w:space="0" w:color="auto"/>
          </w:divBdr>
          <w:divsChild>
            <w:div w:id="391121923">
              <w:marLeft w:val="0"/>
              <w:marRight w:val="0"/>
              <w:marTop w:val="480"/>
              <w:marBottom w:val="240"/>
              <w:divBdr>
                <w:top w:val="none" w:sz="0" w:space="0" w:color="auto"/>
                <w:left w:val="none" w:sz="0" w:space="0" w:color="auto"/>
                <w:bottom w:val="none" w:sz="0" w:space="0" w:color="auto"/>
                <w:right w:val="none" w:sz="0" w:space="0" w:color="auto"/>
              </w:divBdr>
            </w:div>
            <w:div w:id="1369259512">
              <w:marLeft w:val="0"/>
              <w:marRight w:val="0"/>
              <w:marTop w:val="0"/>
              <w:marBottom w:val="567"/>
              <w:divBdr>
                <w:top w:val="none" w:sz="0" w:space="0" w:color="auto"/>
                <w:left w:val="none" w:sz="0" w:space="0" w:color="auto"/>
                <w:bottom w:val="none" w:sz="0" w:space="0" w:color="auto"/>
                <w:right w:val="none" w:sz="0" w:space="0" w:color="auto"/>
              </w:divBdr>
            </w:div>
            <w:div w:id="1624656091">
              <w:marLeft w:val="0"/>
              <w:marRight w:val="0"/>
              <w:marTop w:val="0"/>
              <w:marBottom w:val="567"/>
              <w:divBdr>
                <w:top w:val="none" w:sz="0" w:space="0" w:color="auto"/>
                <w:left w:val="none" w:sz="0" w:space="0" w:color="auto"/>
                <w:bottom w:val="none" w:sz="0" w:space="0" w:color="auto"/>
                <w:right w:val="none" w:sz="0" w:space="0" w:color="auto"/>
              </w:divBdr>
            </w:div>
            <w:div w:id="185948194">
              <w:marLeft w:val="0"/>
              <w:marRight w:val="0"/>
              <w:marTop w:val="0"/>
              <w:marBottom w:val="0"/>
              <w:divBdr>
                <w:top w:val="none" w:sz="0" w:space="0" w:color="auto"/>
                <w:left w:val="none" w:sz="0" w:space="0" w:color="auto"/>
                <w:bottom w:val="none" w:sz="0" w:space="0" w:color="auto"/>
                <w:right w:val="none" w:sz="0" w:space="0" w:color="auto"/>
              </w:divBdr>
            </w:div>
            <w:div w:id="947153433">
              <w:marLeft w:val="0"/>
              <w:marRight w:val="0"/>
              <w:marTop w:val="0"/>
              <w:marBottom w:val="0"/>
              <w:divBdr>
                <w:top w:val="none" w:sz="0" w:space="0" w:color="auto"/>
                <w:left w:val="none" w:sz="0" w:space="0" w:color="auto"/>
                <w:bottom w:val="none" w:sz="0" w:space="0" w:color="auto"/>
                <w:right w:val="none" w:sz="0" w:space="0" w:color="auto"/>
              </w:divBdr>
            </w:div>
            <w:div w:id="1543709697">
              <w:marLeft w:val="0"/>
              <w:marRight w:val="0"/>
              <w:marTop w:val="0"/>
              <w:marBottom w:val="0"/>
              <w:divBdr>
                <w:top w:val="none" w:sz="0" w:space="0" w:color="auto"/>
                <w:left w:val="none" w:sz="0" w:space="0" w:color="auto"/>
                <w:bottom w:val="none" w:sz="0" w:space="0" w:color="auto"/>
                <w:right w:val="none" w:sz="0" w:space="0" w:color="auto"/>
              </w:divBdr>
            </w:div>
            <w:div w:id="1343047793">
              <w:marLeft w:val="0"/>
              <w:marRight w:val="0"/>
              <w:marTop w:val="0"/>
              <w:marBottom w:val="0"/>
              <w:divBdr>
                <w:top w:val="none" w:sz="0" w:space="0" w:color="auto"/>
                <w:left w:val="none" w:sz="0" w:space="0" w:color="auto"/>
                <w:bottom w:val="none" w:sz="0" w:space="0" w:color="auto"/>
                <w:right w:val="none" w:sz="0" w:space="0" w:color="auto"/>
              </w:divBdr>
            </w:div>
            <w:div w:id="750279699">
              <w:marLeft w:val="0"/>
              <w:marRight w:val="0"/>
              <w:marTop w:val="0"/>
              <w:marBottom w:val="0"/>
              <w:divBdr>
                <w:top w:val="none" w:sz="0" w:space="0" w:color="auto"/>
                <w:left w:val="none" w:sz="0" w:space="0" w:color="auto"/>
                <w:bottom w:val="none" w:sz="0" w:space="0" w:color="auto"/>
                <w:right w:val="none" w:sz="0" w:space="0" w:color="auto"/>
              </w:divBdr>
            </w:div>
            <w:div w:id="1546597509">
              <w:marLeft w:val="0"/>
              <w:marRight w:val="0"/>
              <w:marTop w:val="0"/>
              <w:marBottom w:val="0"/>
              <w:divBdr>
                <w:top w:val="none" w:sz="0" w:space="0" w:color="auto"/>
                <w:left w:val="none" w:sz="0" w:space="0" w:color="auto"/>
                <w:bottom w:val="none" w:sz="0" w:space="0" w:color="auto"/>
                <w:right w:val="none" w:sz="0" w:space="0" w:color="auto"/>
              </w:divBdr>
            </w:div>
            <w:div w:id="1529755327">
              <w:marLeft w:val="0"/>
              <w:marRight w:val="0"/>
              <w:marTop w:val="0"/>
              <w:marBottom w:val="0"/>
              <w:divBdr>
                <w:top w:val="none" w:sz="0" w:space="0" w:color="auto"/>
                <w:left w:val="none" w:sz="0" w:space="0" w:color="auto"/>
                <w:bottom w:val="none" w:sz="0" w:space="0" w:color="auto"/>
                <w:right w:val="none" w:sz="0" w:space="0" w:color="auto"/>
              </w:divBdr>
            </w:div>
            <w:div w:id="1273391645">
              <w:marLeft w:val="0"/>
              <w:marRight w:val="0"/>
              <w:marTop w:val="0"/>
              <w:marBottom w:val="0"/>
              <w:divBdr>
                <w:top w:val="none" w:sz="0" w:space="0" w:color="auto"/>
                <w:left w:val="none" w:sz="0" w:space="0" w:color="auto"/>
                <w:bottom w:val="none" w:sz="0" w:space="0" w:color="auto"/>
                <w:right w:val="none" w:sz="0" w:space="0" w:color="auto"/>
              </w:divBdr>
            </w:div>
            <w:div w:id="673920082">
              <w:marLeft w:val="0"/>
              <w:marRight w:val="0"/>
              <w:marTop w:val="240"/>
              <w:marBottom w:val="0"/>
              <w:divBdr>
                <w:top w:val="none" w:sz="0" w:space="0" w:color="auto"/>
                <w:left w:val="none" w:sz="0" w:space="0" w:color="auto"/>
                <w:bottom w:val="none" w:sz="0" w:space="0" w:color="auto"/>
                <w:right w:val="none" w:sz="0" w:space="0" w:color="auto"/>
              </w:divBdr>
            </w:div>
            <w:div w:id="1027104156">
              <w:marLeft w:val="0"/>
              <w:marRight w:val="0"/>
              <w:marTop w:val="0"/>
              <w:marBottom w:val="0"/>
              <w:divBdr>
                <w:top w:val="none" w:sz="0" w:space="0" w:color="auto"/>
                <w:left w:val="none" w:sz="0" w:space="0" w:color="auto"/>
                <w:bottom w:val="none" w:sz="0" w:space="0" w:color="auto"/>
                <w:right w:val="none" w:sz="0" w:space="0" w:color="auto"/>
              </w:divBdr>
            </w:div>
            <w:div w:id="987057563">
              <w:marLeft w:val="0"/>
              <w:marRight w:val="0"/>
              <w:marTop w:val="0"/>
              <w:marBottom w:val="0"/>
              <w:divBdr>
                <w:top w:val="none" w:sz="0" w:space="0" w:color="auto"/>
                <w:left w:val="none" w:sz="0" w:space="0" w:color="auto"/>
                <w:bottom w:val="none" w:sz="0" w:space="0" w:color="auto"/>
                <w:right w:val="none" w:sz="0" w:space="0" w:color="auto"/>
              </w:divBdr>
            </w:div>
            <w:div w:id="1195927576">
              <w:marLeft w:val="0"/>
              <w:marRight w:val="0"/>
              <w:marTop w:val="0"/>
              <w:marBottom w:val="0"/>
              <w:divBdr>
                <w:top w:val="none" w:sz="0" w:space="0" w:color="auto"/>
                <w:left w:val="none" w:sz="0" w:space="0" w:color="auto"/>
                <w:bottom w:val="none" w:sz="0" w:space="0" w:color="auto"/>
                <w:right w:val="none" w:sz="0" w:space="0" w:color="auto"/>
              </w:divBdr>
            </w:div>
            <w:div w:id="396827431">
              <w:marLeft w:val="0"/>
              <w:marRight w:val="0"/>
              <w:marTop w:val="0"/>
              <w:marBottom w:val="0"/>
              <w:divBdr>
                <w:top w:val="none" w:sz="0" w:space="0" w:color="auto"/>
                <w:left w:val="none" w:sz="0" w:space="0" w:color="auto"/>
                <w:bottom w:val="none" w:sz="0" w:space="0" w:color="auto"/>
                <w:right w:val="none" w:sz="0" w:space="0" w:color="auto"/>
              </w:divBdr>
            </w:div>
            <w:div w:id="1087775806">
              <w:marLeft w:val="0"/>
              <w:marRight w:val="0"/>
              <w:marTop w:val="0"/>
              <w:marBottom w:val="0"/>
              <w:divBdr>
                <w:top w:val="none" w:sz="0" w:space="0" w:color="auto"/>
                <w:left w:val="none" w:sz="0" w:space="0" w:color="auto"/>
                <w:bottom w:val="none" w:sz="0" w:space="0" w:color="auto"/>
                <w:right w:val="none" w:sz="0" w:space="0" w:color="auto"/>
              </w:divBdr>
            </w:div>
            <w:div w:id="1875846417">
              <w:marLeft w:val="0"/>
              <w:marRight w:val="0"/>
              <w:marTop w:val="0"/>
              <w:marBottom w:val="0"/>
              <w:divBdr>
                <w:top w:val="none" w:sz="0" w:space="0" w:color="auto"/>
                <w:left w:val="none" w:sz="0" w:space="0" w:color="auto"/>
                <w:bottom w:val="none" w:sz="0" w:space="0" w:color="auto"/>
                <w:right w:val="none" w:sz="0" w:space="0" w:color="auto"/>
              </w:divBdr>
            </w:div>
            <w:div w:id="235826860">
              <w:marLeft w:val="0"/>
              <w:marRight w:val="0"/>
              <w:marTop w:val="0"/>
              <w:marBottom w:val="0"/>
              <w:divBdr>
                <w:top w:val="none" w:sz="0" w:space="0" w:color="auto"/>
                <w:left w:val="none" w:sz="0" w:space="0" w:color="auto"/>
                <w:bottom w:val="none" w:sz="0" w:space="0" w:color="auto"/>
                <w:right w:val="none" w:sz="0" w:space="0" w:color="auto"/>
              </w:divBdr>
            </w:div>
            <w:div w:id="1765148166">
              <w:marLeft w:val="0"/>
              <w:marRight w:val="0"/>
              <w:marTop w:val="0"/>
              <w:marBottom w:val="0"/>
              <w:divBdr>
                <w:top w:val="none" w:sz="0" w:space="0" w:color="auto"/>
                <w:left w:val="none" w:sz="0" w:space="0" w:color="auto"/>
                <w:bottom w:val="none" w:sz="0" w:space="0" w:color="auto"/>
                <w:right w:val="none" w:sz="0" w:space="0" w:color="auto"/>
              </w:divBdr>
            </w:div>
            <w:div w:id="244581142">
              <w:marLeft w:val="0"/>
              <w:marRight w:val="0"/>
              <w:marTop w:val="0"/>
              <w:marBottom w:val="0"/>
              <w:divBdr>
                <w:top w:val="none" w:sz="0" w:space="0" w:color="auto"/>
                <w:left w:val="none" w:sz="0" w:space="0" w:color="auto"/>
                <w:bottom w:val="none" w:sz="0" w:space="0" w:color="auto"/>
                <w:right w:val="none" w:sz="0" w:space="0" w:color="auto"/>
              </w:divBdr>
            </w:div>
            <w:div w:id="1761221339">
              <w:marLeft w:val="0"/>
              <w:marRight w:val="0"/>
              <w:marTop w:val="0"/>
              <w:marBottom w:val="0"/>
              <w:divBdr>
                <w:top w:val="none" w:sz="0" w:space="0" w:color="auto"/>
                <w:left w:val="none" w:sz="0" w:space="0" w:color="auto"/>
                <w:bottom w:val="none" w:sz="0" w:space="0" w:color="auto"/>
                <w:right w:val="none" w:sz="0" w:space="0" w:color="auto"/>
              </w:divBdr>
            </w:div>
            <w:div w:id="1334264218">
              <w:marLeft w:val="0"/>
              <w:marRight w:val="0"/>
              <w:marTop w:val="0"/>
              <w:marBottom w:val="0"/>
              <w:divBdr>
                <w:top w:val="none" w:sz="0" w:space="0" w:color="auto"/>
                <w:left w:val="none" w:sz="0" w:space="0" w:color="auto"/>
                <w:bottom w:val="none" w:sz="0" w:space="0" w:color="auto"/>
                <w:right w:val="none" w:sz="0" w:space="0" w:color="auto"/>
              </w:divBdr>
            </w:div>
            <w:div w:id="1364088111">
              <w:marLeft w:val="0"/>
              <w:marRight w:val="0"/>
              <w:marTop w:val="0"/>
              <w:marBottom w:val="0"/>
              <w:divBdr>
                <w:top w:val="none" w:sz="0" w:space="0" w:color="auto"/>
                <w:left w:val="none" w:sz="0" w:space="0" w:color="auto"/>
                <w:bottom w:val="none" w:sz="0" w:space="0" w:color="auto"/>
                <w:right w:val="none" w:sz="0" w:space="0" w:color="auto"/>
              </w:divBdr>
            </w:div>
            <w:div w:id="402483024">
              <w:marLeft w:val="0"/>
              <w:marRight w:val="0"/>
              <w:marTop w:val="0"/>
              <w:marBottom w:val="0"/>
              <w:divBdr>
                <w:top w:val="none" w:sz="0" w:space="0" w:color="auto"/>
                <w:left w:val="none" w:sz="0" w:space="0" w:color="auto"/>
                <w:bottom w:val="none" w:sz="0" w:space="0" w:color="auto"/>
                <w:right w:val="none" w:sz="0" w:space="0" w:color="auto"/>
              </w:divBdr>
            </w:div>
            <w:div w:id="477184168">
              <w:marLeft w:val="0"/>
              <w:marRight w:val="0"/>
              <w:marTop w:val="0"/>
              <w:marBottom w:val="0"/>
              <w:divBdr>
                <w:top w:val="none" w:sz="0" w:space="0" w:color="auto"/>
                <w:left w:val="none" w:sz="0" w:space="0" w:color="auto"/>
                <w:bottom w:val="none" w:sz="0" w:space="0" w:color="auto"/>
                <w:right w:val="none" w:sz="0" w:space="0" w:color="auto"/>
              </w:divBdr>
            </w:div>
            <w:div w:id="157697890">
              <w:marLeft w:val="0"/>
              <w:marRight w:val="0"/>
              <w:marTop w:val="0"/>
              <w:marBottom w:val="0"/>
              <w:divBdr>
                <w:top w:val="none" w:sz="0" w:space="0" w:color="auto"/>
                <w:left w:val="none" w:sz="0" w:space="0" w:color="auto"/>
                <w:bottom w:val="none" w:sz="0" w:space="0" w:color="auto"/>
                <w:right w:val="none" w:sz="0" w:space="0" w:color="auto"/>
              </w:divBdr>
            </w:div>
            <w:div w:id="99572185">
              <w:marLeft w:val="0"/>
              <w:marRight w:val="0"/>
              <w:marTop w:val="0"/>
              <w:marBottom w:val="0"/>
              <w:divBdr>
                <w:top w:val="none" w:sz="0" w:space="0" w:color="auto"/>
                <w:left w:val="none" w:sz="0" w:space="0" w:color="auto"/>
                <w:bottom w:val="none" w:sz="0" w:space="0" w:color="auto"/>
                <w:right w:val="none" w:sz="0" w:space="0" w:color="auto"/>
              </w:divBdr>
            </w:div>
            <w:div w:id="112406132">
              <w:marLeft w:val="0"/>
              <w:marRight w:val="0"/>
              <w:marTop w:val="0"/>
              <w:marBottom w:val="0"/>
              <w:divBdr>
                <w:top w:val="none" w:sz="0" w:space="0" w:color="auto"/>
                <w:left w:val="none" w:sz="0" w:space="0" w:color="auto"/>
                <w:bottom w:val="none" w:sz="0" w:space="0" w:color="auto"/>
                <w:right w:val="none" w:sz="0" w:space="0" w:color="auto"/>
              </w:divBdr>
            </w:div>
            <w:div w:id="872689726">
              <w:marLeft w:val="0"/>
              <w:marRight w:val="0"/>
              <w:marTop w:val="0"/>
              <w:marBottom w:val="0"/>
              <w:divBdr>
                <w:top w:val="none" w:sz="0" w:space="0" w:color="auto"/>
                <w:left w:val="none" w:sz="0" w:space="0" w:color="auto"/>
                <w:bottom w:val="none" w:sz="0" w:space="0" w:color="auto"/>
                <w:right w:val="none" w:sz="0" w:space="0" w:color="auto"/>
              </w:divBdr>
            </w:div>
            <w:div w:id="1184593089">
              <w:marLeft w:val="0"/>
              <w:marRight w:val="0"/>
              <w:marTop w:val="0"/>
              <w:marBottom w:val="0"/>
              <w:divBdr>
                <w:top w:val="none" w:sz="0" w:space="0" w:color="auto"/>
                <w:left w:val="none" w:sz="0" w:space="0" w:color="auto"/>
                <w:bottom w:val="none" w:sz="0" w:space="0" w:color="auto"/>
                <w:right w:val="none" w:sz="0" w:space="0" w:color="auto"/>
              </w:divBdr>
            </w:div>
            <w:div w:id="984511293">
              <w:marLeft w:val="0"/>
              <w:marRight w:val="0"/>
              <w:marTop w:val="0"/>
              <w:marBottom w:val="0"/>
              <w:divBdr>
                <w:top w:val="none" w:sz="0" w:space="0" w:color="auto"/>
                <w:left w:val="none" w:sz="0" w:space="0" w:color="auto"/>
                <w:bottom w:val="none" w:sz="0" w:space="0" w:color="auto"/>
                <w:right w:val="none" w:sz="0" w:space="0" w:color="auto"/>
              </w:divBdr>
            </w:div>
            <w:div w:id="372079139">
              <w:marLeft w:val="0"/>
              <w:marRight w:val="0"/>
              <w:marTop w:val="0"/>
              <w:marBottom w:val="0"/>
              <w:divBdr>
                <w:top w:val="none" w:sz="0" w:space="0" w:color="auto"/>
                <w:left w:val="none" w:sz="0" w:space="0" w:color="auto"/>
                <w:bottom w:val="none" w:sz="0" w:space="0" w:color="auto"/>
                <w:right w:val="none" w:sz="0" w:space="0" w:color="auto"/>
              </w:divBdr>
            </w:div>
            <w:div w:id="1237548735">
              <w:marLeft w:val="0"/>
              <w:marRight w:val="0"/>
              <w:marTop w:val="0"/>
              <w:marBottom w:val="0"/>
              <w:divBdr>
                <w:top w:val="none" w:sz="0" w:space="0" w:color="auto"/>
                <w:left w:val="none" w:sz="0" w:space="0" w:color="auto"/>
                <w:bottom w:val="none" w:sz="0" w:space="0" w:color="auto"/>
                <w:right w:val="none" w:sz="0" w:space="0" w:color="auto"/>
              </w:divBdr>
            </w:div>
            <w:div w:id="404569080">
              <w:marLeft w:val="0"/>
              <w:marRight w:val="0"/>
              <w:marTop w:val="0"/>
              <w:marBottom w:val="0"/>
              <w:divBdr>
                <w:top w:val="none" w:sz="0" w:space="0" w:color="auto"/>
                <w:left w:val="none" w:sz="0" w:space="0" w:color="auto"/>
                <w:bottom w:val="none" w:sz="0" w:space="0" w:color="auto"/>
                <w:right w:val="none" w:sz="0" w:space="0" w:color="auto"/>
              </w:divBdr>
            </w:div>
            <w:div w:id="709888340">
              <w:marLeft w:val="0"/>
              <w:marRight w:val="0"/>
              <w:marTop w:val="0"/>
              <w:marBottom w:val="0"/>
              <w:divBdr>
                <w:top w:val="none" w:sz="0" w:space="0" w:color="auto"/>
                <w:left w:val="none" w:sz="0" w:space="0" w:color="auto"/>
                <w:bottom w:val="none" w:sz="0" w:space="0" w:color="auto"/>
                <w:right w:val="none" w:sz="0" w:space="0" w:color="auto"/>
              </w:divBdr>
            </w:div>
            <w:div w:id="1631280686">
              <w:marLeft w:val="0"/>
              <w:marRight w:val="0"/>
              <w:marTop w:val="0"/>
              <w:marBottom w:val="0"/>
              <w:divBdr>
                <w:top w:val="none" w:sz="0" w:space="0" w:color="auto"/>
                <w:left w:val="none" w:sz="0" w:space="0" w:color="auto"/>
                <w:bottom w:val="none" w:sz="0" w:space="0" w:color="auto"/>
                <w:right w:val="none" w:sz="0" w:space="0" w:color="auto"/>
              </w:divBdr>
            </w:div>
            <w:div w:id="809444830">
              <w:marLeft w:val="0"/>
              <w:marRight w:val="0"/>
              <w:marTop w:val="0"/>
              <w:marBottom w:val="0"/>
              <w:divBdr>
                <w:top w:val="none" w:sz="0" w:space="0" w:color="auto"/>
                <w:left w:val="none" w:sz="0" w:space="0" w:color="auto"/>
                <w:bottom w:val="none" w:sz="0" w:space="0" w:color="auto"/>
                <w:right w:val="none" w:sz="0" w:space="0" w:color="auto"/>
              </w:divBdr>
            </w:div>
            <w:div w:id="1534003119">
              <w:marLeft w:val="0"/>
              <w:marRight w:val="0"/>
              <w:marTop w:val="0"/>
              <w:marBottom w:val="0"/>
              <w:divBdr>
                <w:top w:val="none" w:sz="0" w:space="0" w:color="auto"/>
                <w:left w:val="none" w:sz="0" w:space="0" w:color="auto"/>
                <w:bottom w:val="none" w:sz="0" w:space="0" w:color="auto"/>
                <w:right w:val="none" w:sz="0" w:space="0" w:color="auto"/>
              </w:divBdr>
            </w:div>
            <w:div w:id="1465540789">
              <w:marLeft w:val="0"/>
              <w:marRight w:val="0"/>
              <w:marTop w:val="0"/>
              <w:marBottom w:val="0"/>
              <w:divBdr>
                <w:top w:val="none" w:sz="0" w:space="0" w:color="auto"/>
                <w:left w:val="none" w:sz="0" w:space="0" w:color="auto"/>
                <w:bottom w:val="none" w:sz="0" w:space="0" w:color="auto"/>
                <w:right w:val="none" w:sz="0" w:space="0" w:color="auto"/>
              </w:divBdr>
            </w:div>
            <w:div w:id="339086754">
              <w:marLeft w:val="0"/>
              <w:marRight w:val="0"/>
              <w:marTop w:val="0"/>
              <w:marBottom w:val="0"/>
              <w:divBdr>
                <w:top w:val="none" w:sz="0" w:space="0" w:color="auto"/>
                <w:left w:val="none" w:sz="0" w:space="0" w:color="auto"/>
                <w:bottom w:val="none" w:sz="0" w:space="0" w:color="auto"/>
                <w:right w:val="none" w:sz="0" w:space="0" w:color="auto"/>
              </w:divBdr>
            </w:div>
            <w:div w:id="87586123">
              <w:marLeft w:val="0"/>
              <w:marRight w:val="0"/>
              <w:marTop w:val="0"/>
              <w:marBottom w:val="0"/>
              <w:divBdr>
                <w:top w:val="none" w:sz="0" w:space="0" w:color="auto"/>
                <w:left w:val="none" w:sz="0" w:space="0" w:color="auto"/>
                <w:bottom w:val="none" w:sz="0" w:space="0" w:color="auto"/>
                <w:right w:val="none" w:sz="0" w:space="0" w:color="auto"/>
              </w:divBdr>
            </w:div>
            <w:div w:id="1548177490">
              <w:marLeft w:val="0"/>
              <w:marRight w:val="0"/>
              <w:marTop w:val="0"/>
              <w:marBottom w:val="0"/>
              <w:divBdr>
                <w:top w:val="none" w:sz="0" w:space="0" w:color="auto"/>
                <w:left w:val="none" w:sz="0" w:space="0" w:color="auto"/>
                <w:bottom w:val="none" w:sz="0" w:space="0" w:color="auto"/>
                <w:right w:val="none" w:sz="0" w:space="0" w:color="auto"/>
              </w:divBdr>
            </w:div>
            <w:div w:id="1874807925">
              <w:marLeft w:val="0"/>
              <w:marRight w:val="0"/>
              <w:marTop w:val="0"/>
              <w:marBottom w:val="0"/>
              <w:divBdr>
                <w:top w:val="none" w:sz="0" w:space="0" w:color="auto"/>
                <w:left w:val="none" w:sz="0" w:space="0" w:color="auto"/>
                <w:bottom w:val="none" w:sz="0" w:space="0" w:color="auto"/>
                <w:right w:val="none" w:sz="0" w:space="0" w:color="auto"/>
              </w:divBdr>
            </w:div>
            <w:div w:id="1130898168">
              <w:marLeft w:val="0"/>
              <w:marRight w:val="0"/>
              <w:marTop w:val="0"/>
              <w:marBottom w:val="0"/>
              <w:divBdr>
                <w:top w:val="none" w:sz="0" w:space="0" w:color="auto"/>
                <w:left w:val="none" w:sz="0" w:space="0" w:color="auto"/>
                <w:bottom w:val="none" w:sz="0" w:space="0" w:color="auto"/>
                <w:right w:val="none" w:sz="0" w:space="0" w:color="auto"/>
              </w:divBdr>
            </w:div>
            <w:div w:id="400636484">
              <w:marLeft w:val="0"/>
              <w:marRight w:val="0"/>
              <w:marTop w:val="0"/>
              <w:marBottom w:val="0"/>
              <w:divBdr>
                <w:top w:val="none" w:sz="0" w:space="0" w:color="auto"/>
                <w:left w:val="none" w:sz="0" w:space="0" w:color="auto"/>
                <w:bottom w:val="none" w:sz="0" w:space="0" w:color="auto"/>
                <w:right w:val="none" w:sz="0" w:space="0" w:color="auto"/>
              </w:divBdr>
            </w:div>
            <w:div w:id="1832065618">
              <w:marLeft w:val="0"/>
              <w:marRight w:val="0"/>
              <w:marTop w:val="0"/>
              <w:marBottom w:val="0"/>
              <w:divBdr>
                <w:top w:val="none" w:sz="0" w:space="0" w:color="auto"/>
                <w:left w:val="none" w:sz="0" w:space="0" w:color="auto"/>
                <w:bottom w:val="none" w:sz="0" w:space="0" w:color="auto"/>
                <w:right w:val="none" w:sz="0" w:space="0" w:color="auto"/>
              </w:divBdr>
            </w:div>
            <w:div w:id="1340810249">
              <w:marLeft w:val="0"/>
              <w:marRight w:val="0"/>
              <w:marTop w:val="0"/>
              <w:marBottom w:val="0"/>
              <w:divBdr>
                <w:top w:val="none" w:sz="0" w:space="0" w:color="auto"/>
                <w:left w:val="none" w:sz="0" w:space="0" w:color="auto"/>
                <w:bottom w:val="none" w:sz="0" w:space="0" w:color="auto"/>
                <w:right w:val="none" w:sz="0" w:space="0" w:color="auto"/>
              </w:divBdr>
            </w:div>
            <w:div w:id="267782377">
              <w:marLeft w:val="0"/>
              <w:marRight w:val="0"/>
              <w:marTop w:val="0"/>
              <w:marBottom w:val="0"/>
              <w:divBdr>
                <w:top w:val="none" w:sz="0" w:space="0" w:color="auto"/>
                <w:left w:val="none" w:sz="0" w:space="0" w:color="auto"/>
                <w:bottom w:val="none" w:sz="0" w:space="0" w:color="auto"/>
                <w:right w:val="none" w:sz="0" w:space="0" w:color="auto"/>
              </w:divBdr>
            </w:div>
            <w:div w:id="1511601796">
              <w:marLeft w:val="0"/>
              <w:marRight w:val="0"/>
              <w:marTop w:val="0"/>
              <w:marBottom w:val="0"/>
              <w:divBdr>
                <w:top w:val="none" w:sz="0" w:space="0" w:color="auto"/>
                <w:left w:val="none" w:sz="0" w:space="0" w:color="auto"/>
                <w:bottom w:val="none" w:sz="0" w:space="0" w:color="auto"/>
                <w:right w:val="none" w:sz="0" w:space="0" w:color="auto"/>
              </w:divBdr>
            </w:div>
            <w:div w:id="32653716">
              <w:marLeft w:val="0"/>
              <w:marRight w:val="0"/>
              <w:marTop w:val="0"/>
              <w:marBottom w:val="0"/>
              <w:divBdr>
                <w:top w:val="none" w:sz="0" w:space="0" w:color="auto"/>
                <w:left w:val="none" w:sz="0" w:space="0" w:color="auto"/>
                <w:bottom w:val="none" w:sz="0" w:space="0" w:color="auto"/>
                <w:right w:val="none" w:sz="0" w:space="0" w:color="auto"/>
              </w:divBdr>
            </w:div>
            <w:div w:id="1801727800">
              <w:marLeft w:val="0"/>
              <w:marRight w:val="0"/>
              <w:marTop w:val="0"/>
              <w:marBottom w:val="0"/>
              <w:divBdr>
                <w:top w:val="none" w:sz="0" w:space="0" w:color="auto"/>
                <w:left w:val="none" w:sz="0" w:space="0" w:color="auto"/>
                <w:bottom w:val="none" w:sz="0" w:space="0" w:color="auto"/>
                <w:right w:val="none" w:sz="0" w:space="0" w:color="auto"/>
              </w:divBdr>
            </w:div>
            <w:div w:id="83428920">
              <w:marLeft w:val="0"/>
              <w:marRight w:val="0"/>
              <w:marTop w:val="0"/>
              <w:marBottom w:val="0"/>
              <w:divBdr>
                <w:top w:val="none" w:sz="0" w:space="0" w:color="auto"/>
                <w:left w:val="none" w:sz="0" w:space="0" w:color="auto"/>
                <w:bottom w:val="none" w:sz="0" w:space="0" w:color="auto"/>
                <w:right w:val="none" w:sz="0" w:space="0" w:color="auto"/>
              </w:divBdr>
            </w:div>
            <w:div w:id="530649466">
              <w:marLeft w:val="0"/>
              <w:marRight w:val="0"/>
              <w:marTop w:val="0"/>
              <w:marBottom w:val="0"/>
              <w:divBdr>
                <w:top w:val="none" w:sz="0" w:space="0" w:color="auto"/>
                <w:left w:val="none" w:sz="0" w:space="0" w:color="auto"/>
                <w:bottom w:val="none" w:sz="0" w:space="0" w:color="auto"/>
                <w:right w:val="none" w:sz="0" w:space="0" w:color="auto"/>
              </w:divBdr>
            </w:div>
            <w:div w:id="1886940886">
              <w:marLeft w:val="0"/>
              <w:marRight w:val="0"/>
              <w:marTop w:val="0"/>
              <w:marBottom w:val="0"/>
              <w:divBdr>
                <w:top w:val="none" w:sz="0" w:space="0" w:color="auto"/>
                <w:left w:val="none" w:sz="0" w:space="0" w:color="auto"/>
                <w:bottom w:val="none" w:sz="0" w:space="0" w:color="auto"/>
                <w:right w:val="none" w:sz="0" w:space="0" w:color="auto"/>
              </w:divBdr>
            </w:div>
            <w:div w:id="1071732948">
              <w:marLeft w:val="0"/>
              <w:marRight w:val="0"/>
              <w:marTop w:val="0"/>
              <w:marBottom w:val="0"/>
              <w:divBdr>
                <w:top w:val="none" w:sz="0" w:space="0" w:color="auto"/>
                <w:left w:val="none" w:sz="0" w:space="0" w:color="auto"/>
                <w:bottom w:val="none" w:sz="0" w:space="0" w:color="auto"/>
                <w:right w:val="none" w:sz="0" w:space="0" w:color="auto"/>
              </w:divBdr>
            </w:div>
            <w:div w:id="1333098007">
              <w:marLeft w:val="0"/>
              <w:marRight w:val="0"/>
              <w:marTop w:val="0"/>
              <w:marBottom w:val="0"/>
              <w:divBdr>
                <w:top w:val="none" w:sz="0" w:space="0" w:color="auto"/>
                <w:left w:val="none" w:sz="0" w:space="0" w:color="auto"/>
                <w:bottom w:val="none" w:sz="0" w:space="0" w:color="auto"/>
                <w:right w:val="none" w:sz="0" w:space="0" w:color="auto"/>
              </w:divBdr>
            </w:div>
            <w:div w:id="241840974">
              <w:marLeft w:val="0"/>
              <w:marRight w:val="0"/>
              <w:marTop w:val="0"/>
              <w:marBottom w:val="0"/>
              <w:divBdr>
                <w:top w:val="none" w:sz="0" w:space="0" w:color="auto"/>
                <w:left w:val="none" w:sz="0" w:space="0" w:color="auto"/>
                <w:bottom w:val="none" w:sz="0" w:space="0" w:color="auto"/>
                <w:right w:val="none" w:sz="0" w:space="0" w:color="auto"/>
              </w:divBdr>
            </w:div>
            <w:div w:id="1504130288">
              <w:marLeft w:val="0"/>
              <w:marRight w:val="0"/>
              <w:marTop w:val="0"/>
              <w:marBottom w:val="0"/>
              <w:divBdr>
                <w:top w:val="none" w:sz="0" w:space="0" w:color="auto"/>
                <w:left w:val="none" w:sz="0" w:space="0" w:color="auto"/>
                <w:bottom w:val="none" w:sz="0" w:space="0" w:color="auto"/>
                <w:right w:val="none" w:sz="0" w:space="0" w:color="auto"/>
              </w:divBdr>
            </w:div>
            <w:div w:id="1718116912">
              <w:marLeft w:val="0"/>
              <w:marRight w:val="0"/>
              <w:marTop w:val="0"/>
              <w:marBottom w:val="0"/>
              <w:divBdr>
                <w:top w:val="none" w:sz="0" w:space="0" w:color="auto"/>
                <w:left w:val="none" w:sz="0" w:space="0" w:color="auto"/>
                <w:bottom w:val="none" w:sz="0" w:space="0" w:color="auto"/>
                <w:right w:val="none" w:sz="0" w:space="0" w:color="auto"/>
              </w:divBdr>
            </w:div>
            <w:div w:id="1948653511">
              <w:marLeft w:val="0"/>
              <w:marRight w:val="0"/>
              <w:marTop w:val="0"/>
              <w:marBottom w:val="0"/>
              <w:divBdr>
                <w:top w:val="none" w:sz="0" w:space="0" w:color="auto"/>
                <w:left w:val="none" w:sz="0" w:space="0" w:color="auto"/>
                <w:bottom w:val="none" w:sz="0" w:space="0" w:color="auto"/>
                <w:right w:val="none" w:sz="0" w:space="0" w:color="auto"/>
              </w:divBdr>
            </w:div>
            <w:div w:id="1008485190">
              <w:marLeft w:val="0"/>
              <w:marRight w:val="0"/>
              <w:marTop w:val="0"/>
              <w:marBottom w:val="0"/>
              <w:divBdr>
                <w:top w:val="none" w:sz="0" w:space="0" w:color="auto"/>
                <w:left w:val="none" w:sz="0" w:space="0" w:color="auto"/>
                <w:bottom w:val="none" w:sz="0" w:space="0" w:color="auto"/>
                <w:right w:val="none" w:sz="0" w:space="0" w:color="auto"/>
              </w:divBdr>
            </w:div>
            <w:div w:id="1734042413">
              <w:marLeft w:val="0"/>
              <w:marRight w:val="0"/>
              <w:marTop w:val="0"/>
              <w:marBottom w:val="0"/>
              <w:divBdr>
                <w:top w:val="none" w:sz="0" w:space="0" w:color="auto"/>
                <w:left w:val="none" w:sz="0" w:space="0" w:color="auto"/>
                <w:bottom w:val="none" w:sz="0" w:space="0" w:color="auto"/>
                <w:right w:val="none" w:sz="0" w:space="0" w:color="auto"/>
              </w:divBdr>
            </w:div>
            <w:div w:id="1394310073">
              <w:marLeft w:val="0"/>
              <w:marRight w:val="0"/>
              <w:marTop w:val="0"/>
              <w:marBottom w:val="0"/>
              <w:divBdr>
                <w:top w:val="none" w:sz="0" w:space="0" w:color="auto"/>
                <w:left w:val="none" w:sz="0" w:space="0" w:color="auto"/>
                <w:bottom w:val="none" w:sz="0" w:space="0" w:color="auto"/>
                <w:right w:val="none" w:sz="0" w:space="0" w:color="auto"/>
              </w:divBdr>
            </w:div>
            <w:div w:id="173499325">
              <w:marLeft w:val="0"/>
              <w:marRight w:val="0"/>
              <w:marTop w:val="0"/>
              <w:marBottom w:val="0"/>
              <w:divBdr>
                <w:top w:val="none" w:sz="0" w:space="0" w:color="auto"/>
                <w:left w:val="none" w:sz="0" w:space="0" w:color="auto"/>
                <w:bottom w:val="none" w:sz="0" w:space="0" w:color="auto"/>
                <w:right w:val="none" w:sz="0" w:space="0" w:color="auto"/>
              </w:divBdr>
            </w:div>
            <w:div w:id="2059743085">
              <w:marLeft w:val="0"/>
              <w:marRight w:val="0"/>
              <w:marTop w:val="0"/>
              <w:marBottom w:val="0"/>
              <w:divBdr>
                <w:top w:val="none" w:sz="0" w:space="0" w:color="auto"/>
                <w:left w:val="none" w:sz="0" w:space="0" w:color="auto"/>
                <w:bottom w:val="none" w:sz="0" w:space="0" w:color="auto"/>
                <w:right w:val="none" w:sz="0" w:space="0" w:color="auto"/>
              </w:divBdr>
            </w:div>
            <w:div w:id="2084134152">
              <w:marLeft w:val="0"/>
              <w:marRight w:val="0"/>
              <w:marTop w:val="0"/>
              <w:marBottom w:val="0"/>
              <w:divBdr>
                <w:top w:val="none" w:sz="0" w:space="0" w:color="auto"/>
                <w:left w:val="none" w:sz="0" w:space="0" w:color="auto"/>
                <w:bottom w:val="none" w:sz="0" w:space="0" w:color="auto"/>
                <w:right w:val="none" w:sz="0" w:space="0" w:color="auto"/>
              </w:divBdr>
            </w:div>
            <w:div w:id="406421131">
              <w:marLeft w:val="0"/>
              <w:marRight w:val="0"/>
              <w:marTop w:val="0"/>
              <w:marBottom w:val="0"/>
              <w:divBdr>
                <w:top w:val="none" w:sz="0" w:space="0" w:color="auto"/>
                <w:left w:val="none" w:sz="0" w:space="0" w:color="auto"/>
                <w:bottom w:val="none" w:sz="0" w:space="0" w:color="auto"/>
                <w:right w:val="none" w:sz="0" w:space="0" w:color="auto"/>
              </w:divBdr>
            </w:div>
            <w:div w:id="1487359652">
              <w:marLeft w:val="0"/>
              <w:marRight w:val="0"/>
              <w:marTop w:val="0"/>
              <w:marBottom w:val="0"/>
              <w:divBdr>
                <w:top w:val="none" w:sz="0" w:space="0" w:color="auto"/>
                <w:left w:val="none" w:sz="0" w:space="0" w:color="auto"/>
                <w:bottom w:val="none" w:sz="0" w:space="0" w:color="auto"/>
                <w:right w:val="none" w:sz="0" w:space="0" w:color="auto"/>
              </w:divBdr>
            </w:div>
            <w:div w:id="375156028">
              <w:marLeft w:val="0"/>
              <w:marRight w:val="0"/>
              <w:marTop w:val="0"/>
              <w:marBottom w:val="0"/>
              <w:divBdr>
                <w:top w:val="none" w:sz="0" w:space="0" w:color="auto"/>
                <w:left w:val="none" w:sz="0" w:space="0" w:color="auto"/>
                <w:bottom w:val="none" w:sz="0" w:space="0" w:color="auto"/>
                <w:right w:val="none" w:sz="0" w:space="0" w:color="auto"/>
              </w:divBdr>
            </w:div>
            <w:div w:id="1293753668">
              <w:marLeft w:val="0"/>
              <w:marRight w:val="0"/>
              <w:marTop w:val="0"/>
              <w:marBottom w:val="0"/>
              <w:divBdr>
                <w:top w:val="none" w:sz="0" w:space="0" w:color="auto"/>
                <w:left w:val="none" w:sz="0" w:space="0" w:color="auto"/>
                <w:bottom w:val="none" w:sz="0" w:space="0" w:color="auto"/>
                <w:right w:val="none" w:sz="0" w:space="0" w:color="auto"/>
              </w:divBdr>
            </w:div>
            <w:div w:id="1165129985">
              <w:marLeft w:val="0"/>
              <w:marRight w:val="0"/>
              <w:marTop w:val="0"/>
              <w:marBottom w:val="0"/>
              <w:divBdr>
                <w:top w:val="none" w:sz="0" w:space="0" w:color="auto"/>
                <w:left w:val="none" w:sz="0" w:space="0" w:color="auto"/>
                <w:bottom w:val="none" w:sz="0" w:space="0" w:color="auto"/>
                <w:right w:val="none" w:sz="0" w:space="0" w:color="auto"/>
              </w:divBdr>
            </w:div>
            <w:div w:id="1179809566">
              <w:marLeft w:val="0"/>
              <w:marRight w:val="0"/>
              <w:marTop w:val="0"/>
              <w:marBottom w:val="0"/>
              <w:divBdr>
                <w:top w:val="none" w:sz="0" w:space="0" w:color="auto"/>
                <w:left w:val="none" w:sz="0" w:space="0" w:color="auto"/>
                <w:bottom w:val="none" w:sz="0" w:space="0" w:color="auto"/>
                <w:right w:val="none" w:sz="0" w:space="0" w:color="auto"/>
              </w:divBdr>
            </w:div>
            <w:div w:id="1813058391">
              <w:marLeft w:val="0"/>
              <w:marRight w:val="0"/>
              <w:marTop w:val="0"/>
              <w:marBottom w:val="0"/>
              <w:divBdr>
                <w:top w:val="none" w:sz="0" w:space="0" w:color="auto"/>
                <w:left w:val="none" w:sz="0" w:space="0" w:color="auto"/>
                <w:bottom w:val="none" w:sz="0" w:space="0" w:color="auto"/>
                <w:right w:val="none" w:sz="0" w:space="0" w:color="auto"/>
              </w:divBdr>
            </w:div>
            <w:div w:id="2107116289">
              <w:marLeft w:val="0"/>
              <w:marRight w:val="0"/>
              <w:marTop w:val="0"/>
              <w:marBottom w:val="0"/>
              <w:divBdr>
                <w:top w:val="none" w:sz="0" w:space="0" w:color="auto"/>
                <w:left w:val="none" w:sz="0" w:space="0" w:color="auto"/>
                <w:bottom w:val="none" w:sz="0" w:space="0" w:color="auto"/>
                <w:right w:val="none" w:sz="0" w:space="0" w:color="auto"/>
              </w:divBdr>
            </w:div>
            <w:div w:id="648560296">
              <w:marLeft w:val="0"/>
              <w:marRight w:val="0"/>
              <w:marTop w:val="0"/>
              <w:marBottom w:val="0"/>
              <w:divBdr>
                <w:top w:val="none" w:sz="0" w:space="0" w:color="auto"/>
                <w:left w:val="none" w:sz="0" w:space="0" w:color="auto"/>
                <w:bottom w:val="none" w:sz="0" w:space="0" w:color="auto"/>
                <w:right w:val="none" w:sz="0" w:space="0" w:color="auto"/>
              </w:divBdr>
            </w:div>
            <w:div w:id="988554527">
              <w:marLeft w:val="0"/>
              <w:marRight w:val="0"/>
              <w:marTop w:val="0"/>
              <w:marBottom w:val="0"/>
              <w:divBdr>
                <w:top w:val="none" w:sz="0" w:space="0" w:color="auto"/>
                <w:left w:val="none" w:sz="0" w:space="0" w:color="auto"/>
                <w:bottom w:val="none" w:sz="0" w:space="0" w:color="auto"/>
                <w:right w:val="none" w:sz="0" w:space="0" w:color="auto"/>
              </w:divBdr>
            </w:div>
            <w:div w:id="624652727">
              <w:marLeft w:val="0"/>
              <w:marRight w:val="0"/>
              <w:marTop w:val="0"/>
              <w:marBottom w:val="0"/>
              <w:divBdr>
                <w:top w:val="none" w:sz="0" w:space="0" w:color="auto"/>
                <w:left w:val="none" w:sz="0" w:space="0" w:color="auto"/>
                <w:bottom w:val="none" w:sz="0" w:space="0" w:color="auto"/>
                <w:right w:val="none" w:sz="0" w:space="0" w:color="auto"/>
              </w:divBdr>
            </w:div>
            <w:div w:id="650865766">
              <w:marLeft w:val="0"/>
              <w:marRight w:val="0"/>
              <w:marTop w:val="0"/>
              <w:marBottom w:val="0"/>
              <w:divBdr>
                <w:top w:val="none" w:sz="0" w:space="0" w:color="auto"/>
                <w:left w:val="none" w:sz="0" w:space="0" w:color="auto"/>
                <w:bottom w:val="none" w:sz="0" w:space="0" w:color="auto"/>
                <w:right w:val="none" w:sz="0" w:space="0" w:color="auto"/>
              </w:divBdr>
            </w:div>
            <w:div w:id="714429637">
              <w:marLeft w:val="0"/>
              <w:marRight w:val="0"/>
              <w:marTop w:val="0"/>
              <w:marBottom w:val="0"/>
              <w:divBdr>
                <w:top w:val="none" w:sz="0" w:space="0" w:color="auto"/>
                <w:left w:val="none" w:sz="0" w:space="0" w:color="auto"/>
                <w:bottom w:val="none" w:sz="0" w:space="0" w:color="auto"/>
                <w:right w:val="none" w:sz="0" w:space="0" w:color="auto"/>
              </w:divBdr>
            </w:div>
            <w:div w:id="464542737">
              <w:marLeft w:val="0"/>
              <w:marRight w:val="0"/>
              <w:marTop w:val="0"/>
              <w:marBottom w:val="0"/>
              <w:divBdr>
                <w:top w:val="none" w:sz="0" w:space="0" w:color="auto"/>
                <w:left w:val="none" w:sz="0" w:space="0" w:color="auto"/>
                <w:bottom w:val="none" w:sz="0" w:space="0" w:color="auto"/>
                <w:right w:val="none" w:sz="0" w:space="0" w:color="auto"/>
              </w:divBdr>
            </w:div>
            <w:div w:id="354617596">
              <w:marLeft w:val="0"/>
              <w:marRight w:val="0"/>
              <w:marTop w:val="0"/>
              <w:marBottom w:val="0"/>
              <w:divBdr>
                <w:top w:val="none" w:sz="0" w:space="0" w:color="auto"/>
                <w:left w:val="none" w:sz="0" w:space="0" w:color="auto"/>
                <w:bottom w:val="none" w:sz="0" w:space="0" w:color="auto"/>
                <w:right w:val="none" w:sz="0" w:space="0" w:color="auto"/>
              </w:divBdr>
            </w:div>
            <w:div w:id="757405659">
              <w:marLeft w:val="0"/>
              <w:marRight w:val="0"/>
              <w:marTop w:val="0"/>
              <w:marBottom w:val="0"/>
              <w:divBdr>
                <w:top w:val="none" w:sz="0" w:space="0" w:color="auto"/>
                <w:left w:val="none" w:sz="0" w:space="0" w:color="auto"/>
                <w:bottom w:val="none" w:sz="0" w:space="0" w:color="auto"/>
                <w:right w:val="none" w:sz="0" w:space="0" w:color="auto"/>
              </w:divBdr>
            </w:div>
            <w:div w:id="704065644">
              <w:marLeft w:val="0"/>
              <w:marRight w:val="0"/>
              <w:marTop w:val="0"/>
              <w:marBottom w:val="0"/>
              <w:divBdr>
                <w:top w:val="none" w:sz="0" w:space="0" w:color="auto"/>
                <w:left w:val="none" w:sz="0" w:space="0" w:color="auto"/>
                <w:bottom w:val="none" w:sz="0" w:space="0" w:color="auto"/>
                <w:right w:val="none" w:sz="0" w:space="0" w:color="auto"/>
              </w:divBdr>
            </w:div>
            <w:div w:id="1015110676">
              <w:marLeft w:val="0"/>
              <w:marRight w:val="0"/>
              <w:marTop w:val="0"/>
              <w:marBottom w:val="0"/>
              <w:divBdr>
                <w:top w:val="none" w:sz="0" w:space="0" w:color="auto"/>
                <w:left w:val="none" w:sz="0" w:space="0" w:color="auto"/>
                <w:bottom w:val="none" w:sz="0" w:space="0" w:color="auto"/>
                <w:right w:val="none" w:sz="0" w:space="0" w:color="auto"/>
              </w:divBdr>
            </w:div>
            <w:div w:id="379747827">
              <w:marLeft w:val="0"/>
              <w:marRight w:val="0"/>
              <w:marTop w:val="0"/>
              <w:marBottom w:val="0"/>
              <w:divBdr>
                <w:top w:val="none" w:sz="0" w:space="0" w:color="auto"/>
                <w:left w:val="none" w:sz="0" w:space="0" w:color="auto"/>
                <w:bottom w:val="none" w:sz="0" w:space="0" w:color="auto"/>
                <w:right w:val="none" w:sz="0" w:space="0" w:color="auto"/>
              </w:divBdr>
            </w:div>
            <w:div w:id="1949775427">
              <w:marLeft w:val="0"/>
              <w:marRight w:val="0"/>
              <w:marTop w:val="240"/>
              <w:marBottom w:val="0"/>
              <w:divBdr>
                <w:top w:val="none" w:sz="0" w:space="0" w:color="auto"/>
                <w:left w:val="none" w:sz="0" w:space="0" w:color="auto"/>
                <w:bottom w:val="none" w:sz="0" w:space="0" w:color="auto"/>
                <w:right w:val="none" w:sz="0" w:space="0" w:color="auto"/>
              </w:divBdr>
            </w:div>
            <w:div w:id="1187672337">
              <w:marLeft w:val="150"/>
              <w:marRight w:val="150"/>
              <w:marTop w:val="480"/>
              <w:marBottom w:val="0"/>
              <w:divBdr>
                <w:top w:val="none" w:sz="0" w:space="0" w:color="auto"/>
                <w:left w:val="none" w:sz="0" w:space="0" w:color="auto"/>
                <w:bottom w:val="none" w:sz="0" w:space="0" w:color="auto"/>
                <w:right w:val="none" w:sz="0" w:space="0" w:color="auto"/>
              </w:divBdr>
            </w:div>
            <w:div w:id="5366294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0461403">
      <w:bodyDiv w:val="1"/>
      <w:marLeft w:val="0"/>
      <w:marRight w:val="0"/>
      <w:marTop w:val="0"/>
      <w:marBottom w:val="0"/>
      <w:divBdr>
        <w:top w:val="none" w:sz="0" w:space="0" w:color="auto"/>
        <w:left w:val="none" w:sz="0" w:space="0" w:color="auto"/>
        <w:bottom w:val="none" w:sz="0" w:space="0" w:color="auto"/>
        <w:right w:val="none" w:sz="0" w:space="0" w:color="auto"/>
      </w:divBdr>
    </w:div>
    <w:div w:id="730924411">
      <w:bodyDiv w:val="1"/>
      <w:marLeft w:val="0"/>
      <w:marRight w:val="0"/>
      <w:marTop w:val="0"/>
      <w:marBottom w:val="0"/>
      <w:divBdr>
        <w:top w:val="none" w:sz="0" w:space="0" w:color="auto"/>
        <w:left w:val="none" w:sz="0" w:space="0" w:color="auto"/>
        <w:bottom w:val="none" w:sz="0" w:space="0" w:color="auto"/>
        <w:right w:val="none" w:sz="0" w:space="0" w:color="auto"/>
      </w:divBdr>
    </w:div>
    <w:div w:id="731075301">
      <w:bodyDiv w:val="1"/>
      <w:marLeft w:val="0"/>
      <w:marRight w:val="0"/>
      <w:marTop w:val="0"/>
      <w:marBottom w:val="0"/>
      <w:divBdr>
        <w:top w:val="none" w:sz="0" w:space="0" w:color="auto"/>
        <w:left w:val="none" w:sz="0" w:space="0" w:color="auto"/>
        <w:bottom w:val="none" w:sz="0" w:space="0" w:color="auto"/>
        <w:right w:val="none" w:sz="0" w:space="0" w:color="auto"/>
      </w:divBdr>
    </w:div>
    <w:div w:id="1218859352">
      <w:bodyDiv w:val="1"/>
      <w:marLeft w:val="0"/>
      <w:marRight w:val="0"/>
      <w:marTop w:val="0"/>
      <w:marBottom w:val="0"/>
      <w:divBdr>
        <w:top w:val="none" w:sz="0" w:space="0" w:color="auto"/>
        <w:left w:val="none" w:sz="0" w:space="0" w:color="auto"/>
        <w:bottom w:val="none" w:sz="0" w:space="0" w:color="auto"/>
        <w:right w:val="none" w:sz="0" w:space="0" w:color="auto"/>
      </w:divBdr>
      <w:divsChild>
        <w:div w:id="983503865">
          <w:marLeft w:val="0"/>
          <w:marRight w:val="0"/>
          <w:marTop w:val="0"/>
          <w:marBottom w:val="0"/>
          <w:divBdr>
            <w:top w:val="none" w:sz="0" w:space="0" w:color="auto"/>
            <w:left w:val="none" w:sz="0" w:space="0" w:color="auto"/>
            <w:bottom w:val="none" w:sz="0" w:space="0" w:color="auto"/>
            <w:right w:val="none" w:sz="0" w:space="0" w:color="auto"/>
          </w:divBdr>
        </w:div>
        <w:div w:id="1241133271">
          <w:marLeft w:val="0"/>
          <w:marRight w:val="0"/>
          <w:marTop w:val="0"/>
          <w:marBottom w:val="0"/>
          <w:divBdr>
            <w:top w:val="none" w:sz="0" w:space="0" w:color="auto"/>
            <w:left w:val="none" w:sz="0" w:space="0" w:color="auto"/>
            <w:bottom w:val="none" w:sz="0" w:space="0" w:color="auto"/>
            <w:right w:val="none" w:sz="0" w:space="0" w:color="auto"/>
          </w:divBdr>
        </w:div>
      </w:divsChild>
    </w:div>
    <w:div w:id="1393625066">
      <w:bodyDiv w:val="1"/>
      <w:marLeft w:val="0"/>
      <w:marRight w:val="0"/>
      <w:marTop w:val="0"/>
      <w:marBottom w:val="0"/>
      <w:divBdr>
        <w:top w:val="none" w:sz="0" w:space="0" w:color="auto"/>
        <w:left w:val="none" w:sz="0" w:space="0" w:color="auto"/>
        <w:bottom w:val="none" w:sz="0" w:space="0" w:color="auto"/>
        <w:right w:val="none" w:sz="0" w:space="0" w:color="auto"/>
      </w:divBdr>
    </w:div>
    <w:div w:id="1402175008">
      <w:bodyDiv w:val="1"/>
      <w:marLeft w:val="0"/>
      <w:marRight w:val="0"/>
      <w:marTop w:val="0"/>
      <w:marBottom w:val="0"/>
      <w:divBdr>
        <w:top w:val="none" w:sz="0" w:space="0" w:color="auto"/>
        <w:left w:val="none" w:sz="0" w:space="0" w:color="auto"/>
        <w:bottom w:val="none" w:sz="0" w:space="0" w:color="auto"/>
        <w:right w:val="none" w:sz="0" w:space="0" w:color="auto"/>
      </w:divBdr>
    </w:div>
    <w:div w:id="1449471276">
      <w:bodyDiv w:val="1"/>
      <w:marLeft w:val="0"/>
      <w:marRight w:val="0"/>
      <w:marTop w:val="0"/>
      <w:marBottom w:val="0"/>
      <w:divBdr>
        <w:top w:val="none" w:sz="0" w:space="0" w:color="auto"/>
        <w:left w:val="none" w:sz="0" w:space="0" w:color="auto"/>
        <w:bottom w:val="none" w:sz="0" w:space="0" w:color="auto"/>
        <w:right w:val="none" w:sz="0" w:space="0" w:color="auto"/>
      </w:divBdr>
    </w:div>
    <w:div w:id="1663507014">
      <w:bodyDiv w:val="1"/>
      <w:marLeft w:val="0"/>
      <w:marRight w:val="0"/>
      <w:marTop w:val="0"/>
      <w:marBottom w:val="0"/>
      <w:divBdr>
        <w:top w:val="none" w:sz="0" w:space="0" w:color="auto"/>
        <w:left w:val="none" w:sz="0" w:space="0" w:color="auto"/>
        <w:bottom w:val="none" w:sz="0" w:space="0" w:color="auto"/>
        <w:right w:val="none" w:sz="0" w:space="0" w:color="auto"/>
      </w:divBdr>
    </w:div>
    <w:div w:id="186489873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17">
          <w:marLeft w:val="0"/>
          <w:marRight w:val="0"/>
          <w:marTop w:val="0"/>
          <w:marBottom w:val="0"/>
          <w:divBdr>
            <w:top w:val="none" w:sz="0" w:space="0" w:color="auto"/>
            <w:left w:val="none" w:sz="0" w:space="0" w:color="auto"/>
            <w:bottom w:val="none" w:sz="0" w:space="0" w:color="auto"/>
            <w:right w:val="none" w:sz="0" w:space="0" w:color="auto"/>
          </w:divBdr>
          <w:divsChild>
            <w:div w:id="339745414">
              <w:marLeft w:val="0"/>
              <w:marRight w:val="0"/>
              <w:marTop w:val="0"/>
              <w:marBottom w:val="0"/>
              <w:divBdr>
                <w:top w:val="none" w:sz="0" w:space="0" w:color="auto"/>
                <w:left w:val="none" w:sz="0" w:space="0" w:color="auto"/>
                <w:bottom w:val="none" w:sz="0" w:space="0" w:color="auto"/>
                <w:right w:val="none" w:sz="0" w:space="0" w:color="auto"/>
              </w:divBdr>
            </w:div>
            <w:div w:id="110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12">
      <w:bodyDiv w:val="1"/>
      <w:marLeft w:val="0"/>
      <w:marRight w:val="0"/>
      <w:marTop w:val="0"/>
      <w:marBottom w:val="0"/>
      <w:divBdr>
        <w:top w:val="none" w:sz="0" w:space="0" w:color="auto"/>
        <w:left w:val="none" w:sz="0" w:space="0" w:color="auto"/>
        <w:bottom w:val="none" w:sz="0" w:space="0" w:color="auto"/>
        <w:right w:val="none" w:sz="0" w:space="0" w:color="auto"/>
      </w:divBdr>
      <w:divsChild>
        <w:div w:id="897858987">
          <w:marLeft w:val="0"/>
          <w:marRight w:val="0"/>
          <w:marTop w:val="0"/>
          <w:marBottom w:val="567"/>
          <w:divBdr>
            <w:top w:val="none" w:sz="0" w:space="0" w:color="auto"/>
            <w:left w:val="none" w:sz="0" w:space="0" w:color="auto"/>
            <w:bottom w:val="none" w:sz="0" w:space="0" w:color="auto"/>
            <w:right w:val="none" w:sz="0" w:space="0" w:color="auto"/>
          </w:divBdr>
        </w:div>
      </w:divsChild>
    </w:div>
    <w:div w:id="21168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Rimsa@e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AADD-64D3-44C3-AE14-62AE54E6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9720</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3</cp:revision>
  <cp:lastPrinted>2019-02-06T12:30:00Z</cp:lastPrinted>
  <dcterms:created xsi:type="dcterms:W3CDTF">2021-11-11T12:43:00Z</dcterms:created>
  <dcterms:modified xsi:type="dcterms:W3CDTF">2021-11-11T12:44:00Z</dcterms:modified>
</cp:coreProperties>
</file>