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ED00D" w14:textId="56608AFE" w:rsidR="74DEFD04" w:rsidRDefault="74DEFD04" w:rsidP="74DEFD04">
      <w:pPr>
        <w:jc w:val="center"/>
        <w:rPr>
          <w:rFonts w:ascii="Times New Roman" w:eastAsia="Times New Roman" w:hAnsi="Times New Roman" w:cs="Times New Roman"/>
          <w:b/>
          <w:bCs/>
          <w:i/>
          <w:iCs/>
          <w:sz w:val="24"/>
          <w:szCs w:val="24"/>
        </w:rPr>
      </w:pPr>
    </w:p>
    <w:p w14:paraId="50A33D66" w14:textId="519C96B7" w:rsidR="74DEFD04" w:rsidRDefault="4AA84A9C" w:rsidP="74DEFD04">
      <w:pPr>
        <w:jc w:val="center"/>
      </w:pPr>
      <w:r w:rsidRPr="4AA84A9C">
        <w:rPr>
          <w:rFonts w:ascii="Times New Roman" w:eastAsia="Times New Roman" w:hAnsi="Times New Roman" w:cs="Times New Roman"/>
          <w:b/>
          <w:bCs/>
          <w:i/>
          <w:iCs/>
          <w:sz w:val="24"/>
          <w:szCs w:val="24"/>
        </w:rPr>
        <w:t xml:space="preserve">Normatīvie akti būvniecības regulējuma pilnveidošanai </w:t>
      </w:r>
      <w:r w:rsidR="00C0146F">
        <w:rPr>
          <w:rFonts w:ascii="Times New Roman" w:eastAsia="Times New Roman" w:hAnsi="Times New Roman" w:cs="Times New Roman"/>
          <w:b/>
          <w:bCs/>
          <w:i/>
          <w:iCs/>
          <w:sz w:val="24"/>
          <w:szCs w:val="24"/>
        </w:rPr>
        <w:t>no 01.</w:t>
      </w:r>
      <w:proofErr w:type="gramStart"/>
      <w:r w:rsidR="00C0146F">
        <w:rPr>
          <w:rFonts w:ascii="Times New Roman" w:eastAsia="Times New Roman" w:hAnsi="Times New Roman" w:cs="Times New Roman"/>
          <w:b/>
          <w:bCs/>
          <w:i/>
          <w:iCs/>
          <w:sz w:val="24"/>
          <w:szCs w:val="24"/>
        </w:rPr>
        <w:t>01.</w:t>
      </w:r>
      <w:r w:rsidRPr="4AA84A9C">
        <w:rPr>
          <w:rFonts w:ascii="Times New Roman" w:eastAsia="Times New Roman" w:hAnsi="Times New Roman" w:cs="Times New Roman"/>
          <w:b/>
          <w:bCs/>
          <w:i/>
          <w:iCs/>
          <w:sz w:val="24"/>
          <w:szCs w:val="24"/>
        </w:rPr>
        <w:t>2018.gada</w:t>
      </w:r>
      <w:proofErr w:type="gramEnd"/>
      <w:r w:rsidR="00C0146F">
        <w:rPr>
          <w:rFonts w:ascii="Times New Roman" w:eastAsia="Times New Roman" w:hAnsi="Times New Roman" w:cs="Times New Roman"/>
          <w:b/>
          <w:bCs/>
          <w:i/>
          <w:iCs/>
          <w:sz w:val="24"/>
          <w:szCs w:val="24"/>
        </w:rPr>
        <w:t xml:space="preserve"> līdz 31.12.2019.</w:t>
      </w:r>
    </w:p>
    <w:p w14:paraId="23174E80" w14:textId="78D41A68" w:rsidR="74DEFD04" w:rsidRDefault="74DEFD04" w:rsidP="74DEFD04">
      <w:pPr>
        <w:jc w:val="center"/>
        <w:rPr>
          <w:rFonts w:ascii="Times New Roman" w:eastAsia="Times New Roman" w:hAnsi="Times New Roman" w:cs="Times New Roman"/>
          <w:b/>
          <w:bCs/>
          <w:i/>
          <w:iCs/>
          <w:sz w:val="24"/>
          <w:szCs w:val="24"/>
        </w:rPr>
      </w:pPr>
      <w:r w:rsidRPr="74DEFD04">
        <w:rPr>
          <w:rFonts w:ascii="Times New Roman" w:eastAsia="Times New Roman" w:hAnsi="Times New Roman" w:cs="Times New Roman"/>
          <w:b/>
          <w:bCs/>
          <w:sz w:val="24"/>
          <w:szCs w:val="24"/>
        </w:rPr>
        <w:t>Pieņemti</w:t>
      </w:r>
    </w:p>
    <w:tbl>
      <w:tblPr>
        <w:tblStyle w:val="TableGrid"/>
        <w:tblW w:w="0" w:type="auto"/>
        <w:tblLayout w:type="fixed"/>
        <w:tblLook w:val="00A0" w:firstRow="1" w:lastRow="0" w:firstColumn="1" w:lastColumn="0" w:noHBand="0" w:noVBand="0"/>
      </w:tblPr>
      <w:tblGrid>
        <w:gridCol w:w="900"/>
        <w:gridCol w:w="1830"/>
        <w:gridCol w:w="3690"/>
        <w:gridCol w:w="5265"/>
        <w:gridCol w:w="2842"/>
      </w:tblGrid>
      <w:tr w:rsidR="74DEFD04" w14:paraId="62472B2A" w14:textId="77777777" w:rsidTr="5B2F13D4">
        <w:tc>
          <w:tcPr>
            <w:tcW w:w="900" w:type="dxa"/>
          </w:tcPr>
          <w:p w14:paraId="56FCC1BD" w14:textId="33224893" w:rsidR="74DEFD04" w:rsidRDefault="74DEFD04" w:rsidP="74DEFD04">
            <w:pPr>
              <w:jc w:val="center"/>
            </w:pPr>
            <w:r w:rsidRPr="74DEFD04">
              <w:rPr>
                <w:rFonts w:ascii="Times New Roman" w:eastAsia="Times New Roman" w:hAnsi="Times New Roman" w:cs="Times New Roman"/>
                <w:b/>
                <w:bCs/>
                <w:i/>
                <w:iCs/>
                <w:sz w:val="20"/>
                <w:szCs w:val="20"/>
              </w:rPr>
              <w:t>Nr.p.k.</w:t>
            </w:r>
          </w:p>
        </w:tc>
        <w:tc>
          <w:tcPr>
            <w:tcW w:w="1830" w:type="dxa"/>
          </w:tcPr>
          <w:p w14:paraId="2FB85FC9" w14:textId="4DDFDB2F" w:rsidR="74DEFD04" w:rsidRDefault="74DEFD04" w:rsidP="74DEFD04">
            <w:pPr>
              <w:pStyle w:val="Heading6"/>
              <w:outlineLvl w:val="5"/>
              <w:rPr>
                <w:rFonts w:ascii="Times New Roman" w:eastAsia="Times New Roman" w:hAnsi="Times New Roman" w:cs="Times New Roman"/>
                <w:b/>
                <w:bCs/>
                <w:i/>
                <w:iCs/>
                <w:color w:val="auto"/>
                <w:sz w:val="20"/>
                <w:szCs w:val="20"/>
              </w:rPr>
            </w:pPr>
            <w:r w:rsidRPr="74DEFD04">
              <w:rPr>
                <w:rFonts w:ascii="Times New Roman" w:eastAsia="Times New Roman" w:hAnsi="Times New Roman" w:cs="Times New Roman"/>
                <w:b/>
                <w:bCs/>
                <w:i/>
                <w:iCs/>
                <w:color w:val="auto"/>
                <w:sz w:val="20"/>
                <w:szCs w:val="20"/>
              </w:rPr>
              <w:t>Dokumenta veids</w:t>
            </w:r>
          </w:p>
        </w:tc>
        <w:tc>
          <w:tcPr>
            <w:tcW w:w="3690" w:type="dxa"/>
          </w:tcPr>
          <w:p w14:paraId="541C3A66" w14:textId="016936C5" w:rsidR="74DEFD04" w:rsidRDefault="74DEFD04" w:rsidP="74DEFD04">
            <w:pPr>
              <w:pStyle w:val="Heading6"/>
              <w:outlineLvl w:val="5"/>
              <w:rPr>
                <w:rFonts w:ascii="Times New Roman" w:eastAsia="Times New Roman" w:hAnsi="Times New Roman" w:cs="Times New Roman"/>
                <w:b/>
                <w:bCs/>
                <w:i/>
                <w:iCs/>
                <w:color w:val="auto"/>
                <w:sz w:val="20"/>
                <w:szCs w:val="20"/>
              </w:rPr>
            </w:pPr>
            <w:r w:rsidRPr="74DEFD04">
              <w:rPr>
                <w:rFonts w:ascii="Times New Roman" w:eastAsia="Times New Roman" w:hAnsi="Times New Roman" w:cs="Times New Roman"/>
                <w:b/>
                <w:bCs/>
                <w:i/>
                <w:iCs/>
                <w:color w:val="auto"/>
                <w:sz w:val="20"/>
                <w:szCs w:val="20"/>
              </w:rPr>
              <w:t>Nosaukums</w:t>
            </w:r>
          </w:p>
        </w:tc>
        <w:tc>
          <w:tcPr>
            <w:tcW w:w="5265" w:type="dxa"/>
          </w:tcPr>
          <w:p w14:paraId="17D594A1" w14:textId="768D50D0" w:rsidR="74DEFD04" w:rsidRDefault="74DEFD04" w:rsidP="74DEFD04">
            <w:pPr>
              <w:jc w:val="center"/>
              <w:rPr>
                <w:rFonts w:ascii="Times New Roman" w:eastAsia="Times New Roman" w:hAnsi="Times New Roman" w:cs="Times New Roman"/>
                <w:b/>
                <w:bCs/>
                <w:i/>
                <w:iCs/>
                <w:sz w:val="20"/>
                <w:szCs w:val="20"/>
              </w:rPr>
            </w:pPr>
            <w:r w:rsidRPr="74DEFD04">
              <w:rPr>
                <w:rFonts w:ascii="Times New Roman" w:eastAsia="Times New Roman" w:hAnsi="Times New Roman" w:cs="Times New Roman"/>
                <w:b/>
                <w:bCs/>
                <w:i/>
                <w:iCs/>
                <w:sz w:val="20"/>
                <w:szCs w:val="20"/>
              </w:rPr>
              <w:t>Būtība</w:t>
            </w:r>
          </w:p>
        </w:tc>
        <w:tc>
          <w:tcPr>
            <w:tcW w:w="2842" w:type="dxa"/>
          </w:tcPr>
          <w:p w14:paraId="0CF09634" w14:textId="0FFB082E" w:rsidR="74DEFD04" w:rsidRDefault="74DEFD04" w:rsidP="74DEFD04">
            <w:pPr>
              <w:jc w:val="center"/>
            </w:pPr>
            <w:r w:rsidRPr="74DEFD04">
              <w:rPr>
                <w:rFonts w:ascii="Times New Roman" w:eastAsia="Times New Roman" w:hAnsi="Times New Roman" w:cs="Times New Roman"/>
                <w:b/>
                <w:bCs/>
                <w:i/>
                <w:iCs/>
                <w:sz w:val="20"/>
                <w:szCs w:val="20"/>
              </w:rPr>
              <w:t xml:space="preserve">Aprites stadija </w:t>
            </w:r>
          </w:p>
          <w:p w14:paraId="4DA3220D" w14:textId="249CC371" w:rsidR="74DEFD04" w:rsidRDefault="74DEFD04" w:rsidP="74DEFD04">
            <w:pPr>
              <w:jc w:val="center"/>
            </w:pPr>
            <w:r w:rsidRPr="74DEFD04">
              <w:rPr>
                <w:rFonts w:ascii="Times New Roman" w:eastAsia="Times New Roman" w:hAnsi="Times New Roman" w:cs="Times New Roman"/>
                <w:i/>
                <w:iCs/>
                <w:sz w:val="20"/>
                <w:szCs w:val="20"/>
              </w:rPr>
              <w:t>(stājies spēkā, izsludināts VSS, tiks izsludināts VSS)</w:t>
            </w:r>
          </w:p>
        </w:tc>
      </w:tr>
      <w:tr w:rsidR="74DEFD04" w14:paraId="6EE1D1F3" w14:textId="77777777" w:rsidTr="5B2F13D4">
        <w:tc>
          <w:tcPr>
            <w:tcW w:w="900" w:type="dxa"/>
            <w:shd w:val="clear" w:color="auto" w:fill="FFE599" w:themeFill="accent4" w:themeFillTint="66"/>
          </w:tcPr>
          <w:p w14:paraId="28039168" w14:textId="3AE5AA05" w:rsidR="74DEFD04" w:rsidRDefault="74DEFD04" w:rsidP="74DEFD04">
            <w:pPr>
              <w:spacing w:line="259" w:lineRule="auto"/>
              <w:jc w:val="center"/>
              <w:rPr>
                <w:rFonts w:ascii="Times New Roman" w:eastAsia="Times New Roman" w:hAnsi="Times New Roman" w:cs="Times New Roman"/>
                <w:b/>
                <w:bCs/>
                <w:sz w:val="20"/>
                <w:szCs w:val="20"/>
              </w:rPr>
            </w:pPr>
            <w:r w:rsidRPr="74DEFD04">
              <w:rPr>
                <w:rFonts w:ascii="Times New Roman" w:eastAsia="Times New Roman" w:hAnsi="Times New Roman" w:cs="Times New Roman"/>
                <w:b/>
                <w:bCs/>
                <w:sz w:val="20"/>
                <w:szCs w:val="20"/>
              </w:rPr>
              <w:t>Pieņemti</w:t>
            </w:r>
          </w:p>
        </w:tc>
        <w:tc>
          <w:tcPr>
            <w:tcW w:w="1830" w:type="dxa"/>
            <w:shd w:val="clear" w:color="auto" w:fill="FFE599" w:themeFill="accent4" w:themeFillTint="66"/>
          </w:tcPr>
          <w:p w14:paraId="37277B3B" w14:textId="30306084" w:rsidR="74DEFD04" w:rsidRDefault="74DEFD04" w:rsidP="74DEFD04">
            <w:pPr>
              <w:spacing w:line="259" w:lineRule="auto"/>
              <w:jc w:val="center"/>
              <w:rPr>
                <w:rFonts w:ascii="Times New Roman" w:eastAsia="Times New Roman" w:hAnsi="Times New Roman" w:cs="Times New Roman"/>
                <w:b/>
                <w:bCs/>
                <w:sz w:val="20"/>
                <w:szCs w:val="20"/>
              </w:rPr>
            </w:pPr>
          </w:p>
        </w:tc>
        <w:tc>
          <w:tcPr>
            <w:tcW w:w="3690" w:type="dxa"/>
            <w:shd w:val="clear" w:color="auto" w:fill="FFE599" w:themeFill="accent4" w:themeFillTint="66"/>
          </w:tcPr>
          <w:p w14:paraId="7CC38A42" w14:textId="12F53242" w:rsidR="74DEFD04" w:rsidRDefault="74DEFD04" w:rsidP="74DEFD04">
            <w:pPr>
              <w:spacing w:line="259" w:lineRule="auto"/>
              <w:jc w:val="center"/>
              <w:rPr>
                <w:rFonts w:ascii="Times New Roman" w:eastAsia="Times New Roman" w:hAnsi="Times New Roman" w:cs="Times New Roman"/>
                <w:b/>
                <w:bCs/>
                <w:sz w:val="20"/>
                <w:szCs w:val="20"/>
              </w:rPr>
            </w:pPr>
          </w:p>
        </w:tc>
        <w:tc>
          <w:tcPr>
            <w:tcW w:w="5265" w:type="dxa"/>
            <w:shd w:val="clear" w:color="auto" w:fill="FFE599" w:themeFill="accent4" w:themeFillTint="66"/>
          </w:tcPr>
          <w:p w14:paraId="4ABC5A86" w14:textId="0D23E916" w:rsidR="74DEFD04" w:rsidRDefault="74DEFD04" w:rsidP="74DEFD04">
            <w:pPr>
              <w:spacing w:line="259" w:lineRule="auto"/>
              <w:jc w:val="center"/>
              <w:rPr>
                <w:rFonts w:ascii="Times New Roman" w:eastAsia="Times New Roman" w:hAnsi="Times New Roman" w:cs="Times New Roman"/>
                <w:b/>
                <w:bCs/>
                <w:sz w:val="20"/>
                <w:szCs w:val="20"/>
              </w:rPr>
            </w:pPr>
          </w:p>
        </w:tc>
        <w:tc>
          <w:tcPr>
            <w:tcW w:w="2842" w:type="dxa"/>
            <w:shd w:val="clear" w:color="auto" w:fill="FFE599" w:themeFill="accent4" w:themeFillTint="66"/>
          </w:tcPr>
          <w:p w14:paraId="076476E5" w14:textId="4EC3D853" w:rsidR="74DEFD04" w:rsidRDefault="74DEFD04" w:rsidP="74DEFD04">
            <w:pPr>
              <w:spacing w:line="259" w:lineRule="auto"/>
              <w:jc w:val="center"/>
              <w:rPr>
                <w:rFonts w:ascii="Times New Roman" w:eastAsia="Times New Roman" w:hAnsi="Times New Roman" w:cs="Times New Roman"/>
                <w:b/>
                <w:bCs/>
                <w:sz w:val="20"/>
                <w:szCs w:val="20"/>
              </w:rPr>
            </w:pPr>
          </w:p>
        </w:tc>
      </w:tr>
      <w:tr w:rsidR="74DEFD04" w14:paraId="7470D1F0" w14:textId="77777777" w:rsidTr="5B2F13D4">
        <w:tc>
          <w:tcPr>
            <w:tcW w:w="900" w:type="dxa"/>
          </w:tcPr>
          <w:p w14:paraId="100E787F" w14:textId="72C39E8F" w:rsidR="74DEFD04" w:rsidRDefault="74DEFD04" w:rsidP="74DEFD04">
            <w:pPr>
              <w:jc w:val="center"/>
            </w:pPr>
            <w:r w:rsidRPr="74DEFD04">
              <w:rPr>
                <w:rFonts w:ascii="Times New Roman" w:eastAsia="Times New Roman" w:hAnsi="Times New Roman" w:cs="Times New Roman"/>
                <w:sz w:val="20"/>
                <w:szCs w:val="20"/>
              </w:rPr>
              <w:t>1.</w:t>
            </w:r>
          </w:p>
          <w:p w14:paraId="0EE6236B" w14:textId="1FF6C66A" w:rsidR="74DEFD04" w:rsidRDefault="74DEFD04" w:rsidP="74DEFD04">
            <w:pPr>
              <w:jc w:val="center"/>
            </w:pPr>
            <w:r w:rsidRPr="74DEFD04">
              <w:rPr>
                <w:rFonts w:ascii="Times New Roman" w:eastAsia="Times New Roman" w:hAnsi="Times New Roman" w:cs="Times New Roman"/>
                <w:sz w:val="20"/>
                <w:szCs w:val="20"/>
              </w:rPr>
              <w:t xml:space="preserve"> </w:t>
            </w:r>
          </w:p>
        </w:tc>
        <w:tc>
          <w:tcPr>
            <w:tcW w:w="1830" w:type="dxa"/>
          </w:tcPr>
          <w:p w14:paraId="0487CB61" w14:textId="46CBEC4D"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050A03CE" w14:textId="224F024B" w:rsidR="74DEFD04" w:rsidRDefault="74DEFD04">
            <w:r w:rsidRPr="74DEFD04">
              <w:rPr>
                <w:rFonts w:ascii="Times New Roman" w:eastAsia="Times New Roman" w:hAnsi="Times New Roman" w:cs="Times New Roman"/>
                <w:b/>
                <w:bCs/>
                <w:sz w:val="20"/>
                <w:szCs w:val="20"/>
              </w:rPr>
              <w:t xml:space="preserve">Ministru kabineta 2017.gada </w:t>
            </w:r>
            <w:proofErr w:type="gramStart"/>
            <w:r w:rsidRPr="74DEFD04">
              <w:rPr>
                <w:rFonts w:ascii="Times New Roman" w:eastAsia="Times New Roman" w:hAnsi="Times New Roman" w:cs="Times New Roman"/>
                <w:b/>
                <w:bCs/>
                <w:sz w:val="20"/>
                <w:szCs w:val="20"/>
              </w:rPr>
              <w:t>26.septembra</w:t>
            </w:r>
            <w:proofErr w:type="gramEnd"/>
            <w:r w:rsidRPr="74DEFD04">
              <w:rPr>
                <w:rFonts w:ascii="Times New Roman" w:eastAsia="Times New Roman" w:hAnsi="Times New Roman" w:cs="Times New Roman"/>
                <w:b/>
                <w:bCs/>
                <w:sz w:val="20"/>
                <w:szCs w:val="20"/>
              </w:rPr>
              <w:t xml:space="preserve"> noteikumi Nr.594 “Grozījumi Ministru kabineta 2014. gada 25. februāra noteikumos Nr. 116 “</w:t>
            </w:r>
            <w:hyperlink r:id="rId10">
              <w:r w:rsidRPr="74DEFD04">
                <w:rPr>
                  <w:rStyle w:val="Hyperlink"/>
                  <w:rFonts w:ascii="Times New Roman" w:eastAsia="Times New Roman" w:hAnsi="Times New Roman" w:cs="Times New Roman"/>
                  <w:b/>
                  <w:bCs/>
                  <w:color w:val="000000" w:themeColor="text1"/>
                  <w:sz w:val="20"/>
                  <w:szCs w:val="20"/>
                </w:rPr>
                <w:t>Būvkomersantu reģistrācijas noteikumi</w:t>
              </w:r>
            </w:hyperlink>
            <w:r w:rsidRPr="74DEFD04">
              <w:rPr>
                <w:rFonts w:ascii="Times New Roman" w:eastAsia="Times New Roman" w:hAnsi="Times New Roman" w:cs="Times New Roman"/>
                <w:b/>
                <w:bCs/>
                <w:color w:val="000000" w:themeColor="text1"/>
                <w:sz w:val="20"/>
                <w:szCs w:val="20"/>
                <w:u w:val="single"/>
              </w:rPr>
              <w:t>””</w:t>
            </w:r>
          </w:p>
          <w:p w14:paraId="15EEE054" w14:textId="2543C2CC" w:rsidR="74DEFD04" w:rsidRDefault="74DEFD04">
            <w:r w:rsidRPr="74DEFD04">
              <w:rPr>
                <w:rFonts w:ascii="Times New Roman" w:eastAsia="Times New Roman" w:hAnsi="Times New Roman" w:cs="Times New Roman"/>
                <w:b/>
                <w:bCs/>
                <w:sz w:val="20"/>
                <w:szCs w:val="20"/>
              </w:rPr>
              <w:t xml:space="preserve"> </w:t>
            </w:r>
          </w:p>
        </w:tc>
        <w:tc>
          <w:tcPr>
            <w:tcW w:w="5265" w:type="dxa"/>
          </w:tcPr>
          <w:p w14:paraId="20CB4BF2" w14:textId="5378A4FB" w:rsidR="74DEFD04" w:rsidRDefault="74DEFD04" w:rsidP="74DEFD04">
            <w:pPr>
              <w:jc w:val="both"/>
            </w:pPr>
            <w:r w:rsidRPr="74DEFD04">
              <w:rPr>
                <w:rFonts w:ascii="Times New Roman" w:eastAsia="Times New Roman" w:hAnsi="Times New Roman" w:cs="Times New Roman"/>
                <w:sz w:val="20"/>
                <w:szCs w:val="20"/>
              </w:rPr>
              <w:t>Grozījumi paredz, ka:</w:t>
            </w:r>
          </w:p>
          <w:p w14:paraId="50D61DF7" w14:textId="7D0AA5EA" w:rsidR="74DEFD04" w:rsidRDefault="74DEFD04" w:rsidP="74DEFD04">
            <w:pPr>
              <w:jc w:val="both"/>
            </w:pPr>
            <w:r w:rsidRPr="74DEFD04">
              <w:rPr>
                <w:rFonts w:ascii="Times New Roman" w:eastAsia="Times New Roman" w:hAnsi="Times New Roman" w:cs="Times New Roman"/>
                <w:sz w:val="20"/>
                <w:szCs w:val="20"/>
              </w:rPr>
              <w:t xml:space="preserve">•     būvkomersantu nodeva tiek aprēķināta no pārbaudāma gada pārskata rādītāja – </w:t>
            </w:r>
            <w:r w:rsidRPr="74DEFD04">
              <w:rPr>
                <w:rFonts w:ascii="Times New Roman" w:eastAsia="Times New Roman" w:hAnsi="Times New Roman" w:cs="Times New Roman"/>
                <w:b/>
                <w:bCs/>
                <w:sz w:val="20"/>
                <w:szCs w:val="20"/>
              </w:rPr>
              <w:t>neto apgrozījuma</w:t>
            </w:r>
            <w:r w:rsidRPr="74DEFD04">
              <w:rPr>
                <w:rFonts w:ascii="Times New Roman" w:eastAsia="Times New Roman" w:hAnsi="Times New Roman" w:cs="Times New Roman"/>
                <w:sz w:val="20"/>
                <w:szCs w:val="20"/>
              </w:rPr>
              <w:t>;</w:t>
            </w:r>
          </w:p>
          <w:p w14:paraId="3C8255AB" w14:textId="5838216C" w:rsidR="74DEFD04" w:rsidRDefault="74DEFD04" w:rsidP="74DEFD04">
            <w:pPr>
              <w:jc w:val="both"/>
            </w:pPr>
            <w:r w:rsidRPr="74DEFD04">
              <w:rPr>
                <w:rFonts w:ascii="Times New Roman" w:eastAsia="Times New Roman" w:hAnsi="Times New Roman" w:cs="Times New Roman"/>
                <w:sz w:val="20"/>
                <w:szCs w:val="20"/>
              </w:rPr>
              <w:t xml:space="preserve">•     tiek vienādota nodevas piemērošana attiecībā uz </w:t>
            </w:r>
            <w:r w:rsidRPr="74DEFD04">
              <w:rPr>
                <w:rFonts w:ascii="Times New Roman" w:eastAsia="Times New Roman" w:hAnsi="Times New Roman" w:cs="Times New Roman"/>
                <w:b/>
                <w:bCs/>
                <w:sz w:val="20"/>
                <w:szCs w:val="20"/>
              </w:rPr>
              <w:t>visiem būvkomersantiem</w:t>
            </w:r>
            <w:r w:rsidRPr="74DEFD04">
              <w:rPr>
                <w:rFonts w:ascii="Times New Roman" w:eastAsia="Times New Roman" w:hAnsi="Times New Roman" w:cs="Times New Roman"/>
                <w:sz w:val="20"/>
                <w:szCs w:val="20"/>
              </w:rPr>
              <w:t>;</w:t>
            </w:r>
          </w:p>
          <w:p w14:paraId="008A9041" w14:textId="7E6F387B" w:rsidR="74DEFD04" w:rsidRDefault="74DEFD04" w:rsidP="74DEFD04">
            <w:pPr>
              <w:jc w:val="both"/>
            </w:pPr>
            <w:r w:rsidRPr="74DEFD04">
              <w:rPr>
                <w:rFonts w:ascii="Times New Roman" w:eastAsia="Times New Roman" w:hAnsi="Times New Roman" w:cs="Times New Roman"/>
                <w:sz w:val="20"/>
                <w:szCs w:val="20"/>
              </w:rPr>
              <w:t xml:space="preserve">•     tiek veicināta nozares ģenerālvienošanās noslēgšana, nosakot </w:t>
            </w:r>
            <w:r w:rsidRPr="74DEFD04">
              <w:rPr>
                <w:rFonts w:ascii="Times New Roman" w:eastAsia="Times New Roman" w:hAnsi="Times New Roman" w:cs="Times New Roman"/>
                <w:b/>
                <w:bCs/>
                <w:sz w:val="20"/>
                <w:szCs w:val="20"/>
              </w:rPr>
              <w:t>nodevas atlaidi 50% apmērā</w:t>
            </w:r>
            <w:r w:rsidRPr="74DEFD04">
              <w:rPr>
                <w:rFonts w:ascii="Times New Roman" w:eastAsia="Times New Roman" w:hAnsi="Times New Roman" w:cs="Times New Roman"/>
                <w:sz w:val="20"/>
                <w:szCs w:val="20"/>
              </w:rPr>
              <w:t xml:space="preserve"> būvkomersantiem, kuri noslēguši ģenerālvienošanos;</w:t>
            </w:r>
          </w:p>
          <w:p w14:paraId="6BD1F04A" w14:textId="3B722A28" w:rsidR="74DEFD04" w:rsidRDefault="74DEFD04" w:rsidP="74DEFD04">
            <w:pPr>
              <w:jc w:val="both"/>
            </w:pPr>
            <w:r w:rsidRPr="74DEFD04">
              <w:rPr>
                <w:rFonts w:ascii="Times New Roman" w:eastAsia="Times New Roman" w:hAnsi="Times New Roman" w:cs="Times New Roman"/>
                <w:sz w:val="20"/>
                <w:szCs w:val="20"/>
              </w:rPr>
              <w:t xml:space="preserve">•     tiek veicināta konkurence, </w:t>
            </w:r>
            <w:r w:rsidRPr="74DEFD04">
              <w:rPr>
                <w:rFonts w:ascii="Times New Roman" w:eastAsia="Times New Roman" w:hAnsi="Times New Roman" w:cs="Times New Roman"/>
                <w:b/>
                <w:bCs/>
                <w:sz w:val="20"/>
                <w:szCs w:val="20"/>
              </w:rPr>
              <w:t>atsakoties no būvspeciālistu nodarbinātības ierobežojumiem</w:t>
            </w:r>
            <w:r w:rsidRPr="74DEFD04">
              <w:rPr>
                <w:rFonts w:ascii="Times New Roman" w:eastAsia="Times New Roman" w:hAnsi="Times New Roman" w:cs="Times New Roman"/>
                <w:sz w:val="20"/>
                <w:szCs w:val="20"/>
              </w:rPr>
              <w:t>.</w:t>
            </w:r>
          </w:p>
        </w:tc>
        <w:tc>
          <w:tcPr>
            <w:tcW w:w="2842" w:type="dxa"/>
          </w:tcPr>
          <w:p w14:paraId="1DF38D8B" w14:textId="000AA4AD" w:rsidR="74DEFD04" w:rsidRDefault="74DEFD04">
            <w:r w:rsidRPr="74DEFD04">
              <w:rPr>
                <w:rFonts w:ascii="Times New Roman" w:eastAsia="Times New Roman" w:hAnsi="Times New Roman" w:cs="Times New Roman"/>
                <w:b/>
                <w:bCs/>
                <w:sz w:val="20"/>
                <w:szCs w:val="20"/>
              </w:rPr>
              <w:t>Stāsies spēkā 01.01.2018.</w:t>
            </w:r>
          </w:p>
        </w:tc>
      </w:tr>
      <w:tr w:rsidR="74DEFD04" w14:paraId="7A03A323" w14:textId="77777777" w:rsidTr="5B2F13D4">
        <w:tc>
          <w:tcPr>
            <w:tcW w:w="900" w:type="dxa"/>
          </w:tcPr>
          <w:p w14:paraId="69230C68" w14:textId="1E2F1F3B" w:rsidR="74DEFD04" w:rsidRDefault="74DEFD04" w:rsidP="74DEFD04">
            <w:pPr>
              <w:jc w:val="center"/>
            </w:pPr>
            <w:r w:rsidRPr="74DEFD04">
              <w:rPr>
                <w:rFonts w:ascii="Times New Roman" w:eastAsia="Times New Roman" w:hAnsi="Times New Roman" w:cs="Times New Roman"/>
                <w:sz w:val="20"/>
                <w:szCs w:val="20"/>
              </w:rPr>
              <w:t>2.</w:t>
            </w:r>
          </w:p>
        </w:tc>
        <w:tc>
          <w:tcPr>
            <w:tcW w:w="1830" w:type="dxa"/>
          </w:tcPr>
          <w:p w14:paraId="44540364" w14:textId="0FBB4C14"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3EDCF277" w14:textId="16039086" w:rsidR="74DEFD04" w:rsidRDefault="74DEFD04" w:rsidP="74DEFD04">
            <w:pPr>
              <w:jc w:val="both"/>
            </w:pPr>
            <w:r w:rsidRPr="74DEFD04">
              <w:rPr>
                <w:rFonts w:ascii="Times New Roman" w:eastAsia="Times New Roman" w:hAnsi="Times New Roman" w:cs="Times New Roman"/>
                <w:b/>
                <w:bCs/>
                <w:sz w:val="20"/>
                <w:szCs w:val="20"/>
              </w:rPr>
              <w:t xml:space="preserve">“Grozījumi Ministru kabineta 2015.gada </w:t>
            </w:r>
            <w:proofErr w:type="gramStart"/>
            <w:r w:rsidRPr="74DEFD04">
              <w:rPr>
                <w:rFonts w:ascii="Times New Roman" w:eastAsia="Times New Roman" w:hAnsi="Times New Roman" w:cs="Times New Roman"/>
                <w:b/>
                <w:bCs/>
                <w:sz w:val="20"/>
                <w:szCs w:val="20"/>
              </w:rPr>
              <w:t>30.jūnija</w:t>
            </w:r>
            <w:proofErr w:type="gramEnd"/>
            <w:r w:rsidRPr="74DEFD04">
              <w:rPr>
                <w:rFonts w:ascii="Times New Roman" w:eastAsia="Times New Roman" w:hAnsi="Times New Roman" w:cs="Times New Roman"/>
                <w:b/>
                <w:bCs/>
                <w:sz w:val="20"/>
                <w:szCs w:val="20"/>
              </w:rPr>
              <w:t xml:space="preserve"> noteikumos Nr.337 “Noteikumi par Latvijas būvnormatīvu LBN 405-15 “Būvju tehniskā apsekošana””</w:t>
            </w:r>
          </w:p>
        </w:tc>
        <w:tc>
          <w:tcPr>
            <w:tcW w:w="5265" w:type="dxa"/>
          </w:tcPr>
          <w:p w14:paraId="4870EE81" w14:textId="3F4D4B23" w:rsidR="74DEFD04" w:rsidRDefault="74DEFD04" w:rsidP="74DEFD04">
            <w:pPr>
              <w:jc w:val="both"/>
            </w:pPr>
            <w:r w:rsidRPr="74DEFD04">
              <w:rPr>
                <w:rFonts w:ascii="Times New Roman" w:eastAsia="Times New Roman" w:hAnsi="Times New Roman" w:cs="Times New Roman"/>
                <w:sz w:val="20"/>
                <w:szCs w:val="20"/>
              </w:rPr>
              <w:t xml:space="preserve">     Noteikumu projekts izstrādāts, ņemot vērā Parlamentārās izmeklēšanas komisijas par Latvijas valsts rīcību, izvērtējot 2013.gada </w:t>
            </w:r>
            <w:proofErr w:type="gramStart"/>
            <w:r w:rsidRPr="74DEFD04">
              <w:rPr>
                <w:rFonts w:ascii="Times New Roman" w:eastAsia="Times New Roman" w:hAnsi="Times New Roman" w:cs="Times New Roman"/>
                <w:sz w:val="20"/>
                <w:szCs w:val="20"/>
              </w:rPr>
              <w:t>21.novembrī</w:t>
            </w:r>
            <w:proofErr w:type="gramEnd"/>
            <w:r w:rsidRPr="74DEFD04">
              <w:rPr>
                <w:rFonts w:ascii="Times New Roman" w:eastAsia="Times New Roman" w:hAnsi="Times New Roman" w:cs="Times New Roman"/>
                <w:sz w:val="20"/>
                <w:szCs w:val="20"/>
              </w:rPr>
              <w:t xml:space="preserve"> Zolitūdē notikušās traģēdijas cēloņus, un turpmākajām darbībām, kas veiktas normatīvo aktu un valsts pārvaldes un pašvaldību darbības sakārtošanā, lai nepieļautu līdzīgu traģēdiju atkārtošanos, kā arī par darbībām minētās traģēdijas seku novēršanā galaziņojuma 9.4.8.punktā iekļauto priekšlikumu.</w:t>
            </w:r>
          </w:p>
          <w:p w14:paraId="4DC51041" w14:textId="0CDA3003" w:rsidR="74DEFD04" w:rsidRDefault="74DEFD04" w:rsidP="74DEFD04">
            <w:pPr>
              <w:jc w:val="both"/>
            </w:pPr>
            <w:r w:rsidRPr="74DEFD04">
              <w:rPr>
                <w:rFonts w:ascii="Times New Roman" w:eastAsia="Times New Roman" w:hAnsi="Times New Roman" w:cs="Times New Roman"/>
                <w:sz w:val="20"/>
                <w:szCs w:val="20"/>
              </w:rPr>
              <w:t xml:space="preserve">     Būvnormatīvs tiek papildināts ar jaunu punktu, ar kuru tehniskās apsekošanas veicējam tiek noteikts papildu pienākums - ja tehniskās apsekošanas atzinumā tiek norādīts uz nepietiekamu ēkas mehānisko stiprību un stabilitāti, būvspeciālistam vai būvkomersantam, kurš nodrošina būves tehniskās apsekošanas veikšanu (apsekotājs), būs pienākums par to informēt būvvaldi, institūciju, kura pilda būvvaldes funkcijas, vai Būvniecības likuma 6.1 panta pirmās daļas 2.punktā noteiktajos gadījumos - Būvniecības valsts kontroles biroju, iesniedzot būves tehniskās apsekošanas atzinumu.</w:t>
            </w:r>
          </w:p>
          <w:p w14:paraId="75E06EC7" w14:textId="150C6150" w:rsidR="74DEFD04" w:rsidRDefault="74DEFD04" w:rsidP="74DEFD04">
            <w:pPr>
              <w:jc w:val="both"/>
            </w:pPr>
            <w:r w:rsidRPr="74DEFD04">
              <w:rPr>
                <w:rFonts w:ascii="Times New Roman" w:eastAsia="Times New Roman" w:hAnsi="Times New Roman" w:cs="Times New Roman"/>
                <w:sz w:val="20"/>
                <w:szCs w:val="20"/>
              </w:rPr>
              <w:t xml:space="preserve"> </w:t>
            </w:r>
          </w:p>
        </w:tc>
        <w:tc>
          <w:tcPr>
            <w:tcW w:w="2842" w:type="dxa"/>
          </w:tcPr>
          <w:p w14:paraId="50F1FFB1" w14:textId="68B8E592" w:rsidR="74DEFD04" w:rsidRDefault="74DEFD04">
            <w:r w:rsidRPr="74DEFD04">
              <w:rPr>
                <w:rFonts w:ascii="Times New Roman" w:eastAsia="Times New Roman" w:hAnsi="Times New Roman" w:cs="Times New Roman"/>
                <w:sz w:val="20"/>
                <w:szCs w:val="20"/>
              </w:rPr>
              <w:t xml:space="preserve">Izsludināts 17.08.2017. (VSS-888) </w:t>
            </w:r>
          </w:p>
          <w:p w14:paraId="11612358" w14:textId="57497C6D" w:rsidR="74DEFD04" w:rsidRDefault="74DEFD04">
            <w:r w:rsidRPr="74DEFD04">
              <w:rPr>
                <w:rFonts w:ascii="Times New Roman" w:eastAsia="Times New Roman" w:hAnsi="Times New Roman" w:cs="Times New Roman"/>
                <w:b/>
                <w:bCs/>
                <w:sz w:val="20"/>
                <w:szCs w:val="20"/>
              </w:rPr>
              <w:t>Pieņemts MK 13.02.2018 sēdē</w:t>
            </w:r>
          </w:p>
          <w:p w14:paraId="6749DFF7" w14:textId="27598FDC" w:rsidR="74DEFD04" w:rsidRDefault="74DEFD04">
            <w:r w:rsidRPr="74DEFD04">
              <w:rPr>
                <w:rFonts w:ascii="Times New Roman" w:eastAsia="Times New Roman" w:hAnsi="Times New Roman" w:cs="Times New Roman"/>
                <w:b/>
                <w:bCs/>
                <w:sz w:val="20"/>
                <w:szCs w:val="20"/>
              </w:rPr>
              <w:t>(TA-2901).</w:t>
            </w:r>
          </w:p>
          <w:p w14:paraId="6912E1D0" w14:textId="47FDC481" w:rsidR="74DEFD04" w:rsidRDefault="74DEFD04">
            <w:r w:rsidRPr="74DEFD04">
              <w:rPr>
                <w:rFonts w:ascii="Times New Roman" w:eastAsia="Times New Roman" w:hAnsi="Times New Roman" w:cs="Times New Roman"/>
                <w:sz w:val="20"/>
                <w:szCs w:val="20"/>
              </w:rPr>
              <w:t xml:space="preserve"> </w:t>
            </w:r>
          </w:p>
        </w:tc>
      </w:tr>
      <w:tr w:rsidR="74DEFD04" w14:paraId="7D99230E" w14:textId="77777777" w:rsidTr="5B2F13D4">
        <w:tc>
          <w:tcPr>
            <w:tcW w:w="900" w:type="dxa"/>
          </w:tcPr>
          <w:p w14:paraId="60D69394" w14:textId="493F75DF" w:rsidR="74DEFD04" w:rsidRDefault="74DEFD04" w:rsidP="74DEFD04">
            <w:pPr>
              <w:jc w:val="center"/>
            </w:pPr>
            <w:r w:rsidRPr="74DEFD04">
              <w:rPr>
                <w:rFonts w:ascii="Times New Roman" w:eastAsia="Times New Roman" w:hAnsi="Times New Roman" w:cs="Times New Roman"/>
                <w:sz w:val="20"/>
                <w:szCs w:val="20"/>
              </w:rPr>
              <w:t>3.</w:t>
            </w:r>
          </w:p>
        </w:tc>
        <w:tc>
          <w:tcPr>
            <w:tcW w:w="1830" w:type="dxa"/>
          </w:tcPr>
          <w:p w14:paraId="0BC50310" w14:textId="0F79185E"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3883C380" w14:textId="11B00A06" w:rsidR="74DEFD04" w:rsidRDefault="74DEFD04">
            <w:r w:rsidRPr="74DEFD04">
              <w:rPr>
                <w:rFonts w:ascii="Times New Roman" w:eastAsia="Times New Roman" w:hAnsi="Times New Roman" w:cs="Times New Roman"/>
                <w:b/>
                <w:bCs/>
                <w:sz w:val="20"/>
                <w:szCs w:val="20"/>
              </w:rPr>
              <w:t>Ministru kabineta 20.03.2018. noteikumi Nr. 169,</w:t>
            </w:r>
            <w:r w:rsidRPr="74DEFD04">
              <w:rPr>
                <w:rFonts w:ascii="Arial" w:eastAsia="Arial" w:hAnsi="Arial" w:cs="Arial"/>
                <w:b/>
                <w:bCs/>
                <w:color w:val="414142"/>
                <w:sz w:val="20"/>
                <w:szCs w:val="20"/>
              </w:rPr>
              <w:t xml:space="preserve"> “</w:t>
            </w:r>
            <w:r w:rsidRPr="74DEFD04">
              <w:rPr>
                <w:rFonts w:ascii="Times New Roman" w:eastAsia="Times New Roman" w:hAnsi="Times New Roman" w:cs="Times New Roman"/>
                <w:b/>
                <w:bCs/>
                <w:sz w:val="20"/>
                <w:szCs w:val="20"/>
              </w:rPr>
              <w:t>Būvspeciālistu kompetences novērtēšanas un patstāvīgās prakses uzraudzības noteikumi”</w:t>
            </w:r>
          </w:p>
          <w:p w14:paraId="19606B6B" w14:textId="5F156FC5" w:rsidR="74DEFD04" w:rsidRDefault="74DEFD04">
            <w:r w:rsidRPr="74DEFD04">
              <w:rPr>
                <w:rFonts w:ascii="Times New Roman" w:eastAsia="Times New Roman" w:hAnsi="Times New Roman" w:cs="Times New Roman"/>
                <w:b/>
                <w:bCs/>
                <w:i/>
                <w:iCs/>
                <w:sz w:val="20"/>
                <w:szCs w:val="20"/>
              </w:rPr>
              <w:lastRenderedPageBreak/>
              <w:t xml:space="preserve"> </w:t>
            </w:r>
          </w:p>
        </w:tc>
        <w:tc>
          <w:tcPr>
            <w:tcW w:w="5265" w:type="dxa"/>
          </w:tcPr>
          <w:p w14:paraId="0490DABA" w14:textId="6AD5A680" w:rsidR="74DEFD04" w:rsidRDefault="74DEFD04" w:rsidP="74DEFD04">
            <w:pPr>
              <w:jc w:val="both"/>
            </w:pPr>
            <w:r w:rsidRPr="74DEFD04">
              <w:rPr>
                <w:rFonts w:ascii="Times New Roman" w:eastAsia="Times New Roman" w:hAnsi="Times New Roman" w:cs="Times New Roman"/>
                <w:sz w:val="20"/>
                <w:szCs w:val="20"/>
              </w:rPr>
              <w:lastRenderedPageBreak/>
              <w:t>Noteikumu projekts izstrādāts pēc EM iniciatīvas ar mērķi uzlabot būvspeciālistu kompetences novērtēšanas un profesionālās darbības uzraudzības procesu.</w:t>
            </w:r>
          </w:p>
          <w:p w14:paraId="32390A3D" w14:textId="38D9F86A" w:rsidR="74DEFD04" w:rsidRDefault="74DEFD04" w:rsidP="74DEFD04">
            <w:pPr>
              <w:jc w:val="both"/>
            </w:pPr>
            <w:r w:rsidRPr="74DEFD04">
              <w:rPr>
                <w:rFonts w:ascii="Times New Roman" w:eastAsia="Times New Roman" w:hAnsi="Times New Roman" w:cs="Times New Roman"/>
                <w:sz w:val="20"/>
                <w:szCs w:val="20"/>
              </w:rPr>
              <w:lastRenderedPageBreak/>
              <w:t xml:space="preserve"> </w:t>
            </w:r>
          </w:p>
          <w:p w14:paraId="2901D3E0" w14:textId="4AD26462" w:rsidR="74DEFD04" w:rsidRDefault="74DEFD04" w:rsidP="74DEFD04">
            <w:pPr>
              <w:jc w:val="both"/>
            </w:pPr>
            <w:r w:rsidRPr="74DEFD04">
              <w:rPr>
                <w:rFonts w:ascii="Times New Roman" w:eastAsia="Times New Roman" w:hAnsi="Times New Roman" w:cs="Times New Roman"/>
                <w:sz w:val="20"/>
                <w:szCs w:val="20"/>
              </w:rPr>
              <w:t>Noteikumu projekts paredz šādas būtiskās izmaiņas būvspeciālistu kompetences novērtēšanas kārtībā un patstāvīgās prakses uzraudzības nodrošināšanā:</w:t>
            </w:r>
          </w:p>
          <w:p w14:paraId="2E18BDCB" w14:textId="5F433F3D" w:rsidR="74DEFD04" w:rsidRDefault="74DEFD04" w:rsidP="74DEFD04">
            <w:pPr>
              <w:pStyle w:val="ListParagraph"/>
              <w:numPr>
                <w:ilvl w:val="0"/>
                <w:numId w:val="24"/>
              </w:numPr>
              <w:rPr>
                <w:sz w:val="20"/>
                <w:szCs w:val="20"/>
              </w:rPr>
            </w:pPr>
            <w:r w:rsidRPr="74DEFD04">
              <w:rPr>
                <w:rFonts w:ascii="Times New Roman" w:eastAsia="Times New Roman" w:hAnsi="Times New Roman" w:cs="Times New Roman"/>
                <w:sz w:val="20"/>
                <w:szCs w:val="20"/>
              </w:rPr>
              <w:t>noteikti citi kritēriji praktiskā darba pieredzes prasībām pretendentiem būvspeciālista sertifikāta saņemšanai;</w:t>
            </w:r>
          </w:p>
          <w:p w14:paraId="4138AF2C" w14:textId="5149FBC5" w:rsidR="74DEFD04" w:rsidRDefault="74DEFD04" w:rsidP="74DEFD04">
            <w:pPr>
              <w:pStyle w:val="ListParagraph"/>
              <w:numPr>
                <w:ilvl w:val="0"/>
                <w:numId w:val="24"/>
              </w:numPr>
              <w:rPr>
                <w:sz w:val="20"/>
                <w:szCs w:val="20"/>
              </w:rPr>
            </w:pPr>
            <w:r w:rsidRPr="74DEFD04">
              <w:rPr>
                <w:rFonts w:ascii="Times New Roman" w:eastAsia="Times New Roman" w:hAnsi="Times New Roman" w:cs="Times New Roman"/>
                <w:sz w:val="20"/>
                <w:szCs w:val="20"/>
              </w:rPr>
              <w:t>precizēta patstāvīgās prakses uzturēšanas kārtība;</w:t>
            </w:r>
          </w:p>
          <w:p w14:paraId="19B39874" w14:textId="70F00528" w:rsidR="74DEFD04" w:rsidRDefault="74DEFD04" w:rsidP="74DEFD04">
            <w:pPr>
              <w:pStyle w:val="ListParagraph"/>
              <w:numPr>
                <w:ilvl w:val="0"/>
                <w:numId w:val="24"/>
              </w:numPr>
              <w:rPr>
                <w:sz w:val="20"/>
                <w:szCs w:val="20"/>
              </w:rPr>
            </w:pPr>
            <w:r w:rsidRPr="74DEFD04">
              <w:rPr>
                <w:rFonts w:ascii="Times New Roman" w:eastAsia="Times New Roman" w:hAnsi="Times New Roman" w:cs="Times New Roman"/>
                <w:sz w:val="20"/>
                <w:szCs w:val="20"/>
              </w:rPr>
              <w:t>precizēti kritēriji brīdinājuma izteikšanai, sertifikāta darbības sfēras apturēšanai un anulēšanai;</w:t>
            </w:r>
          </w:p>
          <w:p w14:paraId="61025305" w14:textId="5762A83D" w:rsidR="74DEFD04" w:rsidRDefault="74DEFD04" w:rsidP="74DEFD04">
            <w:pPr>
              <w:pStyle w:val="ListParagraph"/>
              <w:numPr>
                <w:ilvl w:val="0"/>
                <w:numId w:val="24"/>
              </w:numPr>
              <w:rPr>
                <w:sz w:val="20"/>
                <w:szCs w:val="20"/>
              </w:rPr>
            </w:pPr>
            <w:r w:rsidRPr="74DEFD04">
              <w:rPr>
                <w:rFonts w:ascii="Times New Roman" w:eastAsia="Times New Roman" w:hAnsi="Times New Roman" w:cs="Times New Roman"/>
                <w:sz w:val="20"/>
                <w:szCs w:val="20"/>
              </w:rPr>
              <w:t>samazināts darbības sfēru skaits;</w:t>
            </w:r>
          </w:p>
          <w:p w14:paraId="721137C7" w14:textId="5C79D759" w:rsidR="74DEFD04" w:rsidRDefault="74DEFD04" w:rsidP="74DEFD04">
            <w:pPr>
              <w:pStyle w:val="ListParagraph"/>
              <w:numPr>
                <w:ilvl w:val="0"/>
                <w:numId w:val="24"/>
              </w:numPr>
              <w:rPr>
                <w:sz w:val="20"/>
                <w:szCs w:val="20"/>
              </w:rPr>
            </w:pPr>
            <w:r w:rsidRPr="74DEFD04">
              <w:rPr>
                <w:rFonts w:ascii="Times New Roman" w:eastAsia="Times New Roman" w:hAnsi="Times New Roman" w:cs="Times New Roman"/>
                <w:sz w:val="20"/>
                <w:szCs w:val="20"/>
              </w:rPr>
              <w:t>noteikta prasība būvspeciālistam uzturēt spēkā esošu līgumu ar Nacionālo standartizācijas institūciju par nepieciešamo Latvijas valsts standartu abonēšanu.</w:t>
            </w:r>
          </w:p>
        </w:tc>
        <w:tc>
          <w:tcPr>
            <w:tcW w:w="2842" w:type="dxa"/>
          </w:tcPr>
          <w:p w14:paraId="78F8B0D3" w14:textId="7470596D" w:rsidR="74DEFD04" w:rsidRDefault="74DEFD04" w:rsidP="74DEFD04">
            <w:pPr>
              <w:jc w:val="both"/>
            </w:pPr>
            <w:r w:rsidRPr="74DEFD04">
              <w:rPr>
                <w:rFonts w:ascii="Times New Roman" w:eastAsia="Times New Roman" w:hAnsi="Times New Roman" w:cs="Times New Roman"/>
                <w:b/>
                <w:bCs/>
                <w:sz w:val="20"/>
                <w:szCs w:val="20"/>
              </w:rPr>
              <w:lastRenderedPageBreak/>
              <w:t>Stājās spēkā 06.04.2018</w:t>
            </w:r>
          </w:p>
          <w:p w14:paraId="5E4FD879" w14:textId="749B46CB" w:rsidR="74DEFD04" w:rsidRDefault="74DEFD04" w:rsidP="74DEFD04">
            <w:pPr>
              <w:jc w:val="both"/>
            </w:pPr>
            <w:r w:rsidRPr="74DEFD04">
              <w:rPr>
                <w:rFonts w:ascii="Times New Roman" w:eastAsia="Times New Roman" w:hAnsi="Times New Roman" w:cs="Times New Roman"/>
                <w:sz w:val="20"/>
                <w:szCs w:val="20"/>
              </w:rPr>
              <w:t xml:space="preserve"> </w:t>
            </w:r>
          </w:p>
        </w:tc>
      </w:tr>
      <w:tr w:rsidR="74DEFD04" w14:paraId="5F11C845" w14:textId="77777777" w:rsidTr="5B2F13D4">
        <w:tc>
          <w:tcPr>
            <w:tcW w:w="900" w:type="dxa"/>
          </w:tcPr>
          <w:p w14:paraId="173EF545" w14:textId="6EE21D1E" w:rsidR="74DEFD04" w:rsidRDefault="74DEFD04" w:rsidP="74DEFD04">
            <w:pPr>
              <w:jc w:val="center"/>
            </w:pPr>
            <w:r w:rsidRPr="74DEFD04">
              <w:rPr>
                <w:rFonts w:ascii="Times New Roman" w:eastAsia="Times New Roman" w:hAnsi="Times New Roman" w:cs="Times New Roman"/>
                <w:sz w:val="20"/>
                <w:szCs w:val="20"/>
              </w:rPr>
              <w:t>4.</w:t>
            </w:r>
          </w:p>
        </w:tc>
        <w:tc>
          <w:tcPr>
            <w:tcW w:w="1830" w:type="dxa"/>
          </w:tcPr>
          <w:p w14:paraId="19B2FD22" w14:textId="3673C5E0"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093CD7CD" w14:textId="7B695D08" w:rsidR="74DEFD04" w:rsidRDefault="74DEFD04">
            <w:r w:rsidRPr="74DEFD04">
              <w:rPr>
                <w:rFonts w:ascii="Times New Roman" w:eastAsia="Times New Roman" w:hAnsi="Times New Roman" w:cs="Times New Roman"/>
                <w:b/>
                <w:bCs/>
                <w:sz w:val="19"/>
                <w:szCs w:val="19"/>
              </w:rPr>
              <w:t xml:space="preserve">Grozījumi Ministru kabineta 2014.gada </w:t>
            </w:r>
            <w:proofErr w:type="gramStart"/>
            <w:r w:rsidRPr="74DEFD04">
              <w:rPr>
                <w:rFonts w:ascii="Times New Roman" w:eastAsia="Times New Roman" w:hAnsi="Times New Roman" w:cs="Times New Roman"/>
                <w:b/>
                <w:bCs/>
                <w:sz w:val="19"/>
                <w:szCs w:val="19"/>
              </w:rPr>
              <w:t>2.septembra</w:t>
            </w:r>
            <w:proofErr w:type="gramEnd"/>
            <w:r w:rsidRPr="74DEFD04">
              <w:rPr>
                <w:rFonts w:ascii="Times New Roman" w:eastAsia="Times New Roman" w:hAnsi="Times New Roman" w:cs="Times New Roman"/>
                <w:b/>
                <w:bCs/>
                <w:sz w:val="19"/>
                <w:szCs w:val="19"/>
              </w:rPr>
              <w:t xml:space="preserve"> noteikumos Nr.529 "Ēku būvnoteikumi"</w:t>
            </w:r>
          </w:p>
          <w:p w14:paraId="709BA727" w14:textId="388B4DAE" w:rsidR="74DEFD04" w:rsidRDefault="74DEFD04">
            <w:r w:rsidRPr="74DEFD04">
              <w:rPr>
                <w:rFonts w:ascii="Times New Roman" w:eastAsia="Times New Roman" w:hAnsi="Times New Roman" w:cs="Times New Roman"/>
                <w:b/>
                <w:bCs/>
                <w:sz w:val="20"/>
                <w:szCs w:val="20"/>
              </w:rPr>
              <w:t xml:space="preserve"> </w:t>
            </w:r>
          </w:p>
        </w:tc>
        <w:tc>
          <w:tcPr>
            <w:tcW w:w="5265" w:type="dxa"/>
          </w:tcPr>
          <w:p w14:paraId="4D9F131D" w14:textId="16638145" w:rsidR="74DEFD04" w:rsidRDefault="74DEFD04" w:rsidP="74DEFD04">
            <w:pPr>
              <w:jc w:val="both"/>
            </w:pPr>
            <w:r w:rsidRPr="74DEFD04">
              <w:rPr>
                <w:rFonts w:ascii="Times New Roman" w:eastAsia="Times New Roman" w:hAnsi="Times New Roman" w:cs="Times New Roman"/>
                <w:sz w:val="20"/>
                <w:szCs w:val="20"/>
              </w:rPr>
              <w:t>Tiek sekmēta ES fondu projektu īstenošana daudzdzīvokļu ēku energoefektivitātes paaugstināšanai un šo ēku atjaunošanai, kā arī atvieglotu būvniecības procesu un mazinātu administratīvo slogu.</w:t>
            </w:r>
          </w:p>
          <w:p w14:paraId="5D426BBF" w14:textId="2C91391A" w:rsidR="74DEFD04" w:rsidRDefault="74DEFD04" w:rsidP="74DEFD04">
            <w:pPr>
              <w:jc w:val="both"/>
            </w:pPr>
            <w:r w:rsidRPr="74DEFD04">
              <w:rPr>
                <w:rFonts w:ascii="Times New Roman" w:eastAsia="Times New Roman" w:hAnsi="Times New Roman" w:cs="Times New Roman"/>
                <w:sz w:val="20"/>
                <w:szCs w:val="20"/>
              </w:rPr>
              <w:t>Līdz 5 gadiem tiek pagarināts termiņš, kādā realizējama būvniecība pēc būvvaldes akcepta ēkas fasādes apliecinājuma kartē vai atzīmes veikšanas būvatļaujā par projektēšanas nosacījumu izpildi. Līdz šim termiņš bija trīs un divi gadi.</w:t>
            </w:r>
          </w:p>
        </w:tc>
        <w:tc>
          <w:tcPr>
            <w:tcW w:w="2842" w:type="dxa"/>
          </w:tcPr>
          <w:tbl>
            <w:tblPr>
              <w:tblW w:w="0" w:type="auto"/>
              <w:tblLayout w:type="fixed"/>
              <w:tblLook w:val="06A0" w:firstRow="1" w:lastRow="0" w:firstColumn="1" w:lastColumn="0" w:noHBand="1" w:noVBand="1"/>
            </w:tblPr>
            <w:tblGrid>
              <w:gridCol w:w="2442"/>
            </w:tblGrid>
            <w:tr w:rsidR="74DEFD04" w14:paraId="68E9415D" w14:textId="77777777" w:rsidTr="74DEFD04">
              <w:tc>
                <w:tcPr>
                  <w:tcW w:w="2442" w:type="dxa"/>
                </w:tcPr>
                <w:p w14:paraId="6F0A4A6E" w14:textId="5A705F49" w:rsidR="74DEFD04" w:rsidRDefault="74DEFD04" w:rsidP="74DEFD04">
                  <w:pPr>
                    <w:jc w:val="both"/>
                  </w:pPr>
                  <w:r w:rsidRPr="74DEFD04">
                    <w:rPr>
                      <w:rFonts w:ascii="Times New Roman" w:eastAsia="Times New Roman" w:hAnsi="Times New Roman" w:cs="Times New Roman"/>
                      <w:b/>
                      <w:bCs/>
                      <w:sz w:val="20"/>
                      <w:szCs w:val="20"/>
                    </w:rPr>
                    <w:t>Stājās spēkā 10.04.2018</w:t>
                  </w:r>
                </w:p>
                <w:p w14:paraId="4448C3A2" w14:textId="6364ACAF" w:rsidR="74DEFD04" w:rsidRDefault="74DEFD04">
                  <w:r w:rsidRPr="74DEFD04">
                    <w:rPr>
                      <w:rFonts w:ascii="Times New Roman" w:eastAsia="Times New Roman" w:hAnsi="Times New Roman" w:cs="Times New Roman"/>
                      <w:color w:val="2A2A2A"/>
                      <w:sz w:val="19"/>
                      <w:szCs w:val="19"/>
                    </w:rPr>
                    <w:t xml:space="preserve"> </w:t>
                  </w:r>
                </w:p>
              </w:tc>
            </w:tr>
            <w:tr w:rsidR="74DEFD04" w14:paraId="5BCB7A3E" w14:textId="77777777" w:rsidTr="74DEFD04">
              <w:tc>
                <w:tcPr>
                  <w:tcW w:w="2442" w:type="dxa"/>
                </w:tcPr>
                <w:p w14:paraId="2AA79C62" w14:textId="0B6E7603" w:rsidR="74DEFD04" w:rsidRDefault="74DEFD04">
                  <w:r w:rsidRPr="74DEFD04">
                    <w:rPr>
                      <w:rFonts w:ascii="Times New Roman" w:eastAsia="Times New Roman" w:hAnsi="Times New Roman" w:cs="Times New Roman"/>
                      <w:color w:val="2A2A2A"/>
                      <w:sz w:val="19"/>
                      <w:szCs w:val="19"/>
                    </w:rPr>
                    <w:t xml:space="preserve"> </w:t>
                  </w:r>
                </w:p>
              </w:tc>
            </w:tr>
          </w:tbl>
          <w:p w14:paraId="04A72314" w14:textId="77777777" w:rsidR="74DEFD04" w:rsidRDefault="74DEFD04"/>
        </w:tc>
      </w:tr>
      <w:tr w:rsidR="74DEFD04" w14:paraId="64E192F4" w14:textId="77777777" w:rsidTr="5B2F13D4">
        <w:tc>
          <w:tcPr>
            <w:tcW w:w="900" w:type="dxa"/>
          </w:tcPr>
          <w:p w14:paraId="08D6E4C0" w14:textId="4BE12F8E" w:rsidR="74DEFD04" w:rsidRDefault="74DEFD04" w:rsidP="74DEFD04">
            <w:pPr>
              <w:jc w:val="center"/>
            </w:pPr>
            <w:r w:rsidRPr="74DEFD04">
              <w:rPr>
                <w:rFonts w:ascii="Times New Roman" w:eastAsia="Times New Roman" w:hAnsi="Times New Roman" w:cs="Times New Roman"/>
                <w:sz w:val="20"/>
                <w:szCs w:val="20"/>
              </w:rPr>
              <w:t>5.</w:t>
            </w:r>
          </w:p>
        </w:tc>
        <w:tc>
          <w:tcPr>
            <w:tcW w:w="1830" w:type="dxa"/>
          </w:tcPr>
          <w:p w14:paraId="66A8B159" w14:textId="577B87E5"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707E0BF5" w14:textId="66748841" w:rsidR="74DEFD04" w:rsidRDefault="74DEFD04">
            <w:r w:rsidRPr="74DEFD04">
              <w:rPr>
                <w:rFonts w:ascii="Times New Roman" w:eastAsia="Times New Roman" w:hAnsi="Times New Roman" w:cs="Times New Roman"/>
                <w:b/>
                <w:bCs/>
                <w:color w:val="414142"/>
                <w:sz w:val="20"/>
                <w:szCs w:val="20"/>
              </w:rPr>
              <w:t>Ministru kabineta 03.05.2018. noteikumi Nr. 254 “Grozījumi Ministru kabineta 2016. gada 12. aprīļa noteikumos Nr. 211 "Būvkomersantu klasifikācijas noteikumi"”</w:t>
            </w:r>
          </w:p>
          <w:p w14:paraId="6BAB141D" w14:textId="2AD1B724" w:rsidR="74DEFD04" w:rsidRDefault="74DEFD04">
            <w:r w:rsidRPr="74DEFD04">
              <w:rPr>
                <w:rFonts w:ascii="Times New Roman" w:eastAsia="Times New Roman" w:hAnsi="Times New Roman" w:cs="Times New Roman"/>
                <w:b/>
                <w:bCs/>
                <w:sz w:val="20"/>
                <w:szCs w:val="20"/>
              </w:rPr>
              <w:t xml:space="preserve"> </w:t>
            </w:r>
          </w:p>
        </w:tc>
        <w:tc>
          <w:tcPr>
            <w:tcW w:w="5265" w:type="dxa"/>
          </w:tcPr>
          <w:p w14:paraId="38AB45B5" w14:textId="10DB9080" w:rsidR="74DEFD04" w:rsidRDefault="74DEFD04" w:rsidP="74DEFD04">
            <w:pPr>
              <w:jc w:val="both"/>
            </w:pPr>
            <w:r w:rsidRPr="74DEFD04">
              <w:rPr>
                <w:rFonts w:ascii="Times New Roman" w:eastAsia="Times New Roman" w:hAnsi="Times New Roman" w:cs="Times New Roman"/>
                <w:sz w:val="20"/>
                <w:szCs w:val="20"/>
              </w:rPr>
              <w:t>Lai veicinātu būvkomersantu klasificēšanos 2019.gadā, kad klase tiks ņemta vērā publiskajos iepirkumos, Ministru kabineta noteikumu projekts paredz šādus grozījumus:</w:t>
            </w:r>
          </w:p>
          <w:p w14:paraId="08EFEDB5" w14:textId="6526E50E" w:rsidR="74DEFD04" w:rsidRDefault="74DEFD04" w:rsidP="74DEFD04">
            <w:pPr>
              <w:pStyle w:val="ListParagraph"/>
              <w:numPr>
                <w:ilvl w:val="0"/>
                <w:numId w:val="23"/>
              </w:numPr>
              <w:rPr>
                <w:sz w:val="20"/>
                <w:szCs w:val="20"/>
              </w:rPr>
            </w:pPr>
            <w:r w:rsidRPr="74DEFD04">
              <w:rPr>
                <w:rFonts w:ascii="Times New Roman" w:eastAsia="Times New Roman" w:hAnsi="Times New Roman" w:cs="Times New Roman"/>
                <w:sz w:val="20"/>
                <w:szCs w:val="20"/>
              </w:rPr>
              <w:t>uzņēmums, kuram pēdējo 4 gadu periodā 1 kalendāra gada laikā reģistrācija ir bijusi apturēta vai tas bijis izslēgts no reģistra ilgāk par 6 mēnešiem, nevar pretendēt uz klasifikāciju vispārējā kārtībā;</w:t>
            </w:r>
          </w:p>
          <w:p w14:paraId="2FBABB68" w14:textId="39BDF6FB" w:rsidR="74DEFD04" w:rsidRDefault="74DEFD04" w:rsidP="74DEFD04">
            <w:pPr>
              <w:pStyle w:val="ListParagraph"/>
              <w:numPr>
                <w:ilvl w:val="0"/>
                <w:numId w:val="23"/>
              </w:numPr>
              <w:rPr>
                <w:sz w:val="20"/>
                <w:szCs w:val="20"/>
              </w:rPr>
            </w:pPr>
            <w:r w:rsidRPr="74DEFD04">
              <w:rPr>
                <w:rFonts w:ascii="Times New Roman" w:eastAsia="Times New Roman" w:hAnsi="Times New Roman" w:cs="Times New Roman"/>
                <w:sz w:val="20"/>
                <w:szCs w:val="20"/>
              </w:rPr>
              <w:t>līdz 28.02.2019. klasificēt būvuzņēmumus, kam pēdējā pārskata gadā konstatē nepietiekamu likviditātes rādītāju (mazāks par 0,9);</w:t>
            </w:r>
          </w:p>
          <w:p w14:paraId="5F22D8AD" w14:textId="588BEF7B" w:rsidR="74DEFD04" w:rsidRDefault="74DEFD04" w:rsidP="74DEFD04">
            <w:pPr>
              <w:pStyle w:val="ListParagraph"/>
              <w:numPr>
                <w:ilvl w:val="0"/>
                <w:numId w:val="23"/>
              </w:numPr>
              <w:rPr>
                <w:sz w:val="20"/>
                <w:szCs w:val="20"/>
              </w:rPr>
            </w:pPr>
            <w:r w:rsidRPr="74DEFD04">
              <w:rPr>
                <w:rFonts w:ascii="Times New Roman" w:eastAsia="Times New Roman" w:hAnsi="Times New Roman" w:cs="Times New Roman"/>
                <w:sz w:val="20"/>
                <w:szCs w:val="20"/>
              </w:rPr>
              <w:t xml:space="preserve">finanšu līdzsvara rādītāja atbilstības vērtējumu piemērot kā komersanta finansiālo stabilitāti (ieguldot pašu kapitālā) veicinošu instrumentu, nosakot, ka gadījumā, ja finanšu līdzsvara rādītājs pēdējā pārskata gadā ir 20% un vairāk, tiek piemērota korekcija -0,245 punktu apmērā, kas uzlabo būvuzņēmuma kvalifikāciju; </w:t>
            </w:r>
          </w:p>
          <w:p w14:paraId="35246FF3" w14:textId="49BCD34A" w:rsidR="74DEFD04" w:rsidRDefault="74DEFD04" w:rsidP="74DEFD04">
            <w:pPr>
              <w:pStyle w:val="ListParagraph"/>
              <w:numPr>
                <w:ilvl w:val="0"/>
                <w:numId w:val="23"/>
              </w:numPr>
              <w:rPr>
                <w:sz w:val="20"/>
                <w:szCs w:val="20"/>
              </w:rPr>
            </w:pPr>
            <w:r w:rsidRPr="74DEFD04">
              <w:rPr>
                <w:rFonts w:ascii="Times New Roman" w:eastAsia="Times New Roman" w:hAnsi="Times New Roman" w:cs="Times New Roman"/>
                <w:sz w:val="20"/>
                <w:szCs w:val="20"/>
              </w:rPr>
              <w:t>korekciju par VID administrēto nodokļu parādu, kas mēnesī pārsniedz 150 euro, samazināt uz 0,1;</w:t>
            </w:r>
          </w:p>
          <w:p w14:paraId="6974C65A" w14:textId="1C3F90B3" w:rsidR="74DEFD04" w:rsidRDefault="74DEFD04" w:rsidP="74DEFD04">
            <w:pPr>
              <w:pStyle w:val="ListParagraph"/>
              <w:numPr>
                <w:ilvl w:val="0"/>
                <w:numId w:val="23"/>
              </w:numPr>
              <w:rPr>
                <w:sz w:val="20"/>
                <w:szCs w:val="20"/>
              </w:rPr>
            </w:pPr>
            <w:r w:rsidRPr="74DEFD04">
              <w:rPr>
                <w:rFonts w:ascii="Times New Roman" w:eastAsia="Times New Roman" w:hAnsi="Times New Roman" w:cs="Times New Roman"/>
                <w:sz w:val="20"/>
                <w:szCs w:val="20"/>
              </w:rPr>
              <w:t xml:space="preserve">lai veicinātu būvniecības nozares uzņēmumus iesaistīties nozarei saistoša koplīguma </w:t>
            </w:r>
            <w:proofErr w:type="gramStart"/>
            <w:r w:rsidRPr="74DEFD04">
              <w:rPr>
                <w:rFonts w:ascii="Times New Roman" w:eastAsia="Times New Roman" w:hAnsi="Times New Roman" w:cs="Times New Roman"/>
                <w:sz w:val="20"/>
                <w:szCs w:val="20"/>
              </w:rPr>
              <w:t xml:space="preserve">noslēgšanā,  </w:t>
            </w:r>
            <w:r w:rsidRPr="74DEFD04">
              <w:rPr>
                <w:rFonts w:ascii="Times New Roman" w:eastAsia="Times New Roman" w:hAnsi="Times New Roman" w:cs="Times New Roman"/>
                <w:sz w:val="20"/>
                <w:szCs w:val="20"/>
              </w:rPr>
              <w:lastRenderedPageBreak/>
              <w:t>papildināt</w:t>
            </w:r>
            <w:proofErr w:type="gramEnd"/>
            <w:r w:rsidRPr="74DEFD04">
              <w:rPr>
                <w:rFonts w:ascii="Times New Roman" w:eastAsia="Times New Roman" w:hAnsi="Times New Roman" w:cs="Times New Roman"/>
                <w:sz w:val="20"/>
                <w:szCs w:val="20"/>
              </w:rPr>
              <w:t xml:space="preserve"> ilgtspējas rādītāju grupu ar 16. kritēriju – vispārsaistošas ģenerālvienošanās slēdzējs;</w:t>
            </w:r>
          </w:p>
          <w:p w14:paraId="00EB57B7" w14:textId="14BA5D01" w:rsidR="74DEFD04" w:rsidRDefault="74DEFD04" w:rsidP="74DEFD04">
            <w:pPr>
              <w:jc w:val="both"/>
            </w:pPr>
            <w:r w:rsidRPr="74DEFD04">
              <w:rPr>
                <w:rFonts w:ascii="Times New Roman" w:eastAsia="Times New Roman" w:hAnsi="Times New Roman" w:cs="Times New Roman"/>
                <w:sz w:val="20"/>
                <w:szCs w:val="20"/>
              </w:rPr>
              <w:t>korekciju par APK normu pārkāpumu samazināt uz 0,1, izņemot par darba tiesiskās attiecības regulējošo normatīvo aktu pārkāpšanu – par kuru palielināt uz 0,5</w:t>
            </w:r>
          </w:p>
        </w:tc>
        <w:tc>
          <w:tcPr>
            <w:tcW w:w="2842" w:type="dxa"/>
          </w:tcPr>
          <w:p w14:paraId="7CCD753F" w14:textId="69CF7882" w:rsidR="74DEFD04" w:rsidRDefault="74DEFD04" w:rsidP="74DEFD04">
            <w:pPr>
              <w:jc w:val="both"/>
            </w:pPr>
            <w:r w:rsidRPr="74DEFD04">
              <w:rPr>
                <w:rFonts w:ascii="Times New Roman" w:eastAsia="Times New Roman" w:hAnsi="Times New Roman" w:cs="Times New Roman"/>
                <w:b/>
                <w:bCs/>
                <w:sz w:val="20"/>
                <w:szCs w:val="20"/>
              </w:rPr>
              <w:lastRenderedPageBreak/>
              <w:t>Stājās spēkā 09.05.2018</w:t>
            </w:r>
          </w:p>
          <w:p w14:paraId="18CF022C" w14:textId="455A96E5" w:rsidR="74DEFD04" w:rsidRDefault="74DEFD04">
            <w:r w:rsidRPr="74DEFD04">
              <w:rPr>
                <w:rFonts w:ascii="Times New Roman" w:eastAsia="Times New Roman" w:hAnsi="Times New Roman" w:cs="Times New Roman"/>
                <w:b/>
                <w:bCs/>
                <w:color w:val="414142"/>
                <w:sz w:val="20"/>
                <w:szCs w:val="20"/>
              </w:rPr>
              <w:t xml:space="preserve"> </w:t>
            </w:r>
          </w:p>
          <w:p w14:paraId="6FFAA216" w14:textId="79967F98" w:rsidR="74DEFD04" w:rsidRDefault="74DEFD04">
            <w:r w:rsidRPr="74DEFD04">
              <w:rPr>
                <w:rFonts w:ascii="Times New Roman" w:eastAsia="Times New Roman" w:hAnsi="Times New Roman" w:cs="Times New Roman"/>
                <w:b/>
                <w:bCs/>
                <w:sz w:val="20"/>
                <w:szCs w:val="20"/>
              </w:rPr>
              <w:t xml:space="preserve"> </w:t>
            </w:r>
          </w:p>
        </w:tc>
      </w:tr>
      <w:tr w:rsidR="74DEFD04" w14:paraId="26D92A43" w14:textId="77777777" w:rsidTr="5B2F13D4">
        <w:tc>
          <w:tcPr>
            <w:tcW w:w="900" w:type="dxa"/>
          </w:tcPr>
          <w:p w14:paraId="72C1D315" w14:textId="03B81C3C" w:rsidR="74DEFD04" w:rsidRDefault="74DEFD04" w:rsidP="74DEFD04">
            <w:pPr>
              <w:jc w:val="center"/>
            </w:pPr>
            <w:r w:rsidRPr="74DEFD04">
              <w:rPr>
                <w:rFonts w:ascii="Times New Roman" w:eastAsia="Times New Roman" w:hAnsi="Times New Roman" w:cs="Times New Roman"/>
                <w:sz w:val="20"/>
                <w:szCs w:val="20"/>
              </w:rPr>
              <w:t>6.</w:t>
            </w:r>
          </w:p>
        </w:tc>
        <w:tc>
          <w:tcPr>
            <w:tcW w:w="1830" w:type="dxa"/>
          </w:tcPr>
          <w:p w14:paraId="635FBFED" w14:textId="2DD1FBDC"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3D9D78B9" w14:textId="4C17DD34" w:rsidR="74DEFD04" w:rsidRDefault="74DEFD04">
            <w:r w:rsidRPr="74DEFD04">
              <w:rPr>
                <w:rFonts w:ascii="Times New Roman" w:eastAsia="Times New Roman" w:hAnsi="Times New Roman" w:cs="Times New Roman"/>
                <w:b/>
                <w:bCs/>
                <w:sz w:val="20"/>
                <w:szCs w:val="20"/>
              </w:rPr>
              <w:t>Grozījumi Ministru kabineta 2015.gada 28 jūlija noteikumos Nr.438 "Būvniecības informācijas sistēmas noteikumi"</w:t>
            </w:r>
          </w:p>
        </w:tc>
        <w:tc>
          <w:tcPr>
            <w:tcW w:w="5265" w:type="dxa"/>
          </w:tcPr>
          <w:p w14:paraId="74F12C52" w14:textId="026587E2" w:rsidR="74DEFD04" w:rsidRDefault="74DEFD04" w:rsidP="74DEFD04">
            <w:pPr>
              <w:jc w:val="both"/>
            </w:pPr>
            <w:r w:rsidRPr="74DEFD04">
              <w:rPr>
                <w:rFonts w:ascii="Times New Roman" w:eastAsia="Times New Roman" w:hAnsi="Times New Roman" w:cs="Times New Roman"/>
                <w:sz w:val="20"/>
                <w:szCs w:val="20"/>
              </w:rPr>
              <w:t>Veicinās pāreju uz elektronisku būvniecības procesa realizāciju, tajā skaitā nepieciešamās dokumentācijas iesniegšanu, lēmumu pieņemšanu un saskaņojumu veikšanu būvniecības informācijas sistēmā</w:t>
            </w:r>
          </w:p>
        </w:tc>
        <w:tc>
          <w:tcPr>
            <w:tcW w:w="2842" w:type="dxa"/>
          </w:tcPr>
          <w:tbl>
            <w:tblPr>
              <w:tblW w:w="0" w:type="auto"/>
              <w:tblLayout w:type="fixed"/>
              <w:tblLook w:val="06A0" w:firstRow="1" w:lastRow="0" w:firstColumn="1" w:lastColumn="0" w:noHBand="1" w:noVBand="1"/>
            </w:tblPr>
            <w:tblGrid>
              <w:gridCol w:w="2442"/>
            </w:tblGrid>
            <w:tr w:rsidR="74DEFD04" w14:paraId="10565EFF" w14:textId="77777777" w:rsidTr="74DEFD04">
              <w:tc>
                <w:tcPr>
                  <w:tcW w:w="2442" w:type="dxa"/>
                </w:tcPr>
                <w:p w14:paraId="5BAE9088" w14:textId="2E52D8E5" w:rsidR="74DEFD04" w:rsidRDefault="74DEFD04" w:rsidP="74DEFD04">
                  <w:pPr>
                    <w:jc w:val="both"/>
                  </w:pPr>
                  <w:r w:rsidRPr="74DEFD04">
                    <w:rPr>
                      <w:rFonts w:ascii="Times New Roman" w:eastAsia="Times New Roman" w:hAnsi="Times New Roman" w:cs="Times New Roman"/>
                      <w:b/>
                      <w:bCs/>
                      <w:sz w:val="20"/>
                      <w:szCs w:val="20"/>
                    </w:rPr>
                    <w:t>Stājās spēkā 01.07.2018</w:t>
                  </w:r>
                </w:p>
              </w:tc>
            </w:tr>
          </w:tbl>
          <w:p w14:paraId="7753342D" w14:textId="77777777" w:rsidR="74DEFD04" w:rsidRDefault="74DEFD04"/>
        </w:tc>
      </w:tr>
      <w:tr w:rsidR="74DEFD04" w14:paraId="451A5C17" w14:textId="77777777" w:rsidTr="5B2F13D4">
        <w:tc>
          <w:tcPr>
            <w:tcW w:w="900" w:type="dxa"/>
          </w:tcPr>
          <w:p w14:paraId="4FA701D9" w14:textId="32D00A94" w:rsidR="74DEFD04" w:rsidRDefault="74DEFD04" w:rsidP="74DEFD04">
            <w:pPr>
              <w:jc w:val="center"/>
            </w:pPr>
            <w:r w:rsidRPr="74DEFD04">
              <w:rPr>
                <w:rFonts w:ascii="Times New Roman" w:eastAsia="Times New Roman" w:hAnsi="Times New Roman" w:cs="Times New Roman"/>
                <w:sz w:val="20"/>
                <w:szCs w:val="20"/>
              </w:rPr>
              <w:t>7.</w:t>
            </w:r>
          </w:p>
        </w:tc>
        <w:tc>
          <w:tcPr>
            <w:tcW w:w="1830" w:type="dxa"/>
          </w:tcPr>
          <w:p w14:paraId="44CB1F88" w14:textId="4B3A0EEA"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648B7E91" w14:textId="685DB5E1" w:rsidR="74DEFD04" w:rsidRDefault="74DEFD04">
            <w:r w:rsidRPr="74DEFD04">
              <w:rPr>
                <w:rFonts w:ascii="Times New Roman" w:eastAsia="Times New Roman" w:hAnsi="Times New Roman" w:cs="Times New Roman"/>
                <w:b/>
                <w:bCs/>
                <w:color w:val="2A2A2A"/>
                <w:sz w:val="20"/>
                <w:szCs w:val="20"/>
              </w:rPr>
              <w:t>Noteikumi par Latvijas būvnormatīvu LBN 202-18 "Būvniecības ieceres dokumentācijas noformēšana"</w:t>
            </w:r>
          </w:p>
          <w:p w14:paraId="478DBA7A" w14:textId="5BF850CA" w:rsidR="74DEFD04" w:rsidRDefault="74DEFD04">
            <w:r w:rsidRPr="74DEFD04">
              <w:rPr>
                <w:rFonts w:ascii="Times New Roman" w:eastAsia="Times New Roman" w:hAnsi="Times New Roman" w:cs="Times New Roman"/>
                <w:b/>
                <w:bCs/>
                <w:sz w:val="20"/>
                <w:szCs w:val="20"/>
              </w:rPr>
              <w:t xml:space="preserve"> </w:t>
            </w:r>
          </w:p>
        </w:tc>
        <w:tc>
          <w:tcPr>
            <w:tcW w:w="5265" w:type="dxa"/>
          </w:tcPr>
          <w:p w14:paraId="27F21ACA" w14:textId="3D6F1FE3" w:rsidR="74DEFD04" w:rsidRDefault="74DEFD04" w:rsidP="74DEFD04">
            <w:pPr>
              <w:jc w:val="both"/>
            </w:pPr>
            <w:r w:rsidRPr="74DEFD04">
              <w:rPr>
                <w:rFonts w:ascii="Times New Roman" w:eastAsia="Times New Roman" w:hAnsi="Times New Roman" w:cs="Times New Roman"/>
                <w:sz w:val="20"/>
                <w:szCs w:val="20"/>
              </w:rPr>
              <w:t>Tiek aizstāts iepriekšējais Latvijas būvnormatīvu LBN 202-15 „Būvprojekta saturs un noformēšana”, kas nosaka prasības būvprojekta teksta lapu saturam un rasējumu noformēšanai tikai papīra formātā, ar jaunu būvnormatīvu – nosakot prasības attiecībā uz būvniecības ieceres dokumentācijas elektronisko noformēšanu. Vienlaikus tiek svītrotas tiesību normas kuras dublēja tiesību normas citos normatīvajos regulējumos.</w:t>
            </w:r>
          </w:p>
          <w:p w14:paraId="086A8A27" w14:textId="14E1FBF9" w:rsidR="74DEFD04" w:rsidRDefault="74DEFD04" w:rsidP="74DEFD04">
            <w:pPr>
              <w:jc w:val="both"/>
            </w:pPr>
            <w:r w:rsidRPr="74DEFD04">
              <w:rPr>
                <w:rFonts w:ascii="Times New Roman" w:eastAsia="Times New Roman" w:hAnsi="Times New Roman" w:cs="Times New Roman"/>
                <w:sz w:val="20"/>
                <w:szCs w:val="20"/>
              </w:rPr>
              <w:t xml:space="preserve">Izstrādāti, lai </w:t>
            </w:r>
            <w:proofErr w:type="gramStart"/>
            <w:r w:rsidRPr="74DEFD04">
              <w:rPr>
                <w:rFonts w:ascii="Times New Roman" w:eastAsia="Times New Roman" w:hAnsi="Times New Roman" w:cs="Times New Roman"/>
                <w:sz w:val="20"/>
                <w:szCs w:val="20"/>
              </w:rPr>
              <w:t>pilnveidotu  būvniecības</w:t>
            </w:r>
            <w:proofErr w:type="gramEnd"/>
            <w:r w:rsidRPr="74DEFD04">
              <w:rPr>
                <w:rFonts w:ascii="Times New Roman" w:eastAsia="Times New Roman" w:hAnsi="Times New Roman" w:cs="Times New Roman"/>
                <w:sz w:val="20"/>
                <w:szCs w:val="20"/>
              </w:rPr>
              <w:t xml:space="preserve"> nozares regulējumu, nodrošinot vienotas prasības būvniecības dokumentācijas noformēšanai gan rakstveidā, gan tiešsaistes formā strukturētu datu veidā, ieviešot digitālo būvniecības ieceres dokumentācijas apriti.</w:t>
            </w:r>
          </w:p>
        </w:tc>
        <w:tc>
          <w:tcPr>
            <w:tcW w:w="2842" w:type="dxa"/>
          </w:tcPr>
          <w:p w14:paraId="6C3D473B" w14:textId="05C125A7" w:rsidR="74DEFD04" w:rsidRDefault="74DEFD04">
            <w:r w:rsidRPr="74DEFD04">
              <w:rPr>
                <w:rFonts w:ascii="Times New Roman" w:eastAsia="Times New Roman" w:hAnsi="Times New Roman" w:cs="Times New Roman"/>
                <w:b/>
                <w:bCs/>
                <w:color w:val="2A2A2A"/>
                <w:sz w:val="20"/>
                <w:szCs w:val="20"/>
              </w:rPr>
              <w:t>Stājās spēkā 31.08.2018</w:t>
            </w:r>
          </w:p>
          <w:p w14:paraId="1C780FE6" w14:textId="62C4DACA" w:rsidR="74DEFD04" w:rsidRDefault="74DEFD04">
            <w:r w:rsidRPr="74DEFD04">
              <w:rPr>
                <w:rFonts w:ascii="Times New Roman" w:eastAsia="Times New Roman" w:hAnsi="Times New Roman" w:cs="Times New Roman"/>
                <w:color w:val="2A2A2A"/>
                <w:sz w:val="20"/>
                <w:szCs w:val="20"/>
              </w:rPr>
              <w:t>MK 28.08.2018. noteikumi Nr. 545</w:t>
            </w:r>
            <w:r w:rsidRPr="74DEFD04">
              <w:rPr>
                <w:rFonts w:ascii="Times New Roman" w:eastAsia="Times New Roman" w:hAnsi="Times New Roman" w:cs="Times New Roman"/>
                <w:b/>
                <w:bCs/>
                <w:color w:val="2A2A2A"/>
                <w:sz w:val="20"/>
                <w:szCs w:val="20"/>
              </w:rPr>
              <w:t>.</w:t>
            </w:r>
          </w:p>
        </w:tc>
      </w:tr>
      <w:tr w:rsidR="74DEFD04" w14:paraId="410EC7DB" w14:textId="77777777" w:rsidTr="5B2F13D4">
        <w:tc>
          <w:tcPr>
            <w:tcW w:w="900" w:type="dxa"/>
          </w:tcPr>
          <w:p w14:paraId="279C71A1" w14:textId="7E6E9593" w:rsidR="74DEFD04" w:rsidRDefault="74DEFD04" w:rsidP="74DEFD04">
            <w:pPr>
              <w:jc w:val="center"/>
            </w:pPr>
            <w:r w:rsidRPr="74DEFD04">
              <w:rPr>
                <w:rFonts w:ascii="Times New Roman" w:eastAsia="Times New Roman" w:hAnsi="Times New Roman" w:cs="Times New Roman"/>
                <w:sz w:val="20"/>
                <w:szCs w:val="20"/>
              </w:rPr>
              <w:t>8.</w:t>
            </w:r>
          </w:p>
        </w:tc>
        <w:tc>
          <w:tcPr>
            <w:tcW w:w="1830" w:type="dxa"/>
          </w:tcPr>
          <w:p w14:paraId="2355124D" w14:textId="0761BE62"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03A03348" w14:textId="1BFA4427" w:rsidR="74DEFD04" w:rsidRDefault="74DEFD04">
            <w:r w:rsidRPr="74DEFD04">
              <w:rPr>
                <w:rFonts w:ascii="Times New Roman" w:eastAsia="Times New Roman" w:hAnsi="Times New Roman" w:cs="Times New Roman"/>
                <w:b/>
                <w:bCs/>
                <w:sz w:val="20"/>
                <w:szCs w:val="20"/>
              </w:rPr>
              <w:t xml:space="preserve">Grozījumi Ministru kabineta 2014.gada </w:t>
            </w:r>
            <w:proofErr w:type="gramStart"/>
            <w:r w:rsidRPr="74DEFD04">
              <w:rPr>
                <w:rFonts w:ascii="Times New Roman" w:eastAsia="Times New Roman" w:hAnsi="Times New Roman" w:cs="Times New Roman"/>
                <w:b/>
                <w:bCs/>
                <w:sz w:val="20"/>
                <w:szCs w:val="20"/>
              </w:rPr>
              <w:t>16.septembra</w:t>
            </w:r>
            <w:proofErr w:type="gramEnd"/>
            <w:r w:rsidRPr="74DEFD04">
              <w:rPr>
                <w:rFonts w:ascii="Times New Roman" w:eastAsia="Times New Roman" w:hAnsi="Times New Roman" w:cs="Times New Roman"/>
                <w:b/>
                <w:bCs/>
                <w:sz w:val="20"/>
                <w:szCs w:val="20"/>
              </w:rPr>
              <w:t xml:space="preserve"> noteikumos Nr.550 "Hidrotehnisko un meliorācijas būvju būvnoteikumi"</w:t>
            </w:r>
          </w:p>
          <w:p w14:paraId="4AF7ECD4" w14:textId="601BA3D0" w:rsidR="74DEFD04" w:rsidRDefault="74DEFD04">
            <w:r w:rsidRPr="74DEFD04">
              <w:rPr>
                <w:rFonts w:ascii="Times New Roman" w:eastAsia="Times New Roman" w:hAnsi="Times New Roman" w:cs="Times New Roman"/>
                <w:b/>
                <w:bCs/>
                <w:sz w:val="20"/>
                <w:szCs w:val="20"/>
              </w:rPr>
              <w:t xml:space="preserve"> </w:t>
            </w:r>
          </w:p>
        </w:tc>
        <w:tc>
          <w:tcPr>
            <w:tcW w:w="5265" w:type="dxa"/>
          </w:tcPr>
          <w:p w14:paraId="568A0B8D" w14:textId="4AB7C2E6" w:rsidR="74DEFD04" w:rsidRDefault="74DEFD04" w:rsidP="74DEFD04">
            <w:pPr>
              <w:jc w:val="both"/>
            </w:pPr>
            <w:r w:rsidRPr="74DEFD04">
              <w:rPr>
                <w:rFonts w:ascii="Times New Roman" w:eastAsia="Times New Roman" w:hAnsi="Times New Roman" w:cs="Times New Roman"/>
                <w:sz w:val="20"/>
                <w:szCs w:val="20"/>
              </w:rPr>
              <w:t>Precizēta terminoloģija atbilstoši Būvniecības likuma grozījumiem. Būvniecības likumā vairs netiek lietots jēdziens “pasūtītājs”, lai norādītu uz noteiktu subjektu. Līdz ar to atbilstoši tiek precizēts arī šis būvnormatīvs.</w:t>
            </w:r>
          </w:p>
        </w:tc>
        <w:tc>
          <w:tcPr>
            <w:tcW w:w="2842" w:type="dxa"/>
          </w:tcPr>
          <w:tbl>
            <w:tblPr>
              <w:tblW w:w="0" w:type="auto"/>
              <w:tblLayout w:type="fixed"/>
              <w:tblLook w:val="06A0" w:firstRow="1" w:lastRow="0" w:firstColumn="1" w:lastColumn="0" w:noHBand="1" w:noVBand="1"/>
            </w:tblPr>
            <w:tblGrid>
              <w:gridCol w:w="2442"/>
            </w:tblGrid>
            <w:tr w:rsidR="74DEFD04" w14:paraId="6AB49503" w14:textId="77777777" w:rsidTr="74DEFD04">
              <w:tc>
                <w:tcPr>
                  <w:tcW w:w="2442" w:type="dxa"/>
                </w:tcPr>
                <w:p w14:paraId="5448BF2C" w14:textId="02B1B989" w:rsidR="74DEFD04" w:rsidRDefault="74DEFD04" w:rsidP="74DEFD04">
                  <w:pPr>
                    <w:jc w:val="both"/>
                  </w:pPr>
                  <w:r w:rsidRPr="74DEFD04">
                    <w:rPr>
                      <w:rFonts w:ascii="Times New Roman" w:eastAsia="Times New Roman" w:hAnsi="Times New Roman" w:cs="Times New Roman"/>
                      <w:b/>
                      <w:bCs/>
                      <w:sz w:val="20"/>
                      <w:szCs w:val="20"/>
                    </w:rPr>
                    <w:t>Stājās spēkā 29.06.2018</w:t>
                  </w:r>
                </w:p>
              </w:tc>
            </w:tr>
            <w:tr w:rsidR="74DEFD04" w14:paraId="122FDDA4" w14:textId="77777777" w:rsidTr="74DEFD04">
              <w:tc>
                <w:tcPr>
                  <w:tcW w:w="2442" w:type="dxa"/>
                </w:tcPr>
                <w:p w14:paraId="126ABE68" w14:textId="6DCB85DB" w:rsidR="74DEFD04" w:rsidRDefault="74DEFD04"/>
              </w:tc>
            </w:tr>
          </w:tbl>
          <w:p w14:paraId="39876D95" w14:textId="77777777" w:rsidR="74DEFD04" w:rsidRDefault="74DEFD04"/>
        </w:tc>
      </w:tr>
      <w:tr w:rsidR="74DEFD04" w14:paraId="7C2B1807" w14:textId="77777777" w:rsidTr="5B2F13D4">
        <w:tc>
          <w:tcPr>
            <w:tcW w:w="900" w:type="dxa"/>
          </w:tcPr>
          <w:p w14:paraId="4E8E5933" w14:textId="70665098" w:rsidR="74DEFD04" w:rsidRDefault="74DEFD04" w:rsidP="74DEFD04">
            <w:pPr>
              <w:jc w:val="center"/>
            </w:pPr>
            <w:r w:rsidRPr="74DEFD04">
              <w:rPr>
                <w:rFonts w:ascii="Times New Roman" w:eastAsia="Times New Roman" w:hAnsi="Times New Roman" w:cs="Times New Roman"/>
                <w:sz w:val="20"/>
                <w:szCs w:val="20"/>
              </w:rPr>
              <w:t>9.</w:t>
            </w:r>
          </w:p>
        </w:tc>
        <w:tc>
          <w:tcPr>
            <w:tcW w:w="1830" w:type="dxa"/>
          </w:tcPr>
          <w:p w14:paraId="344FA68A" w14:textId="19F7CD2F"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1A254157" w14:textId="0398E015" w:rsidR="74DEFD04" w:rsidRDefault="74DEFD04">
            <w:r w:rsidRPr="74DEFD04">
              <w:rPr>
                <w:rFonts w:ascii="Times New Roman" w:eastAsia="Times New Roman" w:hAnsi="Times New Roman" w:cs="Times New Roman"/>
                <w:b/>
                <w:bCs/>
                <w:sz w:val="20"/>
                <w:szCs w:val="20"/>
              </w:rPr>
              <w:t xml:space="preserve">Grozījumi Ministru kabineta 2015.gada </w:t>
            </w:r>
            <w:proofErr w:type="gramStart"/>
            <w:r w:rsidRPr="74DEFD04">
              <w:rPr>
                <w:rFonts w:ascii="Times New Roman" w:eastAsia="Times New Roman" w:hAnsi="Times New Roman" w:cs="Times New Roman"/>
                <w:b/>
                <w:bCs/>
                <w:sz w:val="20"/>
                <w:szCs w:val="20"/>
              </w:rPr>
              <w:t>24.novembra</w:t>
            </w:r>
            <w:proofErr w:type="gramEnd"/>
            <w:r w:rsidRPr="74DEFD04">
              <w:rPr>
                <w:rFonts w:ascii="Times New Roman" w:eastAsia="Times New Roman" w:hAnsi="Times New Roman" w:cs="Times New Roman"/>
                <w:b/>
                <w:bCs/>
                <w:sz w:val="20"/>
                <w:szCs w:val="20"/>
              </w:rPr>
              <w:t xml:space="preserve"> noteikumos Nr.661 "Ar radiācijas drošību saistīto būvju būvnoteikumi"</w:t>
            </w:r>
          </w:p>
        </w:tc>
        <w:tc>
          <w:tcPr>
            <w:tcW w:w="5265" w:type="dxa"/>
          </w:tcPr>
          <w:p w14:paraId="5706250A" w14:textId="06A49C25" w:rsidR="74DEFD04" w:rsidRDefault="74DEFD04" w:rsidP="74DEFD04">
            <w:pPr>
              <w:jc w:val="both"/>
            </w:pPr>
            <w:r w:rsidRPr="74DEFD04">
              <w:rPr>
                <w:rFonts w:ascii="Times New Roman" w:eastAsia="Times New Roman" w:hAnsi="Times New Roman" w:cs="Times New Roman"/>
                <w:sz w:val="20"/>
                <w:szCs w:val="20"/>
              </w:rPr>
              <w:t>Precizēta terminoloģija atbilstoši Būvniecības likuma grozījumiem. Būvniecības likumā vairs netiek lietots jēdziens “pasūtītājs”, lai norādītu uz noteiktu subjektu. Līdz ar to atbilstoši tiek precizēts arī šis būvnormatīvs.</w:t>
            </w:r>
          </w:p>
        </w:tc>
        <w:tc>
          <w:tcPr>
            <w:tcW w:w="2842" w:type="dxa"/>
          </w:tcPr>
          <w:tbl>
            <w:tblPr>
              <w:tblW w:w="0" w:type="auto"/>
              <w:tblLayout w:type="fixed"/>
              <w:tblLook w:val="06A0" w:firstRow="1" w:lastRow="0" w:firstColumn="1" w:lastColumn="0" w:noHBand="1" w:noVBand="1"/>
            </w:tblPr>
            <w:tblGrid>
              <w:gridCol w:w="1221"/>
              <w:gridCol w:w="1221"/>
            </w:tblGrid>
            <w:tr w:rsidR="74DEFD04" w14:paraId="40F339E3" w14:textId="77777777" w:rsidTr="74DEFD04">
              <w:tc>
                <w:tcPr>
                  <w:tcW w:w="1221" w:type="dxa"/>
                </w:tcPr>
                <w:p w14:paraId="5FB08B3D" w14:textId="1FF4E4EA" w:rsidR="74DEFD04" w:rsidRDefault="74DEFD04" w:rsidP="74DEFD04">
                  <w:pPr>
                    <w:jc w:val="both"/>
                  </w:pPr>
                  <w:r w:rsidRPr="74DEFD04">
                    <w:rPr>
                      <w:rFonts w:ascii="Times New Roman" w:eastAsia="Times New Roman" w:hAnsi="Times New Roman" w:cs="Times New Roman"/>
                      <w:b/>
                      <w:bCs/>
                      <w:sz w:val="20"/>
                      <w:szCs w:val="20"/>
                    </w:rPr>
                    <w:t>Stājās spēkā 22.06.2018</w:t>
                  </w:r>
                </w:p>
              </w:tc>
              <w:tc>
                <w:tcPr>
                  <w:tcW w:w="1221" w:type="dxa"/>
                </w:tcPr>
                <w:p w14:paraId="1A059B24" w14:textId="4039AF4F" w:rsidR="74DEFD04" w:rsidRDefault="74DEFD04"/>
              </w:tc>
            </w:tr>
            <w:tr w:rsidR="74DEFD04" w14:paraId="3A15581E" w14:textId="77777777" w:rsidTr="74DEFD04">
              <w:tc>
                <w:tcPr>
                  <w:tcW w:w="1221" w:type="dxa"/>
                </w:tcPr>
                <w:p w14:paraId="562D0DEB" w14:textId="54F029E1" w:rsidR="74DEFD04" w:rsidRDefault="74DEFD04">
                  <w:r w:rsidRPr="74DEFD04">
                    <w:rPr>
                      <w:rFonts w:ascii="Times New Roman" w:eastAsia="Times New Roman" w:hAnsi="Times New Roman" w:cs="Times New Roman"/>
                      <w:color w:val="2A2A2A"/>
                      <w:sz w:val="19"/>
                      <w:szCs w:val="19"/>
                    </w:rPr>
                    <w:t xml:space="preserve"> </w:t>
                  </w:r>
                </w:p>
              </w:tc>
              <w:tc>
                <w:tcPr>
                  <w:tcW w:w="1221" w:type="dxa"/>
                </w:tcPr>
                <w:p w14:paraId="477D85D7" w14:textId="5D8759BA" w:rsidR="74DEFD04" w:rsidRDefault="74DEFD04"/>
              </w:tc>
            </w:tr>
            <w:tr w:rsidR="74DEFD04" w14:paraId="61C0F6CE" w14:textId="77777777" w:rsidTr="74DEFD04">
              <w:tc>
                <w:tcPr>
                  <w:tcW w:w="1221" w:type="dxa"/>
                </w:tcPr>
                <w:p w14:paraId="33C6E352" w14:textId="4515C3E9" w:rsidR="74DEFD04" w:rsidRDefault="74DEFD04">
                  <w:r w:rsidRPr="74DEFD04">
                    <w:rPr>
                      <w:rFonts w:ascii="Times New Roman" w:eastAsia="Times New Roman" w:hAnsi="Times New Roman" w:cs="Times New Roman"/>
                      <w:color w:val="2A2A2A"/>
                      <w:sz w:val="19"/>
                      <w:szCs w:val="19"/>
                    </w:rPr>
                    <w:t xml:space="preserve"> </w:t>
                  </w:r>
                </w:p>
              </w:tc>
              <w:tc>
                <w:tcPr>
                  <w:tcW w:w="1221" w:type="dxa"/>
                </w:tcPr>
                <w:p w14:paraId="464BE5CD" w14:textId="0FE37BCF" w:rsidR="74DEFD04" w:rsidRDefault="74DEFD04"/>
              </w:tc>
            </w:tr>
          </w:tbl>
          <w:p w14:paraId="72095499" w14:textId="77777777" w:rsidR="74DEFD04" w:rsidRDefault="74DEFD04"/>
        </w:tc>
      </w:tr>
      <w:tr w:rsidR="74DEFD04" w14:paraId="3D8E94F4" w14:textId="77777777" w:rsidTr="5B2F13D4">
        <w:tc>
          <w:tcPr>
            <w:tcW w:w="900" w:type="dxa"/>
          </w:tcPr>
          <w:p w14:paraId="5B9B7BED" w14:textId="4FC9E8DC" w:rsidR="74DEFD04" w:rsidRDefault="74DEFD04" w:rsidP="74DEFD04">
            <w:pPr>
              <w:jc w:val="center"/>
            </w:pPr>
            <w:r w:rsidRPr="74DEFD04">
              <w:rPr>
                <w:rFonts w:ascii="Times New Roman" w:eastAsia="Times New Roman" w:hAnsi="Times New Roman" w:cs="Times New Roman"/>
                <w:sz w:val="20"/>
                <w:szCs w:val="20"/>
              </w:rPr>
              <w:t>10.</w:t>
            </w:r>
          </w:p>
          <w:p w14:paraId="0D2A6B35" w14:textId="4C669BE7" w:rsidR="74DEFD04" w:rsidRDefault="74DEFD04" w:rsidP="74DEFD04">
            <w:pPr>
              <w:jc w:val="center"/>
            </w:pPr>
            <w:r w:rsidRPr="74DEFD04">
              <w:rPr>
                <w:rFonts w:ascii="Times New Roman" w:eastAsia="Times New Roman" w:hAnsi="Times New Roman" w:cs="Times New Roman"/>
                <w:sz w:val="20"/>
                <w:szCs w:val="20"/>
              </w:rPr>
              <w:t xml:space="preserve"> </w:t>
            </w:r>
          </w:p>
        </w:tc>
        <w:tc>
          <w:tcPr>
            <w:tcW w:w="1830" w:type="dxa"/>
          </w:tcPr>
          <w:p w14:paraId="1666AEB6" w14:textId="74CA7CC4"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47DCF9A5" w14:textId="202B0EE8" w:rsidR="74DEFD04" w:rsidRDefault="74DEFD04">
            <w:r w:rsidRPr="74DEFD04">
              <w:rPr>
                <w:rFonts w:ascii="Times New Roman" w:eastAsia="Times New Roman" w:hAnsi="Times New Roman" w:cs="Times New Roman"/>
                <w:b/>
                <w:bCs/>
                <w:sz w:val="20"/>
                <w:szCs w:val="20"/>
              </w:rPr>
              <w:t xml:space="preserve">Grozījumi Ministru kabineta 2014.gada </w:t>
            </w:r>
            <w:proofErr w:type="gramStart"/>
            <w:r w:rsidRPr="74DEFD04">
              <w:rPr>
                <w:rFonts w:ascii="Times New Roman" w:eastAsia="Times New Roman" w:hAnsi="Times New Roman" w:cs="Times New Roman"/>
                <w:b/>
                <w:bCs/>
                <w:sz w:val="20"/>
                <w:szCs w:val="20"/>
              </w:rPr>
              <w:t>2.septembra</w:t>
            </w:r>
            <w:proofErr w:type="gramEnd"/>
            <w:r w:rsidRPr="74DEFD04">
              <w:rPr>
                <w:rFonts w:ascii="Times New Roman" w:eastAsia="Times New Roman" w:hAnsi="Times New Roman" w:cs="Times New Roman"/>
                <w:b/>
                <w:bCs/>
                <w:sz w:val="20"/>
                <w:szCs w:val="20"/>
              </w:rPr>
              <w:t xml:space="preserve"> noteikumos Nr.529 "Ēku būvnoteikumi”</w:t>
            </w:r>
          </w:p>
        </w:tc>
        <w:tc>
          <w:tcPr>
            <w:tcW w:w="5265" w:type="dxa"/>
          </w:tcPr>
          <w:p w14:paraId="3FDC7FB2" w14:textId="26AD063F" w:rsidR="74DEFD04" w:rsidRDefault="74DEFD04" w:rsidP="74DEFD04">
            <w:pPr>
              <w:jc w:val="both"/>
            </w:pPr>
            <w:r w:rsidRPr="74DEFD04">
              <w:rPr>
                <w:rFonts w:ascii="Times New Roman" w:eastAsia="Times New Roman" w:hAnsi="Times New Roman" w:cs="Times New Roman"/>
                <w:sz w:val="20"/>
                <w:szCs w:val="20"/>
              </w:rPr>
              <w:t>Precizēta terminoloģija atbilstoši Būvniecības likuma grozījumiem. Būvniecības likumā vairs netiek lietots jēdziens “pasūtītājs”, lai norādītu uz noteiktu subjektu. Līdz ar to atbilstoši tiek precizēts arī šis būvnormatīvs.</w:t>
            </w:r>
          </w:p>
        </w:tc>
        <w:tc>
          <w:tcPr>
            <w:tcW w:w="2842" w:type="dxa"/>
          </w:tcPr>
          <w:tbl>
            <w:tblPr>
              <w:tblW w:w="0" w:type="auto"/>
              <w:tblLayout w:type="fixed"/>
              <w:tblLook w:val="06A0" w:firstRow="1" w:lastRow="0" w:firstColumn="1" w:lastColumn="0" w:noHBand="1" w:noVBand="1"/>
            </w:tblPr>
            <w:tblGrid>
              <w:gridCol w:w="1221"/>
              <w:gridCol w:w="1221"/>
            </w:tblGrid>
            <w:tr w:rsidR="74DEFD04" w14:paraId="47A05EBF" w14:textId="77777777" w:rsidTr="74DEFD04">
              <w:tc>
                <w:tcPr>
                  <w:tcW w:w="1221" w:type="dxa"/>
                </w:tcPr>
                <w:p w14:paraId="7F1274AE" w14:textId="494C7078" w:rsidR="74DEFD04" w:rsidRDefault="74DEFD04" w:rsidP="74DEFD04">
                  <w:pPr>
                    <w:jc w:val="both"/>
                  </w:pPr>
                  <w:r w:rsidRPr="74DEFD04">
                    <w:rPr>
                      <w:rFonts w:ascii="Times New Roman" w:eastAsia="Times New Roman" w:hAnsi="Times New Roman" w:cs="Times New Roman"/>
                      <w:b/>
                      <w:bCs/>
                      <w:sz w:val="20"/>
                      <w:szCs w:val="20"/>
                    </w:rPr>
                    <w:t>Stājās spēkā 29.06.2018</w:t>
                  </w:r>
                </w:p>
              </w:tc>
              <w:tc>
                <w:tcPr>
                  <w:tcW w:w="1221" w:type="dxa"/>
                </w:tcPr>
                <w:p w14:paraId="52038BA3" w14:textId="7A3BB307" w:rsidR="74DEFD04" w:rsidRDefault="74DEFD04"/>
              </w:tc>
            </w:tr>
            <w:tr w:rsidR="74DEFD04" w14:paraId="527A8579" w14:textId="77777777" w:rsidTr="74DEFD04">
              <w:tc>
                <w:tcPr>
                  <w:tcW w:w="1221" w:type="dxa"/>
                </w:tcPr>
                <w:tbl>
                  <w:tblPr>
                    <w:tblW w:w="0" w:type="auto"/>
                    <w:tblLayout w:type="fixed"/>
                    <w:tblLook w:val="06A0" w:firstRow="1" w:lastRow="0" w:firstColumn="1" w:lastColumn="0" w:noHBand="1" w:noVBand="1"/>
                  </w:tblPr>
                  <w:tblGrid>
                    <w:gridCol w:w="1071"/>
                  </w:tblGrid>
                  <w:tr w:rsidR="74DEFD04" w14:paraId="62A4F0C5" w14:textId="77777777" w:rsidTr="74DEFD04">
                    <w:tc>
                      <w:tcPr>
                        <w:tcW w:w="1071" w:type="dxa"/>
                      </w:tcPr>
                      <w:p w14:paraId="51CA9A99" w14:textId="39D4B441" w:rsidR="74DEFD04" w:rsidRDefault="74DEFD04" w:rsidP="74DEFD04">
                        <w:pPr>
                          <w:jc w:val="both"/>
                        </w:pPr>
                        <w:r w:rsidRPr="74DEFD04">
                          <w:rPr>
                            <w:rFonts w:ascii="Times New Roman" w:eastAsia="Times New Roman" w:hAnsi="Times New Roman" w:cs="Times New Roman"/>
                            <w:b/>
                            <w:bCs/>
                            <w:sz w:val="20"/>
                            <w:szCs w:val="20"/>
                          </w:rPr>
                          <w:t>Stājās spēkā 28.09.2018</w:t>
                        </w:r>
                      </w:p>
                    </w:tc>
                  </w:tr>
                </w:tbl>
                <w:p w14:paraId="67C69CC3" w14:textId="77777777" w:rsidR="74DEFD04" w:rsidRDefault="74DEFD04"/>
              </w:tc>
              <w:tc>
                <w:tcPr>
                  <w:tcW w:w="1221" w:type="dxa"/>
                </w:tcPr>
                <w:p w14:paraId="7DBFB705" w14:textId="32F505FE" w:rsidR="74DEFD04" w:rsidRDefault="74DEFD04"/>
              </w:tc>
            </w:tr>
          </w:tbl>
          <w:p w14:paraId="5076EC42" w14:textId="77777777" w:rsidR="74DEFD04" w:rsidRDefault="74DEFD04"/>
        </w:tc>
      </w:tr>
      <w:tr w:rsidR="74DEFD04" w14:paraId="1CF12848" w14:textId="77777777" w:rsidTr="5B2F13D4">
        <w:tc>
          <w:tcPr>
            <w:tcW w:w="900" w:type="dxa"/>
          </w:tcPr>
          <w:p w14:paraId="4A8B2061" w14:textId="4139D8C1" w:rsidR="74DEFD04" w:rsidRDefault="74DEFD04" w:rsidP="74DEFD04">
            <w:pPr>
              <w:jc w:val="center"/>
            </w:pPr>
            <w:r w:rsidRPr="74DEFD04">
              <w:rPr>
                <w:rFonts w:ascii="Times New Roman" w:eastAsia="Times New Roman" w:hAnsi="Times New Roman" w:cs="Times New Roman"/>
                <w:sz w:val="20"/>
                <w:szCs w:val="20"/>
              </w:rPr>
              <w:lastRenderedPageBreak/>
              <w:t>11.</w:t>
            </w:r>
          </w:p>
        </w:tc>
        <w:tc>
          <w:tcPr>
            <w:tcW w:w="1830" w:type="dxa"/>
          </w:tcPr>
          <w:p w14:paraId="658C8E07" w14:textId="39780E73"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134CF9EB" w14:textId="6FDA2A56" w:rsidR="74DEFD04" w:rsidRDefault="74DEFD04">
            <w:r w:rsidRPr="74DEFD04">
              <w:rPr>
                <w:rFonts w:ascii="Times New Roman" w:eastAsia="Times New Roman" w:hAnsi="Times New Roman" w:cs="Times New Roman"/>
                <w:b/>
                <w:bCs/>
                <w:sz w:val="20"/>
                <w:szCs w:val="20"/>
              </w:rPr>
              <w:t xml:space="preserve">Grozījumi </w:t>
            </w:r>
            <w:r w:rsidRPr="74DEFD04">
              <w:rPr>
                <w:rFonts w:ascii="Times New Roman" w:eastAsia="Times New Roman" w:hAnsi="Times New Roman" w:cs="Times New Roman"/>
                <w:sz w:val="20"/>
                <w:szCs w:val="20"/>
              </w:rPr>
              <w:t xml:space="preserve">Ministru kabineta 2014.gada </w:t>
            </w:r>
            <w:proofErr w:type="gramStart"/>
            <w:r w:rsidRPr="74DEFD04">
              <w:rPr>
                <w:rFonts w:ascii="Times New Roman" w:eastAsia="Times New Roman" w:hAnsi="Times New Roman" w:cs="Times New Roman"/>
                <w:sz w:val="20"/>
                <w:szCs w:val="20"/>
              </w:rPr>
              <w:t>14.oktobra</w:t>
            </w:r>
            <w:proofErr w:type="gramEnd"/>
            <w:r w:rsidRPr="74DEFD04">
              <w:rPr>
                <w:rFonts w:ascii="Times New Roman" w:eastAsia="Times New Roman" w:hAnsi="Times New Roman" w:cs="Times New Roman"/>
                <w:sz w:val="20"/>
                <w:szCs w:val="20"/>
              </w:rPr>
              <w:t xml:space="preserve"> noteikumos Nr.633</w:t>
            </w:r>
            <w:r w:rsidRPr="74DEFD04">
              <w:rPr>
                <w:rFonts w:ascii="Times New Roman" w:eastAsia="Times New Roman" w:hAnsi="Times New Roman" w:cs="Times New Roman"/>
                <w:b/>
                <w:bCs/>
                <w:sz w:val="20"/>
                <w:szCs w:val="20"/>
              </w:rPr>
              <w:t xml:space="preserve"> "Autoceļu un ielu būvnoteikumi"</w:t>
            </w:r>
          </w:p>
        </w:tc>
        <w:tc>
          <w:tcPr>
            <w:tcW w:w="5265" w:type="dxa"/>
          </w:tcPr>
          <w:p w14:paraId="6B42778F" w14:textId="412E695C" w:rsidR="74DEFD04" w:rsidRDefault="74DEFD04" w:rsidP="74DEFD04">
            <w:pPr>
              <w:jc w:val="both"/>
            </w:pPr>
            <w:r w:rsidRPr="74DEFD04">
              <w:rPr>
                <w:rFonts w:ascii="Times New Roman" w:eastAsia="Times New Roman" w:hAnsi="Times New Roman" w:cs="Times New Roman"/>
                <w:sz w:val="20"/>
                <w:szCs w:val="20"/>
              </w:rPr>
              <w:t>Precizēta terminoloģija atbilstoši Būvniecības likuma grozījumiem. Būvniecības likumā vairs netiek lietots jēdziens “pasūtītājs”, lai norādītu uz noteiktu subjektu. Līdz ar to atbilstoši tiek precizēts arī šis būvnormatīvs.</w:t>
            </w:r>
          </w:p>
        </w:tc>
        <w:tc>
          <w:tcPr>
            <w:tcW w:w="2842" w:type="dxa"/>
          </w:tcPr>
          <w:p w14:paraId="558E8825" w14:textId="027F2D4A" w:rsidR="74DEFD04" w:rsidRDefault="74DEFD04" w:rsidP="74DEFD04">
            <w:pPr>
              <w:jc w:val="both"/>
            </w:pPr>
            <w:r w:rsidRPr="74DEFD04">
              <w:rPr>
                <w:rFonts w:ascii="Times New Roman" w:eastAsia="Times New Roman" w:hAnsi="Times New Roman" w:cs="Times New Roman"/>
                <w:b/>
                <w:bCs/>
                <w:sz w:val="20"/>
                <w:szCs w:val="20"/>
              </w:rPr>
              <w:t>Stājās spēkā 22.06.2018</w:t>
            </w:r>
          </w:p>
          <w:p w14:paraId="48E8551B" w14:textId="3AC65429" w:rsidR="74DEFD04" w:rsidRDefault="74DEFD04" w:rsidP="74DEFD04">
            <w:pPr>
              <w:jc w:val="both"/>
            </w:pPr>
            <w:r w:rsidRPr="74DEFD04">
              <w:rPr>
                <w:rFonts w:ascii="Times New Roman" w:eastAsia="Times New Roman" w:hAnsi="Times New Roman" w:cs="Times New Roman"/>
                <w:b/>
                <w:bCs/>
                <w:color w:val="2A2A2A"/>
                <w:sz w:val="19"/>
                <w:szCs w:val="19"/>
              </w:rPr>
              <w:t xml:space="preserve"> </w:t>
            </w:r>
          </w:p>
        </w:tc>
      </w:tr>
      <w:tr w:rsidR="74DEFD04" w14:paraId="66D18974" w14:textId="77777777" w:rsidTr="5B2F13D4">
        <w:tc>
          <w:tcPr>
            <w:tcW w:w="900" w:type="dxa"/>
          </w:tcPr>
          <w:p w14:paraId="337BFB1A" w14:textId="37178BD9" w:rsidR="74DEFD04" w:rsidRDefault="74DEFD04" w:rsidP="74DEFD04">
            <w:pPr>
              <w:jc w:val="center"/>
            </w:pPr>
            <w:r w:rsidRPr="74DEFD04">
              <w:rPr>
                <w:rFonts w:ascii="Times New Roman" w:eastAsia="Times New Roman" w:hAnsi="Times New Roman" w:cs="Times New Roman"/>
                <w:sz w:val="20"/>
                <w:szCs w:val="20"/>
              </w:rPr>
              <w:t>12.</w:t>
            </w:r>
          </w:p>
        </w:tc>
        <w:tc>
          <w:tcPr>
            <w:tcW w:w="1830" w:type="dxa"/>
          </w:tcPr>
          <w:p w14:paraId="6AEC96D5" w14:textId="7E48C5B6"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032C9E86" w14:textId="0AA3CBA6" w:rsidR="74DEFD04" w:rsidRDefault="74DEFD04">
            <w:r w:rsidRPr="74DEFD04">
              <w:rPr>
                <w:rFonts w:ascii="Times New Roman" w:eastAsia="Times New Roman" w:hAnsi="Times New Roman" w:cs="Times New Roman"/>
                <w:sz w:val="20"/>
                <w:szCs w:val="20"/>
              </w:rPr>
              <w:t xml:space="preserve">Grozījumi Ministru kabineta 2017.gada </w:t>
            </w:r>
            <w:proofErr w:type="gramStart"/>
            <w:r w:rsidRPr="74DEFD04">
              <w:rPr>
                <w:rFonts w:ascii="Times New Roman" w:eastAsia="Times New Roman" w:hAnsi="Times New Roman" w:cs="Times New Roman"/>
                <w:sz w:val="20"/>
                <w:szCs w:val="20"/>
              </w:rPr>
              <w:t>9.maija</w:t>
            </w:r>
            <w:proofErr w:type="gramEnd"/>
            <w:r w:rsidRPr="74DEFD04">
              <w:rPr>
                <w:rFonts w:ascii="Times New Roman" w:eastAsia="Times New Roman" w:hAnsi="Times New Roman" w:cs="Times New Roman"/>
                <w:sz w:val="20"/>
                <w:szCs w:val="20"/>
              </w:rPr>
              <w:t xml:space="preserve"> noteikumos Nr.253</w:t>
            </w:r>
            <w:r w:rsidRPr="74DEFD04">
              <w:rPr>
                <w:rFonts w:ascii="Times New Roman" w:eastAsia="Times New Roman" w:hAnsi="Times New Roman" w:cs="Times New Roman"/>
                <w:b/>
                <w:bCs/>
                <w:sz w:val="20"/>
                <w:szCs w:val="20"/>
              </w:rPr>
              <w:t xml:space="preserve"> "Atsevišķu inženierbūvju būvnoteikumi"</w:t>
            </w:r>
          </w:p>
        </w:tc>
        <w:tc>
          <w:tcPr>
            <w:tcW w:w="5265" w:type="dxa"/>
          </w:tcPr>
          <w:p w14:paraId="67BE1A1E" w14:textId="379F5F2E" w:rsidR="74DEFD04" w:rsidRDefault="74DEFD04" w:rsidP="74DEFD04">
            <w:pPr>
              <w:jc w:val="both"/>
            </w:pPr>
            <w:r w:rsidRPr="74DEFD04">
              <w:rPr>
                <w:rFonts w:ascii="Times New Roman" w:eastAsia="Times New Roman" w:hAnsi="Times New Roman" w:cs="Times New Roman"/>
                <w:sz w:val="20"/>
                <w:szCs w:val="20"/>
              </w:rPr>
              <w:t>Precizēta terminoloģija atbilstoši Būvniecības likuma grozījumiem. Būvniecības likumā vairs netiek lietots jēdziens “pasūtītājs”, lai norādītu uz noteiktu subjektu. Līdz ar to atbilstoši tiek precizēts arī šis būvnormatīvs.</w:t>
            </w:r>
          </w:p>
        </w:tc>
        <w:tc>
          <w:tcPr>
            <w:tcW w:w="2842" w:type="dxa"/>
          </w:tcPr>
          <w:tbl>
            <w:tblPr>
              <w:tblW w:w="0" w:type="auto"/>
              <w:tblLayout w:type="fixed"/>
              <w:tblLook w:val="06A0" w:firstRow="1" w:lastRow="0" w:firstColumn="1" w:lastColumn="0" w:noHBand="1" w:noVBand="1"/>
            </w:tblPr>
            <w:tblGrid>
              <w:gridCol w:w="2442"/>
            </w:tblGrid>
            <w:tr w:rsidR="74DEFD04" w14:paraId="295C5E92" w14:textId="77777777" w:rsidTr="74DEFD04">
              <w:tc>
                <w:tcPr>
                  <w:tcW w:w="2442" w:type="dxa"/>
                </w:tcPr>
                <w:p w14:paraId="09EA703D" w14:textId="6B4CC678" w:rsidR="74DEFD04" w:rsidRDefault="74DEFD04" w:rsidP="74DEFD04">
                  <w:pPr>
                    <w:jc w:val="both"/>
                  </w:pPr>
                  <w:r w:rsidRPr="74DEFD04">
                    <w:rPr>
                      <w:rFonts w:ascii="Times New Roman" w:eastAsia="Times New Roman" w:hAnsi="Times New Roman" w:cs="Times New Roman"/>
                      <w:b/>
                      <w:bCs/>
                      <w:sz w:val="20"/>
                      <w:szCs w:val="20"/>
                    </w:rPr>
                    <w:t>Stājās spēkā 29.06.2018</w:t>
                  </w:r>
                </w:p>
              </w:tc>
            </w:tr>
            <w:tr w:rsidR="74DEFD04" w14:paraId="26646569" w14:textId="77777777" w:rsidTr="74DEFD04">
              <w:tc>
                <w:tcPr>
                  <w:tcW w:w="2442" w:type="dxa"/>
                </w:tcPr>
                <w:p w14:paraId="63FD6606" w14:textId="76444433" w:rsidR="74DEFD04" w:rsidRDefault="74DEFD04">
                  <w:r w:rsidRPr="74DEFD04">
                    <w:rPr>
                      <w:rFonts w:ascii="Times New Roman" w:eastAsia="Times New Roman" w:hAnsi="Times New Roman" w:cs="Times New Roman"/>
                      <w:sz w:val="24"/>
                      <w:szCs w:val="24"/>
                    </w:rPr>
                    <w:t xml:space="preserve"> </w:t>
                  </w:r>
                </w:p>
              </w:tc>
            </w:tr>
          </w:tbl>
          <w:p w14:paraId="37585156" w14:textId="77777777" w:rsidR="74DEFD04" w:rsidRDefault="74DEFD04"/>
        </w:tc>
      </w:tr>
      <w:tr w:rsidR="74DEFD04" w14:paraId="0BABF089" w14:textId="77777777" w:rsidTr="5B2F13D4">
        <w:tc>
          <w:tcPr>
            <w:tcW w:w="900" w:type="dxa"/>
          </w:tcPr>
          <w:p w14:paraId="1EB7DDC5" w14:textId="0A18E541" w:rsidR="74DEFD04" w:rsidRDefault="74DEFD04" w:rsidP="74DEFD04">
            <w:pPr>
              <w:jc w:val="center"/>
            </w:pPr>
            <w:r w:rsidRPr="74DEFD04">
              <w:rPr>
                <w:rFonts w:ascii="Times New Roman" w:eastAsia="Times New Roman" w:hAnsi="Times New Roman" w:cs="Times New Roman"/>
                <w:sz w:val="20"/>
                <w:szCs w:val="20"/>
              </w:rPr>
              <w:t>13.</w:t>
            </w:r>
          </w:p>
        </w:tc>
        <w:tc>
          <w:tcPr>
            <w:tcW w:w="1830" w:type="dxa"/>
          </w:tcPr>
          <w:p w14:paraId="7F426817" w14:textId="689CC6E7"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22EB1A08" w14:textId="496AD8E8" w:rsidR="74DEFD04" w:rsidRDefault="74DEFD04">
            <w:r w:rsidRPr="74DEFD04">
              <w:rPr>
                <w:rFonts w:ascii="Times New Roman" w:eastAsia="Times New Roman" w:hAnsi="Times New Roman" w:cs="Times New Roman"/>
                <w:sz w:val="20"/>
                <w:szCs w:val="20"/>
              </w:rPr>
              <w:t xml:space="preserve">Grozījumi Ministru kabineta 2015.gada </w:t>
            </w:r>
            <w:proofErr w:type="gramStart"/>
            <w:r w:rsidRPr="74DEFD04">
              <w:rPr>
                <w:rFonts w:ascii="Times New Roman" w:eastAsia="Times New Roman" w:hAnsi="Times New Roman" w:cs="Times New Roman"/>
                <w:sz w:val="20"/>
                <w:szCs w:val="20"/>
              </w:rPr>
              <w:t>30.jūnija</w:t>
            </w:r>
            <w:proofErr w:type="gramEnd"/>
            <w:r w:rsidRPr="74DEFD04">
              <w:rPr>
                <w:rFonts w:ascii="Times New Roman" w:eastAsia="Times New Roman" w:hAnsi="Times New Roman" w:cs="Times New Roman"/>
                <w:sz w:val="20"/>
                <w:szCs w:val="20"/>
              </w:rPr>
              <w:t xml:space="preserve"> noteikumos Nr.333</w:t>
            </w:r>
            <w:r w:rsidRPr="74DEFD04">
              <w:rPr>
                <w:rFonts w:ascii="Times New Roman" w:eastAsia="Times New Roman" w:hAnsi="Times New Roman" w:cs="Times New Roman"/>
                <w:b/>
                <w:bCs/>
                <w:sz w:val="20"/>
                <w:szCs w:val="20"/>
              </w:rPr>
              <w:t xml:space="preserve"> "Noteikumi par Latvijas būvnormatīvu LBN 201-15 "Būvju ugunsdrošība"</w:t>
            </w:r>
          </w:p>
        </w:tc>
        <w:tc>
          <w:tcPr>
            <w:tcW w:w="5265" w:type="dxa"/>
          </w:tcPr>
          <w:p w14:paraId="7EC1D412" w14:textId="75B3EA97" w:rsidR="74DEFD04" w:rsidRDefault="74DEFD04" w:rsidP="74DEFD04">
            <w:pPr>
              <w:jc w:val="both"/>
            </w:pPr>
            <w:r w:rsidRPr="74DEFD04">
              <w:rPr>
                <w:rFonts w:ascii="Times New Roman" w:eastAsia="Times New Roman" w:hAnsi="Times New Roman" w:cs="Times New Roman"/>
                <w:sz w:val="20"/>
                <w:szCs w:val="20"/>
              </w:rPr>
              <w:t>Precizēta terminoloģija atbilstoši Būvniecības likuma grozījumiem. Būvniecības likumā vairs netiek lietots jēdziens “pasūtītājs”, lai norādītu uz noteiktu subjektu. Līdz ar to atbilstoši tiek precizēts arī šis būvnormatīvs.</w:t>
            </w:r>
          </w:p>
        </w:tc>
        <w:tc>
          <w:tcPr>
            <w:tcW w:w="2842" w:type="dxa"/>
          </w:tcPr>
          <w:tbl>
            <w:tblPr>
              <w:tblW w:w="0" w:type="auto"/>
              <w:tblLayout w:type="fixed"/>
              <w:tblLook w:val="06A0" w:firstRow="1" w:lastRow="0" w:firstColumn="1" w:lastColumn="0" w:noHBand="1" w:noVBand="1"/>
            </w:tblPr>
            <w:tblGrid>
              <w:gridCol w:w="236"/>
              <w:gridCol w:w="2307"/>
            </w:tblGrid>
            <w:tr w:rsidR="74DEFD04" w14:paraId="228CF261" w14:textId="77777777" w:rsidTr="74DEFD04">
              <w:tc>
                <w:tcPr>
                  <w:tcW w:w="135" w:type="dxa"/>
                </w:tcPr>
                <w:p w14:paraId="6F564575" w14:textId="2241DED8" w:rsidR="74DEFD04" w:rsidRDefault="74DEFD04"/>
              </w:tc>
              <w:tc>
                <w:tcPr>
                  <w:tcW w:w="2307" w:type="dxa"/>
                </w:tcPr>
                <w:p w14:paraId="74A08873" w14:textId="3C5847C5" w:rsidR="74DEFD04" w:rsidRDefault="74DEFD04">
                  <w:r w:rsidRPr="74DEFD04">
                    <w:rPr>
                      <w:rFonts w:ascii="Times New Roman" w:eastAsia="Times New Roman" w:hAnsi="Times New Roman" w:cs="Times New Roman"/>
                      <w:b/>
                      <w:bCs/>
                      <w:sz w:val="20"/>
                      <w:szCs w:val="20"/>
                    </w:rPr>
                    <w:t>Stājās spēkā 27.04.2018</w:t>
                  </w:r>
                </w:p>
                <w:p w14:paraId="6689D42A" w14:textId="3058AF50" w:rsidR="74DEFD04" w:rsidRDefault="74DEFD04" w:rsidP="74DEFD04">
                  <w:pPr>
                    <w:jc w:val="both"/>
                  </w:pPr>
                  <w:r w:rsidRPr="74DEFD04">
                    <w:rPr>
                      <w:rFonts w:ascii="Times New Roman" w:eastAsia="Times New Roman" w:hAnsi="Times New Roman" w:cs="Times New Roman"/>
                      <w:sz w:val="20"/>
                      <w:szCs w:val="20"/>
                    </w:rPr>
                    <w:t xml:space="preserve">MK 24.04.2018. noteikumi Nr. 233 </w:t>
                  </w:r>
                </w:p>
                <w:p w14:paraId="6B72AD40" w14:textId="0F098586" w:rsidR="74DEFD04" w:rsidRDefault="74DEFD04">
                  <w:r w:rsidRPr="74DEFD04">
                    <w:rPr>
                      <w:rFonts w:ascii="Times New Roman" w:eastAsia="Times New Roman" w:hAnsi="Times New Roman" w:cs="Times New Roman"/>
                      <w:sz w:val="20"/>
                      <w:szCs w:val="20"/>
                    </w:rPr>
                    <w:t xml:space="preserve"> </w:t>
                  </w:r>
                </w:p>
              </w:tc>
            </w:tr>
          </w:tbl>
          <w:p w14:paraId="50AD8FAC" w14:textId="77777777" w:rsidR="74DEFD04" w:rsidRDefault="74DEFD04"/>
        </w:tc>
      </w:tr>
      <w:tr w:rsidR="74DEFD04" w14:paraId="049F76C0" w14:textId="77777777" w:rsidTr="5B2F13D4">
        <w:tc>
          <w:tcPr>
            <w:tcW w:w="900" w:type="dxa"/>
          </w:tcPr>
          <w:p w14:paraId="0E0435FC" w14:textId="124BE62D" w:rsidR="74DEFD04" w:rsidRDefault="74DEFD04" w:rsidP="74DEFD04">
            <w:pPr>
              <w:jc w:val="center"/>
            </w:pPr>
            <w:r w:rsidRPr="74DEFD04">
              <w:rPr>
                <w:rFonts w:ascii="Times New Roman" w:eastAsia="Times New Roman" w:hAnsi="Times New Roman" w:cs="Times New Roman"/>
                <w:sz w:val="20"/>
                <w:szCs w:val="20"/>
              </w:rPr>
              <w:t>14.</w:t>
            </w:r>
          </w:p>
        </w:tc>
        <w:tc>
          <w:tcPr>
            <w:tcW w:w="1830" w:type="dxa"/>
          </w:tcPr>
          <w:p w14:paraId="28AF863B" w14:textId="7BD1B9A6"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74F54D71" w14:textId="6F5A9F3B" w:rsidR="74DEFD04" w:rsidRDefault="74DEFD04">
            <w:r w:rsidRPr="74DEFD04">
              <w:rPr>
                <w:rFonts w:ascii="Times New Roman" w:eastAsia="Times New Roman" w:hAnsi="Times New Roman" w:cs="Times New Roman"/>
                <w:b/>
                <w:bCs/>
                <w:sz w:val="20"/>
                <w:szCs w:val="20"/>
              </w:rPr>
              <w:t xml:space="preserve">Grozījumi Ministru kabineta 2015.gada </w:t>
            </w:r>
            <w:proofErr w:type="gramStart"/>
            <w:r w:rsidRPr="74DEFD04">
              <w:rPr>
                <w:rFonts w:ascii="Times New Roman" w:eastAsia="Times New Roman" w:hAnsi="Times New Roman" w:cs="Times New Roman"/>
                <w:b/>
                <w:bCs/>
                <w:sz w:val="20"/>
                <w:szCs w:val="20"/>
              </w:rPr>
              <w:t>30.jūnija</w:t>
            </w:r>
            <w:proofErr w:type="gramEnd"/>
            <w:r w:rsidRPr="74DEFD04">
              <w:rPr>
                <w:rFonts w:ascii="Times New Roman" w:eastAsia="Times New Roman" w:hAnsi="Times New Roman" w:cs="Times New Roman"/>
                <w:b/>
                <w:bCs/>
                <w:sz w:val="20"/>
                <w:szCs w:val="20"/>
              </w:rPr>
              <w:t xml:space="preserve"> noteikumos Nr.333 "Noteikumi par Latvijas būvnormatīvu LBN 201-15 "Būvju ugunsdrošība"</w:t>
            </w:r>
          </w:p>
        </w:tc>
        <w:tc>
          <w:tcPr>
            <w:tcW w:w="5265" w:type="dxa"/>
          </w:tcPr>
          <w:p w14:paraId="1F8E70D3" w14:textId="1EDADE6A" w:rsidR="74DEFD04" w:rsidRDefault="74DEFD04" w:rsidP="74DEFD04">
            <w:pPr>
              <w:jc w:val="both"/>
            </w:pPr>
            <w:r w:rsidRPr="74DEFD04">
              <w:rPr>
                <w:rFonts w:ascii="Times New Roman" w:eastAsia="Times New Roman" w:hAnsi="Times New Roman" w:cs="Times New Roman"/>
                <w:sz w:val="20"/>
                <w:szCs w:val="20"/>
              </w:rPr>
              <w:t>Pilnveidotas ugunsdrošības prasības un novērstas praksē konstatētās nepilnības, ko konstatējuši Valsts ugunsdzēsības un glābšanas dienests, apkopojot tā Tehniskajās komisijās izskatītos jautājumus par atkāpju no būvnormatīvu ugunsdrošības prasībām un pieņemtos alternatīvos tehniskos risinājumus atbilstoši Būvniecības likuma 9.</w:t>
            </w:r>
            <w:r w:rsidRPr="74DEFD04">
              <w:rPr>
                <w:rFonts w:ascii="Times New Roman" w:eastAsia="Times New Roman" w:hAnsi="Times New Roman" w:cs="Times New Roman"/>
                <w:sz w:val="20"/>
                <w:szCs w:val="20"/>
                <w:vertAlign w:val="superscript"/>
              </w:rPr>
              <w:t xml:space="preserve">1 </w:t>
            </w:r>
            <w:r w:rsidRPr="74DEFD04">
              <w:rPr>
                <w:rFonts w:ascii="Times New Roman" w:eastAsia="Times New Roman" w:hAnsi="Times New Roman" w:cs="Times New Roman"/>
                <w:sz w:val="20"/>
                <w:szCs w:val="20"/>
              </w:rPr>
              <w:t xml:space="preserve">panta septītajai daļai, kā arī ņemot vērā būvspeciālistu ieteikumus ugunsdrošības jomā. </w:t>
            </w:r>
          </w:p>
          <w:p w14:paraId="65B85ED7" w14:textId="6B9E03A9" w:rsidR="74DEFD04" w:rsidRDefault="74DEFD04" w:rsidP="74DEFD04">
            <w:pPr>
              <w:jc w:val="both"/>
            </w:pPr>
            <w:r w:rsidRPr="74DEFD04">
              <w:rPr>
                <w:rFonts w:ascii="Times New Roman" w:eastAsia="Times New Roman" w:hAnsi="Times New Roman" w:cs="Times New Roman"/>
                <w:sz w:val="20"/>
                <w:szCs w:val="20"/>
              </w:rPr>
              <w:t xml:space="preserve"> </w:t>
            </w:r>
          </w:p>
        </w:tc>
        <w:tc>
          <w:tcPr>
            <w:tcW w:w="2842" w:type="dxa"/>
          </w:tcPr>
          <w:tbl>
            <w:tblPr>
              <w:tblW w:w="0" w:type="auto"/>
              <w:tblLayout w:type="fixed"/>
              <w:tblLook w:val="06A0" w:firstRow="1" w:lastRow="0" w:firstColumn="1" w:lastColumn="0" w:noHBand="1" w:noVBand="1"/>
            </w:tblPr>
            <w:tblGrid>
              <w:gridCol w:w="236"/>
              <w:gridCol w:w="2307"/>
            </w:tblGrid>
            <w:tr w:rsidR="74DEFD04" w14:paraId="7F8A8AAD" w14:textId="77777777" w:rsidTr="74DEFD04">
              <w:tc>
                <w:tcPr>
                  <w:tcW w:w="135" w:type="dxa"/>
                </w:tcPr>
                <w:p w14:paraId="076B0615" w14:textId="16ABDCA9" w:rsidR="74DEFD04" w:rsidRDefault="74DEFD04"/>
              </w:tc>
              <w:tc>
                <w:tcPr>
                  <w:tcW w:w="2307" w:type="dxa"/>
                </w:tcPr>
                <w:p w14:paraId="20BAA5D7" w14:textId="10432DEB" w:rsidR="74DEFD04" w:rsidRDefault="74DEFD04" w:rsidP="74DEFD04">
                  <w:pPr>
                    <w:jc w:val="both"/>
                  </w:pPr>
                  <w:r w:rsidRPr="74DEFD04">
                    <w:rPr>
                      <w:rFonts w:ascii="Times New Roman" w:eastAsia="Times New Roman" w:hAnsi="Times New Roman" w:cs="Times New Roman"/>
                      <w:b/>
                      <w:bCs/>
                      <w:sz w:val="20"/>
                      <w:szCs w:val="20"/>
                    </w:rPr>
                    <w:t>Stājās spēkā 15.09.2018</w:t>
                  </w:r>
                </w:p>
                <w:p w14:paraId="42C12C8F" w14:textId="67B01B3C" w:rsidR="74DEFD04" w:rsidRDefault="74DEFD04">
                  <w:r w:rsidRPr="74DEFD04">
                    <w:rPr>
                      <w:rFonts w:ascii="Times New Roman" w:eastAsia="Times New Roman" w:hAnsi="Times New Roman" w:cs="Times New Roman"/>
                      <w:sz w:val="20"/>
                      <w:szCs w:val="20"/>
                    </w:rPr>
                    <w:t>MK 11.09.2018. noteikumi Nr. 567</w:t>
                  </w:r>
                </w:p>
              </w:tc>
            </w:tr>
          </w:tbl>
          <w:p w14:paraId="63DF316D" w14:textId="77777777" w:rsidR="74DEFD04" w:rsidRDefault="74DEFD04"/>
        </w:tc>
      </w:tr>
      <w:tr w:rsidR="74DEFD04" w14:paraId="39350C7C" w14:textId="77777777" w:rsidTr="5B2F13D4">
        <w:tc>
          <w:tcPr>
            <w:tcW w:w="900" w:type="dxa"/>
          </w:tcPr>
          <w:p w14:paraId="42558EFA" w14:textId="52079E5D" w:rsidR="74DEFD04" w:rsidRDefault="74DEFD04" w:rsidP="74DEFD04">
            <w:pPr>
              <w:jc w:val="center"/>
            </w:pPr>
            <w:r w:rsidRPr="74DEFD04">
              <w:rPr>
                <w:rFonts w:ascii="Times New Roman" w:eastAsia="Times New Roman" w:hAnsi="Times New Roman" w:cs="Times New Roman"/>
                <w:sz w:val="20"/>
                <w:szCs w:val="20"/>
              </w:rPr>
              <w:t>15.</w:t>
            </w:r>
          </w:p>
        </w:tc>
        <w:tc>
          <w:tcPr>
            <w:tcW w:w="1830" w:type="dxa"/>
          </w:tcPr>
          <w:p w14:paraId="0AB33DF3" w14:textId="6ED9DCDF"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0C56C628" w14:textId="277E16B0" w:rsidR="74DEFD04" w:rsidRDefault="74DEFD04" w:rsidP="74DEFD04">
            <w:pPr>
              <w:jc w:val="both"/>
            </w:pPr>
            <w:r w:rsidRPr="74DEFD04">
              <w:rPr>
                <w:rFonts w:ascii="Times New Roman" w:eastAsia="Times New Roman" w:hAnsi="Times New Roman" w:cs="Times New Roman"/>
                <w:sz w:val="20"/>
                <w:szCs w:val="20"/>
              </w:rPr>
              <w:t>Grozījumi Ministru kabineta 2015.gada 28 jūlija noteikumos Nr.438</w:t>
            </w:r>
            <w:r w:rsidRPr="74DEFD04">
              <w:rPr>
                <w:rFonts w:ascii="Times New Roman" w:eastAsia="Times New Roman" w:hAnsi="Times New Roman" w:cs="Times New Roman"/>
                <w:b/>
                <w:bCs/>
                <w:sz w:val="20"/>
                <w:szCs w:val="20"/>
              </w:rPr>
              <w:t xml:space="preserve"> "Būvniecības informācijas sistēmas noteikumi"</w:t>
            </w:r>
          </w:p>
        </w:tc>
        <w:tc>
          <w:tcPr>
            <w:tcW w:w="5265" w:type="dxa"/>
          </w:tcPr>
          <w:p w14:paraId="1E9F5094" w14:textId="354DC1DE" w:rsidR="74DEFD04" w:rsidRDefault="74DEFD04" w:rsidP="74DEFD04">
            <w:pPr>
              <w:jc w:val="both"/>
            </w:pPr>
            <w:r w:rsidRPr="74DEFD04">
              <w:rPr>
                <w:rFonts w:ascii="Times New Roman" w:eastAsia="Times New Roman" w:hAnsi="Times New Roman" w:cs="Times New Roman"/>
                <w:sz w:val="20"/>
                <w:szCs w:val="20"/>
              </w:rPr>
              <w:t>Nosaka, kādu informāciju valsts uzturētās sistēmas nodod BIS un kādu saņem no BIS</w:t>
            </w:r>
          </w:p>
        </w:tc>
        <w:tc>
          <w:tcPr>
            <w:tcW w:w="2842" w:type="dxa"/>
          </w:tcPr>
          <w:p w14:paraId="0345C1A4" w14:textId="1D3F54EA" w:rsidR="74DEFD04" w:rsidRDefault="74DEFD04">
            <w:r w:rsidRPr="74DEFD04">
              <w:rPr>
                <w:rFonts w:ascii="Times New Roman" w:eastAsia="Times New Roman" w:hAnsi="Times New Roman" w:cs="Times New Roman"/>
                <w:sz w:val="28"/>
                <w:szCs w:val="28"/>
              </w:rPr>
              <w:t xml:space="preserve"> </w:t>
            </w:r>
          </w:p>
          <w:tbl>
            <w:tblPr>
              <w:tblW w:w="0" w:type="auto"/>
              <w:tblLayout w:type="fixed"/>
              <w:tblLook w:val="06A0" w:firstRow="1" w:lastRow="0" w:firstColumn="1" w:lastColumn="0" w:noHBand="1" w:noVBand="1"/>
            </w:tblPr>
            <w:tblGrid>
              <w:gridCol w:w="2442"/>
            </w:tblGrid>
            <w:tr w:rsidR="74DEFD04" w14:paraId="43340BF3" w14:textId="77777777" w:rsidTr="74DEFD04">
              <w:tc>
                <w:tcPr>
                  <w:tcW w:w="2442" w:type="dxa"/>
                </w:tcPr>
                <w:p w14:paraId="24D268DB" w14:textId="49949572" w:rsidR="74DEFD04" w:rsidRDefault="74DEFD04" w:rsidP="74DEFD04">
                  <w:pPr>
                    <w:jc w:val="both"/>
                  </w:pPr>
                  <w:r w:rsidRPr="74DEFD04">
                    <w:rPr>
                      <w:rFonts w:ascii="Times New Roman" w:eastAsia="Times New Roman" w:hAnsi="Times New Roman" w:cs="Times New Roman"/>
                      <w:b/>
                      <w:bCs/>
                      <w:sz w:val="20"/>
                      <w:szCs w:val="20"/>
                    </w:rPr>
                    <w:t>Stājās spēkā 12.10.2018</w:t>
                  </w:r>
                </w:p>
                <w:p w14:paraId="3112367D" w14:textId="1577E6E1" w:rsidR="74DEFD04" w:rsidRDefault="74DEFD04">
                  <w:r w:rsidRPr="74DEFD04">
                    <w:rPr>
                      <w:rFonts w:ascii="Times New Roman" w:eastAsia="Times New Roman" w:hAnsi="Times New Roman" w:cs="Times New Roman"/>
                      <w:sz w:val="20"/>
                      <w:szCs w:val="20"/>
                    </w:rPr>
                    <w:t>MK 09.10.2018. noteikumi Nr. 624</w:t>
                  </w:r>
                </w:p>
              </w:tc>
            </w:tr>
          </w:tbl>
          <w:p w14:paraId="38F0F416" w14:textId="617B0FB7" w:rsidR="74DEFD04" w:rsidRDefault="74DEFD04">
            <w:r w:rsidRPr="74DEFD04">
              <w:rPr>
                <w:rFonts w:ascii="Times New Roman" w:eastAsia="Times New Roman" w:hAnsi="Times New Roman" w:cs="Times New Roman"/>
                <w:sz w:val="28"/>
                <w:szCs w:val="28"/>
              </w:rPr>
              <w:t xml:space="preserve">                                                                                             </w:t>
            </w:r>
          </w:p>
          <w:p w14:paraId="5B6AC3F7" w14:textId="3484799A" w:rsidR="74DEFD04" w:rsidRDefault="74DEFD04">
            <w:r w:rsidRPr="74DEFD04">
              <w:rPr>
                <w:rFonts w:ascii="Times New Roman" w:eastAsia="Times New Roman" w:hAnsi="Times New Roman" w:cs="Times New Roman"/>
                <w:b/>
                <w:bCs/>
                <w:color w:val="2A2A2A"/>
                <w:sz w:val="19"/>
                <w:szCs w:val="19"/>
              </w:rPr>
              <w:t xml:space="preserve"> </w:t>
            </w:r>
          </w:p>
        </w:tc>
      </w:tr>
      <w:tr w:rsidR="74DEFD04" w14:paraId="50FA9C35" w14:textId="77777777" w:rsidTr="5B2F13D4">
        <w:tc>
          <w:tcPr>
            <w:tcW w:w="900" w:type="dxa"/>
          </w:tcPr>
          <w:p w14:paraId="3B8B0F50" w14:textId="1E426FFE" w:rsidR="74DEFD04" w:rsidRDefault="74DEFD04" w:rsidP="74DEFD04">
            <w:pPr>
              <w:jc w:val="center"/>
            </w:pPr>
            <w:r w:rsidRPr="74DEFD04">
              <w:rPr>
                <w:rFonts w:ascii="Times New Roman" w:eastAsia="Times New Roman" w:hAnsi="Times New Roman" w:cs="Times New Roman"/>
                <w:sz w:val="20"/>
                <w:szCs w:val="20"/>
              </w:rPr>
              <w:t>16.</w:t>
            </w:r>
          </w:p>
        </w:tc>
        <w:tc>
          <w:tcPr>
            <w:tcW w:w="1830" w:type="dxa"/>
          </w:tcPr>
          <w:p w14:paraId="4F132294" w14:textId="4A6A9696"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2D1A6C4E" w14:textId="4A9524F5" w:rsidR="74DEFD04" w:rsidRDefault="74DEFD04">
            <w:r w:rsidRPr="74DEFD04">
              <w:rPr>
                <w:rFonts w:ascii="Times New Roman" w:eastAsia="Times New Roman" w:hAnsi="Times New Roman" w:cs="Times New Roman"/>
                <w:b/>
                <w:bCs/>
                <w:sz w:val="20"/>
                <w:szCs w:val="20"/>
              </w:rPr>
              <w:t xml:space="preserve">1) </w:t>
            </w:r>
            <w:r w:rsidRPr="74DEFD04">
              <w:rPr>
                <w:rFonts w:ascii="Times New Roman" w:eastAsia="Times New Roman" w:hAnsi="Times New Roman" w:cs="Times New Roman"/>
                <w:sz w:val="20"/>
                <w:szCs w:val="20"/>
              </w:rPr>
              <w:t>Grozījumi Ministru kabineta 2014. gada 19. augusta noteikumos 31.Nr. 500</w:t>
            </w:r>
            <w:r w:rsidRPr="74DEFD04">
              <w:rPr>
                <w:rFonts w:ascii="Times New Roman" w:eastAsia="Times New Roman" w:hAnsi="Times New Roman" w:cs="Times New Roman"/>
                <w:b/>
                <w:bCs/>
                <w:sz w:val="20"/>
                <w:szCs w:val="20"/>
              </w:rPr>
              <w:t xml:space="preserve"> "Vispārīgie būvnoteikumi"</w:t>
            </w:r>
          </w:p>
          <w:p w14:paraId="6CDAAFBC" w14:textId="011B36D2" w:rsidR="74DEFD04" w:rsidRDefault="74DEFD04">
            <w:r w:rsidRPr="74DEFD04">
              <w:rPr>
                <w:rFonts w:ascii="Times New Roman" w:eastAsia="Times New Roman" w:hAnsi="Times New Roman" w:cs="Times New Roman"/>
                <w:b/>
                <w:bCs/>
                <w:sz w:val="20"/>
                <w:szCs w:val="20"/>
              </w:rPr>
              <w:t xml:space="preserve">2) </w:t>
            </w:r>
            <w:r w:rsidRPr="74DEFD04">
              <w:rPr>
                <w:rFonts w:ascii="Times New Roman" w:eastAsia="Times New Roman" w:hAnsi="Times New Roman" w:cs="Times New Roman"/>
                <w:sz w:val="20"/>
                <w:szCs w:val="20"/>
              </w:rPr>
              <w:t xml:space="preserve">Grozījumi Ministru kabineta 2014.gada </w:t>
            </w:r>
            <w:proofErr w:type="gramStart"/>
            <w:r w:rsidRPr="74DEFD04">
              <w:rPr>
                <w:rFonts w:ascii="Times New Roman" w:eastAsia="Times New Roman" w:hAnsi="Times New Roman" w:cs="Times New Roman"/>
                <w:sz w:val="20"/>
                <w:szCs w:val="20"/>
              </w:rPr>
              <w:t>14.oktobra</w:t>
            </w:r>
            <w:proofErr w:type="gramEnd"/>
            <w:r w:rsidRPr="74DEFD04">
              <w:rPr>
                <w:rFonts w:ascii="Times New Roman" w:eastAsia="Times New Roman" w:hAnsi="Times New Roman" w:cs="Times New Roman"/>
                <w:sz w:val="20"/>
                <w:szCs w:val="20"/>
              </w:rPr>
              <w:t xml:space="preserve"> noteikumos Nr.633 </w:t>
            </w:r>
            <w:r w:rsidRPr="74DEFD04">
              <w:rPr>
                <w:rFonts w:ascii="Times New Roman" w:eastAsia="Times New Roman" w:hAnsi="Times New Roman" w:cs="Times New Roman"/>
                <w:b/>
                <w:bCs/>
                <w:sz w:val="20"/>
                <w:szCs w:val="20"/>
              </w:rPr>
              <w:t xml:space="preserve">"Autoceļu un ielu būvnoteikumi" 3) 3) </w:t>
            </w:r>
            <w:r w:rsidRPr="74DEFD04">
              <w:rPr>
                <w:rFonts w:ascii="Times New Roman" w:eastAsia="Times New Roman" w:hAnsi="Times New Roman" w:cs="Times New Roman"/>
                <w:sz w:val="20"/>
                <w:szCs w:val="20"/>
              </w:rPr>
              <w:t>Grozījumi Ministru kabineta 2017.gada 9.maija noteikumos Nr.253</w:t>
            </w:r>
            <w:r w:rsidRPr="74DEFD04">
              <w:rPr>
                <w:rFonts w:ascii="Times New Roman" w:eastAsia="Times New Roman" w:hAnsi="Times New Roman" w:cs="Times New Roman"/>
                <w:b/>
                <w:bCs/>
                <w:sz w:val="20"/>
                <w:szCs w:val="20"/>
              </w:rPr>
              <w:t xml:space="preserve"> "Atsevišķu inženierbūvju būvnoteikumi"</w:t>
            </w:r>
          </w:p>
          <w:p w14:paraId="154FF08C" w14:textId="0A657D04" w:rsidR="74DEFD04" w:rsidRDefault="74DEFD04">
            <w:r w:rsidRPr="74DEFD04">
              <w:rPr>
                <w:rFonts w:ascii="Times New Roman" w:eastAsia="Times New Roman" w:hAnsi="Times New Roman" w:cs="Times New Roman"/>
                <w:b/>
                <w:bCs/>
                <w:sz w:val="20"/>
                <w:szCs w:val="20"/>
              </w:rPr>
              <w:t xml:space="preserve">4) Grozījumi Ministru kabineta 2014.gada </w:t>
            </w:r>
            <w:proofErr w:type="gramStart"/>
            <w:r w:rsidRPr="74DEFD04">
              <w:rPr>
                <w:rFonts w:ascii="Times New Roman" w:eastAsia="Times New Roman" w:hAnsi="Times New Roman" w:cs="Times New Roman"/>
                <w:b/>
                <w:bCs/>
                <w:sz w:val="20"/>
                <w:szCs w:val="20"/>
              </w:rPr>
              <w:t>2.septembra</w:t>
            </w:r>
            <w:proofErr w:type="gramEnd"/>
            <w:r w:rsidRPr="74DEFD04">
              <w:rPr>
                <w:rFonts w:ascii="Times New Roman" w:eastAsia="Times New Roman" w:hAnsi="Times New Roman" w:cs="Times New Roman"/>
                <w:b/>
                <w:bCs/>
                <w:sz w:val="20"/>
                <w:szCs w:val="20"/>
              </w:rPr>
              <w:t xml:space="preserve"> noteikumos Nr.529 "Ēku būvnoteikumi”</w:t>
            </w:r>
          </w:p>
          <w:p w14:paraId="67E73C61" w14:textId="09726B1D" w:rsidR="74DEFD04" w:rsidRDefault="74DEFD04">
            <w:r w:rsidRPr="74DEFD04">
              <w:rPr>
                <w:rFonts w:ascii="Times New Roman" w:eastAsia="Times New Roman" w:hAnsi="Times New Roman" w:cs="Times New Roman"/>
                <w:b/>
                <w:bCs/>
                <w:sz w:val="20"/>
                <w:szCs w:val="20"/>
              </w:rPr>
              <w:lastRenderedPageBreak/>
              <w:t xml:space="preserve">5) Grozījumi Ministru kabineta 2015.gada </w:t>
            </w:r>
            <w:proofErr w:type="gramStart"/>
            <w:r w:rsidRPr="74DEFD04">
              <w:rPr>
                <w:rFonts w:ascii="Times New Roman" w:eastAsia="Times New Roman" w:hAnsi="Times New Roman" w:cs="Times New Roman"/>
                <w:b/>
                <w:bCs/>
                <w:sz w:val="20"/>
                <w:szCs w:val="20"/>
              </w:rPr>
              <w:t>24.novembra</w:t>
            </w:r>
            <w:proofErr w:type="gramEnd"/>
            <w:r w:rsidRPr="74DEFD04">
              <w:rPr>
                <w:rFonts w:ascii="Times New Roman" w:eastAsia="Times New Roman" w:hAnsi="Times New Roman" w:cs="Times New Roman"/>
                <w:b/>
                <w:bCs/>
                <w:sz w:val="20"/>
                <w:szCs w:val="20"/>
              </w:rPr>
              <w:t xml:space="preserve"> noteikumos Nr.661 "Ar radiācijas drošību saistīto būvju būvnoteikumi"</w:t>
            </w:r>
          </w:p>
          <w:p w14:paraId="213D25AD" w14:textId="6BD7B554" w:rsidR="74DEFD04" w:rsidRDefault="74DEFD04">
            <w:r w:rsidRPr="74DEFD04">
              <w:rPr>
                <w:rFonts w:ascii="Times New Roman" w:eastAsia="Times New Roman" w:hAnsi="Times New Roman" w:cs="Times New Roman"/>
                <w:b/>
                <w:bCs/>
                <w:sz w:val="20"/>
                <w:szCs w:val="20"/>
              </w:rPr>
              <w:t xml:space="preserve">6) Grozījumi Ministru kabineta 2014.gada </w:t>
            </w:r>
            <w:proofErr w:type="gramStart"/>
            <w:r w:rsidRPr="74DEFD04">
              <w:rPr>
                <w:rFonts w:ascii="Times New Roman" w:eastAsia="Times New Roman" w:hAnsi="Times New Roman" w:cs="Times New Roman"/>
                <w:b/>
                <w:bCs/>
                <w:sz w:val="20"/>
                <w:szCs w:val="20"/>
              </w:rPr>
              <w:t>16.septembra</w:t>
            </w:r>
            <w:proofErr w:type="gramEnd"/>
            <w:r w:rsidRPr="74DEFD04">
              <w:rPr>
                <w:rFonts w:ascii="Times New Roman" w:eastAsia="Times New Roman" w:hAnsi="Times New Roman" w:cs="Times New Roman"/>
                <w:b/>
                <w:bCs/>
                <w:sz w:val="20"/>
                <w:szCs w:val="20"/>
              </w:rPr>
              <w:t xml:space="preserve"> noteikumos Nr.550 "Hidrotehnisko un meliorācijas būvju būvnoteikumi"</w:t>
            </w:r>
          </w:p>
          <w:p w14:paraId="38D36B72" w14:textId="24C8EA33" w:rsidR="74DEFD04" w:rsidRDefault="74DEFD04">
            <w:r w:rsidRPr="74DEFD04">
              <w:rPr>
                <w:rFonts w:ascii="Times New Roman" w:eastAsia="Times New Roman" w:hAnsi="Times New Roman" w:cs="Times New Roman"/>
                <w:b/>
                <w:bCs/>
                <w:sz w:val="20"/>
                <w:szCs w:val="20"/>
              </w:rPr>
              <w:t xml:space="preserve">7) Grozījumi Ministru kabineta 2014. gada 2. septembra noteikumos Nr. 530 "Dzelzceļa būvnoteikumi" </w:t>
            </w:r>
          </w:p>
          <w:p w14:paraId="03B7A649" w14:textId="1CEA102E" w:rsidR="74DEFD04" w:rsidRDefault="74DEFD04">
            <w:r w:rsidRPr="74DEFD04">
              <w:rPr>
                <w:rFonts w:ascii="Times New Roman" w:eastAsia="Times New Roman" w:hAnsi="Times New Roman" w:cs="Times New Roman"/>
                <w:b/>
                <w:bCs/>
                <w:sz w:val="20"/>
                <w:szCs w:val="20"/>
              </w:rPr>
              <w:t>8) Grozījumi Ministru kabineta 2014. gada 19. augusta noteikumos Nr. 501 "Elektronisko sakaru tīklu ierīkošanas, būvniecības un uzraudzības kārtība"</w:t>
            </w:r>
          </w:p>
          <w:p w14:paraId="0997F666" w14:textId="7C2A22C6" w:rsidR="74DEFD04" w:rsidRDefault="74DEFD04">
            <w:r w:rsidRPr="74DEFD04">
              <w:rPr>
                <w:rFonts w:ascii="Times New Roman" w:eastAsia="Times New Roman" w:hAnsi="Times New Roman" w:cs="Times New Roman"/>
                <w:b/>
                <w:bCs/>
                <w:sz w:val="20"/>
                <w:szCs w:val="20"/>
              </w:rPr>
              <w:t>9) Grozījumi Ministru kabineta 2014. gada 30. septembra noteikumos Nr. 573 "Elektroenerģijas ražošanas, pārvades un sadales būvju būvnoteikumi</w:t>
            </w:r>
          </w:p>
          <w:p w14:paraId="0C57E3CC" w14:textId="6E3571A3" w:rsidR="74DEFD04" w:rsidRDefault="74DEFD04">
            <w:r w:rsidRPr="74DEFD04">
              <w:rPr>
                <w:b/>
                <w:bCs/>
                <w:sz w:val="20"/>
                <w:szCs w:val="20"/>
              </w:rPr>
              <w:t>10) Grozījumi Ministru kabineta 2014. gada 14. oktobra noteikumos Nr. 631 "Latvijas Republikas iekšējo jūras ūdeņu, teritoriālās jūras un ekskluzīvās ekonomiskās zonas būvju būvnoteikumi"</w:t>
            </w:r>
          </w:p>
          <w:p w14:paraId="798F1E4E" w14:textId="39C19707" w:rsidR="74DEFD04" w:rsidRDefault="74DEFD04">
            <w:r w:rsidRPr="74DEFD04">
              <w:rPr>
                <w:rFonts w:ascii="Times New Roman" w:eastAsia="Times New Roman" w:hAnsi="Times New Roman" w:cs="Times New Roman"/>
                <w:b/>
                <w:bCs/>
                <w:sz w:val="20"/>
                <w:szCs w:val="20"/>
              </w:rPr>
              <w:t xml:space="preserve"> </w:t>
            </w:r>
          </w:p>
        </w:tc>
        <w:tc>
          <w:tcPr>
            <w:tcW w:w="5265" w:type="dxa"/>
          </w:tcPr>
          <w:p w14:paraId="56499BE2" w14:textId="1226402C" w:rsidR="74DEFD04" w:rsidRDefault="74DEFD04" w:rsidP="74DEFD04">
            <w:pPr>
              <w:jc w:val="both"/>
            </w:pPr>
            <w:r w:rsidRPr="74DEFD04">
              <w:rPr>
                <w:rFonts w:ascii="Times New Roman" w:eastAsia="Times New Roman" w:hAnsi="Times New Roman" w:cs="Times New Roman"/>
                <w:sz w:val="20"/>
                <w:szCs w:val="20"/>
              </w:rPr>
              <w:lastRenderedPageBreak/>
              <w:t>Lai veicinātu pāreju uz elektronisku būvniecības procesa realizāciju un nodrošinātu vienveidīgu nepieciešamās dokumentācijas sagatavošanu un iesniegšanu būvniecības informācijas sistēmā, izstrādāti 10 noteikumi, kuros:</w:t>
            </w:r>
          </w:p>
          <w:p w14:paraId="571AD003" w14:textId="32F584C5" w:rsidR="74DEFD04" w:rsidRDefault="74DEFD04" w:rsidP="74DEFD04">
            <w:pPr>
              <w:jc w:val="both"/>
            </w:pPr>
            <w:r w:rsidRPr="74DEFD04">
              <w:rPr>
                <w:rFonts w:ascii="Times New Roman" w:eastAsia="Times New Roman" w:hAnsi="Times New Roman" w:cs="Times New Roman"/>
                <w:sz w:val="20"/>
                <w:szCs w:val="20"/>
              </w:rPr>
              <w:t xml:space="preserve">- aizstātas </w:t>
            </w:r>
            <w:proofErr w:type="gramStart"/>
            <w:r w:rsidRPr="74DEFD04">
              <w:rPr>
                <w:rFonts w:ascii="Times New Roman" w:eastAsia="Times New Roman" w:hAnsi="Times New Roman" w:cs="Times New Roman"/>
                <w:sz w:val="20"/>
                <w:szCs w:val="20"/>
              </w:rPr>
              <w:t>speciālajos  būvnoteikumos</w:t>
            </w:r>
            <w:proofErr w:type="gramEnd"/>
            <w:r w:rsidRPr="74DEFD04">
              <w:rPr>
                <w:rFonts w:ascii="Times New Roman" w:eastAsia="Times New Roman" w:hAnsi="Times New Roman" w:cs="Times New Roman"/>
                <w:sz w:val="20"/>
                <w:szCs w:val="20"/>
              </w:rPr>
              <w:t xml:space="preserve"> esošās pielikumu veidlapas ar attiecīgu dokumenta satura informāciju – vienveidojot būvniecības ieceres iesniegumu un citu dokumentu saturu;</w:t>
            </w:r>
          </w:p>
          <w:p w14:paraId="4427C18A" w14:textId="13A2FA88" w:rsidR="74DEFD04" w:rsidRDefault="74DEFD04" w:rsidP="74DEFD04">
            <w:pPr>
              <w:jc w:val="both"/>
            </w:pPr>
            <w:r w:rsidRPr="74DEFD04">
              <w:rPr>
                <w:rFonts w:ascii="Times New Roman" w:eastAsia="Times New Roman" w:hAnsi="Times New Roman" w:cs="Times New Roman"/>
                <w:sz w:val="20"/>
                <w:szCs w:val="20"/>
              </w:rPr>
              <w:t>- svītrotas prasības būvspeciālistu apliecinājumiem un saistību rakstu iesniegšanai;</w:t>
            </w:r>
          </w:p>
          <w:p w14:paraId="7E98D9DA" w14:textId="1F648D4C" w:rsidR="74DEFD04" w:rsidRDefault="74DEFD04" w:rsidP="74DEFD04">
            <w:pPr>
              <w:jc w:val="both"/>
            </w:pPr>
            <w:r w:rsidRPr="74DEFD04">
              <w:rPr>
                <w:rFonts w:ascii="Times New Roman" w:eastAsia="Times New Roman" w:hAnsi="Times New Roman" w:cs="Times New Roman"/>
                <w:sz w:val="20"/>
                <w:szCs w:val="20"/>
              </w:rPr>
              <w:t>- precizēta būvdarbu žurnāla aizpildīšana, atsakoties no atsevišķa autoruzraudzības žurnāla;</w:t>
            </w:r>
          </w:p>
          <w:p w14:paraId="66A886ED" w14:textId="6F8D4266" w:rsidR="74DEFD04" w:rsidRDefault="74DEFD04" w:rsidP="74DEFD04">
            <w:pPr>
              <w:jc w:val="both"/>
            </w:pPr>
            <w:r w:rsidRPr="74DEFD04">
              <w:rPr>
                <w:rFonts w:ascii="Times New Roman" w:eastAsia="Times New Roman" w:hAnsi="Times New Roman" w:cs="Times New Roman"/>
                <w:sz w:val="20"/>
                <w:szCs w:val="20"/>
              </w:rPr>
              <w:lastRenderedPageBreak/>
              <w:t>- svītrota prasība saņemt būvprojekta izstrādātāja atzinuma, ja nav veikta autoruzraudzība.</w:t>
            </w:r>
          </w:p>
          <w:p w14:paraId="2E476A1C" w14:textId="759A8CAE" w:rsidR="74DEFD04" w:rsidRDefault="74DEFD04" w:rsidP="74DEFD04">
            <w:pPr>
              <w:jc w:val="both"/>
            </w:pPr>
            <w:r w:rsidRPr="74DEFD04">
              <w:rPr>
                <w:rFonts w:ascii="Times New Roman" w:eastAsia="Times New Roman" w:hAnsi="Times New Roman" w:cs="Times New Roman"/>
                <w:sz w:val="20"/>
                <w:szCs w:val="20"/>
              </w:rPr>
              <w:t>Precizēta arī terminoloģija atbilstoši Būvniecības likuma grozījumiem. Būvniecības likumā vairs netiek lietots jēdziens “pasūtītājs”, lai norādītu uz noteiktu subjektu.</w:t>
            </w:r>
          </w:p>
        </w:tc>
        <w:tc>
          <w:tcPr>
            <w:tcW w:w="2842" w:type="dxa"/>
          </w:tcPr>
          <w:p w14:paraId="5CF3315C" w14:textId="7140AFB4" w:rsidR="74DEFD04" w:rsidRDefault="74DEFD04" w:rsidP="74DEFD04">
            <w:pPr>
              <w:jc w:val="both"/>
            </w:pPr>
            <w:r w:rsidRPr="74DEFD04">
              <w:rPr>
                <w:rFonts w:ascii="Times New Roman" w:eastAsia="Times New Roman" w:hAnsi="Times New Roman" w:cs="Times New Roman"/>
                <w:b/>
                <w:bCs/>
                <w:sz w:val="20"/>
                <w:szCs w:val="20"/>
              </w:rPr>
              <w:lastRenderedPageBreak/>
              <w:t>Stājās spēkā 28.09.2018</w:t>
            </w:r>
          </w:p>
          <w:p w14:paraId="5229524B" w14:textId="2A00D769" w:rsidR="74DEFD04" w:rsidRDefault="74DEFD04">
            <w:r w:rsidRPr="74DEFD04">
              <w:rPr>
                <w:rFonts w:ascii="Times New Roman" w:eastAsia="Times New Roman" w:hAnsi="Times New Roman" w:cs="Times New Roman"/>
                <w:b/>
                <w:bCs/>
                <w:color w:val="2A2A2A"/>
                <w:sz w:val="19"/>
                <w:szCs w:val="19"/>
                <w:highlight w:val="yellow"/>
              </w:rPr>
              <w:t xml:space="preserve"> </w:t>
            </w:r>
          </w:p>
        </w:tc>
      </w:tr>
      <w:tr w:rsidR="74DEFD04" w14:paraId="70D42F86" w14:textId="77777777" w:rsidTr="5B2F13D4">
        <w:tc>
          <w:tcPr>
            <w:tcW w:w="900" w:type="dxa"/>
          </w:tcPr>
          <w:p w14:paraId="054153AC" w14:textId="18105AD8" w:rsidR="74DEFD04" w:rsidRDefault="74DEFD04" w:rsidP="74DEFD04">
            <w:pPr>
              <w:jc w:val="center"/>
            </w:pPr>
            <w:r w:rsidRPr="74DEFD04">
              <w:rPr>
                <w:rFonts w:ascii="Times New Roman" w:eastAsia="Times New Roman" w:hAnsi="Times New Roman" w:cs="Times New Roman"/>
                <w:sz w:val="20"/>
                <w:szCs w:val="20"/>
              </w:rPr>
              <w:t>17.</w:t>
            </w:r>
          </w:p>
        </w:tc>
        <w:tc>
          <w:tcPr>
            <w:tcW w:w="1830" w:type="dxa"/>
          </w:tcPr>
          <w:p w14:paraId="5DF6040E" w14:textId="007AF9B5"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26479935" w14:textId="06AB07C1" w:rsidR="74DEFD04" w:rsidRDefault="74DEFD04">
            <w:r w:rsidRPr="74DEFD04">
              <w:rPr>
                <w:b/>
                <w:bCs/>
                <w:i/>
                <w:iCs/>
                <w:sz w:val="20"/>
                <w:szCs w:val="20"/>
              </w:rPr>
              <w:t xml:space="preserve">“Grozījumi Ministru kabineta 2014.gada </w:t>
            </w:r>
            <w:proofErr w:type="gramStart"/>
            <w:r w:rsidRPr="74DEFD04">
              <w:rPr>
                <w:b/>
                <w:bCs/>
                <w:i/>
                <w:iCs/>
                <w:sz w:val="20"/>
                <w:szCs w:val="20"/>
              </w:rPr>
              <w:t>25.marta</w:t>
            </w:r>
            <w:proofErr w:type="gramEnd"/>
            <w:r w:rsidRPr="74DEFD04">
              <w:rPr>
                <w:b/>
                <w:bCs/>
                <w:i/>
                <w:iCs/>
                <w:sz w:val="20"/>
                <w:szCs w:val="20"/>
              </w:rPr>
              <w:t xml:space="preserve"> noteikumos Nr.156 “Būvizstrādājumu tirgus uzraudzības kārtība””</w:t>
            </w:r>
          </w:p>
        </w:tc>
        <w:tc>
          <w:tcPr>
            <w:tcW w:w="5265" w:type="dxa"/>
          </w:tcPr>
          <w:p w14:paraId="4E5B82C9" w14:textId="00C735BC" w:rsidR="74DEFD04" w:rsidRDefault="74DEFD04" w:rsidP="74DEFD04">
            <w:pPr>
              <w:spacing w:line="252" w:lineRule="auto"/>
            </w:pPr>
            <w:r w:rsidRPr="74DEFD04">
              <w:rPr>
                <w:rFonts w:ascii="Times New Roman" w:eastAsia="Times New Roman" w:hAnsi="Times New Roman" w:cs="Times New Roman"/>
                <w:sz w:val="20"/>
                <w:szCs w:val="20"/>
              </w:rPr>
              <w:t>Ar noteikumu grozījumiem tika svītrota dublējoša norma - apakšpunkts, kas noteica identiskas informācijas par stiegrojuma tērauda atbilstības apliecināšanu sniegšanas nepieciešamību. Ar noteikumu grozījumiem stiegrojuma tērauda ražotājiem un piegādātājiem tika samazināts sniedzamo dokumentu skaits.</w:t>
            </w:r>
          </w:p>
        </w:tc>
        <w:tc>
          <w:tcPr>
            <w:tcW w:w="2842" w:type="dxa"/>
          </w:tcPr>
          <w:p w14:paraId="7BC8CB99" w14:textId="4DD8A5EF" w:rsidR="74DEFD04" w:rsidRDefault="74DEFD04" w:rsidP="74DEFD04">
            <w:pPr>
              <w:jc w:val="both"/>
            </w:pPr>
            <w:r w:rsidRPr="74DEFD04">
              <w:rPr>
                <w:rFonts w:ascii="Times New Roman" w:eastAsia="Times New Roman" w:hAnsi="Times New Roman" w:cs="Times New Roman"/>
                <w:b/>
                <w:bCs/>
                <w:sz w:val="20"/>
                <w:szCs w:val="20"/>
              </w:rPr>
              <w:t>Stājās spēkā 05.10.2018</w:t>
            </w:r>
          </w:p>
          <w:p w14:paraId="78E704AF" w14:textId="2CF87004" w:rsidR="74DEFD04" w:rsidRDefault="74DEFD04" w:rsidP="74DEFD04">
            <w:pPr>
              <w:jc w:val="both"/>
            </w:pPr>
            <w:r w:rsidRPr="74DEFD04">
              <w:rPr>
                <w:rFonts w:ascii="Times New Roman" w:eastAsia="Times New Roman" w:hAnsi="Times New Roman" w:cs="Times New Roman"/>
                <w:sz w:val="20"/>
                <w:szCs w:val="20"/>
              </w:rPr>
              <w:t>MK 02.10.2018. noteikumi Nr. 615</w:t>
            </w:r>
          </w:p>
        </w:tc>
      </w:tr>
      <w:tr w:rsidR="74DEFD04" w14:paraId="267F0CEE" w14:textId="77777777" w:rsidTr="5B2F13D4">
        <w:tc>
          <w:tcPr>
            <w:tcW w:w="900" w:type="dxa"/>
          </w:tcPr>
          <w:p w14:paraId="4540983C" w14:textId="23074448" w:rsidR="74DEFD04" w:rsidRDefault="74DEFD04" w:rsidP="74DEFD04">
            <w:pPr>
              <w:jc w:val="center"/>
            </w:pPr>
            <w:r w:rsidRPr="74DEFD04">
              <w:rPr>
                <w:rFonts w:ascii="Times New Roman" w:eastAsia="Times New Roman" w:hAnsi="Times New Roman" w:cs="Times New Roman"/>
                <w:sz w:val="20"/>
                <w:szCs w:val="20"/>
              </w:rPr>
              <w:t>18.</w:t>
            </w:r>
          </w:p>
        </w:tc>
        <w:tc>
          <w:tcPr>
            <w:tcW w:w="1830" w:type="dxa"/>
          </w:tcPr>
          <w:p w14:paraId="6467E0B1" w14:textId="2AF2072D"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13EFDD98" w14:textId="7D869B25" w:rsidR="74DEFD04" w:rsidRDefault="74DEFD04">
            <w:r w:rsidRPr="74DEFD04">
              <w:rPr>
                <w:rFonts w:ascii="Times New Roman" w:eastAsia="Times New Roman" w:hAnsi="Times New Roman" w:cs="Times New Roman"/>
                <w:b/>
                <w:bCs/>
                <w:sz w:val="20"/>
                <w:szCs w:val="20"/>
              </w:rPr>
              <w:t xml:space="preserve">Grozījumi Ministru kabineta 2014.gada </w:t>
            </w:r>
            <w:proofErr w:type="gramStart"/>
            <w:r w:rsidRPr="74DEFD04">
              <w:rPr>
                <w:rFonts w:ascii="Times New Roman" w:eastAsia="Times New Roman" w:hAnsi="Times New Roman" w:cs="Times New Roman"/>
                <w:b/>
                <w:bCs/>
                <w:sz w:val="20"/>
                <w:szCs w:val="20"/>
              </w:rPr>
              <w:t>26.augusta</w:t>
            </w:r>
            <w:proofErr w:type="gramEnd"/>
            <w:r w:rsidRPr="74DEFD04">
              <w:rPr>
                <w:rFonts w:ascii="Times New Roman" w:eastAsia="Times New Roman" w:hAnsi="Times New Roman" w:cs="Times New Roman"/>
                <w:b/>
                <w:bCs/>
                <w:sz w:val="20"/>
                <w:szCs w:val="20"/>
              </w:rPr>
              <w:t xml:space="preserve"> noteikumos Nr.513 "Latvijas Būvniecības padomes izveidošanas un darbības kārtība"</w:t>
            </w:r>
          </w:p>
        </w:tc>
        <w:tc>
          <w:tcPr>
            <w:tcW w:w="5265" w:type="dxa"/>
          </w:tcPr>
          <w:p w14:paraId="373A616F" w14:textId="2DE87125" w:rsidR="74DEFD04" w:rsidRDefault="74DEFD04" w:rsidP="74DEFD04">
            <w:pPr>
              <w:jc w:val="both"/>
            </w:pPr>
            <w:r w:rsidRPr="74DEFD04">
              <w:rPr>
                <w:rFonts w:ascii="Times New Roman" w:eastAsia="Times New Roman" w:hAnsi="Times New Roman" w:cs="Times New Roman"/>
                <w:sz w:val="20"/>
                <w:szCs w:val="20"/>
              </w:rPr>
              <w:t xml:space="preserve">Noteikumu </w:t>
            </w:r>
            <w:proofErr w:type="gramStart"/>
            <w:r w:rsidRPr="74DEFD04">
              <w:rPr>
                <w:rFonts w:ascii="Times New Roman" w:eastAsia="Times New Roman" w:hAnsi="Times New Roman" w:cs="Times New Roman"/>
                <w:sz w:val="20"/>
                <w:szCs w:val="20"/>
              </w:rPr>
              <w:t>6.punktā</w:t>
            </w:r>
            <w:proofErr w:type="gramEnd"/>
            <w:r w:rsidRPr="74DEFD04">
              <w:rPr>
                <w:rFonts w:ascii="Times New Roman" w:eastAsia="Times New Roman" w:hAnsi="Times New Roman" w:cs="Times New Roman"/>
                <w:sz w:val="20"/>
                <w:szCs w:val="20"/>
              </w:rPr>
              <w:t xml:space="preserve"> tiek izdarīt grozījumi, nosakot, ka Padomes sastāva izmaiņas veic reizi trijos gados, ne reizi gadā, kā līdz šim. Noteikumu grozījumos paredzētais trīs gadu termiņš nav attiecināms uz esošo padomes sastāvu, bet gan attiecināms uz jauno padomes sastāvu, kas tiks veidots pēc 2018.gada </w:t>
            </w:r>
            <w:proofErr w:type="gramStart"/>
            <w:r w:rsidRPr="74DEFD04">
              <w:rPr>
                <w:rFonts w:ascii="Times New Roman" w:eastAsia="Times New Roman" w:hAnsi="Times New Roman" w:cs="Times New Roman"/>
                <w:sz w:val="20"/>
                <w:szCs w:val="20"/>
              </w:rPr>
              <w:t>1.novembra</w:t>
            </w:r>
            <w:proofErr w:type="gramEnd"/>
            <w:r w:rsidRPr="74DEFD04">
              <w:rPr>
                <w:rFonts w:ascii="Times New Roman" w:eastAsia="Times New Roman" w:hAnsi="Times New Roman" w:cs="Times New Roman"/>
                <w:sz w:val="20"/>
                <w:szCs w:val="20"/>
              </w:rPr>
              <w:t>. Šādi netiek ietekmētas attiecības, kas radušās līdz attiecīgo noteikumu spēkā stāšanās brīdim. Tiks mazināts administratīvais slogs un nodrošināta padomes darba nepārtrauktība.</w:t>
            </w:r>
          </w:p>
          <w:p w14:paraId="1C9852DE" w14:textId="142DC164" w:rsidR="74DEFD04" w:rsidRDefault="74DEFD04" w:rsidP="74DEFD04">
            <w:pPr>
              <w:jc w:val="both"/>
            </w:pPr>
            <w:r w:rsidRPr="74DEFD04">
              <w:rPr>
                <w:rFonts w:ascii="Times New Roman" w:eastAsia="Times New Roman" w:hAnsi="Times New Roman" w:cs="Times New Roman"/>
                <w:sz w:val="20"/>
                <w:szCs w:val="20"/>
              </w:rPr>
              <w:t xml:space="preserve"> </w:t>
            </w:r>
          </w:p>
        </w:tc>
        <w:tc>
          <w:tcPr>
            <w:tcW w:w="2842" w:type="dxa"/>
          </w:tcPr>
          <w:p w14:paraId="11D036E4" w14:textId="0AFE04AC" w:rsidR="74DEFD04" w:rsidRDefault="74DEFD04" w:rsidP="74DEFD04">
            <w:pPr>
              <w:jc w:val="both"/>
            </w:pPr>
            <w:r w:rsidRPr="74DEFD04">
              <w:rPr>
                <w:rFonts w:ascii="Times New Roman" w:eastAsia="Times New Roman" w:hAnsi="Times New Roman" w:cs="Times New Roman"/>
                <w:b/>
                <w:bCs/>
                <w:sz w:val="20"/>
                <w:szCs w:val="20"/>
              </w:rPr>
              <w:t>Stājās spēkā 26.10.2018.</w:t>
            </w:r>
          </w:p>
        </w:tc>
      </w:tr>
      <w:tr w:rsidR="74DEFD04" w14:paraId="41E5CBE8" w14:textId="77777777" w:rsidTr="5B2F13D4">
        <w:tc>
          <w:tcPr>
            <w:tcW w:w="900" w:type="dxa"/>
          </w:tcPr>
          <w:p w14:paraId="2B41E5D7" w14:textId="6D345CC7" w:rsidR="74DEFD04" w:rsidRDefault="74DEFD04" w:rsidP="74DEFD04">
            <w:pPr>
              <w:jc w:val="center"/>
            </w:pPr>
            <w:r w:rsidRPr="74DEFD04">
              <w:rPr>
                <w:rFonts w:ascii="Times New Roman" w:eastAsia="Times New Roman" w:hAnsi="Times New Roman" w:cs="Times New Roman"/>
                <w:sz w:val="20"/>
                <w:szCs w:val="20"/>
              </w:rPr>
              <w:lastRenderedPageBreak/>
              <w:t>19.</w:t>
            </w:r>
          </w:p>
        </w:tc>
        <w:tc>
          <w:tcPr>
            <w:tcW w:w="1830" w:type="dxa"/>
          </w:tcPr>
          <w:p w14:paraId="368DD325" w14:textId="1DD8A9B4" w:rsidR="74DEFD04" w:rsidRDefault="74DEFD04" w:rsidP="74DEFD04">
            <w:pPr>
              <w:jc w:val="both"/>
            </w:pPr>
            <w:r w:rsidRPr="74DEFD04">
              <w:rPr>
                <w:rFonts w:ascii="Times New Roman" w:eastAsia="Times New Roman" w:hAnsi="Times New Roman" w:cs="Times New Roman"/>
                <w:sz w:val="20"/>
                <w:szCs w:val="20"/>
              </w:rPr>
              <w:t>Likums</w:t>
            </w:r>
          </w:p>
        </w:tc>
        <w:tc>
          <w:tcPr>
            <w:tcW w:w="3690" w:type="dxa"/>
          </w:tcPr>
          <w:p w14:paraId="2738942D" w14:textId="3BE497E6" w:rsidR="74DEFD04" w:rsidRDefault="74DEFD04" w:rsidP="74DEFD04">
            <w:pPr>
              <w:spacing w:line="252" w:lineRule="auto"/>
            </w:pPr>
            <w:r w:rsidRPr="74DEFD04">
              <w:rPr>
                <w:rFonts w:ascii="Times New Roman" w:eastAsia="Times New Roman" w:hAnsi="Times New Roman" w:cs="Times New Roman"/>
                <w:sz w:val="20"/>
                <w:szCs w:val="20"/>
              </w:rPr>
              <w:t xml:space="preserve">Grozījumi </w:t>
            </w:r>
            <w:r w:rsidRPr="74DEFD04">
              <w:rPr>
                <w:rFonts w:ascii="Times New Roman" w:eastAsia="Times New Roman" w:hAnsi="Times New Roman" w:cs="Times New Roman"/>
                <w:b/>
                <w:bCs/>
                <w:sz w:val="20"/>
                <w:szCs w:val="20"/>
              </w:rPr>
              <w:t>Būvniecības likumā</w:t>
            </w:r>
            <w:r w:rsidRPr="74DEFD04">
              <w:rPr>
                <w:rFonts w:ascii="Times New Roman" w:eastAsia="Times New Roman" w:hAnsi="Times New Roman" w:cs="Times New Roman"/>
                <w:sz w:val="20"/>
                <w:szCs w:val="20"/>
              </w:rPr>
              <w:t xml:space="preserve"> (elektroniskais process)</w:t>
            </w:r>
          </w:p>
        </w:tc>
        <w:tc>
          <w:tcPr>
            <w:tcW w:w="5265" w:type="dxa"/>
          </w:tcPr>
          <w:p w14:paraId="1E669566" w14:textId="736D1F11" w:rsidR="74DEFD04" w:rsidRDefault="74DEFD04" w:rsidP="74DEFD04">
            <w:pPr>
              <w:spacing w:line="252" w:lineRule="auto"/>
            </w:pPr>
            <w:r w:rsidRPr="74DEFD04">
              <w:rPr>
                <w:rFonts w:ascii="Times New Roman" w:eastAsia="Times New Roman" w:hAnsi="Times New Roman" w:cs="Times New Roman"/>
                <w:sz w:val="20"/>
                <w:szCs w:val="20"/>
              </w:rPr>
              <w:t>Elektroniskais būvniecības process:</w:t>
            </w:r>
          </w:p>
          <w:p w14:paraId="079B2A9F" w14:textId="63396676" w:rsidR="74DEFD04" w:rsidRDefault="74DEFD04" w:rsidP="74DEFD04">
            <w:pPr>
              <w:spacing w:line="252" w:lineRule="auto"/>
            </w:pPr>
            <w:r w:rsidRPr="74DEFD04">
              <w:rPr>
                <w:rFonts w:ascii="Times New Roman" w:eastAsia="Times New Roman" w:hAnsi="Times New Roman" w:cs="Times New Roman"/>
                <w:sz w:val="20"/>
                <w:szCs w:val="20"/>
              </w:rPr>
              <w:t>1. Obligātais elektroniskais būvniecības process ar 01.01.2019. ar pārejas periodu uz 1 gadu (ja pašvaldību par to atsevišķi ir lēmusi;</w:t>
            </w:r>
          </w:p>
          <w:p w14:paraId="75EB3B92" w14:textId="6C828F8F" w:rsidR="74DEFD04" w:rsidRDefault="74DEFD04" w:rsidP="74DEFD04">
            <w:pPr>
              <w:spacing w:line="252" w:lineRule="auto"/>
            </w:pPr>
            <w:r w:rsidRPr="74DEFD04">
              <w:rPr>
                <w:rFonts w:ascii="Times New Roman" w:eastAsia="Times New Roman" w:hAnsi="Times New Roman" w:cs="Times New Roman"/>
                <w:sz w:val="20"/>
                <w:szCs w:val="20"/>
              </w:rPr>
              <w:t>2. Būvvalde būvniecības un ekspluatācijas kontroles ietvaros nepieciešamās procesuālās darbības atspoguļo un lēmumus izdod būvniecības informācijas sistēmā;</w:t>
            </w:r>
          </w:p>
          <w:p w14:paraId="64923732" w14:textId="74A32CFC" w:rsidR="74DEFD04" w:rsidRDefault="74DEFD04" w:rsidP="74DEFD04">
            <w:pPr>
              <w:spacing w:line="252" w:lineRule="auto"/>
            </w:pPr>
            <w:r w:rsidRPr="74DEFD04">
              <w:rPr>
                <w:rFonts w:ascii="Times New Roman" w:eastAsia="Times New Roman" w:hAnsi="Times New Roman" w:cs="Times New Roman"/>
                <w:sz w:val="20"/>
                <w:szCs w:val="20"/>
              </w:rPr>
              <w:t>3. Būvvalde un institūcija, kura pilda būvvaldes funkcijas, būvniecības informācijas sistēmā nelabvēlīgus lēmumus (piemēram, atteikums izdot būvatļauju, akceptēt būvniecības ieceri un izdarīt atzīmi būvniecības informācijas sistēmā par projektēšanas nosacījumu izpildi) paraksta ar drošu elektronisko parakstu. Citus lēmumus, atzinumus, atzīmes un darbības personas paraksta ar būvniecības informācijas sistēmas elektroniskajā pakalpojumā pieejamo elektroniskās parakstīšanas rīku.</w:t>
            </w:r>
          </w:p>
        </w:tc>
        <w:tc>
          <w:tcPr>
            <w:tcW w:w="2842" w:type="dxa"/>
          </w:tcPr>
          <w:tbl>
            <w:tblPr>
              <w:tblW w:w="0" w:type="auto"/>
              <w:tblLayout w:type="fixed"/>
              <w:tblLook w:val="06A0" w:firstRow="1" w:lastRow="0" w:firstColumn="1" w:lastColumn="0" w:noHBand="1" w:noVBand="1"/>
            </w:tblPr>
            <w:tblGrid>
              <w:gridCol w:w="2442"/>
            </w:tblGrid>
            <w:tr w:rsidR="74DEFD04" w14:paraId="5E6EA53B" w14:textId="77777777" w:rsidTr="74DEFD04">
              <w:tc>
                <w:tcPr>
                  <w:tcW w:w="2442" w:type="dxa"/>
                </w:tcPr>
                <w:tbl>
                  <w:tblPr>
                    <w:tblW w:w="0" w:type="auto"/>
                    <w:tblLayout w:type="fixed"/>
                    <w:tblLook w:val="06A0" w:firstRow="1" w:lastRow="0" w:firstColumn="1" w:lastColumn="0" w:noHBand="1" w:noVBand="1"/>
                  </w:tblPr>
                  <w:tblGrid>
                    <w:gridCol w:w="2292"/>
                  </w:tblGrid>
                  <w:tr w:rsidR="74DEFD04" w14:paraId="4ED6C73A" w14:textId="77777777" w:rsidTr="74DEFD04">
                    <w:tc>
                      <w:tcPr>
                        <w:tcW w:w="2292" w:type="dxa"/>
                      </w:tcPr>
                      <w:p w14:paraId="6F53F78D" w14:textId="7624D22B" w:rsidR="74DEFD04" w:rsidRDefault="74DEFD04">
                        <w:r w:rsidRPr="74DEFD04">
                          <w:rPr>
                            <w:rFonts w:ascii="Times New Roman" w:eastAsia="Times New Roman" w:hAnsi="Times New Roman" w:cs="Times New Roman"/>
                            <w:color w:val="2A2A2A"/>
                            <w:sz w:val="20"/>
                            <w:szCs w:val="20"/>
                          </w:rPr>
                          <w:t>Pieņemti Saeimā 14.02.2019.</w:t>
                        </w:r>
                      </w:p>
                      <w:p w14:paraId="77220C02" w14:textId="6AD7FCFB" w:rsidR="74DEFD04" w:rsidRDefault="74DEFD04">
                        <w:r w:rsidRPr="74DEFD04">
                          <w:rPr>
                            <w:rFonts w:ascii="Times New Roman" w:eastAsia="Times New Roman" w:hAnsi="Times New Roman" w:cs="Times New Roman"/>
                            <w:b/>
                            <w:bCs/>
                            <w:color w:val="2A2A2A"/>
                            <w:sz w:val="20"/>
                            <w:szCs w:val="20"/>
                          </w:rPr>
                          <w:t>Spēkā no 13.03.2019.</w:t>
                        </w:r>
                      </w:p>
                    </w:tc>
                  </w:tr>
                </w:tbl>
                <w:p w14:paraId="0A1DC41F" w14:textId="77777777" w:rsidR="74DEFD04" w:rsidRDefault="74DEFD04"/>
              </w:tc>
            </w:tr>
          </w:tbl>
          <w:p w14:paraId="06EEF87D" w14:textId="77777777" w:rsidR="74DEFD04" w:rsidRDefault="74DEFD04"/>
        </w:tc>
      </w:tr>
      <w:tr w:rsidR="74DEFD04" w14:paraId="67A23999" w14:textId="77777777" w:rsidTr="5B2F13D4">
        <w:tc>
          <w:tcPr>
            <w:tcW w:w="900" w:type="dxa"/>
          </w:tcPr>
          <w:p w14:paraId="15881708" w14:textId="1B5F7FDE" w:rsidR="74DEFD04" w:rsidRDefault="74DEFD04" w:rsidP="74DEFD04">
            <w:pPr>
              <w:jc w:val="center"/>
            </w:pPr>
            <w:r w:rsidRPr="74DEFD04">
              <w:rPr>
                <w:rFonts w:ascii="Times New Roman" w:eastAsia="Times New Roman" w:hAnsi="Times New Roman" w:cs="Times New Roman"/>
                <w:sz w:val="20"/>
                <w:szCs w:val="20"/>
              </w:rPr>
              <w:t>20.</w:t>
            </w:r>
          </w:p>
        </w:tc>
        <w:tc>
          <w:tcPr>
            <w:tcW w:w="1830" w:type="dxa"/>
          </w:tcPr>
          <w:p w14:paraId="67CA2C05" w14:textId="239AFE18" w:rsidR="74DEFD04" w:rsidRDefault="74DEFD04">
            <w:r w:rsidRPr="74DEFD04">
              <w:rPr>
                <w:rFonts w:ascii="Times New Roman" w:eastAsia="Times New Roman" w:hAnsi="Times New Roman" w:cs="Times New Roman"/>
                <w:sz w:val="20"/>
                <w:szCs w:val="20"/>
              </w:rPr>
              <w:t>MK noteikumi</w:t>
            </w:r>
          </w:p>
        </w:tc>
        <w:tc>
          <w:tcPr>
            <w:tcW w:w="3690" w:type="dxa"/>
          </w:tcPr>
          <w:p w14:paraId="1F52A8FD" w14:textId="6CE83D4B" w:rsidR="74DEFD04" w:rsidRDefault="74DEFD04" w:rsidP="74DEFD04">
            <w:pPr>
              <w:spacing w:line="252" w:lineRule="auto"/>
              <w:rPr>
                <w:rFonts w:ascii="Times New Roman" w:eastAsia="Times New Roman" w:hAnsi="Times New Roman" w:cs="Times New Roman"/>
                <w:b/>
                <w:bCs/>
                <w:sz w:val="20"/>
                <w:szCs w:val="20"/>
                <w:lang w:val="lv-LV"/>
              </w:rPr>
            </w:pPr>
            <w:r w:rsidRPr="74DEFD04">
              <w:rPr>
                <w:rFonts w:ascii="Times New Roman" w:eastAsia="Times New Roman" w:hAnsi="Times New Roman" w:cs="Times New Roman"/>
                <w:sz w:val="20"/>
                <w:szCs w:val="20"/>
                <w:lang w:val="lv-LV"/>
              </w:rPr>
              <w:t xml:space="preserve">Grozījumi Ministru kabineta 2014. gada 25. februāra noteikumos Nr.116 </w:t>
            </w:r>
            <w:r w:rsidRPr="74DEFD04">
              <w:rPr>
                <w:rFonts w:ascii="Times New Roman" w:eastAsia="Times New Roman" w:hAnsi="Times New Roman" w:cs="Times New Roman"/>
                <w:b/>
                <w:bCs/>
                <w:sz w:val="20"/>
                <w:szCs w:val="20"/>
                <w:lang w:val="lv-LV"/>
              </w:rPr>
              <w:t>“Būvkomersantu reģistrācijas noteikumi”</w:t>
            </w:r>
          </w:p>
        </w:tc>
        <w:tc>
          <w:tcPr>
            <w:tcW w:w="5265" w:type="dxa"/>
          </w:tcPr>
          <w:p w14:paraId="742F5657" w14:textId="64EC4E31" w:rsidR="74DEFD04" w:rsidRDefault="74DEFD04" w:rsidP="74DEFD04">
            <w:pPr>
              <w:spacing w:line="252" w:lineRule="auto"/>
              <w:rPr>
                <w:rFonts w:ascii="Times New Roman" w:eastAsia="Times New Roman" w:hAnsi="Times New Roman" w:cs="Times New Roman"/>
                <w:color w:val="000000" w:themeColor="text1"/>
                <w:sz w:val="19"/>
                <w:szCs w:val="19"/>
                <w:lang w:val="lv-LV"/>
              </w:rPr>
            </w:pPr>
            <w:r w:rsidRPr="74DEFD04">
              <w:rPr>
                <w:rFonts w:ascii="Times New Roman" w:eastAsia="Times New Roman" w:hAnsi="Times New Roman" w:cs="Times New Roman"/>
                <w:sz w:val="20"/>
                <w:szCs w:val="20"/>
                <w:lang w:val="lv-LV"/>
              </w:rPr>
              <w:t>I</w:t>
            </w:r>
            <w:r w:rsidRPr="74DEFD04">
              <w:rPr>
                <w:rFonts w:ascii="Times New Roman" w:eastAsia="Times New Roman" w:hAnsi="Times New Roman" w:cs="Times New Roman"/>
                <w:color w:val="000000" w:themeColor="text1"/>
                <w:sz w:val="20"/>
                <w:szCs w:val="20"/>
                <w:lang w:val="lv-LV"/>
              </w:rPr>
              <w:t>eeviesta iespēja b</w:t>
            </w:r>
            <w:r w:rsidRPr="74DEFD04">
              <w:rPr>
                <w:rFonts w:ascii="Times New Roman" w:eastAsia="Times New Roman" w:hAnsi="Times New Roman" w:cs="Times New Roman"/>
                <w:color w:val="000000" w:themeColor="text1"/>
                <w:sz w:val="19"/>
                <w:szCs w:val="19"/>
                <w:lang w:val="lv-LV"/>
              </w:rPr>
              <w:t>ūvkomersantiem, kuru neto apgrozījumu veido arī ieņēmumi no saimnieciskās darbības, kas nav saistīta ar būvniecību, valsts nodevu par ikgadējās informācijas iekļaušanu reģistrā maksāt no ieņēmumiem par sniegtajiem būvniecības pakalpojumiem, ja ikgadējās informācijas iesniegumam pievieno gada pārskata vai konsolidētā gada pārskata sastāvā esošā peļņas vai zaudējumu aprēķina kopiju, kur ieņēmumi par sniegtajiem būvniecības pakalpojumiem ir atsevišķi uzskaitīti kādā no peļņas vai zaudējumu aprēķina posteņiem.</w:t>
            </w:r>
          </w:p>
          <w:p w14:paraId="662B278A" w14:textId="7514C00A" w:rsidR="74DEFD04" w:rsidRDefault="74DEFD04" w:rsidP="74DEFD04">
            <w:pPr>
              <w:spacing w:line="252" w:lineRule="auto"/>
              <w:rPr>
                <w:rFonts w:ascii="Times New Roman" w:eastAsia="Times New Roman" w:hAnsi="Times New Roman" w:cs="Times New Roman"/>
                <w:color w:val="000000" w:themeColor="text1"/>
                <w:sz w:val="19"/>
                <w:szCs w:val="19"/>
                <w:lang w:val="lv-LV"/>
              </w:rPr>
            </w:pPr>
            <w:r w:rsidRPr="74DEFD04">
              <w:rPr>
                <w:rFonts w:ascii="Times New Roman" w:eastAsia="Times New Roman" w:hAnsi="Times New Roman" w:cs="Times New Roman"/>
                <w:color w:val="000000" w:themeColor="text1"/>
                <w:sz w:val="19"/>
                <w:szCs w:val="19"/>
                <w:lang w:val="lv-LV"/>
              </w:rPr>
              <w:t>Ikgadējās informācijas iesniegšanas termiņš noteikts kārtējā gada 31.augusts.</w:t>
            </w:r>
          </w:p>
          <w:p w14:paraId="6CB6771E" w14:textId="4B1380B2" w:rsidR="74DEFD04" w:rsidRDefault="74DEFD04" w:rsidP="74DEFD04">
            <w:pPr>
              <w:spacing w:line="252" w:lineRule="auto"/>
              <w:rPr>
                <w:rFonts w:ascii="Times New Roman" w:eastAsia="Times New Roman" w:hAnsi="Times New Roman" w:cs="Times New Roman"/>
                <w:color w:val="000000" w:themeColor="text1"/>
                <w:sz w:val="19"/>
                <w:szCs w:val="19"/>
                <w:lang w:val="lv-LV"/>
              </w:rPr>
            </w:pPr>
            <w:r w:rsidRPr="74DEFD04">
              <w:rPr>
                <w:rFonts w:ascii="Times New Roman" w:eastAsia="Times New Roman" w:hAnsi="Times New Roman" w:cs="Times New Roman"/>
                <w:color w:val="000000" w:themeColor="text1"/>
                <w:sz w:val="19"/>
                <w:szCs w:val="19"/>
                <w:lang w:val="lv-LV"/>
              </w:rPr>
              <w:t>Precizēts iesniedzamās ikgadējās informācijas saturs, papildinot ar informāciju par būvkomersanta kopējiem ieņēmumiem.</w:t>
            </w:r>
          </w:p>
        </w:tc>
        <w:tc>
          <w:tcPr>
            <w:tcW w:w="2842" w:type="dxa"/>
          </w:tcPr>
          <w:p w14:paraId="15D00019" w14:textId="57BCFDC6" w:rsidR="74DEFD04" w:rsidRDefault="74DEFD04" w:rsidP="74DEFD04">
            <w:pPr>
              <w:spacing w:line="252" w:lineRule="auto"/>
              <w:rPr>
                <w:rFonts w:ascii="Times New Roman" w:eastAsia="Times New Roman" w:hAnsi="Times New Roman" w:cs="Times New Roman"/>
                <w:b/>
                <w:bCs/>
                <w:sz w:val="20"/>
                <w:szCs w:val="20"/>
                <w:lang w:val="lv-LV"/>
              </w:rPr>
            </w:pPr>
            <w:r w:rsidRPr="74DEFD04">
              <w:rPr>
                <w:rFonts w:ascii="Times New Roman" w:eastAsia="Times New Roman" w:hAnsi="Times New Roman" w:cs="Times New Roman"/>
                <w:b/>
                <w:bCs/>
                <w:sz w:val="20"/>
                <w:szCs w:val="20"/>
                <w:lang w:val="lv-LV"/>
              </w:rPr>
              <w:t>Stājās spēkā 31.05.2019.</w:t>
            </w:r>
          </w:p>
          <w:p w14:paraId="57400992" w14:textId="04A9513A" w:rsidR="74DEFD04" w:rsidRDefault="74DEFD04" w:rsidP="74DEFD04">
            <w:pPr>
              <w:spacing w:line="252" w:lineRule="auto"/>
              <w:rPr>
                <w:rFonts w:ascii="Times New Roman" w:eastAsia="Times New Roman" w:hAnsi="Times New Roman" w:cs="Times New Roman"/>
                <w:sz w:val="20"/>
                <w:szCs w:val="20"/>
                <w:lang w:val="lv-LV"/>
              </w:rPr>
            </w:pPr>
            <w:r w:rsidRPr="74DEFD04">
              <w:rPr>
                <w:rFonts w:ascii="Times New Roman" w:eastAsia="Times New Roman" w:hAnsi="Times New Roman" w:cs="Times New Roman"/>
                <w:sz w:val="20"/>
                <w:szCs w:val="20"/>
                <w:lang w:val="lv-LV"/>
              </w:rPr>
              <w:t>Ministru kabineta 28.05.2019. Noteikumi Nr.215.</w:t>
            </w:r>
          </w:p>
        </w:tc>
      </w:tr>
      <w:tr w:rsidR="00B757B4" w14:paraId="13B399B3" w14:textId="77777777" w:rsidTr="5B2F13D4">
        <w:tc>
          <w:tcPr>
            <w:tcW w:w="900" w:type="dxa"/>
          </w:tcPr>
          <w:p w14:paraId="1E9170F6" w14:textId="79CF5087" w:rsidR="00B757B4" w:rsidRPr="74DEFD04" w:rsidRDefault="00A849A3" w:rsidP="74DEFD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830" w:type="dxa"/>
          </w:tcPr>
          <w:p w14:paraId="4CA751A0" w14:textId="7A2CB016" w:rsidR="00B757B4" w:rsidRPr="74DEFD04" w:rsidRDefault="00A849A3">
            <w:pPr>
              <w:rPr>
                <w:rFonts w:ascii="Times New Roman" w:eastAsia="Times New Roman" w:hAnsi="Times New Roman" w:cs="Times New Roman"/>
                <w:sz w:val="20"/>
                <w:szCs w:val="20"/>
              </w:rPr>
            </w:pPr>
            <w:r>
              <w:rPr>
                <w:rFonts w:ascii="Times New Roman" w:eastAsia="Times New Roman" w:hAnsi="Times New Roman" w:cs="Times New Roman"/>
                <w:sz w:val="20"/>
                <w:szCs w:val="20"/>
              </w:rPr>
              <w:t>MK noteikumi</w:t>
            </w:r>
          </w:p>
        </w:tc>
        <w:tc>
          <w:tcPr>
            <w:tcW w:w="3690" w:type="dxa"/>
          </w:tcPr>
          <w:p w14:paraId="49F3532C" w14:textId="5F08E6BB" w:rsidR="00B757B4" w:rsidRPr="00DB40AB" w:rsidRDefault="0076305A" w:rsidP="00DB40AB">
            <w:pPr>
              <w:spacing w:line="252" w:lineRule="auto"/>
              <w:jc w:val="both"/>
              <w:rPr>
                <w:rFonts w:ascii="Times New Roman" w:eastAsia="Times New Roman" w:hAnsi="Times New Roman" w:cs="Times New Roman"/>
                <w:b/>
                <w:bCs/>
                <w:sz w:val="20"/>
                <w:szCs w:val="20"/>
                <w:lang w:val="lv-LV"/>
              </w:rPr>
            </w:pPr>
            <w:r w:rsidRPr="00DB40AB">
              <w:rPr>
                <w:rFonts w:ascii="Times New Roman" w:eastAsia="Times New Roman" w:hAnsi="Times New Roman" w:cs="Times New Roman"/>
                <w:b/>
                <w:bCs/>
                <w:sz w:val="20"/>
                <w:szCs w:val="20"/>
                <w:lang w:val="lv-LV"/>
              </w:rPr>
              <w:t>Būvspeciālistu uzraudzības un kompetences novērtēšanas cenrādis</w:t>
            </w:r>
          </w:p>
        </w:tc>
        <w:tc>
          <w:tcPr>
            <w:tcW w:w="5265" w:type="dxa"/>
          </w:tcPr>
          <w:p w14:paraId="16CA95FB" w14:textId="719A2755" w:rsidR="00B757B4" w:rsidRPr="74DEFD04" w:rsidRDefault="00E051F5" w:rsidP="00E051F5">
            <w:pPr>
              <w:spacing w:line="252"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Noteikumos</w:t>
            </w:r>
            <w:r w:rsidRPr="00E051F5">
              <w:rPr>
                <w:rFonts w:ascii="Times New Roman" w:eastAsia="Times New Roman" w:hAnsi="Times New Roman" w:cs="Times New Roman"/>
                <w:sz w:val="20"/>
                <w:szCs w:val="20"/>
                <w:lang w:val="lv-LV"/>
              </w:rPr>
              <w:t xml:space="preserve"> ir noteikts vienots uzraudzības un kompetences novērtēšanas maksas cenrādis iestādēm, kas valsts pārvaldes uzdevumu ietvaros veic būvniecības jomas būvspeciālistu – inženierizpētes, projektēšanas, būvdarbu vadīšanas un būvuzraudzības specialitātēs, uzraudzību un kompetences novērtēšanu</w:t>
            </w:r>
            <w:r w:rsidR="000754C3">
              <w:rPr>
                <w:rFonts w:ascii="Times New Roman" w:eastAsia="Times New Roman" w:hAnsi="Times New Roman" w:cs="Times New Roman"/>
                <w:sz w:val="20"/>
                <w:szCs w:val="20"/>
                <w:lang w:val="lv-LV"/>
              </w:rPr>
              <w:t>.</w:t>
            </w:r>
          </w:p>
        </w:tc>
        <w:tc>
          <w:tcPr>
            <w:tcW w:w="2842" w:type="dxa"/>
          </w:tcPr>
          <w:p w14:paraId="74E86D3C" w14:textId="0C5F8CEC" w:rsidR="00B757B4" w:rsidRPr="74DEFD04" w:rsidRDefault="00ED3E06" w:rsidP="74DEFD04">
            <w:pPr>
              <w:spacing w:line="252" w:lineRule="auto"/>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Pieņemti</w:t>
            </w:r>
            <w:r w:rsidR="00E051F5">
              <w:rPr>
                <w:rFonts w:ascii="Times New Roman" w:eastAsia="Times New Roman" w:hAnsi="Times New Roman" w:cs="Times New Roman"/>
                <w:b/>
                <w:bCs/>
                <w:sz w:val="20"/>
                <w:szCs w:val="20"/>
                <w:lang w:val="lv-LV"/>
              </w:rPr>
              <w:t xml:space="preserve"> 2019.gada 5.martā</w:t>
            </w:r>
            <w:r>
              <w:rPr>
                <w:rFonts w:ascii="Times New Roman" w:eastAsia="Times New Roman" w:hAnsi="Times New Roman" w:cs="Times New Roman"/>
                <w:b/>
                <w:bCs/>
                <w:sz w:val="20"/>
                <w:szCs w:val="20"/>
                <w:lang w:val="lv-LV"/>
              </w:rPr>
              <w:t>, Nr.100</w:t>
            </w:r>
          </w:p>
        </w:tc>
      </w:tr>
      <w:tr w:rsidR="00B757B4" w14:paraId="0C2109A2" w14:textId="77777777" w:rsidTr="5B2F13D4">
        <w:tc>
          <w:tcPr>
            <w:tcW w:w="900" w:type="dxa"/>
          </w:tcPr>
          <w:p w14:paraId="4782594B" w14:textId="4EDAA41F" w:rsidR="00B757B4" w:rsidRPr="74DEFD04" w:rsidRDefault="00A849A3" w:rsidP="74DEFD0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830" w:type="dxa"/>
          </w:tcPr>
          <w:p w14:paraId="6EA86FC1" w14:textId="3298892F" w:rsidR="00B757B4" w:rsidRPr="74DEFD04" w:rsidRDefault="00A849A3">
            <w:pPr>
              <w:rPr>
                <w:rFonts w:ascii="Times New Roman" w:eastAsia="Times New Roman" w:hAnsi="Times New Roman" w:cs="Times New Roman"/>
                <w:sz w:val="20"/>
                <w:szCs w:val="20"/>
              </w:rPr>
            </w:pPr>
            <w:r>
              <w:rPr>
                <w:rFonts w:ascii="Times New Roman" w:eastAsia="Times New Roman" w:hAnsi="Times New Roman" w:cs="Times New Roman"/>
                <w:sz w:val="20"/>
                <w:szCs w:val="20"/>
              </w:rPr>
              <w:t>MK noteikumi</w:t>
            </w:r>
          </w:p>
        </w:tc>
        <w:tc>
          <w:tcPr>
            <w:tcW w:w="3690" w:type="dxa"/>
          </w:tcPr>
          <w:p w14:paraId="4ED43354" w14:textId="60DB8B74" w:rsidR="00B757B4" w:rsidRPr="00DB40AB" w:rsidRDefault="00DB40AB" w:rsidP="00DB40AB">
            <w:pPr>
              <w:spacing w:line="252" w:lineRule="auto"/>
              <w:jc w:val="both"/>
              <w:rPr>
                <w:rFonts w:ascii="Times New Roman" w:eastAsia="Times New Roman" w:hAnsi="Times New Roman" w:cs="Times New Roman"/>
                <w:b/>
                <w:bCs/>
                <w:sz w:val="20"/>
                <w:szCs w:val="20"/>
                <w:lang w:val="lv-LV"/>
              </w:rPr>
            </w:pPr>
            <w:r w:rsidRPr="00DB40AB">
              <w:rPr>
                <w:rFonts w:ascii="Times New Roman" w:eastAsia="Times New Roman" w:hAnsi="Times New Roman" w:cs="Times New Roman"/>
                <w:b/>
                <w:bCs/>
                <w:sz w:val="20"/>
                <w:szCs w:val="20"/>
                <w:lang w:val="lv-LV"/>
              </w:rPr>
              <w:t>Biedrības "Latvijas Arhitektu savienība" maksas pakalpojumu cenrādis</w:t>
            </w:r>
          </w:p>
        </w:tc>
        <w:tc>
          <w:tcPr>
            <w:tcW w:w="5265" w:type="dxa"/>
          </w:tcPr>
          <w:p w14:paraId="3DC1ECDD" w14:textId="169873AB" w:rsidR="00B757B4" w:rsidRPr="74DEFD04" w:rsidRDefault="000754C3" w:rsidP="000754C3">
            <w:pPr>
              <w:spacing w:line="252" w:lineRule="auto"/>
              <w:jc w:val="both"/>
              <w:rPr>
                <w:rFonts w:ascii="Times New Roman" w:eastAsia="Times New Roman" w:hAnsi="Times New Roman" w:cs="Times New Roman"/>
                <w:sz w:val="20"/>
                <w:szCs w:val="20"/>
                <w:lang w:val="lv-LV"/>
              </w:rPr>
            </w:pPr>
            <w:r w:rsidRPr="000754C3">
              <w:rPr>
                <w:rFonts w:ascii="Times New Roman" w:eastAsia="Times New Roman" w:hAnsi="Times New Roman" w:cs="Times New Roman"/>
                <w:sz w:val="20"/>
                <w:szCs w:val="20"/>
                <w:lang w:val="lv-LV"/>
              </w:rPr>
              <w:t>Ministru kabineta noteikum</w:t>
            </w:r>
            <w:r>
              <w:rPr>
                <w:rFonts w:ascii="Times New Roman" w:eastAsia="Times New Roman" w:hAnsi="Times New Roman" w:cs="Times New Roman"/>
                <w:sz w:val="20"/>
                <w:szCs w:val="20"/>
                <w:lang w:val="lv-LV"/>
              </w:rPr>
              <w:t>os</w:t>
            </w:r>
            <w:r w:rsidRPr="000754C3">
              <w:rPr>
                <w:rFonts w:ascii="Times New Roman" w:eastAsia="Times New Roman" w:hAnsi="Times New Roman" w:cs="Times New Roman"/>
                <w:sz w:val="20"/>
                <w:szCs w:val="20"/>
                <w:lang w:val="lv-LV"/>
              </w:rPr>
              <w:t xml:space="preserve"> “Biedrības "Latvijas Arhitektu savienība" valsts pārvaldes uzdevuma ietvaros sniegto maksas pakalpojumu cenrādis” ir noteikts biedrības “Latvijas Arhitektu savienība” sertificēšanas maksas pakalpojumu cenrādis, kas ietver gan arhitektu uzraudzību, gan kompetences novērtēšanu, gan citus pakalpojumus</w:t>
            </w:r>
            <w:r>
              <w:rPr>
                <w:rFonts w:ascii="Times New Roman" w:eastAsia="Times New Roman" w:hAnsi="Times New Roman" w:cs="Times New Roman"/>
                <w:sz w:val="20"/>
                <w:szCs w:val="20"/>
                <w:lang w:val="lv-LV"/>
              </w:rPr>
              <w:t>.</w:t>
            </w:r>
          </w:p>
        </w:tc>
        <w:tc>
          <w:tcPr>
            <w:tcW w:w="2842" w:type="dxa"/>
          </w:tcPr>
          <w:p w14:paraId="53A8C1D6" w14:textId="29613401" w:rsidR="00B757B4" w:rsidRPr="74DEFD04" w:rsidRDefault="00ED3E06" w:rsidP="74DEFD04">
            <w:pPr>
              <w:spacing w:line="252" w:lineRule="auto"/>
              <w:rPr>
                <w:rFonts w:ascii="Times New Roman" w:eastAsia="Times New Roman" w:hAnsi="Times New Roman" w:cs="Times New Roman"/>
                <w:b/>
                <w:bCs/>
                <w:sz w:val="20"/>
                <w:szCs w:val="20"/>
                <w:lang w:val="lv-LV"/>
              </w:rPr>
            </w:pPr>
            <w:r>
              <w:rPr>
                <w:rFonts w:ascii="Times New Roman" w:eastAsia="Times New Roman" w:hAnsi="Times New Roman" w:cs="Times New Roman"/>
                <w:b/>
                <w:bCs/>
                <w:sz w:val="20"/>
                <w:szCs w:val="20"/>
                <w:lang w:val="lv-LV"/>
              </w:rPr>
              <w:t xml:space="preserve">Pieņēmti 2019.gada </w:t>
            </w:r>
            <w:r w:rsidR="00440F90">
              <w:rPr>
                <w:rFonts w:ascii="Times New Roman" w:eastAsia="Times New Roman" w:hAnsi="Times New Roman" w:cs="Times New Roman"/>
                <w:b/>
                <w:bCs/>
                <w:sz w:val="20"/>
                <w:szCs w:val="20"/>
                <w:lang w:val="lv-LV"/>
              </w:rPr>
              <w:t>7.maijā, Nr.189</w:t>
            </w:r>
          </w:p>
        </w:tc>
      </w:tr>
      <w:tr w:rsidR="74DEFD04" w14:paraId="46D7D83E" w14:textId="77777777" w:rsidTr="5B2F13D4">
        <w:tc>
          <w:tcPr>
            <w:tcW w:w="900" w:type="dxa"/>
          </w:tcPr>
          <w:p w14:paraId="55AF948A" w14:textId="72C08B71" w:rsidR="74DEFD04" w:rsidRDefault="74DEFD04" w:rsidP="74DEFD04">
            <w:pPr>
              <w:jc w:val="center"/>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lastRenderedPageBreak/>
              <w:t>2</w:t>
            </w:r>
            <w:r w:rsidR="00BF3E46">
              <w:rPr>
                <w:rFonts w:ascii="Times New Roman" w:eastAsia="Times New Roman" w:hAnsi="Times New Roman" w:cs="Times New Roman"/>
                <w:sz w:val="20"/>
                <w:szCs w:val="20"/>
              </w:rPr>
              <w:t>3</w:t>
            </w:r>
            <w:r w:rsidRPr="74DEFD04">
              <w:rPr>
                <w:rFonts w:ascii="Times New Roman" w:eastAsia="Times New Roman" w:hAnsi="Times New Roman" w:cs="Times New Roman"/>
                <w:sz w:val="20"/>
                <w:szCs w:val="20"/>
              </w:rPr>
              <w:t>.</w:t>
            </w:r>
          </w:p>
        </w:tc>
        <w:tc>
          <w:tcPr>
            <w:tcW w:w="1830" w:type="dxa"/>
          </w:tcPr>
          <w:p w14:paraId="6445C119" w14:textId="6C446453" w:rsidR="74DEFD04" w:rsidRDefault="74DEFD04" w:rsidP="74DEFD04">
            <w:pPr>
              <w:jc w:val="both"/>
            </w:pPr>
            <w:r w:rsidRPr="74DEFD04">
              <w:rPr>
                <w:rFonts w:ascii="Times New Roman" w:eastAsia="Times New Roman" w:hAnsi="Times New Roman" w:cs="Times New Roman"/>
                <w:sz w:val="20"/>
                <w:szCs w:val="20"/>
              </w:rPr>
              <w:t>MK noteikumi</w:t>
            </w:r>
          </w:p>
        </w:tc>
        <w:tc>
          <w:tcPr>
            <w:tcW w:w="3690" w:type="dxa"/>
          </w:tcPr>
          <w:p w14:paraId="6017B230" w14:textId="3AD0B64D" w:rsidR="74DEFD04" w:rsidRDefault="74DEFD04" w:rsidP="74DEFD04">
            <w:pPr>
              <w:spacing w:line="276" w:lineRule="auto"/>
              <w:jc w:val="both"/>
              <w:rPr>
                <w:rFonts w:ascii="Times New Roman" w:eastAsia="Times New Roman" w:hAnsi="Times New Roman" w:cs="Times New Roman"/>
                <w:sz w:val="20"/>
                <w:szCs w:val="20"/>
                <w:lang w:val="lv-LV"/>
              </w:rPr>
            </w:pPr>
            <w:r w:rsidRPr="74DEFD04">
              <w:rPr>
                <w:rFonts w:ascii="Times New Roman" w:eastAsia="Times New Roman" w:hAnsi="Times New Roman" w:cs="Times New Roman"/>
                <w:b/>
                <w:bCs/>
                <w:sz w:val="20"/>
                <w:szCs w:val="20"/>
                <w:lang w:val="lv-LV"/>
              </w:rPr>
              <w:t>Būvniecības valsts kontroles biroja sniegto maksas pakalpojumu cenrādis</w:t>
            </w:r>
          </w:p>
        </w:tc>
        <w:tc>
          <w:tcPr>
            <w:tcW w:w="5265" w:type="dxa"/>
          </w:tcPr>
          <w:p w14:paraId="627B688F" w14:textId="5959BAC1" w:rsidR="74DEFD04" w:rsidRDefault="74DEFD04" w:rsidP="74DEFD04">
            <w:pPr>
              <w:jc w:val="both"/>
              <w:rPr>
                <w:rFonts w:ascii="Times New Roman" w:eastAsia="Times New Roman" w:hAnsi="Times New Roman" w:cs="Times New Roman"/>
                <w:sz w:val="20"/>
                <w:szCs w:val="20"/>
                <w:lang w:val="lv-LV"/>
              </w:rPr>
            </w:pPr>
            <w:r w:rsidRPr="74DEFD04">
              <w:rPr>
                <w:rFonts w:ascii="Times New Roman" w:eastAsia="Times New Roman" w:hAnsi="Times New Roman" w:cs="Times New Roman"/>
                <w:sz w:val="20"/>
                <w:szCs w:val="20"/>
                <w:lang w:val="lv-LV"/>
              </w:rPr>
              <w:t>Noteikts jauns Būvniecības valsts kontroles biroja cenrādis būvspeciālistu patstāvīgās prakses uzraudzībai un kompetences novērtēšanai būvekspertīzes specialitātē, ņemot vērā, ka ar MK noteikumiem Nr.169 ir grozīts būvspeciālistu patstāvīgās prakses uzraudzības un kompetences novērtēšanas ietvaros veicamo pienākumu apjoms.</w:t>
            </w:r>
          </w:p>
        </w:tc>
        <w:tc>
          <w:tcPr>
            <w:tcW w:w="2842" w:type="dxa"/>
          </w:tcPr>
          <w:p w14:paraId="2F0F59BC" w14:textId="79DEEB5E" w:rsidR="74DEFD04" w:rsidRDefault="74DEFD04" w:rsidP="74DEFD04">
            <w:pPr>
              <w:jc w:val="both"/>
              <w:rPr>
                <w:rFonts w:ascii="Times New Roman" w:eastAsia="Times New Roman" w:hAnsi="Times New Roman" w:cs="Times New Roman"/>
                <w:b/>
                <w:bCs/>
                <w:sz w:val="20"/>
                <w:szCs w:val="20"/>
                <w:lang w:val="lv-LV"/>
              </w:rPr>
            </w:pPr>
            <w:r w:rsidRPr="74DEFD04">
              <w:rPr>
                <w:rFonts w:ascii="Times New Roman" w:eastAsia="Times New Roman" w:hAnsi="Times New Roman" w:cs="Times New Roman"/>
                <w:b/>
                <w:bCs/>
                <w:sz w:val="20"/>
                <w:szCs w:val="20"/>
                <w:lang w:val="lv-LV"/>
              </w:rPr>
              <w:t>Stājās spēkā 15.05.2019.</w:t>
            </w:r>
          </w:p>
          <w:p w14:paraId="302DEF82" w14:textId="66FFB39D" w:rsidR="74DEFD04" w:rsidRDefault="74DEFD04" w:rsidP="74DEFD04">
            <w:pPr>
              <w:jc w:val="both"/>
              <w:rPr>
                <w:rFonts w:ascii="Times New Roman" w:eastAsia="Times New Roman" w:hAnsi="Times New Roman" w:cs="Times New Roman"/>
                <w:sz w:val="20"/>
                <w:szCs w:val="20"/>
                <w:lang w:val="lv-LV"/>
              </w:rPr>
            </w:pPr>
            <w:r w:rsidRPr="74DEFD04">
              <w:rPr>
                <w:rFonts w:ascii="Times New Roman" w:eastAsia="Times New Roman" w:hAnsi="Times New Roman" w:cs="Times New Roman"/>
                <w:sz w:val="20"/>
                <w:szCs w:val="20"/>
                <w:lang w:val="lv-LV"/>
              </w:rPr>
              <w:t>Ministru kabineta 07.05.2019. Noteikumi Nr.190</w:t>
            </w:r>
          </w:p>
        </w:tc>
      </w:tr>
      <w:tr w:rsidR="74DEFD04" w14:paraId="2E7D225F" w14:textId="77777777" w:rsidTr="5B2F13D4">
        <w:tc>
          <w:tcPr>
            <w:tcW w:w="900" w:type="dxa"/>
          </w:tcPr>
          <w:p w14:paraId="74274C15" w14:textId="5A48306D" w:rsidR="4FF10963" w:rsidRDefault="4FF10963" w:rsidP="4FF10963">
            <w:pPr>
              <w:jc w:val="center"/>
              <w:rPr>
                <w:rFonts w:ascii="Times New Roman" w:eastAsia="Times New Roman" w:hAnsi="Times New Roman" w:cs="Times New Roman"/>
                <w:sz w:val="20"/>
                <w:szCs w:val="20"/>
              </w:rPr>
            </w:pPr>
            <w:r w:rsidRPr="4FF10963">
              <w:rPr>
                <w:rFonts w:ascii="Times New Roman" w:eastAsia="Times New Roman" w:hAnsi="Times New Roman" w:cs="Times New Roman"/>
                <w:sz w:val="20"/>
                <w:szCs w:val="20"/>
              </w:rPr>
              <w:t>2</w:t>
            </w:r>
            <w:r w:rsidR="00BF3E46">
              <w:rPr>
                <w:rFonts w:ascii="Times New Roman" w:eastAsia="Times New Roman" w:hAnsi="Times New Roman" w:cs="Times New Roman"/>
                <w:sz w:val="20"/>
                <w:szCs w:val="20"/>
              </w:rPr>
              <w:t>4</w:t>
            </w:r>
            <w:r w:rsidRPr="4FF10963">
              <w:rPr>
                <w:rFonts w:ascii="Times New Roman" w:eastAsia="Times New Roman" w:hAnsi="Times New Roman" w:cs="Times New Roman"/>
                <w:sz w:val="20"/>
                <w:szCs w:val="20"/>
              </w:rPr>
              <w:t>.</w:t>
            </w:r>
          </w:p>
        </w:tc>
        <w:tc>
          <w:tcPr>
            <w:tcW w:w="1830" w:type="dxa"/>
          </w:tcPr>
          <w:p w14:paraId="2E726C60" w14:textId="4D71047B" w:rsidR="4FF10963" w:rsidRDefault="4FF10963" w:rsidP="4FF10963">
            <w:pPr>
              <w:jc w:val="both"/>
            </w:pPr>
            <w:r w:rsidRPr="4FF10963">
              <w:rPr>
                <w:rFonts w:ascii="Times New Roman" w:eastAsia="Times New Roman" w:hAnsi="Times New Roman" w:cs="Times New Roman"/>
                <w:sz w:val="20"/>
                <w:szCs w:val="20"/>
              </w:rPr>
              <w:t>MK noteikumi</w:t>
            </w:r>
          </w:p>
        </w:tc>
        <w:tc>
          <w:tcPr>
            <w:tcW w:w="3690" w:type="dxa"/>
          </w:tcPr>
          <w:p w14:paraId="1876C4BF" w14:textId="2C1B3F48" w:rsidR="4FF10963" w:rsidRDefault="4FF10963" w:rsidP="4FF10963">
            <w:pPr>
              <w:spacing w:line="276" w:lineRule="auto"/>
              <w:jc w:val="both"/>
            </w:pPr>
            <w:r w:rsidRPr="4FF10963">
              <w:rPr>
                <w:rFonts w:ascii="Calibri" w:eastAsia="Calibri" w:hAnsi="Calibri" w:cs="Calibri"/>
                <w:sz w:val="20"/>
                <w:szCs w:val="20"/>
              </w:rPr>
              <w:t xml:space="preserve">MK noteikumi Noteikumi par Latvijas būvnormatīvu </w:t>
            </w:r>
            <w:r w:rsidRPr="4FF10963">
              <w:rPr>
                <w:rFonts w:ascii="Calibri" w:eastAsia="Calibri" w:hAnsi="Calibri" w:cs="Calibri"/>
                <w:b/>
                <w:bCs/>
                <w:sz w:val="20"/>
                <w:szCs w:val="20"/>
              </w:rPr>
              <w:t>LBN 002-19 “Ēku norobežojošo konstrukciju siltumtehnika”</w:t>
            </w:r>
          </w:p>
        </w:tc>
        <w:tc>
          <w:tcPr>
            <w:tcW w:w="5265" w:type="dxa"/>
          </w:tcPr>
          <w:p w14:paraId="2F206B01" w14:textId="6C0A5D00" w:rsidR="4FF10963" w:rsidRDefault="4FF10963" w:rsidP="4FF10963">
            <w:pPr>
              <w:jc w:val="both"/>
            </w:pPr>
            <w:r w:rsidRPr="4FF10963">
              <w:rPr>
                <w:rFonts w:ascii="Times New Roman" w:eastAsia="Times New Roman" w:hAnsi="Times New Roman" w:cs="Times New Roman"/>
                <w:sz w:val="20"/>
                <w:szCs w:val="20"/>
              </w:rPr>
              <w:t>Izstrādāts ar mērķi samazināt enerģijas patēriņu ēkās, paaugstinot enerģijas izmantošanas efektivitāti, novērst būvfizikāla rakstura defektu veidošanos ēkās un to būvelementos. Ēku projektēšanā un būvniecībā paredz enerģētiski efektīvus būvelementus, kas ierobežo oglekļa dioksīda emisiju.</w:t>
            </w:r>
          </w:p>
          <w:p w14:paraId="1A8E5075" w14:textId="3CBE07B0" w:rsidR="4FF10963" w:rsidRDefault="4FF10963" w:rsidP="4FF10963">
            <w:pPr>
              <w:jc w:val="both"/>
            </w:pPr>
            <w:r w:rsidRPr="4FF10963">
              <w:rPr>
                <w:rFonts w:ascii="Times New Roman" w:eastAsia="Times New Roman" w:hAnsi="Times New Roman" w:cs="Times New Roman"/>
                <w:sz w:val="20"/>
                <w:szCs w:val="20"/>
              </w:rPr>
              <w:t>Būvnormatīvs nosaka ēku ārējo norobežojošo konstrukciju būvelementu un to savienojumu energoefektivitātes projektēšanas kārtību jaunbūvējamām, pārbūvējamām un atjaunojamām apkurināmām ēkām, kā arī esošajās ēkās ierīkojamām jaunām apkurināmām telpām, kurās apkures sezonā tiek uzturēta temperatūra 8° C un augstāka.</w:t>
            </w:r>
          </w:p>
          <w:p w14:paraId="58BE19E3" w14:textId="0E0762D4" w:rsidR="4FF10963" w:rsidRDefault="4FF10963" w:rsidP="4FF10963">
            <w:pPr>
              <w:jc w:val="both"/>
            </w:pPr>
            <w:r w:rsidRPr="4FF10963">
              <w:rPr>
                <w:rFonts w:ascii="Times New Roman" w:eastAsia="Times New Roman" w:hAnsi="Times New Roman" w:cs="Times New Roman"/>
                <w:sz w:val="20"/>
                <w:szCs w:val="20"/>
              </w:rPr>
              <w:t xml:space="preserve">Lai ēku pārbūvē netiktu ierobežoti dažādi konstruktīvie risinājumi un arhitektūras formas vai būvniecības ieceres ierosinātāja vēlmes, normatīvās siltumcaurlaidības vērtības ir izņemtas no līdzšinējā būvnormatīva. </w:t>
            </w:r>
          </w:p>
          <w:p w14:paraId="2CAB242C" w14:textId="4415A124" w:rsidR="4FF10963" w:rsidRDefault="4FF10963" w:rsidP="4FF10963">
            <w:pPr>
              <w:jc w:val="both"/>
            </w:pPr>
            <w:r w:rsidRPr="4FF10963">
              <w:rPr>
                <w:rFonts w:ascii="Times New Roman" w:eastAsia="Times New Roman" w:hAnsi="Times New Roman" w:cs="Times New Roman"/>
                <w:sz w:val="20"/>
                <w:szCs w:val="20"/>
              </w:rPr>
              <w:t xml:space="preserve"> </w:t>
            </w:r>
          </w:p>
        </w:tc>
        <w:tc>
          <w:tcPr>
            <w:tcW w:w="2842" w:type="dxa"/>
          </w:tcPr>
          <w:p w14:paraId="1F984DE8" w14:textId="48830CB4" w:rsidR="4FF10963" w:rsidRDefault="5B2F13D4" w:rsidP="5B2F13D4">
            <w:pPr>
              <w:jc w:val="both"/>
              <w:rPr>
                <w:rFonts w:ascii="Times New Roman" w:eastAsia="Times New Roman" w:hAnsi="Times New Roman" w:cs="Times New Roman"/>
                <w:sz w:val="20"/>
                <w:szCs w:val="20"/>
              </w:rPr>
            </w:pPr>
            <w:r w:rsidRPr="5B2F13D4">
              <w:rPr>
                <w:rFonts w:ascii="Times New Roman" w:eastAsia="Times New Roman" w:hAnsi="Times New Roman" w:cs="Times New Roman"/>
                <w:b/>
                <w:bCs/>
                <w:sz w:val="20"/>
                <w:szCs w:val="20"/>
              </w:rPr>
              <w:t>Stājās spēkā 01.01.2020.</w:t>
            </w:r>
          </w:p>
          <w:p w14:paraId="63C9E4B5" w14:textId="6757164F" w:rsidR="4FF10963" w:rsidRDefault="4FF10963" w:rsidP="4FF10963">
            <w:pPr>
              <w:jc w:val="both"/>
              <w:rPr>
                <w:rFonts w:ascii="Times New Roman" w:eastAsia="Times New Roman" w:hAnsi="Times New Roman" w:cs="Times New Roman"/>
                <w:sz w:val="20"/>
                <w:szCs w:val="20"/>
              </w:rPr>
            </w:pPr>
            <w:r w:rsidRPr="4FF10963">
              <w:rPr>
                <w:rFonts w:ascii="Times New Roman" w:eastAsia="Times New Roman" w:hAnsi="Times New Roman" w:cs="Times New Roman"/>
                <w:sz w:val="20"/>
                <w:szCs w:val="20"/>
              </w:rPr>
              <w:t>Ministru kabineta 25.06.2019. Noteikumi Nr.280</w:t>
            </w:r>
          </w:p>
        </w:tc>
      </w:tr>
      <w:tr w:rsidR="74DEFD04" w14:paraId="25B72179" w14:textId="77777777" w:rsidTr="5B2F13D4">
        <w:tc>
          <w:tcPr>
            <w:tcW w:w="900" w:type="dxa"/>
          </w:tcPr>
          <w:p w14:paraId="0403781B" w14:textId="4A955D6A" w:rsidR="3C8E9427" w:rsidRDefault="3C8E9427" w:rsidP="3C8E9427">
            <w:pPr>
              <w:ind w:left="360"/>
              <w:jc w:val="center"/>
              <w:rPr>
                <w:rFonts w:ascii="Times New Roman" w:eastAsia="Times New Roman" w:hAnsi="Times New Roman" w:cs="Times New Roman"/>
                <w:sz w:val="20"/>
                <w:szCs w:val="20"/>
              </w:rPr>
            </w:pPr>
            <w:r w:rsidRPr="3C8E9427">
              <w:rPr>
                <w:rFonts w:ascii="Times New Roman" w:eastAsia="Times New Roman" w:hAnsi="Times New Roman" w:cs="Times New Roman"/>
                <w:sz w:val="20"/>
                <w:szCs w:val="20"/>
              </w:rPr>
              <w:t>2</w:t>
            </w:r>
            <w:r w:rsidR="00BF3E46">
              <w:rPr>
                <w:rFonts w:ascii="Times New Roman" w:eastAsia="Times New Roman" w:hAnsi="Times New Roman" w:cs="Times New Roman"/>
                <w:sz w:val="20"/>
                <w:szCs w:val="20"/>
              </w:rPr>
              <w:t>5</w:t>
            </w:r>
            <w:r w:rsidRPr="3C8E9427">
              <w:rPr>
                <w:rFonts w:ascii="Times New Roman" w:eastAsia="Times New Roman" w:hAnsi="Times New Roman" w:cs="Times New Roman"/>
                <w:sz w:val="20"/>
                <w:szCs w:val="20"/>
              </w:rPr>
              <w:t>.</w:t>
            </w:r>
          </w:p>
        </w:tc>
        <w:tc>
          <w:tcPr>
            <w:tcW w:w="1830" w:type="dxa"/>
          </w:tcPr>
          <w:p w14:paraId="0E39F18A" w14:textId="29D0408D" w:rsidR="3C8E9427" w:rsidRDefault="3C8E9427" w:rsidP="3C8E9427">
            <w:pPr>
              <w:jc w:val="both"/>
            </w:pPr>
            <w:r w:rsidRPr="3C8E9427">
              <w:rPr>
                <w:rFonts w:ascii="Times New Roman" w:eastAsia="Times New Roman" w:hAnsi="Times New Roman" w:cs="Times New Roman"/>
                <w:sz w:val="20"/>
                <w:szCs w:val="20"/>
              </w:rPr>
              <w:t xml:space="preserve">MK noteikumi </w:t>
            </w:r>
          </w:p>
        </w:tc>
        <w:tc>
          <w:tcPr>
            <w:tcW w:w="3690" w:type="dxa"/>
          </w:tcPr>
          <w:p w14:paraId="532524D8" w14:textId="5295117B" w:rsidR="3C8E9427" w:rsidRDefault="3C8E9427" w:rsidP="3C8E9427">
            <w:pPr>
              <w:spacing w:line="276" w:lineRule="auto"/>
              <w:jc w:val="both"/>
            </w:pPr>
            <w:r w:rsidRPr="3C8E9427">
              <w:rPr>
                <w:rFonts w:ascii="Times New Roman" w:eastAsia="Times New Roman" w:hAnsi="Times New Roman" w:cs="Times New Roman"/>
                <w:sz w:val="20"/>
                <w:szCs w:val="20"/>
              </w:rPr>
              <w:t xml:space="preserve">Grozījumi Ministru kabineta 2014.gada </w:t>
            </w:r>
            <w:proofErr w:type="gramStart"/>
            <w:r w:rsidRPr="3C8E9427">
              <w:rPr>
                <w:rFonts w:ascii="Times New Roman" w:eastAsia="Times New Roman" w:hAnsi="Times New Roman" w:cs="Times New Roman"/>
                <w:sz w:val="20"/>
                <w:szCs w:val="20"/>
              </w:rPr>
              <w:t>2.septembra</w:t>
            </w:r>
            <w:proofErr w:type="gramEnd"/>
            <w:r w:rsidRPr="3C8E9427">
              <w:rPr>
                <w:rFonts w:ascii="Times New Roman" w:eastAsia="Times New Roman" w:hAnsi="Times New Roman" w:cs="Times New Roman"/>
                <w:sz w:val="20"/>
                <w:szCs w:val="20"/>
              </w:rPr>
              <w:t xml:space="preserve"> noteikumos</w:t>
            </w:r>
            <w:r w:rsidRPr="3C8E9427">
              <w:rPr>
                <w:rFonts w:ascii="Times New Roman" w:eastAsia="Times New Roman" w:hAnsi="Times New Roman" w:cs="Times New Roman"/>
                <w:b/>
                <w:bCs/>
                <w:sz w:val="20"/>
                <w:szCs w:val="20"/>
              </w:rPr>
              <w:t xml:space="preserve"> Nr.529 "Ēku būvnoteikumi”</w:t>
            </w:r>
          </w:p>
        </w:tc>
        <w:tc>
          <w:tcPr>
            <w:tcW w:w="5265" w:type="dxa"/>
          </w:tcPr>
          <w:p w14:paraId="069418DB" w14:textId="5A56CBAB" w:rsidR="3C8E9427" w:rsidRDefault="3C8E9427" w:rsidP="3C8E9427">
            <w:pPr>
              <w:jc w:val="both"/>
            </w:pPr>
            <w:r w:rsidRPr="3C8E9427">
              <w:rPr>
                <w:rFonts w:ascii="Times New Roman" w:eastAsia="Times New Roman" w:hAnsi="Times New Roman" w:cs="Times New Roman"/>
                <w:sz w:val="20"/>
                <w:szCs w:val="20"/>
              </w:rPr>
              <w:t>Projekts izstrādāts, lai izpildītu Nekustamā īpašuma valsts kadastra likuma 24. panta piektajā daļā esošo deleģējumu un Ministru kabineta 2018. gada 28. augusta sēdē doto uzdevumu, kas samazinās administratīvo slogu būvniecības ierosinātājiem, izmantojot būvniecības informācijas sistēmas funkcionalitāti, vienlaikus ar ēkas vai telpu grupas lietošanas veida maiņu bez pārbūves ieceres akceptēšanu varēs ierosināt ēkas vai telpu grupas datu aktualizāciju Nekustamā īpašuma valsts kadastra informācijas sistēmā.</w:t>
            </w:r>
          </w:p>
        </w:tc>
        <w:tc>
          <w:tcPr>
            <w:tcW w:w="2842" w:type="dxa"/>
          </w:tcPr>
          <w:p w14:paraId="41DC68BA" w14:textId="6C701DAA" w:rsidR="3C8E9427" w:rsidRDefault="5B2F13D4" w:rsidP="5B2F13D4">
            <w:pPr>
              <w:jc w:val="both"/>
              <w:rPr>
                <w:rFonts w:ascii="Times New Roman" w:hAnsi="Times New Roman" w:cs="Times New Roman"/>
                <w:sz w:val="20"/>
                <w:szCs w:val="20"/>
              </w:rPr>
            </w:pPr>
            <w:r w:rsidRPr="5B2F13D4">
              <w:rPr>
                <w:rFonts w:ascii="Times New Roman" w:hAnsi="Times New Roman" w:cs="Times New Roman"/>
                <w:sz w:val="20"/>
                <w:szCs w:val="20"/>
              </w:rPr>
              <w:t>Pieņemti MK 02.07.2017. sēdē.</w:t>
            </w:r>
          </w:p>
          <w:p w14:paraId="624BF666" w14:textId="6B50CC4E" w:rsidR="3C8E9427" w:rsidRDefault="3C8E9427" w:rsidP="3C8E9427">
            <w:pPr>
              <w:jc w:val="both"/>
              <w:rPr>
                <w:b/>
                <w:bCs/>
              </w:rPr>
            </w:pPr>
            <w:r w:rsidRPr="3C8E9427">
              <w:rPr>
                <w:rFonts w:ascii="Times New Roman" w:hAnsi="Times New Roman" w:cs="Times New Roman"/>
                <w:b/>
                <w:bCs/>
                <w:sz w:val="20"/>
                <w:szCs w:val="20"/>
              </w:rPr>
              <w:t>Stājās spēkā 04.07.2019.</w:t>
            </w:r>
          </w:p>
        </w:tc>
      </w:tr>
      <w:tr w:rsidR="74DEFD04" w14:paraId="5685B2D3" w14:textId="77777777" w:rsidTr="5B2F13D4">
        <w:tc>
          <w:tcPr>
            <w:tcW w:w="900" w:type="dxa"/>
          </w:tcPr>
          <w:p w14:paraId="37DCA703" w14:textId="27661FD6" w:rsidR="74DEFD04" w:rsidRDefault="5B2F13D4" w:rsidP="74DEFD04">
            <w:pPr>
              <w:jc w:val="center"/>
            </w:pPr>
            <w:r>
              <w:t>26.</w:t>
            </w:r>
          </w:p>
        </w:tc>
        <w:tc>
          <w:tcPr>
            <w:tcW w:w="1830" w:type="dxa"/>
          </w:tcPr>
          <w:p w14:paraId="6A485648" w14:textId="05900B2C" w:rsidR="74DEFD04" w:rsidRDefault="5B2F13D4" w:rsidP="74DEFD04">
            <w:pPr>
              <w:jc w:val="both"/>
            </w:pPr>
            <w:r w:rsidRPr="5B2F13D4">
              <w:rPr>
                <w:rFonts w:ascii="Times New Roman" w:eastAsia="Times New Roman" w:hAnsi="Times New Roman" w:cs="Times New Roman"/>
                <w:sz w:val="20"/>
                <w:szCs w:val="20"/>
              </w:rPr>
              <w:t>MK noteikumi</w:t>
            </w:r>
          </w:p>
          <w:p w14:paraId="1A4FD83C" w14:textId="02D7F6D1" w:rsidR="74DEFD04" w:rsidRDefault="74DEFD04" w:rsidP="5B2F13D4">
            <w:pPr>
              <w:jc w:val="both"/>
            </w:pPr>
          </w:p>
        </w:tc>
        <w:tc>
          <w:tcPr>
            <w:tcW w:w="3690" w:type="dxa"/>
          </w:tcPr>
          <w:p w14:paraId="639404A3" w14:textId="4537B9EE" w:rsidR="74DEFD04" w:rsidRDefault="5B2F13D4" w:rsidP="5B2F13D4">
            <w:pPr>
              <w:spacing w:line="276" w:lineRule="auto"/>
              <w:jc w:val="both"/>
              <w:rPr>
                <w:rFonts w:ascii="Times New Roman" w:eastAsia="Times New Roman" w:hAnsi="Times New Roman" w:cs="Times New Roman"/>
                <w:sz w:val="20"/>
                <w:szCs w:val="20"/>
              </w:rPr>
            </w:pPr>
            <w:r w:rsidRPr="5B2F13D4">
              <w:rPr>
                <w:rFonts w:ascii="Times New Roman" w:eastAsia="Times New Roman" w:hAnsi="Times New Roman" w:cs="Times New Roman"/>
                <w:sz w:val="20"/>
                <w:szCs w:val="20"/>
              </w:rPr>
              <w:t xml:space="preserve">Grozījumi Ministru kabineta 2015.gada </w:t>
            </w:r>
            <w:proofErr w:type="gramStart"/>
            <w:r w:rsidRPr="5B2F13D4">
              <w:rPr>
                <w:rFonts w:ascii="Times New Roman" w:eastAsia="Times New Roman" w:hAnsi="Times New Roman" w:cs="Times New Roman"/>
                <w:sz w:val="20"/>
                <w:szCs w:val="20"/>
              </w:rPr>
              <w:t>30.jūnija</w:t>
            </w:r>
            <w:proofErr w:type="gramEnd"/>
            <w:r w:rsidRPr="5B2F13D4">
              <w:rPr>
                <w:rFonts w:ascii="Times New Roman" w:eastAsia="Times New Roman" w:hAnsi="Times New Roman" w:cs="Times New Roman"/>
                <w:sz w:val="20"/>
                <w:szCs w:val="20"/>
              </w:rPr>
              <w:t xml:space="preserve"> noteikumos Nr.333 „Noteikumi par Latvijas būvnormatīvu </w:t>
            </w:r>
            <w:r w:rsidRPr="5B2F13D4">
              <w:rPr>
                <w:rFonts w:ascii="Times New Roman" w:eastAsia="Times New Roman" w:hAnsi="Times New Roman" w:cs="Times New Roman"/>
                <w:b/>
                <w:bCs/>
                <w:sz w:val="20"/>
                <w:szCs w:val="20"/>
              </w:rPr>
              <w:t>LBN 201-15 “Būvju ugunsdrošība</w:t>
            </w:r>
            <w:r w:rsidRPr="5B2F13D4">
              <w:rPr>
                <w:rFonts w:ascii="Times New Roman" w:eastAsia="Times New Roman" w:hAnsi="Times New Roman" w:cs="Times New Roman"/>
                <w:sz w:val="20"/>
                <w:szCs w:val="20"/>
              </w:rPr>
              <w:t>””</w:t>
            </w:r>
          </w:p>
        </w:tc>
        <w:tc>
          <w:tcPr>
            <w:tcW w:w="5265" w:type="dxa"/>
          </w:tcPr>
          <w:p w14:paraId="35B39631" w14:textId="448ED7F9" w:rsidR="74DEFD04" w:rsidRDefault="5B2F13D4" w:rsidP="5B2F13D4">
            <w:pPr>
              <w:ind w:firstLine="467"/>
              <w:jc w:val="both"/>
              <w:rPr>
                <w:rFonts w:ascii="Times New Roman" w:eastAsia="Times New Roman" w:hAnsi="Times New Roman" w:cs="Times New Roman"/>
                <w:sz w:val="20"/>
                <w:szCs w:val="20"/>
              </w:rPr>
            </w:pPr>
            <w:r w:rsidRPr="5B2F13D4">
              <w:rPr>
                <w:rFonts w:ascii="Times New Roman" w:eastAsia="Times New Roman" w:hAnsi="Times New Roman" w:cs="Times New Roman"/>
                <w:sz w:val="20"/>
                <w:szCs w:val="20"/>
              </w:rPr>
              <w:t>Latvijas būvnormatīva LBN 201-15 “Būvju ugunsdrošība” (turpmāk – LBN 201-15</w:t>
            </w:r>
            <w:proofErr w:type="gramStart"/>
            <w:r w:rsidRPr="5B2F13D4">
              <w:rPr>
                <w:rFonts w:ascii="Times New Roman" w:eastAsia="Times New Roman" w:hAnsi="Times New Roman" w:cs="Times New Roman"/>
                <w:sz w:val="20"/>
                <w:szCs w:val="20"/>
              </w:rPr>
              <w:t>)  15</w:t>
            </w:r>
            <w:proofErr w:type="gramEnd"/>
            <w:r w:rsidRPr="5B2F13D4">
              <w:rPr>
                <w:rFonts w:ascii="Times New Roman" w:eastAsia="Times New Roman" w:hAnsi="Times New Roman" w:cs="Times New Roman"/>
                <w:sz w:val="20"/>
                <w:szCs w:val="20"/>
              </w:rPr>
              <w:t xml:space="preserve">.punkts nosaka, ka ugunsdrošo durvju ugunsizturību klasificē atbilstoši standartam LVS EN 14600:2007 “Durvju bloki un atverami logi ar ugunsizturības un/vai dūmu kontroles raksturlielumiem. Prasības un klasifikācija”. Savukārt LBN 201-15 </w:t>
            </w:r>
            <w:proofErr w:type="gramStart"/>
            <w:r w:rsidRPr="5B2F13D4">
              <w:rPr>
                <w:rFonts w:ascii="Times New Roman" w:eastAsia="Times New Roman" w:hAnsi="Times New Roman" w:cs="Times New Roman"/>
                <w:sz w:val="20"/>
                <w:szCs w:val="20"/>
              </w:rPr>
              <w:t>16.punkts</w:t>
            </w:r>
            <w:proofErr w:type="gramEnd"/>
            <w:r w:rsidRPr="5B2F13D4">
              <w:rPr>
                <w:rFonts w:ascii="Times New Roman" w:eastAsia="Times New Roman" w:hAnsi="Times New Roman" w:cs="Times New Roman"/>
                <w:sz w:val="20"/>
                <w:szCs w:val="20"/>
              </w:rPr>
              <w:t xml:space="preserve"> nosaka, ka ugunsdrošo stiklu ugunsizturību klasificē atbilstoši standartam LVS EN 357:2007 “Stikls būvniecībā. Ugunsizturīgie stiklotie elementi ar caurredzamu vai caurspīdīgu stikla izstrādājumu. Ugunsizturības klasifikācija”.</w:t>
            </w:r>
          </w:p>
          <w:p w14:paraId="3597DF1A" w14:textId="554D18C0" w:rsidR="74DEFD04" w:rsidRDefault="5B2F13D4" w:rsidP="5B2F13D4">
            <w:pPr>
              <w:jc w:val="both"/>
              <w:rPr>
                <w:rFonts w:ascii="Times New Roman" w:eastAsia="Times New Roman" w:hAnsi="Times New Roman" w:cs="Times New Roman"/>
                <w:sz w:val="20"/>
                <w:szCs w:val="20"/>
              </w:rPr>
            </w:pPr>
            <w:r w:rsidRPr="5B2F13D4">
              <w:rPr>
                <w:rFonts w:ascii="Times New Roman" w:eastAsia="Times New Roman" w:hAnsi="Times New Roman" w:cs="Times New Roman"/>
                <w:sz w:val="20"/>
                <w:szCs w:val="20"/>
              </w:rPr>
              <w:t xml:space="preserve">Ņemot vērā, ka standarts LVS EN 14600:2007 “Durvju bloki un atverami logi ar ugunsizturības un/vai dūmu kontroles </w:t>
            </w:r>
            <w:r w:rsidRPr="5B2F13D4">
              <w:rPr>
                <w:rFonts w:ascii="Times New Roman" w:eastAsia="Times New Roman" w:hAnsi="Times New Roman" w:cs="Times New Roman"/>
                <w:sz w:val="20"/>
                <w:szCs w:val="20"/>
              </w:rPr>
              <w:lastRenderedPageBreak/>
              <w:t xml:space="preserve">raksturlielumiem. Prasības un klasifikācija” un standarts LVS EN 357:2007 “Stikls būvniecībā. Ugunsizturīgie stiklotie elementi ar caurredzamu vai caurspīdīgu stikla izstrādājumu. Ugunsizturības klasifikācija” ir atcelti, noteikumu projektā ir iekļautas atsauces </w:t>
            </w:r>
            <w:proofErr w:type="gramStart"/>
            <w:r w:rsidRPr="5B2F13D4">
              <w:rPr>
                <w:rFonts w:ascii="Times New Roman" w:eastAsia="Times New Roman" w:hAnsi="Times New Roman" w:cs="Times New Roman"/>
                <w:sz w:val="20"/>
                <w:szCs w:val="20"/>
              </w:rPr>
              <w:t>uz  spēkā</w:t>
            </w:r>
            <w:proofErr w:type="gramEnd"/>
            <w:r w:rsidRPr="5B2F13D4">
              <w:rPr>
                <w:rFonts w:ascii="Times New Roman" w:eastAsia="Times New Roman" w:hAnsi="Times New Roman" w:cs="Times New Roman"/>
                <w:sz w:val="20"/>
                <w:szCs w:val="20"/>
              </w:rPr>
              <w:t xml:space="preserve"> esošiem standartiem.</w:t>
            </w:r>
          </w:p>
        </w:tc>
        <w:tc>
          <w:tcPr>
            <w:tcW w:w="2842" w:type="dxa"/>
          </w:tcPr>
          <w:p w14:paraId="3D31E452" w14:textId="3B1FCEA3" w:rsidR="74DEFD04" w:rsidRDefault="5B2F13D4" w:rsidP="5B2F13D4">
            <w:pPr>
              <w:jc w:val="both"/>
              <w:rPr>
                <w:rFonts w:ascii="Times New Roman" w:eastAsia="Times New Roman" w:hAnsi="Times New Roman" w:cs="Times New Roman"/>
                <w:b/>
                <w:bCs/>
                <w:sz w:val="20"/>
                <w:szCs w:val="20"/>
              </w:rPr>
            </w:pPr>
            <w:r w:rsidRPr="5B2F13D4">
              <w:rPr>
                <w:rFonts w:ascii="Times New Roman" w:eastAsia="Times New Roman" w:hAnsi="Times New Roman" w:cs="Times New Roman"/>
                <w:b/>
                <w:bCs/>
                <w:sz w:val="20"/>
                <w:szCs w:val="20"/>
              </w:rPr>
              <w:lastRenderedPageBreak/>
              <w:t>Stājās spēkā 01.11.2019.</w:t>
            </w:r>
          </w:p>
          <w:p w14:paraId="1A427B63" w14:textId="241C7926" w:rsidR="74DEFD04" w:rsidRDefault="5B2F13D4" w:rsidP="5B2F13D4">
            <w:pPr>
              <w:jc w:val="both"/>
            </w:pPr>
            <w:r w:rsidRPr="5B2F13D4">
              <w:rPr>
                <w:rFonts w:ascii="Times New Roman" w:eastAsia="Times New Roman" w:hAnsi="Times New Roman" w:cs="Times New Roman"/>
                <w:sz w:val="20"/>
                <w:szCs w:val="20"/>
              </w:rPr>
              <w:t>Ministru kabineta 22.10.2019. noteikumi Nr. 484</w:t>
            </w:r>
          </w:p>
          <w:p w14:paraId="7A82CD17" w14:textId="130090BF" w:rsidR="74DEFD04" w:rsidRDefault="74DEFD04" w:rsidP="5B2F13D4"/>
          <w:p w14:paraId="55909C47" w14:textId="07EE0ED6" w:rsidR="74DEFD04" w:rsidRDefault="74DEFD04" w:rsidP="5B2F13D4"/>
        </w:tc>
      </w:tr>
      <w:tr w:rsidR="74DEFD04" w14:paraId="4F13DE58" w14:textId="77777777" w:rsidTr="5B2F13D4">
        <w:tc>
          <w:tcPr>
            <w:tcW w:w="900" w:type="dxa"/>
          </w:tcPr>
          <w:p w14:paraId="4144CC52" w14:textId="570E5DBB" w:rsidR="74DEFD04" w:rsidRDefault="74DEFD04" w:rsidP="74DEFD04">
            <w:pPr>
              <w:jc w:val="center"/>
            </w:pPr>
            <w:r w:rsidRPr="74DEFD04">
              <w:rPr>
                <w:rFonts w:ascii="Times New Roman" w:eastAsia="Times New Roman" w:hAnsi="Times New Roman" w:cs="Times New Roman"/>
                <w:sz w:val="20"/>
                <w:szCs w:val="20"/>
              </w:rPr>
              <w:t>2</w:t>
            </w:r>
            <w:r w:rsidR="00BF3E46">
              <w:rPr>
                <w:rFonts w:ascii="Times New Roman" w:eastAsia="Times New Roman" w:hAnsi="Times New Roman" w:cs="Times New Roman"/>
                <w:sz w:val="20"/>
                <w:szCs w:val="20"/>
              </w:rPr>
              <w:t>7</w:t>
            </w:r>
            <w:r w:rsidRPr="74DEFD04">
              <w:rPr>
                <w:rFonts w:ascii="Times New Roman" w:eastAsia="Times New Roman" w:hAnsi="Times New Roman" w:cs="Times New Roman"/>
                <w:sz w:val="20"/>
                <w:szCs w:val="20"/>
              </w:rPr>
              <w:t>.</w:t>
            </w:r>
          </w:p>
        </w:tc>
        <w:tc>
          <w:tcPr>
            <w:tcW w:w="1830" w:type="dxa"/>
          </w:tcPr>
          <w:p w14:paraId="661E4214" w14:textId="4BBE9386" w:rsidR="74DEFD04" w:rsidRDefault="5B2F13D4" w:rsidP="5B2F13D4">
            <w:pPr>
              <w:jc w:val="both"/>
            </w:pPr>
            <w:r w:rsidRPr="5B2F13D4">
              <w:rPr>
                <w:rFonts w:ascii="Times New Roman" w:eastAsia="Times New Roman" w:hAnsi="Times New Roman" w:cs="Times New Roman"/>
                <w:sz w:val="20"/>
                <w:szCs w:val="20"/>
              </w:rPr>
              <w:t xml:space="preserve"> MK noteikumi</w:t>
            </w:r>
          </w:p>
        </w:tc>
        <w:tc>
          <w:tcPr>
            <w:tcW w:w="3690" w:type="dxa"/>
          </w:tcPr>
          <w:p w14:paraId="2F1EB4CF" w14:textId="033115F1" w:rsidR="74DEFD04" w:rsidRDefault="5B2F13D4" w:rsidP="5B2F13D4">
            <w:pPr>
              <w:jc w:val="both"/>
              <w:rPr>
                <w:rFonts w:ascii="Times New Roman" w:hAnsi="Times New Roman" w:cs="Times New Roman"/>
                <w:b/>
                <w:bCs/>
                <w:sz w:val="20"/>
                <w:szCs w:val="20"/>
              </w:rPr>
            </w:pPr>
            <w:r w:rsidRPr="5B2F13D4">
              <w:rPr>
                <w:rFonts w:ascii="Times New Roman" w:eastAsia="Times New Roman" w:hAnsi="Times New Roman" w:cs="Times New Roman"/>
                <w:b/>
                <w:bCs/>
                <w:sz w:val="20"/>
                <w:szCs w:val="20"/>
              </w:rPr>
              <w:t xml:space="preserve"> </w:t>
            </w:r>
            <w:r w:rsidRPr="5B2F13D4">
              <w:rPr>
                <w:rFonts w:ascii="Times New Roman" w:hAnsi="Times New Roman" w:cs="Times New Roman"/>
                <w:sz w:val="20"/>
                <w:szCs w:val="20"/>
              </w:rPr>
              <w:t xml:space="preserve">1) Grozījumi Ministru kabineta 2014. gada 19. augusta noteikumos Nr. 500 </w:t>
            </w:r>
            <w:r w:rsidRPr="5B2F13D4">
              <w:rPr>
                <w:rFonts w:ascii="Times New Roman" w:hAnsi="Times New Roman" w:cs="Times New Roman"/>
                <w:b/>
                <w:bCs/>
                <w:sz w:val="20"/>
                <w:szCs w:val="20"/>
              </w:rPr>
              <w:t>“Vispārīgie būvnoteikumi”;</w:t>
            </w:r>
          </w:p>
          <w:p w14:paraId="34375E39" w14:textId="1C253C46"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2) Grozījumi Ministru kabineta 2014.gada 19. augusta noteikumos Nr. 501 </w:t>
            </w:r>
            <w:r w:rsidRPr="5B2F13D4">
              <w:rPr>
                <w:rFonts w:ascii="Times New Roman" w:hAnsi="Times New Roman" w:cs="Times New Roman"/>
                <w:b/>
                <w:bCs/>
                <w:sz w:val="20"/>
                <w:szCs w:val="20"/>
              </w:rPr>
              <w:t>“Elektronisko sakaru tīklu ierīkošanas, būvniecības un uzraudzības kārtība”;</w:t>
            </w:r>
          </w:p>
          <w:p w14:paraId="06D20C66" w14:textId="0C2F93F5"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3) Grozījumi Ministru kabineta 2014. gada 2. septembra noteikumos Nr. 529 </w:t>
            </w:r>
            <w:r w:rsidRPr="5B2F13D4">
              <w:rPr>
                <w:rFonts w:ascii="Times New Roman" w:hAnsi="Times New Roman" w:cs="Times New Roman"/>
                <w:b/>
                <w:bCs/>
                <w:sz w:val="20"/>
                <w:szCs w:val="20"/>
              </w:rPr>
              <w:t>“Ēku būvnoteikumi”;</w:t>
            </w:r>
          </w:p>
          <w:p w14:paraId="7DEEADC6" w14:textId="58BB281E"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4) Grozījumi Ministru kabineta 2014. gada 2. septembra noteikumos Nr. 530 </w:t>
            </w:r>
            <w:r w:rsidRPr="5B2F13D4">
              <w:rPr>
                <w:rFonts w:ascii="Times New Roman" w:hAnsi="Times New Roman" w:cs="Times New Roman"/>
                <w:b/>
                <w:bCs/>
                <w:sz w:val="20"/>
                <w:szCs w:val="20"/>
              </w:rPr>
              <w:t>“Dzelzceļa būvnoteikumi”;</w:t>
            </w:r>
          </w:p>
          <w:p w14:paraId="2B1238FD" w14:textId="5A693215"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5) Grozījumi Ministru kabineta 2014.gada 16. septembra noteikumos Nr. 550 </w:t>
            </w:r>
            <w:r w:rsidRPr="5B2F13D4">
              <w:rPr>
                <w:rFonts w:ascii="Times New Roman" w:hAnsi="Times New Roman" w:cs="Times New Roman"/>
                <w:b/>
                <w:bCs/>
                <w:sz w:val="20"/>
                <w:szCs w:val="20"/>
              </w:rPr>
              <w:t>“Hidrotehnisko un meliorācijas būvju būvnoteikumi”;</w:t>
            </w:r>
          </w:p>
          <w:p w14:paraId="199D1B5D" w14:textId="3E51258A"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6) Grozījumi Ministru kabineta 2014. gada 30. septembra noteikumos Nr. 573 </w:t>
            </w:r>
            <w:r w:rsidRPr="5B2F13D4">
              <w:rPr>
                <w:rFonts w:ascii="Times New Roman" w:hAnsi="Times New Roman" w:cs="Times New Roman"/>
                <w:b/>
                <w:bCs/>
                <w:sz w:val="20"/>
                <w:szCs w:val="20"/>
              </w:rPr>
              <w:t>“Elektroenerģijas ražošanas, pārvades un sadales būvju būvnoteikumi”;</w:t>
            </w:r>
          </w:p>
          <w:p w14:paraId="1708FDD1" w14:textId="07349021"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7) Grozījumi Ministru kabineta 2014. gada 14. oktobra noteikumos Nr. 631 </w:t>
            </w:r>
            <w:r w:rsidRPr="5B2F13D4">
              <w:rPr>
                <w:rFonts w:ascii="Times New Roman" w:hAnsi="Times New Roman" w:cs="Times New Roman"/>
                <w:b/>
                <w:bCs/>
                <w:sz w:val="20"/>
                <w:szCs w:val="20"/>
              </w:rPr>
              <w:t xml:space="preserve">“Latvijas Republikas iekšējo jūras ūdeņu, teritoriālās jūras un ekskluzīvās ekonomiskās zonas </w:t>
            </w:r>
            <w:proofErr w:type="gramStart"/>
            <w:r w:rsidRPr="5B2F13D4">
              <w:rPr>
                <w:rFonts w:ascii="Times New Roman" w:hAnsi="Times New Roman" w:cs="Times New Roman"/>
                <w:b/>
                <w:bCs/>
                <w:sz w:val="20"/>
                <w:szCs w:val="20"/>
              </w:rPr>
              <w:t>būvju  būvnoteikumi</w:t>
            </w:r>
            <w:proofErr w:type="gramEnd"/>
            <w:r w:rsidRPr="5B2F13D4">
              <w:rPr>
                <w:rFonts w:ascii="Times New Roman" w:hAnsi="Times New Roman" w:cs="Times New Roman"/>
                <w:b/>
                <w:bCs/>
                <w:sz w:val="20"/>
                <w:szCs w:val="20"/>
              </w:rPr>
              <w:t>”;</w:t>
            </w:r>
          </w:p>
          <w:p w14:paraId="1091872E" w14:textId="07A509A3"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8) Grozījumi Ministru kabineta 2014. gada 14. oktobra noteikumos Nr. 633 </w:t>
            </w:r>
            <w:r w:rsidRPr="5B2F13D4">
              <w:rPr>
                <w:rFonts w:ascii="Times New Roman" w:hAnsi="Times New Roman" w:cs="Times New Roman"/>
                <w:b/>
                <w:bCs/>
                <w:sz w:val="20"/>
                <w:szCs w:val="20"/>
              </w:rPr>
              <w:t>“Autoceļu un ielu būvnoteikumi”;</w:t>
            </w:r>
          </w:p>
          <w:p w14:paraId="3566F155" w14:textId="4957478D"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9) Grozījumi Ministru kabineta 2015. gada 24. novembra noteikumos Nr. 661 </w:t>
            </w:r>
            <w:r w:rsidRPr="5B2F13D4">
              <w:rPr>
                <w:rFonts w:ascii="Times New Roman" w:hAnsi="Times New Roman" w:cs="Times New Roman"/>
                <w:b/>
                <w:bCs/>
                <w:sz w:val="20"/>
                <w:szCs w:val="20"/>
              </w:rPr>
              <w:t>“Ar radiācijas drošību saistīto būvju būvnoteikumi”;</w:t>
            </w:r>
          </w:p>
          <w:p w14:paraId="59BF711C" w14:textId="0A3CE844"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10) Grozījumi Ministru kabineta 2017. gada 9. maija noteikumos Nr. 253 </w:t>
            </w:r>
            <w:r w:rsidRPr="5B2F13D4">
              <w:rPr>
                <w:rFonts w:ascii="Times New Roman" w:hAnsi="Times New Roman" w:cs="Times New Roman"/>
                <w:b/>
                <w:bCs/>
                <w:sz w:val="20"/>
                <w:szCs w:val="20"/>
              </w:rPr>
              <w:t>“Atsevišķu inženierbūvju būvnoteikumi”.</w:t>
            </w:r>
          </w:p>
          <w:p w14:paraId="205F580C" w14:textId="45E206BD"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lastRenderedPageBreak/>
              <w:t xml:space="preserve">11) Grozījumi Ministru kabineta 2015. gada 16. jūnija noteikumos Nr. 325 “Noteikumi par </w:t>
            </w:r>
            <w:r w:rsidRPr="5B2F13D4">
              <w:rPr>
                <w:rFonts w:ascii="Times New Roman" w:hAnsi="Times New Roman" w:cs="Times New Roman"/>
                <w:b/>
                <w:bCs/>
                <w:sz w:val="20"/>
                <w:szCs w:val="20"/>
              </w:rPr>
              <w:t>Latvijas būvnormatīvu LBN 305-15 “Ģeodēziskie darbi būvniecībā””.</w:t>
            </w:r>
          </w:p>
          <w:p w14:paraId="673ACDF7" w14:textId="30B0C9DE" w:rsidR="74DEFD04" w:rsidRDefault="5B2F13D4" w:rsidP="5B2F13D4">
            <w:pPr>
              <w:jc w:val="both"/>
              <w:rPr>
                <w:rFonts w:ascii="Times New Roman" w:hAnsi="Times New Roman" w:cs="Times New Roman"/>
                <w:b/>
                <w:bCs/>
                <w:sz w:val="20"/>
                <w:szCs w:val="20"/>
              </w:rPr>
            </w:pPr>
            <w:r w:rsidRPr="5B2F13D4">
              <w:rPr>
                <w:rFonts w:ascii="Times New Roman" w:hAnsi="Times New Roman" w:cs="Times New Roman"/>
                <w:sz w:val="20"/>
                <w:szCs w:val="20"/>
              </w:rPr>
              <w:t xml:space="preserve">12) Atzīt par spēku zaudējušiem Ministru kabineta 2014. gada 21. oktobra noteikumus Nr. 655 “Noteikumi par </w:t>
            </w:r>
            <w:r w:rsidRPr="5B2F13D4">
              <w:rPr>
                <w:rFonts w:ascii="Times New Roman" w:hAnsi="Times New Roman" w:cs="Times New Roman"/>
                <w:b/>
                <w:bCs/>
                <w:sz w:val="20"/>
                <w:szCs w:val="20"/>
              </w:rPr>
              <w:t>Latvijas būvnormatīvu LBN 310-14 “Darbu veikšanas projekts””.</w:t>
            </w:r>
          </w:p>
        </w:tc>
        <w:tc>
          <w:tcPr>
            <w:tcW w:w="5265" w:type="dxa"/>
          </w:tcPr>
          <w:p w14:paraId="3179F30E" w14:textId="3163759E" w:rsidR="74DEFD04" w:rsidRDefault="5B2F13D4" w:rsidP="5B2F13D4">
            <w:pPr>
              <w:ind w:firstLine="253"/>
              <w:jc w:val="both"/>
              <w:rPr>
                <w:rFonts w:ascii="Times New Roman" w:hAnsi="Times New Roman" w:cs="Times New Roman"/>
                <w:color w:val="000000" w:themeColor="text1"/>
                <w:sz w:val="20"/>
                <w:szCs w:val="20"/>
              </w:rPr>
            </w:pPr>
            <w:r w:rsidRPr="5B2F13D4">
              <w:rPr>
                <w:rFonts w:ascii="Times New Roman" w:eastAsia="Times New Roman" w:hAnsi="Times New Roman" w:cs="Times New Roman"/>
                <w:sz w:val="20"/>
                <w:szCs w:val="20"/>
              </w:rPr>
              <w:lastRenderedPageBreak/>
              <w:t xml:space="preserve"> </w:t>
            </w:r>
            <w:r w:rsidRPr="5B2F13D4">
              <w:rPr>
                <w:rFonts w:ascii="Times New Roman" w:hAnsi="Times New Roman" w:cs="Times New Roman"/>
                <w:sz w:val="20"/>
                <w:szCs w:val="20"/>
              </w:rPr>
              <w:t xml:space="preserve">Ar 2019. gada 14. februāra grozījumiem Būvniecības likumā šis likums tika papildināts ar regulējumu, kas ir nepieciešams elektroniskā būvniecības procesa nodrošināšanai </w:t>
            </w:r>
            <w:r w:rsidRPr="5B2F13D4">
              <w:rPr>
                <w:rFonts w:ascii="Times New Roman" w:hAnsi="Times New Roman" w:cs="Times New Roman"/>
                <w:color w:val="000000" w:themeColor="text1"/>
                <w:sz w:val="20"/>
                <w:szCs w:val="20"/>
              </w:rPr>
              <w:t>būvniecības informācijas sistēmā. Būvniecības likuma pārejas noteikumu 21. punktā ir noteikts, ka ar 2020. gada 1. janvāri būvniecības administratīvais process uzsākams elektroniski būvniecības informācijas sistēmā. Taču tiek saglabāta iespēja uzsāktos būvniecības procesus pabeigt, neizmantojot būvniecības informācijas sistēmu.</w:t>
            </w:r>
          </w:p>
          <w:p w14:paraId="251D0C34" w14:textId="5DF143CF" w:rsidR="74DEFD04" w:rsidRDefault="5B2F13D4" w:rsidP="5B2F13D4">
            <w:pPr>
              <w:ind w:firstLine="253"/>
              <w:jc w:val="both"/>
              <w:rPr>
                <w:rFonts w:ascii="Times New Roman" w:hAnsi="Times New Roman" w:cs="Times New Roman"/>
                <w:sz w:val="20"/>
                <w:szCs w:val="20"/>
              </w:rPr>
            </w:pPr>
            <w:r w:rsidRPr="5B2F13D4">
              <w:rPr>
                <w:rFonts w:ascii="Times New Roman" w:hAnsi="Times New Roman" w:cs="Times New Roman"/>
                <w:sz w:val="20"/>
                <w:szCs w:val="20"/>
              </w:rPr>
              <w:t>Līdzšinējais būvnoteikumos ietvertais regulējums tika radīts būvniecības procesam ārpus būvniecības informācijas sistēmas. Atsevišķās vietās šis regulējums jau ir pielāgots elektroniskā būvniecības procesa vajadzībām būvniecības informācijas sistēmā. Tomēr pēc savas būtības tas ir domāts tieši darbībām ārpus būvniecības informācijas sistēmas. Lai nodrošinātu esošā būvnoteikumu regulējuma atbilstību būvniecības informācijas sistēmas funkcionalitātei un novērstu praksē radušās neskaidrības attiecībā uz tiesību normām, kuras tieši bija domātas darbībām ārpus būvniecības informācijas sistēmas, ir nepieciešams pārskatīt būvnoteikumos ietverto procesuālo regulējumu, ciktāl tas ir saistīts ar būvniecības informācija sistēmu – pārorientējot pašu regulējumu uz elektronisko būvniecības procesu būvniecības informācijas sistēmā, bet “papīra” būvniecības procesa regulējumu ietverot tikai, ciktāl tas nepieciešams, lai nodrošinātu Būvniecības likuma pārejas noteikumu 22. – 24. punktā noteikto tiesību normu realizāciju.</w:t>
            </w:r>
          </w:p>
          <w:p w14:paraId="207B31F6" w14:textId="75F8C474" w:rsidR="74DEFD04" w:rsidRDefault="5B2F13D4" w:rsidP="5B2F13D4">
            <w:pPr>
              <w:ind w:firstLine="467"/>
              <w:jc w:val="both"/>
              <w:rPr>
                <w:rFonts w:ascii="Times New Roman" w:eastAsia="Times New Roman" w:hAnsi="Times New Roman" w:cs="Times New Roman"/>
                <w:sz w:val="20"/>
                <w:szCs w:val="20"/>
              </w:rPr>
            </w:pPr>
            <w:r w:rsidRPr="5B2F13D4">
              <w:rPr>
                <w:rFonts w:ascii="Times New Roman" w:hAnsi="Times New Roman" w:cs="Times New Roman"/>
                <w:sz w:val="20"/>
                <w:szCs w:val="20"/>
              </w:rPr>
              <w:t>Latvijas būvnormatīvs LBN 310-14 “Darbu veikšanas projekts”” tiek atcelts, bet to saturu iekļaujot iepriekš minētajos speciālajos būvnoteikumos.</w:t>
            </w:r>
          </w:p>
          <w:p w14:paraId="478F5CC2" w14:textId="39B5AC43" w:rsidR="74DEFD04" w:rsidRDefault="74DEFD04" w:rsidP="5B2F13D4">
            <w:pPr>
              <w:jc w:val="both"/>
              <w:rPr>
                <w:rFonts w:ascii="Times New Roman" w:eastAsia="Times New Roman" w:hAnsi="Times New Roman" w:cs="Times New Roman"/>
                <w:sz w:val="20"/>
                <w:szCs w:val="20"/>
              </w:rPr>
            </w:pPr>
          </w:p>
        </w:tc>
        <w:tc>
          <w:tcPr>
            <w:tcW w:w="2842" w:type="dxa"/>
          </w:tcPr>
          <w:p w14:paraId="440C62DF" w14:textId="699876D7" w:rsidR="74DEFD04" w:rsidRDefault="5B2F13D4" w:rsidP="5B2F13D4">
            <w:pPr>
              <w:rPr>
                <w:rFonts w:ascii="Times New Roman" w:eastAsia="Times New Roman" w:hAnsi="Times New Roman" w:cs="Times New Roman"/>
                <w:b/>
                <w:bCs/>
                <w:color w:val="2A2A2A"/>
                <w:sz w:val="19"/>
                <w:szCs w:val="19"/>
              </w:rPr>
            </w:pPr>
            <w:r w:rsidRPr="5B2F13D4">
              <w:rPr>
                <w:rFonts w:ascii="Times New Roman" w:eastAsia="Times New Roman" w:hAnsi="Times New Roman" w:cs="Times New Roman"/>
                <w:b/>
                <w:bCs/>
                <w:color w:val="2A2A2A"/>
                <w:sz w:val="19"/>
                <w:szCs w:val="19"/>
              </w:rPr>
              <w:t xml:space="preserve"> 1) Stājās spēkā 28.11.2019.</w:t>
            </w:r>
          </w:p>
          <w:p w14:paraId="3EAD91FA" w14:textId="38E66C7E" w:rsidR="74DEFD04" w:rsidRDefault="5B2F13D4" w:rsidP="5B2F13D4">
            <w:r w:rsidRPr="5B2F13D4">
              <w:rPr>
                <w:rFonts w:ascii="Times New Roman" w:eastAsia="Times New Roman" w:hAnsi="Times New Roman" w:cs="Times New Roman"/>
                <w:sz w:val="19"/>
                <w:szCs w:val="19"/>
              </w:rPr>
              <w:t>Ministru kabineta 19.11.2019. noteikumi Nr. 551</w:t>
            </w:r>
          </w:p>
          <w:p w14:paraId="5437684C" w14:textId="375DC483" w:rsidR="74DEFD04" w:rsidRDefault="5B2F13D4" w:rsidP="5B2F13D4">
            <w:pPr>
              <w:rPr>
                <w:rFonts w:ascii="Times New Roman" w:eastAsia="Times New Roman" w:hAnsi="Times New Roman" w:cs="Times New Roman"/>
                <w:b/>
                <w:bCs/>
                <w:sz w:val="19"/>
                <w:szCs w:val="19"/>
              </w:rPr>
            </w:pPr>
            <w:r w:rsidRPr="5B2F13D4">
              <w:rPr>
                <w:rFonts w:ascii="Times New Roman" w:eastAsia="Times New Roman" w:hAnsi="Times New Roman" w:cs="Times New Roman"/>
                <w:sz w:val="19"/>
                <w:szCs w:val="19"/>
              </w:rPr>
              <w:t xml:space="preserve">2) </w:t>
            </w:r>
            <w:r w:rsidRPr="5B2F13D4">
              <w:rPr>
                <w:rFonts w:ascii="Times New Roman" w:eastAsia="Times New Roman" w:hAnsi="Times New Roman" w:cs="Times New Roman"/>
                <w:b/>
                <w:bCs/>
                <w:sz w:val="19"/>
                <w:szCs w:val="19"/>
              </w:rPr>
              <w:t>Stājās spēkā 28.11.2019.</w:t>
            </w:r>
          </w:p>
          <w:p w14:paraId="21DB176A" w14:textId="538E062B" w:rsidR="74DEFD04" w:rsidRDefault="5B2F13D4" w:rsidP="5B2F13D4">
            <w:r w:rsidRPr="5B2F13D4">
              <w:rPr>
                <w:rFonts w:ascii="Times New Roman" w:eastAsia="Times New Roman" w:hAnsi="Times New Roman" w:cs="Times New Roman"/>
                <w:sz w:val="19"/>
                <w:szCs w:val="19"/>
              </w:rPr>
              <w:t>Ministru kabineta 19.11.2019. noteikumi Nr. 552</w:t>
            </w:r>
          </w:p>
          <w:p w14:paraId="702F0D23" w14:textId="6D208998" w:rsidR="74DEFD04" w:rsidRDefault="5B2F13D4" w:rsidP="5B2F13D4">
            <w:pPr>
              <w:rPr>
                <w:rFonts w:ascii="Times New Roman" w:eastAsia="Times New Roman" w:hAnsi="Times New Roman" w:cs="Times New Roman"/>
                <w:sz w:val="19"/>
                <w:szCs w:val="19"/>
              </w:rPr>
            </w:pPr>
            <w:r w:rsidRPr="5B2F13D4">
              <w:rPr>
                <w:rFonts w:ascii="Times New Roman" w:eastAsia="Times New Roman" w:hAnsi="Times New Roman" w:cs="Times New Roman"/>
                <w:sz w:val="19"/>
                <w:szCs w:val="19"/>
              </w:rPr>
              <w:t xml:space="preserve">3) </w:t>
            </w:r>
            <w:r w:rsidRPr="5B2F13D4">
              <w:rPr>
                <w:rFonts w:ascii="Times New Roman" w:eastAsia="Times New Roman" w:hAnsi="Times New Roman" w:cs="Times New Roman"/>
                <w:b/>
                <w:bCs/>
                <w:sz w:val="19"/>
                <w:szCs w:val="19"/>
              </w:rPr>
              <w:t>Stājās spēkā 28.11.2019.</w:t>
            </w:r>
          </w:p>
          <w:p w14:paraId="4328DB74" w14:textId="50000CA9" w:rsidR="74DEFD04" w:rsidRDefault="5B2F13D4" w:rsidP="5B2F13D4">
            <w:r w:rsidRPr="5B2F13D4">
              <w:rPr>
                <w:rFonts w:ascii="Times New Roman" w:eastAsia="Times New Roman" w:hAnsi="Times New Roman" w:cs="Times New Roman"/>
                <w:sz w:val="19"/>
                <w:szCs w:val="19"/>
              </w:rPr>
              <w:t>Ministru kabineta 19.11.2019. noteikumi Nr. 548</w:t>
            </w:r>
          </w:p>
          <w:p w14:paraId="7A8E92D5" w14:textId="67066E85" w:rsidR="74DEFD04" w:rsidRDefault="5B2F13D4" w:rsidP="5B2F13D4">
            <w:pPr>
              <w:rPr>
                <w:rFonts w:ascii="Times New Roman" w:eastAsia="Times New Roman" w:hAnsi="Times New Roman" w:cs="Times New Roman"/>
                <w:sz w:val="19"/>
                <w:szCs w:val="19"/>
              </w:rPr>
            </w:pPr>
            <w:r w:rsidRPr="5B2F13D4">
              <w:rPr>
                <w:rFonts w:ascii="Times New Roman" w:eastAsia="Times New Roman" w:hAnsi="Times New Roman" w:cs="Times New Roman"/>
                <w:sz w:val="19"/>
                <w:szCs w:val="19"/>
              </w:rPr>
              <w:t xml:space="preserve">4) </w:t>
            </w:r>
            <w:r w:rsidRPr="5B2F13D4">
              <w:rPr>
                <w:rFonts w:ascii="Times New Roman" w:eastAsia="Times New Roman" w:hAnsi="Times New Roman" w:cs="Times New Roman"/>
                <w:b/>
                <w:bCs/>
                <w:sz w:val="19"/>
                <w:szCs w:val="19"/>
              </w:rPr>
              <w:t>Stājās spēkā 22.11.2019.</w:t>
            </w:r>
          </w:p>
          <w:p w14:paraId="2A4BF154" w14:textId="7FB81AD0" w:rsidR="74DEFD04" w:rsidRDefault="5B2F13D4" w:rsidP="5B2F13D4">
            <w:r w:rsidRPr="5B2F13D4">
              <w:rPr>
                <w:rFonts w:ascii="Times New Roman" w:eastAsia="Times New Roman" w:hAnsi="Times New Roman" w:cs="Times New Roman"/>
                <w:sz w:val="19"/>
                <w:szCs w:val="19"/>
              </w:rPr>
              <w:t>Ministru kabineta 19.11.2019. noteikumi Nr. 528</w:t>
            </w:r>
          </w:p>
          <w:p w14:paraId="281ADE14" w14:textId="1F7FE1F9" w:rsidR="74DEFD04" w:rsidRDefault="5B2F13D4" w:rsidP="5B2F13D4">
            <w:pPr>
              <w:rPr>
                <w:rFonts w:ascii="Times New Roman" w:eastAsia="Times New Roman" w:hAnsi="Times New Roman" w:cs="Times New Roman"/>
                <w:b/>
                <w:bCs/>
                <w:sz w:val="19"/>
                <w:szCs w:val="19"/>
              </w:rPr>
            </w:pPr>
            <w:r w:rsidRPr="5B2F13D4">
              <w:rPr>
                <w:rFonts w:ascii="Times New Roman" w:eastAsia="Times New Roman" w:hAnsi="Times New Roman" w:cs="Times New Roman"/>
                <w:sz w:val="19"/>
                <w:szCs w:val="19"/>
              </w:rPr>
              <w:t xml:space="preserve">5) </w:t>
            </w:r>
            <w:r w:rsidRPr="5B2F13D4">
              <w:rPr>
                <w:rFonts w:ascii="Times New Roman" w:eastAsia="Times New Roman" w:hAnsi="Times New Roman" w:cs="Times New Roman"/>
                <w:b/>
                <w:bCs/>
                <w:sz w:val="19"/>
                <w:szCs w:val="19"/>
              </w:rPr>
              <w:t>Stājās spēkā 22.11.2019.</w:t>
            </w:r>
          </w:p>
          <w:p w14:paraId="366509F1" w14:textId="3B7B5A68" w:rsidR="74DEFD04" w:rsidRDefault="5B2F13D4" w:rsidP="5B2F13D4">
            <w:r w:rsidRPr="5B2F13D4">
              <w:rPr>
                <w:rFonts w:ascii="Times New Roman" w:eastAsia="Times New Roman" w:hAnsi="Times New Roman" w:cs="Times New Roman"/>
                <w:sz w:val="19"/>
                <w:szCs w:val="19"/>
              </w:rPr>
              <w:t>Ministru kabineta 19.11.2019. noteikumi Nr. 529</w:t>
            </w:r>
          </w:p>
          <w:p w14:paraId="1CA9E7C1" w14:textId="6BA4B867" w:rsidR="74DEFD04" w:rsidRDefault="5B2F13D4" w:rsidP="5B2F13D4">
            <w:pPr>
              <w:rPr>
                <w:rFonts w:ascii="Times New Roman" w:eastAsia="Times New Roman" w:hAnsi="Times New Roman" w:cs="Times New Roman"/>
                <w:b/>
                <w:bCs/>
                <w:sz w:val="19"/>
                <w:szCs w:val="19"/>
              </w:rPr>
            </w:pPr>
            <w:r w:rsidRPr="5B2F13D4">
              <w:rPr>
                <w:rFonts w:ascii="Times New Roman" w:eastAsia="Times New Roman" w:hAnsi="Times New Roman" w:cs="Times New Roman"/>
                <w:sz w:val="19"/>
                <w:szCs w:val="19"/>
              </w:rPr>
              <w:t xml:space="preserve">6) </w:t>
            </w:r>
            <w:r w:rsidRPr="5B2F13D4">
              <w:rPr>
                <w:rFonts w:ascii="Times New Roman" w:eastAsia="Times New Roman" w:hAnsi="Times New Roman" w:cs="Times New Roman"/>
                <w:b/>
                <w:bCs/>
                <w:sz w:val="19"/>
                <w:szCs w:val="19"/>
              </w:rPr>
              <w:t>Stājās spēkā 28.11.2019.</w:t>
            </w:r>
          </w:p>
          <w:p w14:paraId="6585B7F2" w14:textId="6FE94AB0" w:rsidR="74DEFD04" w:rsidRDefault="5B2F13D4" w:rsidP="5B2F13D4">
            <w:r w:rsidRPr="5B2F13D4">
              <w:rPr>
                <w:rFonts w:ascii="Times New Roman" w:eastAsia="Times New Roman" w:hAnsi="Times New Roman" w:cs="Times New Roman"/>
                <w:sz w:val="19"/>
                <w:szCs w:val="19"/>
              </w:rPr>
              <w:t>Ministru kabineta 19.11.2019. noteikumi Nr. 553</w:t>
            </w:r>
          </w:p>
          <w:p w14:paraId="6DCD021D" w14:textId="475A4007" w:rsidR="74DEFD04" w:rsidRDefault="5B2F13D4" w:rsidP="5B2F13D4">
            <w:pPr>
              <w:rPr>
                <w:rFonts w:ascii="Times New Roman" w:eastAsia="Times New Roman" w:hAnsi="Times New Roman" w:cs="Times New Roman"/>
                <w:sz w:val="19"/>
                <w:szCs w:val="19"/>
              </w:rPr>
            </w:pPr>
            <w:r w:rsidRPr="5B2F13D4">
              <w:rPr>
                <w:rFonts w:ascii="Times New Roman" w:eastAsia="Times New Roman" w:hAnsi="Times New Roman" w:cs="Times New Roman"/>
                <w:sz w:val="19"/>
                <w:szCs w:val="19"/>
              </w:rPr>
              <w:t xml:space="preserve">7) </w:t>
            </w:r>
            <w:r w:rsidRPr="5B2F13D4">
              <w:rPr>
                <w:rFonts w:ascii="Times New Roman" w:eastAsia="Times New Roman" w:hAnsi="Times New Roman" w:cs="Times New Roman"/>
                <w:b/>
                <w:bCs/>
                <w:sz w:val="19"/>
                <w:szCs w:val="19"/>
              </w:rPr>
              <w:t>Stājās spēkā 28.11.2019.</w:t>
            </w:r>
          </w:p>
          <w:p w14:paraId="0B74721D" w14:textId="6DB0E817" w:rsidR="74DEFD04" w:rsidRDefault="5B2F13D4" w:rsidP="5B2F13D4">
            <w:r w:rsidRPr="5B2F13D4">
              <w:rPr>
                <w:rFonts w:ascii="Times New Roman" w:eastAsia="Times New Roman" w:hAnsi="Times New Roman" w:cs="Times New Roman"/>
                <w:sz w:val="19"/>
                <w:szCs w:val="19"/>
              </w:rPr>
              <w:t>Ministru kabineta 19.11.2019. noteikumi Nr. 550</w:t>
            </w:r>
          </w:p>
          <w:p w14:paraId="30F9D289" w14:textId="0FC74BD1" w:rsidR="74DEFD04" w:rsidRDefault="5B2F13D4" w:rsidP="5B2F13D4">
            <w:pPr>
              <w:rPr>
                <w:rFonts w:ascii="Times New Roman" w:eastAsia="Times New Roman" w:hAnsi="Times New Roman" w:cs="Times New Roman"/>
                <w:b/>
                <w:bCs/>
                <w:sz w:val="19"/>
                <w:szCs w:val="19"/>
              </w:rPr>
            </w:pPr>
            <w:r w:rsidRPr="5B2F13D4">
              <w:rPr>
                <w:rFonts w:ascii="Times New Roman" w:eastAsia="Times New Roman" w:hAnsi="Times New Roman" w:cs="Times New Roman"/>
                <w:sz w:val="19"/>
                <w:szCs w:val="19"/>
              </w:rPr>
              <w:t xml:space="preserve">8) </w:t>
            </w:r>
            <w:r w:rsidRPr="5B2F13D4">
              <w:rPr>
                <w:rFonts w:ascii="Times New Roman" w:eastAsia="Times New Roman" w:hAnsi="Times New Roman" w:cs="Times New Roman"/>
                <w:b/>
                <w:bCs/>
                <w:sz w:val="19"/>
                <w:szCs w:val="19"/>
              </w:rPr>
              <w:t>Stājās spēkā 29.11.2019.</w:t>
            </w:r>
          </w:p>
          <w:p w14:paraId="6FC28C4B" w14:textId="1073412B" w:rsidR="74DEFD04" w:rsidRDefault="5B2F13D4" w:rsidP="5B2F13D4">
            <w:r w:rsidRPr="5B2F13D4">
              <w:rPr>
                <w:rFonts w:ascii="Times New Roman" w:eastAsia="Times New Roman" w:hAnsi="Times New Roman" w:cs="Times New Roman"/>
                <w:sz w:val="19"/>
                <w:szCs w:val="19"/>
              </w:rPr>
              <w:t>Ministru kabineta 19.11.2019. noteikumi Nr. 549</w:t>
            </w:r>
          </w:p>
          <w:p w14:paraId="6C3CE00F" w14:textId="11F7CEC4" w:rsidR="74DEFD04" w:rsidRDefault="5B2F13D4" w:rsidP="5B2F13D4">
            <w:pPr>
              <w:rPr>
                <w:rFonts w:ascii="Times New Roman" w:eastAsia="Times New Roman" w:hAnsi="Times New Roman" w:cs="Times New Roman"/>
                <w:sz w:val="19"/>
                <w:szCs w:val="19"/>
              </w:rPr>
            </w:pPr>
            <w:r w:rsidRPr="5B2F13D4">
              <w:rPr>
                <w:rFonts w:ascii="Times New Roman" w:eastAsia="Times New Roman" w:hAnsi="Times New Roman" w:cs="Times New Roman"/>
                <w:sz w:val="19"/>
                <w:szCs w:val="19"/>
              </w:rPr>
              <w:t xml:space="preserve">9) </w:t>
            </w:r>
            <w:r w:rsidRPr="5B2F13D4">
              <w:rPr>
                <w:rFonts w:ascii="Times New Roman" w:eastAsia="Times New Roman" w:hAnsi="Times New Roman" w:cs="Times New Roman"/>
                <w:b/>
                <w:bCs/>
                <w:sz w:val="19"/>
                <w:szCs w:val="19"/>
              </w:rPr>
              <w:t>Stājās spēkā 28.11.2019.</w:t>
            </w:r>
          </w:p>
          <w:p w14:paraId="2487AD22" w14:textId="242C6153" w:rsidR="74DEFD04" w:rsidRDefault="5B2F13D4" w:rsidP="5B2F13D4">
            <w:r w:rsidRPr="5B2F13D4">
              <w:rPr>
                <w:rFonts w:ascii="Times New Roman" w:eastAsia="Times New Roman" w:hAnsi="Times New Roman" w:cs="Times New Roman"/>
                <w:sz w:val="19"/>
                <w:szCs w:val="19"/>
              </w:rPr>
              <w:t>Ministru kabineta 19.11.2019. noteikumi Nr. 554</w:t>
            </w:r>
          </w:p>
          <w:p w14:paraId="739CDD54" w14:textId="28E12CE7" w:rsidR="74DEFD04" w:rsidRDefault="5B2F13D4" w:rsidP="5B2F13D4">
            <w:pPr>
              <w:rPr>
                <w:rFonts w:ascii="Times New Roman" w:eastAsia="Times New Roman" w:hAnsi="Times New Roman" w:cs="Times New Roman"/>
                <w:sz w:val="19"/>
                <w:szCs w:val="19"/>
              </w:rPr>
            </w:pPr>
            <w:r w:rsidRPr="5B2F13D4">
              <w:rPr>
                <w:rFonts w:ascii="Times New Roman" w:eastAsia="Times New Roman" w:hAnsi="Times New Roman" w:cs="Times New Roman"/>
                <w:sz w:val="19"/>
                <w:szCs w:val="19"/>
              </w:rPr>
              <w:t xml:space="preserve">10) </w:t>
            </w:r>
            <w:r w:rsidRPr="5B2F13D4">
              <w:rPr>
                <w:rFonts w:ascii="Times New Roman" w:eastAsia="Times New Roman" w:hAnsi="Times New Roman" w:cs="Times New Roman"/>
                <w:b/>
                <w:bCs/>
                <w:sz w:val="19"/>
                <w:szCs w:val="19"/>
              </w:rPr>
              <w:t>Stājās spēkā 22.11.2019.</w:t>
            </w:r>
          </w:p>
          <w:p w14:paraId="2EE44E90" w14:textId="16A38683" w:rsidR="74DEFD04" w:rsidRDefault="5B2F13D4" w:rsidP="5B2F13D4">
            <w:r w:rsidRPr="5B2F13D4">
              <w:rPr>
                <w:rFonts w:ascii="Times New Roman" w:eastAsia="Times New Roman" w:hAnsi="Times New Roman" w:cs="Times New Roman"/>
                <w:sz w:val="19"/>
                <w:szCs w:val="19"/>
              </w:rPr>
              <w:t>Ministru kabineta 19.11.2019. noteikumi Nr. 527</w:t>
            </w:r>
          </w:p>
          <w:p w14:paraId="657956F7" w14:textId="26E7EF16" w:rsidR="74DEFD04" w:rsidRDefault="5B2F13D4" w:rsidP="5B2F13D4">
            <w:pPr>
              <w:rPr>
                <w:rFonts w:ascii="Times New Roman" w:eastAsia="Times New Roman" w:hAnsi="Times New Roman" w:cs="Times New Roman"/>
                <w:sz w:val="19"/>
                <w:szCs w:val="19"/>
              </w:rPr>
            </w:pPr>
            <w:r w:rsidRPr="5B2F13D4">
              <w:rPr>
                <w:rFonts w:ascii="Times New Roman" w:eastAsia="Times New Roman" w:hAnsi="Times New Roman" w:cs="Times New Roman"/>
                <w:sz w:val="19"/>
                <w:szCs w:val="19"/>
              </w:rPr>
              <w:t xml:space="preserve">11) </w:t>
            </w:r>
            <w:r w:rsidRPr="5B2F13D4">
              <w:rPr>
                <w:rFonts w:ascii="Times New Roman" w:eastAsia="Times New Roman" w:hAnsi="Times New Roman" w:cs="Times New Roman"/>
                <w:b/>
                <w:bCs/>
                <w:sz w:val="19"/>
                <w:szCs w:val="19"/>
              </w:rPr>
              <w:t>Stājās spēkā 22.11.2019.</w:t>
            </w:r>
          </w:p>
          <w:p w14:paraId="1D6791A7" w14:textId="69D788A1" w:rsidR="74DEFD04" w:rsidRDefault="5B2F13D4" w:rsidP="5B2F13D4">
            <w:r w:rsidRPr="5B2F13D4">
              <w:rPr>
                <w:rFonts w:ascii="Times New Roman" w:eastAsia="Times New Roman" w:hAnsi="Times New Roman" w:cs="Times New Roman"/>
                <w:sz w:val="19"/>
                <w:szCs w:val="19"/>
              </w:rPr>
              <w:t>Ministru kabineta 19.11.2019. noteikumi Nr. 525</w:t>
            </w:r>
          </w:p>
          <w:p w14:paraId="1545265F" w14:textId="237122A9" w:rsidR="74DEFD04" w:rsidRDefault="5B2F13D4" w:rsidP="5B2F13D4">
            <w:pPr>
              <w:rPr>
                <w:rFonts w:ascii="Times New Roman" w:eastAsia="Times New Roman" w:hAnsi="Times New Roman" w:cs="Times New Roman"/>
                <w:b/>
                <w:bCs/>
                <w:sz w:val="19"/>
                <w:szCs w:val="19"/>
              </w:rPr>
            </w:pPr>
            <w:r w:rsidRPr="5B2F13D4">
              <w:rPr>
                <w:rFonts w:ascii="Times New Roman" w:eastAsia="Times New Roman" w:hAnsi="Times New Roman" w:cs="Times New Roman"/>
                <w:sz w:val="19"/>
                <w:szCs w:val="19"/>
              </w:rPr>
              <w:t xml:space="preserve">12) </w:t>
            </w:r>
            <w:r w:rsidRPr="5B2F13D4">
              <w:rPr>
                <w:rFonts w:ascii="Times New Roman" w:eastAsia="Times New Roman" w:hAnsi="Times New Roman" w:cs="Times New Roman"/>
                <w:b/>
                <w:bCs/>
                <w:sz w:val="19"/>
                <w:szCs w:val="19"/>
              </w:rPr>
              <w:t>Zaudē spēku 22.11.2019.</w:t>
            </w:r>
          </w:p>
          <w:p w14:paraId="12D9BEE9" w14:textId="42D06961" w:rsidR="74DEFD04" w:rsidRDefault="5B2F13D4" w:rsidP="5B2F13D4">
            <w:r w:rsidRPr="5B2F13D4">
              <w:rPr>
                <w:rFonts w:ascii="Times New Roman" w:eastAsia="Times New Roman" w:hAnsi="Times New Roman" w:cs="Times New Roman"/>
                <w:sz w:val="19"/>
                <w:szCs w:val="19"/>
              </w:rPr>
              <w:t>Ministru kabineta 19.11.2019. noteikumi Nr. 526</w:t>
            </w:r>
          </w:p>
          <w:p w14:paraId="628302AA" w14:textId="6E8B220B" w:rsidR="74DEFD04" w:rsidRDefault="74DEFD04" w:rsidP="5B2F13D4">
            <w:pPr>
              <w:rPr>
                <w:rFonts w:ascii="Times New Roman" w:eastAsia="Times New Roman" w:hAnsi="Times New Roman" w:cs="Times New Roman"/>
                <w:b/>
                <w:bCs/>
                <w:color w:val="2A2A2A"/>
                <w:sz w:val="19"/>
                <w:szCs w:val="19"/>
              </w:rPr>
            </w:pPr>
          </w:p>
          <w:p w14:paraId="6F60844E" w14:textId="5023D5EE" w:rsidR="74DEFD04" w:rsidRDefault="74DEFD04" w:rsidP="5B2F13D4">
            <w:pPr>
              <w:rPr>
                <w:rFonts w:ascii="Times New Roman" w:eastAsia="Times New Roman" w:hAnsi="Times New Roman" w:cs="Times New Roman"/>
                <w:b/>
                <w:bCs/>
                <w:color w:val="2A2A2A"/>
                <w:sz w:val="19"/>
                <w:szCs w:val="19"/>
              </w:rPr>
            </w:pPr>
          </w:p>
        </w:tc>
      </w:tr>
      <w:tr w:rsidR="5B2F13D4" w14:paraId="3B75182C" w14:textId="77777777" w:rsidTr="5B2F13D4">
        <w:tc>
          <w:tcPr>
            <w:tcW w:w="900" w:type="dxa"/>
          </w:tcPr>
          <w:p w14:paraId="792B6F12" w14:textId="37EAD1E6" w:rsidR="5B2F13D4" w:rsidRDefault="5B2F13D4" w:rsidP="5B2F13D4">
            <w:pPr>
              <w:jc w:val="center"/>
              <w:rPr>
                <w:rFonts w:ascii="Times New Roman" w:eastAsia="Times New Roman" w:hAnsi="Times New Roman" w:cs="Times New Roman"/>
                <w:sz w:val="20"/>
                <w:szCs w:val="20"/>
              </w:rPr>
            </w:pPr>
          </w:p>
        </w:tc>
        <w:tc>
          <w:tcPr>
            <w:tcW w:w="1830" w:type="dxa"/>
          </w:tcPr>
          <w:p w14:paraId="004FF661" w14:textId="5695C53B" w:rsidR="5B2F13D4" w:rsidRDefault="5B2F13D4" w:rsidP="5B2F13D4">
            <w:pPr>
              <w:jc w:val="both"/>
              <w:rPr>
                <w:rFonts w:ascii="Times New Roman" w:eastAsia="Times New Roman" w:hAnsi="Times New Roman" w:cs="Times New Roman"/>
                <w:sz w:val="20"/>
                <w:szCs w:val="20"/>
              </w:rPr>
            </w:pPr>
          </w:p>
        </w:tc>
        <w:tc>
          <w:tcPr>
            <w:tcW w:w="3690" w:type="dxa"/>
          </w:tcPr>
          <w:p w14:paraId="36B43628" w14:textId="07EFBDC9" w:rsidR="5B2F13D4" w:rsidRDefault="5B2F13D4" w:rsidP="5B2F13D4">
            <w:pPr>
              <w:jc w:val="both"/>
              <w:rPr>
                <w:rFonts w:ascii="Times New Roman" w:eastAsia="Times New Roman" w:hAnsi="Times New Roman" w:cs="Times New Roman"/>
                <w:b/>
                <w:bCs/>
                <w:sz w:val="20"/>
                <w:szCs w:val="20"/>
              </w:rPr>
            </w:pPr>
          </w:p>
        </w:tc>
        <w:tc>
          <w:tcPr>
            <w:tcW w:w="5265" w:type="dxa"/>
          </w:tcPr>
          <w:p w14:paraId="50E09320" w14:textId="06C65D3F" w:rsidR="5B2F13D4" w:rsidRDefault="5B2F13D4" w:rsidP="5B2F13D4">
            <w:pPr>
              <w:jc w:val="both"/>
              <w:rPr>
                <w:rFonts w:ascii="Times New Roman" w:eastAsia="Times New Roman" w:hAnsi="Times New Roman" w:cs="Times New Roman"/>
                <w:sz w:val="20"/>
                <w:szCs w:val="20"/>
              </w:rPr>
            </w:pPr>
          </w:p>
        </w:tc>
        <w:tc>
          <w:tcPr>
            <w:tcW w:w="2842" w:type="dxa"/>
          </w:tcPr>
          <w:p w14:paraId="5CE36BF3" w14:textId="705DB600" w:rsidR="5B2F13D4" w:rsidRDefault="5B2F13D4" w:rsidP="5B2F13D4">
            <w:pPr>
              <w:rPr>
                <w:rFonts w:ascii="Times New Roman" w:eastAsia="Times New Roman" w:hAnsi="Times New Roman" w:cs="Times New Roman"/>
                <w:b/>
                <w:bCs/>
                <w:color w:val="2A2A2A"/>
                <w:sz w:val="19"/>
                <w:szCs w:val="19"/>
              </w:rPr>
            </w:pPr>
          </w:p>
        </w:tc>
      </w:tr>
    </w:tbl>
    <w:p w14:paraId="1E5026E7" w14:textId="6742AF3F" w:rsidR="74DEFD04" w:rsidRDefault="5B2F13D4" w:rsidP="74DEFD04">
      <w:pPr>
        <w:jc w:val="right"/>
      </w:pPr>
      <w:r w:rsidRPr="5B2F13D4">
        <w:rPr>
          <w:rFonts w:ascii="Times New Roman" w:eastAsia="Times New Roman" w:hAnsi="Times New Roman" w:cs="Times New Roman"/>
          <w:sz w:val="18"/>
          <w:szCs w:val="18"/>
        </w:rPr>
        <w:t xml:space="preserve"> </w:t>
      </w:r>
    </w:p>
    <w:p w14:paraId="36C444E1" w14:textId="3C688CCA" w:rsidR="5B2F13D4" w:rsidRDefault="5B2F13D4" w:rsidP="5B2F13D4">
      <w:pPr>
        <w:jc w:val="right"/>
        <w:rPr>
          <w:rFonts w:ascii="Times New Roman" w:eastAsia="Times New Roman" w:hAnsi="Times New Roman" w:cs="Times New Roman"/>
          <w:sz w:val="18"/>
          <w:szCs w:val="18"/>
        </w:rPr>
      </w:pPr>
    </w:p>
    <w:p w14:paraId="20A8758D" w14:textId="3A5E2090" w:rsidR="74DEFD04" w:rsidRDefault="74DEFD04" w:rsidP="74DEFD04">
      <w:pPr>
        <w:jc w:val="right"/>
      </w:pPr>
      <w:r w:rsidRPr="74DEFD04">
        <w:rPr>
          <w:rFonts w:ascii="Times New Roman" w:eastAsia="Times New Roman" w:hAnsi="Times New Roman" w:cs="Times New Roman"/>
          <w:sz w:val="18"/>
          <w:szCs w:val="18"/>
        </w:rPr>
        <w:t xml:space="preserve"> </w:t>
      </w:r>
    </w:p>
    <w:p w14:paraId="2BFEB6A3" w14:textId="4298EA13" w:rsidR="74DEFD04" w:rsidRDefault="74DEFD04" w:rsidP="74DEFD04">
      <w:pPr>
        <w:jc w:val="right"/>
      </w:pPr>
      <w:r w:rsidRPr="74DEFD04">
        <w:rPr>
          <w:rFonts w:ascii="Times New Roman" w:eastAsia="Times New Roman" w:hAnsi="Times New Roman" w:cs="Times New Roman"/>
          <w:sz w:val="18"/>
          <w:szCs w:val="18"/>
        </w:rPr>
        <w:t xml:space="preserve"> </w:t>
      </w:r>
    </w:p>
    <w:p w14:paraId="12AF94D8" w14:textId="2B225702" w:rsidR="74DEFD04" w:rsidRDefault="74DEFD04" w:rsidP="74DEFD04">
      <w:pPr>
        <w:jc w:val="center"/>
      </w:pPr>
      <w:r w:rsidRPr="74DEFD04">
        <w:rPr>
          <w:rFonts w:ascii="Times New Roman" w:eastAsia="Times New Roman" w:hAnsi="Times New Roman" w:cs="Times New Roman"/>
          <w:b/>
          <w:bCs/>
          <w:sz w:val="18"/>
          <w:szCs w:val="18"/>
        </w:rPr>
        <w:t>Izstrādē esošie jaunie n.a. &amp; grozījumi</w:t>
      </w:r>
      <w:r w:rsidRPr="74DEFD04">
        <w:rPr>
          <w:rFonts w:ascii="Times New Roman" w:eastAsia="Times New Roman" w:hAnsi="Times New Roman" w:cs="Times New Roman"/>
          <w:sz w:val="18"/>
          <w:szCs w:val="18"/>
        </w:rPr>
        <w:t xml:space="preserve"> </w:t>
      </w:r>
    </w:p>
    <w:tbl>
      <w:tblPr>
        <w:tblStyle w:val="TableGrid"/>
        <w:tblW w:w="14516" w:type="dxa"/>
        <w:tblLayout w:type="fixed"/>
        <w:tblLook w:val="00A0" w:firstRow="1" w:lastRow="0" w:firstColumn="1" w:lastColumn="0" w:noHBand="0" w:noVBand="0"/>
      </w:tblPr>
      <w:tblGrid>
        <w:gridCol w:w="885"/>
        <w:gridCol w:w="1845"/>
        <w:gridCol w:w="3720"/>
        <w:gridCol w:w="5220"/>
        <w:gridCol w:w="2846"/>
      </w:tblGrid>
      <w:tr w:rsidR="74DEFD04" w14:paraId="50A6D3DD" w14:textId="77777777" w:rsidTr="17FE0BE1">
        <w:tc>
          <w:tcPr>
            <w:tcW w:w="885" w:type="dxa"/>
          </w:tcPr>
          <w:p w14:paraId="25479D5E" w14:textId="4A3BF5CC" w:rsidR="74DEFD04" w:rsidRDefault="74DEFD04" w:rsidP="74DEFD04">
            <w:pPr>
              <w:ind w:left="360"/>
              <w:jc w:val="center"/>
            </w:pPr>
            <w:r w:rsidRPr="74DEFD04">
              <w:rPr>
                <w:rFonts w:ascii="Times New Roman" w:eastAsia="Times New Roman" w:hAnsi="Times New Roman" w:cs="Times New Roman"/>
                <w:b/>
                <w:bCs/>
                <w:i/>
                <w:iCs/>
                <w:sz w:val="20"/>
                <w:szCs w:val="20"/>
              </w:rPr>
              <w:t xml:space="preserve"> </w:t>
            </w:r>
          </w:p>
          <w:p w14:paraId="696D337D" w14:textId="3B0EA39C" w:rsidR="74DEFD04" w:rsidRDefault="74DEFD04" w:rsidP="74DEFD04">
            <w:pPr>
              <w:spacing w:line="259" w:lineRule="auto"/>
              <w:jc w:val="center"/>
            </w:pPr>
            <w:r w:rsidRPr="74DEFD04">
              <w:rPr>
                <w:rFonts w:ascii="Times New Roman" w:eastAsia="Times New Roman" w:hAnsi="Times New Roman" w:cs="Times New Roman"/>
                <w:b/>
                <w:bCs/>
                <w:i/>
                <w:iCs/>
                <w:sz w:val="20"/>
                <w:szCs w:val="20"/>
              </w:rPr>
              <w:t>N.p.k.</w:t>
            </w:r>
          </w:p>
        </w:tc>
        <w:tc>
          <w:tcPr>
            <w:tcW w:w="1845" w:type="dxa"/>
          </w:tcPr>
          <w:p w14:paraId="3B8B95BD" w14:textId="6DE9EC02" w:rsidR="74DEFD04" w:rsidRDefault="74DEFD04" w:rsidP="74DEFD04">
            <w:pPr>
              <w:pStyle w:val="Heading6"/>
              <w:jc w:val="center"/>
              <w:outlineLvl w:val="5"/>
              <w:rPr>
                <w:rFonts w:ascii="Times New Roman" w:eastAsia="Times New Roman" w:hAnsi="Times New Roman" w:cs="Times New Roman"/>
                <w:b/>
                <w:bCs/>
                <w:i/>
                <w:iCs/>
                <w:color w:val="auto"/>
                <w:sz w:val="20"/>
                <w:szCs w:val="20"/>
              </w:rPr>
            </w:pPr>
            <w:r w:rsidRPr="74DEFD04">
              <w:rPr>
                <w:rFonts w:ascii="Times New Roman" w:eastAsia="Times New Roman" w:hAnsi="Times New Roman" w:cs="Times New Roman"/>
                <w:b/>
                <w:bCs/>
                <w:i/>
                <w:iCs/>
                <w:color w:val="auto"/>
                <w:sz w:val="20"/>
                <w:szCs w:val="20"/>
              </w:rPr>
              <w:t>Dokumenta veids</w:t>
            </w:r>
          </w:p>
        </w:tc>
        <w:tc>
          <w:tcPr>
            <w:tcW w:w="3720" w:type="dxa"/>
          </w:tcPr>
          <w:p w14:paraId="44789708" w14:textId="20F47A5B" w:rsidR="74DEFD04" w:rsidRDefault="74DEFD04" w:rsidP="74DEFD04">
            <w:pPr>
              <w:pStyle w:val="Heading6"/>
              <w:jc w:val="center"/>
              <w:outlineLvl w:val="5"/>
              <w:rPr>
                <w:rFonts w:ascii="Times New Roman" w:eastAsia="Times New Roman" w:hAnsi="Times New Roman" w:cs="Times New Roman"/>
                <w:b/>
                <w:bCs/>
                <w:i/>
                <w:iCs/>
                <w:color w:val="auto"/>
                <w:sz w:val="20"/>
                <w:szCs w:val="20"/>
              </w:rPr>
            </w:pPr>
            <w:r w:rsidRPr="74DEFD04">
              <w:rPr>
                <w:rFonts w:ascii="Times New Roman" w:eastAsia="Times New Roman" w:hAnsi="Times New Roman" w:cs="Times New Roman"/>
                <w:b/>
                <w:bCs/>
                <w:i/>
                <w:iCs/>
                <w:color w:val="auto"/>
                <w:sz w:val="20"/>
                <w:szCs w:val="20"/>
              </w:rPr>
              <w:t>Nosaukums</w:t>
            </w:r>
          </w:p>
        </w:tc>
        <w:tc>
          <w:tcPr>
            <w:tcW w:w="5220" w:type="dxa"/>
          </w:tcPr>
          <w:p w14:paraId="57FF8607" w14:textId="4DCE0DA3" w:rsidR="74DEFD04" w:rsidRDefault="74DEFD04" w:rsidP="74DEFD04">
            <w:pPr>
              <w:jc w:val="center"/>
            </w:pPr>
            <w:r w:rsidRPr="74DEFD04">
              <w:rPr>
                <w:rFonts w:ascii="Times New Roman" w:eastAsia="Times New Roman" w:hAnsi="Times New Roman" w:cs="Times New Roman"/>
                <w:b/>
                <w:bCs/>
                <w:i/>
                <w:iCs/>
                <w:sz w:val="20"/>
                <w:szCs w:val="20"/>
              </w:rPr>
              <w:t>Būtība</w:t>
            </w:r>
          </w:p>
        </w:tc>
        <w:tc>
          <w:tcPr>
            <w:tcW w:w="2846" w:type="dxa"/>
          </w:tcPr>
          <w:p w14:paraId="699A67DF" w14:textId="6B0BBEF3" w:rsidR="74DEFD04" w:rsidRDefault="74DEFD04" w:rsidP="74DEFD04">
            <w:pPr>
              <w:jc w:val="center"/>
            </w:pPr>
            <w:r w:rsidRPr="74DEFD04">
              <w:rPr>
                <w:rFonts w:ascii="Times New Roman" w:eastAsia="Times New Roman" w:hAnsi="Times New Roman" w:cs="Times New Roman"/>
                <w:b/>
                <w:bCs/>
                <w:i/>
                <w:iCs/>
                <w:sz w:val="20"/>
                <w:szCs w:val="20"/>
              </w:rPr>
              <w:t xml:space="preserve">Aprites stadija </w:t>
            </w:r>
          </w:p>
          <w:p w14:paraId="40B86C00" w14:textId="650BEA86" w:rsidR="74DEFD04" w:rsidRDefault="74DEFD04" w:rsidP="74DEFD04">
            <w:pPr>
              <w:jc w:val="center"/>
            </w:pPr>
            <w:r w:rsidRPr="74DEFD04">
              <w:rPr>
                <w:rFonts w:ascii="Times New Roman" w:eastAsia="Times New Roman" w:hAnsi="Times New Roman" w:cs="Times New Roman"/>
                <w:i/>
                <w:iCs/>
                <w:sz w:val="20"/>
                <w:szCs w:val="20"/>
              </w:rPr>
              <w:t>(stājies spēkā, izsludināts VSS, tiks izsludināts VSS)</w:t>
            </w:r>
          </w:p>
        </w:tc>
      </w:tr>
      <w:tr w:rsidR="74DEFD04" w14:paraId="4854E952" w14:textId="77777777" w:rsidTr="17FE0BE1">
        <w:tc>
          <w:tcPr>
            <w:tcW w:w="885" w:type="dxa"/>
            <w:shd w:val="clear" w:color="auto" w:fill="FFE599" w:themeFill="accent4" w:themeFillTint="66"/>
          </w:tcPr>
          <w:p w14:paraId="47E9A183" w14:textId="037721A0" w:rsidR="74DEFD04" w:rsidRDefault="74DEFD04" w:rsidP="74DEFD04">
            <w:pPr>
              <w:jc w:val="center"/>
              <w:rPr>
                <w:rFonts w:ascii="Times New Roman" w:eastAsia="Times New Roman" w:hAnsi="Times New Roman" w:cs="Times New Roman"/>
                <w:b/>
                <w:bCs/>
                <w:sz w:val="20"/>
                <w:szCs w:val="20"/>
              </w:rPr>
            </w:pPr>
            <w:r w:rsidRPr="74DEFD04">
              <w:rPr>
                <w:rFonts w:ascii="Times New Roman" w:eastAsia="Times New Roman" w:hAnsi="Times New Roman" w:cs="Times New Roman"/>
                <w:b/>
                <w:bCs/>
                <w:sz w:val="20"/>
                <w:szCs w:val="20"/>
              </w:rPr>
              <w:t>Procesā</w:t>
            </w:r>
          </w:p>
          <w:p w14:paraId="2DE9529F" w14:textId="12C0384A" w:rsidR="74DEFD04" w:rsidRDefault="74DEFD04" w:rsidP="74DEFD04">
            <w:pPr>
              <w:jc w:val="center"/>
              <w:rPr>
                <w:rFonts w:ascii="Times New Roman" w:eastAsia="Times New Roman" w:hAnsi="Times New Roman" w:cs="Times New Roman"/>
                <w:b/>
                <w:bCs/>
                <w:sz w:val="20"/>
                <w:szCs w:val="20"/>
              </w:rPr>
            </w:pPr>
          </w:p>
        </w:tc>
        <w:tc>
          <w:tcPr>
            <w:tcW w:w="1845" w:type="dxa"/>
            <w:shd w:val="clear" w:color="auto" w:fill="FFE599" w:themeFill="accent4" w:themeFillTint="66"/>
          </w:tcPr>
          <w:p w14:paraId="65C3914D" w14:textId="21E95F84" w:rsidR="74DEFD04" w:rsidRDefault="74DEFD04"/>
        </w:tc>
        <w:tc>
          <w:tcPr>
            <w:tcW w:w="3720" w:type="dxa"/>
            <w:shd w:val="clear" w:color="auto" w:fill="FFE599" w:themeFill="accent4" w:themeFillTint="66"/>
          </w:tcPr>
          <w:p w14:paraId="4AF08721" w14:textId="67420695" w:rsidR="74DEFD04" w:rsidRDefault="74DEFD04"/>
        </w:tc>
        <w:tc>
          <w:tcPr>
            <w:tcW w:w="5220" w:type="dxa"/>
            <w:shd w:val="clear" w:color="auto" w:fill="FFE599" w:themeFill="accent4" w:themeFillTint="66"/>
          </w:tcPr>
          <w:p w14:paraId="3962932D" w14:textId="35F45E30" w:rsidR="74DEFD04" w:rsidRDefault="74DEFD04"/>
        </w:tc>
        <w:tc>
          <w:tcPr>
            <w:tcW w:w="2846" w:type="dxa"/>
            <w:shd w:val="clear" w:color="auto" w:fill="FFE599" w:themeFill="accent4" w:themeFillTint="66"/>
          </w:tcPr>
          <w:p w14:paraId="58812506" w14:textId="0CB5A27E" w:rsidR="74DEFD04" w:rsidRDefault="74DEFD04"/>
        </w:tc>
      </w:tr>
      <w:tr w:rsidR="74DEFD04" w14:paraId="4CB43BBE" w14:textId="77777777" w:rsidTr="17FE0BE1">
        <w:tc>
          <w:tcPr>
            <w:tcW w:w="885" w:type="dxa"/>
          </w:tcPr>
          <w:p w14:paraId="23ABC0B3" w14:textId="4F2015AE" w:rsidR="74DEFD04" w:rsidRDefault="74DEFD04" w:rsidP="74DEFD04">
            <w:pPr>
              <w:pStyle w:val="ListParagraph"/>
              <w:numPr>
                <w:ilvl w:val="0"/>
                <w:numId w:val="2"/>
              </w:numPr>
              <w:jc w:val="center"/>
              <w:rPr>
                <w:sz w:val="20"/>
                <w:szCs w:val="20"/>
              </w:rPr>
            </w:pPr>
          </w:p>
        </w:tc>
        <w:tc>
          <w:tcPr>
            <w:tcW w:w="1845" w:type="dxa"/>
          </w:tcPr>
          <w:p w14:paraId="1F9BB5A0" w14:textId="054C8DA6" w:rsidR="74DEFD04" w:rsidRDefault="74DEFD04" w:rsidP="74DEFD04">
            <w:pPr>
              <w:jc w:val="both"/>
            </w:pPr>
            <w:r w:rsidRPr="74DEFD04">
              <w:rPr>
                <w:rFonts w:ascii="Times New Roman" w:eastAsia="Times New Roman" w:hAnsi="Times New Roman" w:cs="Times New Roman"/>
                <w:sz w:val="20"/>
                <w:szCs w:val="20"/>
              </w:rPr>
              <w:t>Likums</w:t>
            </w:r>
          </w:p>
        </w:tc>
        <w:tc>
          <w:tcPr>
            <w:tcW w:w="3720" w:type="dxa"/>
          </w:tcPr>
          <w:p w14:paraId="4D4A5028" w14:textId="2D00EC6A" w:rsidR="74DEFD04" w:rsidRDefault="74DEFD04" w:rsidP="74DEFD04">
            <w:pPr>
              <w:spacing w:line="252" w:lineRule="auto"/>
            </w:pPr>
            <w:r w:rsidRPr="74DEFD04">
              <w:rPr>
                <w:rFonts w:ascii="Times New Roman" w:eastAsia="Times New Roman" w:hAnsi="Times New Roman" w:cs="Times New Roman"/>
                <w:sz w:val="20"/>
                <w:szCs w:val="20"/>
              </w:rPr>
              <w:t xml:space="preserve">Grozījumi </w:t>
            </w:r>
            <w:r w:rsidRPr="74DEFD04">
              <w:rPr>
                <w:rFonts w:ascii="Times New Roman" w:eastAsia="Times New Roman" w:hAnsi="Times New Roman" w:cs="Times New Roman"/>
                <w:b/>
                <w:bCs/>
                <w:sz w:val="20"/>
                <w:szCs w:val="20"/>
              </w:rPr>
              <w:t>Būvniecības likumā</w:t>
            </w:r>
            <w:r w:rsidRPr="74DEFD04">
              <w:rPr>
                <w:rFonts w:ascii="Times New Roman" w:eastAsia="Times New Roman" w:hAnsi="Times New Roman" w:cs="Times New Roman"/>
                <w:sz w:val="20"/>
                <w:szCs w:val="20"/>
              </w:rPr>
              <w:t xml:space="preserve"> (atbildība un kompetence)</w:t>
            </w:r>
          </w:p>
        </w:tc>
        <w:tc>
          <w:tcPr>
            <w:tcW w:w="5220" w:type="dxa"/>
          </w:tcPr>
          <w:p w14:paraId="235C374D" w14:textId="1563AA17" w:rsidR="74DEFD04" w:rsidRDefault="74DEFD04" w:rsidP="74DEFD04">
            <w:pPr>
              <w:spacing w:line="252" w:lineRule="auto"/>
            </w:pPr>
            <w:r w:rsidRPr="74DEFD04">
              <w:rPr>
                <w:rFonts w:ascii="Times New Roman" w:eastAsia="Times New Roman" w:hAnsi="Times New Roman" w:cs="Times New Roman"/>
                <w:sz w:val="20"/>
                <w:szCs w:val="20"/>
              </w:rPr>
              <w:t>Tiek grozīta būvvaldes un BVKB kompetencē, kā arī skaidri noteikta katra būvniecības procesa dalībnieka atbildība. Papildus tiek pārskatīta terminoloģija saistībā ar būvniecības procesa dalībniekiem.</w:t>
            </w:r>
          </w:p>
          <w:p w14:paraId="080DEEF5" w14:textId="19ED46D4" w:rsidR="74DEFD04" w:rsidRDefault="74DEFD04" w:rsidP="74DEFD04">
            <w:pPr>
              <w:spacing w:line="252" w:lineRule="auto"/>
            </w:pPr>
            <w:r w:rsidRPr="74DEFD04">
              <w:rPr>
                <w:rFonts w:ascii="Times New Roman" w:eastAsia="Times New Roman" w:hAnsi="Times New Roman" w:cs="Times New Roman"/>
                <w:sz w:val="20"/>
                <w:szCs w:val="20"/>
              </w:rPr>
              <w:t>Tiks papildināta ar klusēšanas piekrišanas principa ieviešanu būvprojektu skaņošanas procesā.</w:t>
            </w:r>
          </w:p>
        </w:tc>
        <w:tc>
          <w:tcPr>
            <w:tcW w:w="2846" w:type="dxa"/>
          </w:tcPr>
          <w:p w14:paraId="0147E2D7" w14:textId="08B04437" w:rsidR="74DEFD04" w:rsidRDefault="74DEFD04">
            <w:r w:rsidRPr="74DEFD04">
              <w:rPr>
                <w:sz w:val="20"/>
                <w:szCs w:val="20"/>
              </w:rPr>
              <w:t>Izsludināts VSS 12.07.2018. VSS-698;</w:t>
            </w:r>
          </w:p>
          <w:p w14:paraId="485AFD94" w14:textId="15BE2347" w:rsidR="74DEFD04" w:rsidRDefault="08EBC38B">
            <w:r w:rsidRPr="08EBC38B">
              <w:rPr>
                <w:sz w:val="20"/>
                <w:szCs w:val="20"/>
              </w:rPr>
              <w:t>Notikušās starpinstitūciju sasakņošanas sanāksmes: 31.01.2019., 04.03.2019. un 18.03.2019.; 01.04.2019.;</w:t>
            </w:r>
          </w:p>
          <w:p w14:paraId="4E3EFC55" w14:textId="2126D69B" w:rsidR="74DEFD04" w:rsidRDefault="6222B892" w:rsidP="6222B892">
            <w:pPr>
              <w:rPr>
                <w:sz w:val="20"/>
                <w:szCs w:val="20"/>
              </w:rPr>
            </w:pPr>
            <w:r w:rsidRPr="6222B892">
              <w:rPr>
                <w:sz w:val="20"/>
                <w:szCs w:val="20"/>
              </w:rPr>
              <w:t xml:space="preserve">Likumprojekts 03.07.2019. tika nosūtīts 5 dienu saskaņošanai. Šobrīd ir saņemti papildus atzinumi un notiek likumprojekta precizēšana. </w:t>
            </w:r>
          </w:p>
        </w:tc>
      </w:tr>
      <w:tr w:rsidR="74DEFD04" w14:paraId="653DAED2" w14:textId="77777777" w:rsidTr="17FE0BE1">
        <w:tc>
          <w:tcPr>
            <w:tcW w:w="885" w:type="dxa"/>
          </w:tcPr>
          <w:p w14:paraId="15E0E4F3" w14:textId="5C74603A" w:rsidR="74DEFD04" w:rsidRDefault="74DEFD04" w:rsidP="74DEFD04">
            <w:pPr>
              <w:ind w:left="360"/>
              <w:jc w:val="center"/>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t>2.</w:t>
            </w:r>
          </w:p>
        </w:tc>
        <w:tc>
          <w:tcPr>
            <w:tcW w:w="1845" w:type="dxa"/>
          </w:tcPr>
          <w:p w14:paraId="23975D98" w14:textId="13223BE7" w:rsidR="74DEFD04" w:rsidRDefault="74DEFD04">
            <w:r w:rsidRPr="74DEFD04">
              <w:rPr>
                <w:rFonts w:ascii="Times New Roman" w:eastAsia="Times New Roman" w:hAnsi="Times New Roman" w:cs="Times New Roman"/>
                <w:sz w:val="20"/>
                <w:szCs w:val="20"/>
              </w:rPr>
              <w:t>Likums</w:t>
            </w:r>
          </w:p>
        </w:tc>
        <w:tc>
          <w:tcPr>
            <w:tcW w:w="3720" w:type="dxa"/>
          </w:tcPr>
          <w:p w14:paraId="00167C7A" w14:textId="4C99BB4C" w:rsidR="74DEFD04" w:rsidRDefault="74DEFD04" w:rsidP="74DEFD04">
            <w:pPr>
              <w:spacing w:line="252" w:lineRule="auto"/>
            </w:pPr>
            <w:r w:rsidRPr="74DEFD04">
              <w:rPr>
                <w:rFonts w:ascii="Times New Roman" w:eastAsia="Times New Roman" w:hAnsi="Times New Roman" w:cs="Times New Roman"/>
                <w:sz w:val="20"/>
                <w:szCs w:val="20"/>
              </w:rPr>
              <w:t xml:space="preserve">Grozījumi </w:t>
            </w:r>
            <w:r w:rsidRPr="74DEFD04">
              <w:rPr>
                <w:rFonts w:ascii="Times New Roman" w:eastAsia="Times New Roman" w:hAnsi="Times New Roman" w:cs="Times New Roman"/>
                <w:b/>
                <w:bCs/>
                <w:sz w:val="20"/>
                <w:szCs w:val="20"/>
              </w:rPr>
              <w:t>Būvniecības likumā</w:t>
            </w:r>
            <w:r w:rsidRPr="74DEFD04">
              <w:rPr>
                <w:rFonts w:ascii="Times New Roman" w:eastAsia="Times New Roman" w:hAnsi="Times New Roman" w:cs="Times New Roman"/>
                <w:sz w:val="20"/>
                <w:szCs w:val="20"/>
              </w:rPr>
              <w:t xml:space="preserve"> (dekodifikācija)</w:t>
            </w:r>
          </w:p>
        </w:tc>
        <w:tc>
          <w:tcPr>
            <w:tcW w:w="5220" w:type="dxa"/>
          </w:tcPr>
          <w:p w14:paraId="76B4D24E" w14:textId="4937A3FA" w:rsidR="74DEFD04" w:rsidRDefault="74DEFD04" w:rsidP="74DEFD04">
            <w:pPr>
              <w:ind w:firstLine="496"/>
              <w:jc w:val="both"/>
            </w:pPr>
            <w:r w:rsidRPr="74DEFD04">
              <w:rPr>
                <w:rFonts w:ascii="Times New Roman" w:eastAsia="Times New Roman" w:hAnsi="Times New Roman" w:cs="Times New Roman"/>
                <w:sz w:val="20"/>
                <w:szCs w:val="20"/>
              </w:rPr>
              <w:t xml:space="preserve">Likumprojekts izstrādāts saskaņā ar MK 04.02.2013. rīkojuma Nr.38 “Par Administratīvo sodu sistēmas attīstības koncepciju” </w:t>
            </w:r>
            <w:proofErr w:type="gramStart"/>
            <w:r w:rsidRPr="74DEFD04">
              <w:rPr>
                <w:rFonts w:ascii="Times New Roman" w:eastAsia="Times New Roman" w:hAnsi="Times New Roman" w:cs="Times New Roman"/>
                <w:sz w:val="20"/>
                <w:szCs w:val="20"/>
              </w:rPr>
              <w:t>9.punktu</w:t>
            </w:r>
            <w:proofErr w:type="gramEnd"/>
            <w:r w:rsidRPr="74DEFD04">
              <w:rPr>
                <w:rFonts w:ascii="Times New Roman" w:eastAsia="Times New Roman" w:hAnsi="Times New Roman" w:cs="Times New Roman"/>
                <w:sz w:val="20"/>
                <w:szCs w:val="20"/>
              </w:rPr>
              <w:t xml:space="preserve">, kurā ministrijām ir noteikts pienākums izstrādāt grozījumus likumos, ietverot tajos nozares administratīvos pārkāpumus un kompetentās iestādes par administratīvo sodu piemērošanu, ņemot vērā to, ka spēku </w:t>
            </w:r>
            <w:r w:rsidRPr="74DEFD04">
              <w:rPr>
                <w:rFonts w:ascii="Times New Roman" w:eastAsia="Times New Roman" w:hAnsi="Times New Roman" w:cs="Times New Roman"/>
                <w:sz w:val="20"/>
                <w:szCs w:val="20"/>
              </w:rPr>
              <w:lastRenderedPageBreak/>
              <w:t xml:space="preserve">zaudēs Latvijas Administratīvo pārkāpumu kodekss (turpmāk – LAPK). </w:t>
            </w:r>
          </w:p>
          <w:p w14:paraId="74CF95C7" w14:textId="77CD99C6" w:rsidR="74DEFD04" w:rsidRDefault="74DEFD04" w:rsidP="74DEFD04">
            <w:pPr>
              <w:ind w:firstLine="496"/>
              <w:jc w:val="both"/>
            </w:pPr>
            <w:r w:rsidRPr="74DEFD04">
              <w:rPr>
                <w:rFonts w:ascii="Times New Roman" w:eastAsia="Times New Roman" w:hAnsi="Times New Roman" w:cs="Times New Roman"/>
                <w:sz w:val="20"/>
                <w:szCs w:val="20"/>
              </w:rPr>
              <w:t>Maksimālais administratīvais sods tiek paredzēts personām likumprojektā “Administratīvās atbildības likums” (Nr.16/Lp12) - fiziskajām personām – 400 naudas soda vienību, bet juridiskajām personām - 4000 naudas soda vienību (viena naudas soda vienība – 5 euro).</w:t>
            </w:r>
          </w:p>
          <w:p w14:paraId="475AF4FA" w14:textId="1346803A" w:rsidR="74DEFD04" w:rsidRDefault="74DEFD04" w:rsidP="74DEFD04">
            <w:pPr>
              <w:ind w:firstLine="496"/>
              <w:jc w:val="both"/>
            </w:pPr>
            <w:r w:rsidRPr="74DEFD04">
              <w:rPr>
                <w:rFonts w:ascii="Times New Roman" w:eastAsia="Times New Roman" w:hAnsi="Times New Roman" w:cs="Times New Roman"/>
                <w:sz w:val="20"/>
                <w:szCs w:val="20"/>
              </w:rPr>
              <w:t>Likumprojektā paredzēta administratīvā atbildība:</w:t>
            </w:r>
          </w:p>
          <w:p w14:paraId="424C42FD" w14:textId="0AEC0726" w:rsidR="74DEFD04" w:rsidRDefault="74DEFD04" w:rsidP="74DEFD04">
            <w:pPr>
              <w:pStyle w:val="ListParagraph"/>
              <w:numPr>
                <w:ilvl w:val="0"/>
                <w:numId w:val="22"/>
              </w:numPr>
              <w:rPr>
                <w:sz w:val="20"/>
                <w:szCs w:val="20"/>
              </w:rPr>
            </w:pPr>
            <w:r w:rsidRPr="74DEFD04">
              <w:rPr>
                <w:sz w:val="20"/>
                <w:szCs w:val="20"/>
              </w:rPr>
              <w:t xml:space="preserve">par būvē vai tās daļā uzsāktiem vai veiktiem būvdarbiem, ja nepieciešama būvniecības ieceres dokumentācija, bet tā nav akceptēta vai izdota, vai arī tajā nav izdarīta atzīme par projektēšanas vai būvdarbu uzsākšanas nosacījumu izpildi; </w:t>
            </w:r>
          </w:p>
          <w:p w14:paraId="359A6473" w14:textId="7B4E81DB" w:rsidR="74DEFD04" w:rsidRDefault="74DEFD04" w:rsidP="74DEFD04">
            <w:pPr>
              <w:pStyle w:val="ListParagraph"/>
              <w:numPr>
                <w:ilvl w:val="0"/>
                <w:numId w:val="22"/>
              </w:numPr>
              <w:rPr>
                <w:sz w:val="20"/>
                <w:szCs w:val="20"/>
              </w:rPr>
            </w:pPr>
            <w:r w:rsidRPr="74DEFD04">
              <w:rPr>
                <w:sz w:val="20"/>
                <w:szCs w:val="20"/>
              </w:rPr>
              <w:t xml:space="preserve">par būves vai tās daļas ekspluatāciju neatbilstoši projektētajam lietošanas veidam; </w:t>
            </w:r>
          </w:p>
          <w:p w14:paraId="56E83614" w14:textId="2937ECD6" w:rsidR="74DEFD04" w:rsidRDefault="74DEFD04" w:rsidP="74DEFD04">
            <w:pPr>
              <w:pStyle w:val="ListParagraph"/>
              <w:numPr>
                <w:ilvl w:val="0"/>
                <w:numId w:val="21"/>
              </w:numPr>
              <w:rPr>
                <w:sz w:val="20"/>
                <w:szCs w:val="20"/>
              </w:rPr>
            </w:pPr>
            <w:r w:rsidRPr="74DEFD04">
              <w:rPr>
                <w:sz w:val="20"/>
                <w:szCs w:val="20"/>
              </w:rPr>
              <w:t xml:space="preserve">par būves konservācijas vai norobežošanas neveikšanu vai veikšanu, neievērojot būvniecības jomas normatīvo aktu prasības; </w:t>
            </w:r>
          </w:p>
          <w:p w14:paraId="38C66CD4" w14:textId="4BE8D43B" w:rsidR="74DEFD04" w:rsidRDefault="74DEFD04" w:rsidP="74DEFD04">
            <w:pPr>
              <w:ind w:firstLine="496"/>
              <w:jc w:val="both"/>
            </w:pPr>
            <w:r w:rsidRPr="74DEFD04">
              <w:rPr>
                <w:rFonts w:ascii="Times New Roman" w:eastAsia="Times New Roman" w:hAnsi="Times New Roman" w:cs="Times New Roman"/>
                <w:sz w:val="20"/>
                <w:szCs w:val="20"/>
              </w:rPr>
              <w:t xml:space="preserve">5) par būvdarbu veikšanu bez atbilstošas civiltiesiskās atbildības apdrošināšanas; </w:t>
            </w:r>
          </w:p>
          <w:p w14:paraId="5EDF171F" w14:textId="78AC412D" w:rsidR="74DEFD04" w:rsidRDefault="74DEFD04" w:rsidP="74DEFD04">
            <w:pPr>
              <w:ind w:firstLine="496"/>
              <w:jc w:val="both"/>
            </w:pPr>
            <w:r w:rsidRPr="74DEFD04">
              <w:rPr>
                <w:rFonts w:ascii="Times New Roman" w:eastAsia="Times New Roman" w:hAnsi="Times New Roman" w:cs="Times New Roman"/>
                <w:sz w:val="20"/>
                <w:szCs w:val="20"/>
              </w:rPr>
              <w:t>6) par publiskas ēkas periodiskās tehniskās apsekošanas neveikšanu normatīvajos aktos noteiktajos termiņos,</w:t>
            </w:r>
            <w:r w:rsidRPr="74DEFD04">
              <w:rPr>
                <w:rFonts w:ascii="Times New Roman" w:eastAsia="Times New Roman" w:hAnsi="Times New Roman" w:cs="Times New Roman"/>
                <w:b/>
                <w:bCs/>
                <w:sz w:val="20"/>
                <w:szCs w:val="20"/>
                <w:u w:val="single"/>
              </w:rPr>
              <w:t xml:space="preserve"> </w:t>
            </w:r>
          </w:p>
          <w:p w14:paraId="692DC90A" w14:textId="1C499B2D" w:rsidR="74DEFD04" w:rsidRDefault="74DEFD04" w:rsidP="74DEFD04">
            <w:pPr>
              <w:ind w:firstLine="496"/>
              <w:jc w:val="both"/>
            </w:pPr>
            <w:r w:rsidRPr="74DEFD04">
              <w:rPr>
                <w:rFonts w:ascii="Times New Roman" w:eastAsia="Times New Roman" w:hAnsi="Times New Roman" w:cs="Times New Roman"/>
                <w:sz w:val="20"/>
                <w:szCs w:val="20"/>
              </w:rPr>
              <w:t>7) par būves vai tās daļas izmantošanu līdz tās pieņemšanai ekspluatācijā;</w:t>
            </w:r>
          </w:p>
          <w:p w14:paraId="06923223" w14:textId="25B4AC8F" w:rsidR="74DEFD04" w:rsidRDefault="74DEFD04" w:rsidP="74DEFD04">
            <w:pPr>
              <w:ind w:firstLine="496"/>
              <w:jc w:val="both"/>
            </w:pPr>
            <w:r w:rsidRPr="74DEFD04">
              <w:rPr>
                <w:rFonts w:ascii="Times New Roman" w:eastAsia="Times New Roman" w:hAnsi="Times New Roman" w:cs="Times New Roman"/>
                <w:sz w:val="20"/>
                <w:szCs w:val="20"/>
              </w:rPr>
              <w:t>8) par būves vai tās daļas lietošanu vai pieļaušanu lietot, ja būve vai tās daļa ir tādā stāvoklī, ka tās lietošana ir bīstama;</w:t>
            </w:r>
          </w:p>
          <w:p w14:paraId="692C0D44" w14:textId="232B3E80" w:rsidR="74DEFD04" w:rsidRDefault="74DEFD04" w:rsidP="74DEFD04">
            <w:pPr>
              <w:ind w:firstLine="496"/>
              <w:jc w:val="both"/>
            </w:pPr>
            <w:r w:rsidRPr="74DEFD04">
              <w:rPr>
                <w:rFonts w:ascii="Times New Roman" w:eastAsia="Times New Roman" w:hAnsi="Times New Roman" w:cs="Times New Roman"/>
                <w:sz w:val="20"/>
                <w:szCs w:val="20"/>
              </w:rPr>
              <w:t xml:space="preserve">9) par tādu būvizstrādājumu laišanu tirgū, piedāvāšanu vai pārdošanu, kuri nav nodrošināti ar atbilstību apliecinošo dokumentāciju vai tās saturs neatbilst normatīvajos aktos noteiktajām prasībām, kuri nav novērtēti saskaņā ar saskaņotajām tehniskajām specifikācijām vai piemērojamajiem standartiem vai kuru faktiskās ekspluatācijas īpašības neatbilst deklarētajām;  </w:t>
            </w:r>
          </w:p>
          <w:p w14:paraId="68C64B97" w14:textId="3D9838EB" w:rsidR="74DEFD04" w:rsidRDefault="74DEFD04" w:rsidP="74DEFD04">
            <w:pPr>
              <w:ind w:firstLine="496"/>
              <w:jc w:val="both"/>
            </w:pPr>
            <w:r w:rsidRPr="74DEFD04">
              <w:rPr>
                <w:rFonts w:ascii="Times New Roman" w:eastAsia="Times New Roman" w:hAnsi="Times New Roman" w:cs="Times New Roman"/>
                <w:sz w:val="20"/>
                <w:szCs w:val="20"/>
              </w:rPr>
              <w:t xml:space="preserve">10) par būvniecības pakalpojumu sniegšanu bez reģistrācijas būvkomersantu reģistrā. </w:t>
            </w:r>
          </w:p>
          <w:p w14:paraId="6BFB33D2" w14:textId="52C31F6B" w:rsidR="74DEFD04" w:rsidRDefault="74DEFD04" w:rsidP="74DEFD04">
            <w:pPr>
              <w:spacing w:line="252" w:lineRule="auto"/>
            </w:pPr>
            <w:r w:rsidRPr="74DEFD04">
              <w:rPr>
                <w:rFonts w:ascii="Times New Roman" w:eastAsia="Times New Roman" w:hAnsi="Times New Roman" w:cs="Times New Roman"/>
                <w:sz w:val="20"/>
                <w:szCs w:val="20"/>
              </w:rPr>
              <w:t xml:space="preserve">Sodus piemēros šādas iestādes: </w:t>
            </w:r>
            <w:r w:rsidRPr="74DEFD04">
              <w:rPr>
                <w:rFonts w:ascii="Times New Roman" w:eastAsia="Times New Roman" w:hAnsi="Times New Roman" w:cs="Times New Roman"/>
                <w:i/>
                <w:iCs/>
                <w:sz w:val="20"/>
                <w:szCs w:val="20"/>
              </w:rPr>
              <w:t>Ekonomikas ministrija, Valsts vides dienests, Valsts dzelzceļa tehniskā inspekcija, Būvniecības valsts kontroles birojs, pašvaldības būvvalde (t. sk. VAS “Latvijas Valsts ceļi” jomā), Patērētāju tiesību aizsardzības centrs.</w:t>
            </w:r>
          </w:p>
        </w:tc>
        <w:tc>
          <w:tcPr>
            <w:tcW w:w="2846" w:type="dxa"/>
          </w:tcPr>
          <w:p w14:paraId="36F4B2AC" w14:textId="3E37388F" w:rsidR="74DEFD04" w:rsidRDefault="74DEFD04">
            <w:r w:rsidRPr="74DEFD04">
              <w:rPr>
                <w:sz w:val="20"/>
                <w:szCs w:val="20"/>
              </w:rPr>
              <w:lastRenderedPageBreak/>
              <w:t xml:space="preserve">Izskatīts un atbalstīts 08.01.2019. MK sēdē (prot. Nr.1 </w:t>
            </w:r>
            <w:proofErr w:type="gramStart"/>
            <w:r w:rsidRPr="74DEFD04">
              <w:rPr>
                <w:sz w:val="20"/>
                <w:szCs w:val="20"/>
              </w:rPr>
              <w:t>2.§</w:t>
            </w:r>
            <w:proofErr w:type="gramEnd"/>
            <w:r w:rsidRPr="74DEFD04">
              <w:rPr>
                <w:sz w:val="20"/>
                <w:szCs w:val="20"/>
              </w:rPr>
              <w:t>);</w:t>
            </w:r>
          </w:p>
          <w:p w14:paraId="7B159A24" w14:textId="74EB1CC7" w:rsidR="74DEFD04" w:rsidRDefault="74DEFD04">
            <w:r w:rsidRPr="74DEFD04">
              <w:rPr>
                <w:sz w:val="20"/>
                <w:szCs w:val="20"/>
              </w:rPr>
              <w:t xml:space="preserve">Iesniegts Saeimā un 24.01.2019. nodots Tautsaimniecības, agrārās, vides un reģionālās </w:t>
            </w:r>
            <w:r w:rsidRPr="74DEFD04">
              <w:rPr>
                <w:sz w:val="20"/>
                <w:szCs w:val="20"/>
              </w:rPr>
              <w:lastRenderedPageBreak/>
              <w:t>politikas komisijai (Nr.197/Lp13);</w:t>
            </w:r>
          </w:p>
          <w:p w14:paraId="2F47B918" w14:textId="1E30F908" w:rsidR="74DEFD04" w:rsidRDefault="08EBC38B">
            <w:r w:rsidRPr="08EBC38B">
              <w:rPr>
                <w:sz w:val="20"/>
                <w:szCs w:val="20"/>
              </w:rPr>
              <w:t>Priekšlikumu iesniegšanas termiņš – 04.04.2019.;</w:t>
            </w:r>
          </w:p>
          <w:p w14:paraId="3739CCD3" w14:textId="008CD00F" w:rsidR="74DEFD04" w:rsidRDefault="08EBC38B" w:rsidP="08EBC38B">
            <w:pPr>
              <w:rPr>
                <w:sz w:val="20"/>
                <w:szCs w:val="20"/>
              </w:rPr>
            </w:pPr>
            <w:r w:rsidRPr="08EBC38B">
              <w:rPr>
                <w:sz w:val="20"/>
                <w:szCs w:val="20"/>
              </w:rPr>
              <w:t xml:space="preserve">Likumprojekts </w:t>
            </w:r>
            <w:proofErr w:type="gramStart"/>
            <w:r w:rsidRPr="08EBC38B">
              <w:rPr>
                <w:sz w:val="20"/>
                <w:szCs w:val="20"/>
              </w:rPr>
              <w:t>2.lasījumā</w:t>
            </w:r>
            <w:proofErr w:type="gramEnd"/>
            <w:r w:rsidRPr="08EBC38B">
              <w:rPr>
                <w:sz w:val="20"/>
                <w:szCs w:val="20"/>
              </w:rPr>
              <w:t xml:space="preserve"> izskatīts 06.06.2019. Priekšlikumu iesniegšanas termiņš - 20.06.2019. Nākamās komisijas sēdes datums nav paziņots.</w:t>
            </w:r>
          </w:p>
        </w:tc>
      </w:tr>
      <w:tr w:rsidR="74DEFD04" w14:paraId="5FE8CC70" w14:textId="77777777" w:rsidTr="17FE0BE1">
        <w:tc>
          <w:tcPr>
            <w:tcW w:w="885" w:type="dxa"/>
          </w:tcPr>
          <w:p w14:paraId="03E78327" w14:textId="1D5DA8F8" w:rsidR="74DEFD04" w:rsidRDefault="74DEFD04" w:rsidP="74DEFD04">
            <w:pPr>
              <w:ind w:left="360"/>
              <w:jc w:val="center"/>
            </w:pPr>
            <w:r w:rsidRPr="74DEFD04">
              <w:rPr>
                <w:rFonts w:ascii="Times New Roman" w:eastAsia="Times New Roman" w:hAnsi="Times New Roman" w:cs="Times New Roman"/>
                <w:sz w:val="20"/>
                <w:szCs w:val="20"/>
              </w:rPr>
              <w:lastRenderedPageBreak/>
              <w:t>3.</w:t>
            </w:r>
          </w:p>
        </w:tc>
        <w:tc>
          <w:tcPr>
            <w:tcW w:w="1845" w:type="dxa"/>
          </w:tcPr>
          <w:p w14:paraId="3B60B9DE" w14:textId="21863220" w:rsidR="74DEFD04" w:rsidRDefault="74DEFD04">
            <w:r w:rsidRPr="74DEFD04">
              <w:rPr>
                <w:rFonts w:ascii="Times New Roman" w:eastAsia="Times New Roman" w:hAnsi="Times New Roman" w:cs="Times New Roman"/>
                <w:sz w:val="20"/>
                <w:szCs w:val="20"/>
              </w:rPr>
              <w:t>Likums</w:t>
            </w:r>
          </w:p>
        </w:tc>
        <w:tc>
          <w:tcPr>
            <w:tcW w:w="3720" w:type="dxa"/>
          </w:tcPr>
          <w:p w14:paraId="596BD0C8" w14:textId="34C225C6" w:rsidR="74DEFD04" w:rsidRDefault="74DEFD04" w:rsidP="74DEFD04">
            <w:pPr>
              <w:spacing w:line="252" w:lineRule="auto"/>
            </w:pPr>
            <w:r w:rsidRPr="74DEFD04">
              <w:rPr>
                <w:rFonts w:ascii="Times New Roman" w:eastAsia="Times New Roman" w:hAnsi="Times New Roman" w:cs="Times New Roman"/>
                <w:sz w:val="20"/>
                <w:szCs w:val="20"/>
              </w:rPr>
              <w:t xml:space="preserve">Grozījumi Latvijas </w:t>
            </w:r>
            <w:r w:rsidRPr="74DEFD04">
              <w:rPr>
                <w:rFonts w:ascii="Times New Roman" w:eastAsia="Times New Roman" w:hAnsi="Times New Roman" w:cs="Times New Roman"/>
                <w:b/>
                <w:bCs/>
                <w:sz w:val="20"/>
                <w:szCs w:val="20"/>
              </w:rPr>
              <w:t>Administratīvo pārkāpumu kodeksā</w:t>
            </w:r>
            <w:r w:rsidRPr="74DEFD04">
              <w:rPr>
                <w:rFonts w:ascii="Times New Roman" w:eastAsia="Times New Roman" w:hAnsi="Times New Roman" w:cs="Times New Roman"/>
                <w:sz w:val="20"/>
                <w:szCs w:val="20"/>
              </w:rPr>
              <w:t xml:space="preserve"> (VEDLUDB sodi)</w:t>
            </w:r>
          </w:p>
        </w:tc>
        <w:tc>
          <w:tcPr>
            <w:tcW w:w="5220" w:type="dxa"/>
          </w:tcPr>
          <w:p w14:paraId="458FCF82" w14:textId="69667513" w:rsidR="74DEFD04" w:rsidRDefault="74DEFD04" w:rsidP="74DEFD04">
            <w:pPr>
              <w:ind w:firstLine="638"/>
              <w:jc w:val="both"/>
            </w:pPr>
            <w:r w:rsidRPr="74DEFD04">
              <w:rPr>
                <w:rFonts w:ascii="Times New Roman" w:eastAsia="Times New Roman" w:hAnsi="Times New Roman" w:cs="Times New Roman"/>
                <w:sz w:val="20"/>
                <w:szCs w:val="20"/>
              </w:rPr>
              <w:t xml:space="preserve">Likumprojekta izstrādi paredz Valsts iestāžu darba plāns ēnu ekonomikas ierobežošanai </w:t>
            </w:r>
            <w:proofErr w:type="gramStart"/>
            <w:r w:rsidRPr="74DEFD04">
              <w:rPr>
                <w:rFonts w:ascii="Times New Roman" w:eastAsia="Times New Roman" w:hAnsi="Times New Roman" w:cs="Times New Roman"/>
                <w:sz w:val="20"/>
                <w:szCs w:val="20"/>
              </w:rPr>
              <w:t>2016.‑</w:t>
            </w:r>
            <w:proofErr w:type="gramEnd"/>
            <w:r w:rsidRPr="74DEFD04">
              <w:rPr>
                <w:rFonts w:ascii="Times New Roman" w:eastAsia="Times New Roman" w:hAnsi="Times New Roman" w:cs="Times New Roman"/>
                <w:sz w:val="20"/>
                <w:szCs w:val="20"/>
              </w:rPr>
              <w:t xml:space="preserve">2020.gadiem (2.sadaļa “Kompleksi risinājumi ēnu ekonomikas </w:t>
            </w:r>
            <w:r w:rsidRPr="74DEFD04">
              <w:rPr>
                <w:rFonts w:ascii="Times New Roman" w:eastAsia="Times New Roman" w:hAnsi="Times New Roman" w:cs="Times New Roman"/>
                <w:sz w:val="20"/>
                <w:szCs w:val="20"/>
              </w:rPr>
              <w:lastRenderedPageBreak/>
              <w:t xml:space="preserve">mazināšanai” 2.1. “Būvniecība” </w:t>
            </w:r>
            <w:proofErr w:type="gramStart"/>
            <w:r w:rsidRPr="74DEFD04">
              <w:rPr>
                <w:rFonts w:ascii="Times New Roman" w:eastAsia="Times New Roman" w:hAnsi="Times New Roman" w:cs="Times New Roman"/>
                <w:sz w:val="20"/>
                <w:szCs w:val="20"/>
              </w:rPr>
              <w:t>12.pasākums</w:t>
            </w:r>
            <w:proofErr w:type="gramEnd"/>
            <w:r w:rsidRPr="74DEFD04">
              <w:rPr>
                <w:rFonts w:ascii="Times New Roman" w:eastAsia="Times New Roman" w:hAnsi="Times New Roman" w:cs="Times New Roman"/>
                <w:sz w:val="20"/>
                <w:szCs w:val="20"/>
              </w:rPr>
              <w:t xml:space="preserve"> “</w:t>
            </w:r>
            <w:r w:rsidRPr="74DEFD04">
              <w:rPr>
                <w:rFonts w:ascii="Times New Roman" w:eastAsia="Times New Roman" w:hAnsi="Times New Roman" w:cs="Times New Roman"/>
                <w:i/>
                <w:iCs/>
                <w:sz w:val="20"/>
                <w:szCs w:val="20"/>
              </w:rPr>
              <w:t>Ieviest elektronisko darba laika uzskaiti būvlaukumā strādājošiem”.</w:t>
            </w:r>
          </w:p>
          <w:p w14:paraId="5D6F9A02" w14:textId="6E196201" w:rsidR="74DEFD04" w:rsidRDefault="74DEFD04" w:rsidP="74DEFD04">
            <w:pPr>
              <w:ind w:firstLine="613"/>
              <w:jc w:val="both"/>
            </w:pPr>
            <w:r w:rsidRPr="74DEFD04">
              <w:rPr>
                <w:rFonts w:ascii="Times New Roman" w:eastAsia="Times New Roman" w:hAnsi="Times New Roman" w:cs="Times New Roman"/>
                <w:sz w:val="20"/>
                <w:szCs w:val="20"/>
              </w:rPr>
              <w:t>Likumprojekts paredz administratīvo atbildību par likumā “Par nodokļiem un nodevām” XIV nodaļā “Elektroniskās informācijas uzskaite būvlaukumā un tās izmantošana” noteikto pienākumu nepildīšanu:</w:t>
            </w:r>
          </w:p>
          <w:p w14:paraId="17C65EEA" w14:textId="7CA8E735" w:rsidR="74DEFD04" w:rsidRDefault="74DEFD04" w:rsidP="74DEFD04">
            <w:pPr>
              <w:pStyle w:val="ListParagraph"/>
              <w:numPr>
                <w:ilvl w:val="0"/>
                <w:numId w:val="20"/>
              </w:numPr>
              <w:rPr>
                <w:i/>
                <w:iCs/>
                <w:sz w:val="20"/>
                <w:szCs w:val="20"/>
              </w:rPr>
            </w:pPr>
            <w:r w:rsidRPr="74DEFD04">
              <w:rPr>
                <w:i/>
                <w:iCs/>
                <w:sz w:val="20"/>
                <w:szCs w:val="20"/>
                <w:u w:val="single"/>
              </w:rPr>
              <w:t>galvenajam būvdarbu veicējam un apakšuzņēmējam</w:t>
            </w:r>
            <w:r w:rsidRPr="74DEFD04">
              <w:rPr>
                <w:sz w:val="20"/>
                <w:szCs w:val="20"/>
              </w:rPr>
              <w:t xml:space="preserve"> - ja tie nav nodrošinājuši, lai visi to darba ņēmēji būtu reģistrējuši savu darba laiku elektroniskās darba laika uzskaites sistēmā;</w:t>
            </w:r>
          </w:p>
          <w:p w14:paraId="76BFB128" w14:textId="7EC0843F" w:rsidR="74DEFD04" w:rsidRDefault="74DEFD04" w:rsidP="74DEFD04">
            <w:pPr>
              <w:pStyle w:val="ListParagraph"/>
              <w:numPr>
                <w:ilvl w:val="0"/>
                <w:numId w:val="20"/>
              </w:numPr>
              <w:rPr>
                <w:i/>
                <w:iCs/>
                <w:sz w:val="20"/>
                <w:szCs w:val="20"/>
              </w:rPr>
            </w:pPr>
            <w:r w:rsidRPr="74DEFD04">
              <w:rPr>
                <w:i/>
                <w:iCs/>
                <w:sz w:val="20"/>
                <w:szCs w:val="20"/>
                <w:u w:val="single"/>
              </w:rPr>
              <w:t>galvenajam būvdarbu veicējam un apakšuzņēmējam</w:t>
            </w:r>
            <w:r w:rsidRPr="74DEFD04">
              <w:rPr>
                <w:sz w:val="20"/>
                <w:szCs w:val="20"/>
              </w:rPr>
              <w:t xml:space="preserve"> - par informācijas nesniegšanu VEDLUDB par visiem ar saviem apakšuzņēmējiem noslēgtajiem būvdarbu līgumiem, kuru līguma summa ir </w:t>
            </w:r>
            <w:proofErr w:type="gramStart"/>
            <w:r w:rsidRPr="74DEFD04">
              <w:rPr>
                <w:sz w:val="20"/>
                <w:szCs w:val="20"/>
              </w:rPr>
              <w:t xml:space="preserve">15 000 </w:t>
            </w:r>
            <w:r w:rsidRPr="74DEFD04">
              <w:rPr>
                <w:i/>
                <w:iCs/>
                <w:sz w:val="20"/>
                <w:szCs w:val="20"/>
              </w:rPr>
              <w:t>euro</w:t>
            </w:r>
            <w:proofErr w:type="gramEnd"/>
            <w:r w:rsidRPr="74DEFD04">
              <w:rPr>
                <w:sz w:val="20"/>
                <w:szCs w:val="20"/>
              </w:rPr>
              <w:t xml:space="preserve"> vai vairāk;</w:t>
            </w:r>
          </w:p>
          <w:p w14:paraId="2D4E125A" w14:textId="209EB020" w:rsidR="74DEFD04" w:rsidRDefault="74DEFD04" w:rsidP="74DEFD04">
            <w:pPr>
              <w:pStyle w:val="ListParagraph"/>
              <w:numPr>
                <w:ilvl w:val="0"/>
                <w:numId w:val="20"/>
              </w:numPr>
              <w:rPr>
                <w:i/>
                <w:iCs/>
                <w:sz w:val="20"/>
                <w:szCs w:val="20"/>
              </w:rPr>
            </w:pPr>
            <w:r w:rsidRPr="74DEFD04">
              <w:rPr>
                <w:i/>
                <w:iCs/>
                <w:sz w:val="20"/>
                <w:szCs w:val="20"/>
                <w:u w:val="single"/>
              </w:rPr>
              <w:t>galvenajam būvdarbu veicējam</w:t>
            </w:r>
            <w:r w:rsidRPr="74DEFD04">
              <w:rPr>
                <w:sz w:val="20"/>
                <w:szCs w:val="20"/>
              </w:rPr>
              <w:t xml:space="preserve"> - ja tas nav nodrošinājis, lai EDLUS būtu reģistrēts arī to personu uzturēšanās laiks, kuras atrodas būvlaukumā, bet nav nodarbinātas būvdarbu veikšanā būvlaukumā un nav arī darba ņēmēji;</w:t>
            </w:r>
          </w:p>
          <w:p w14:paraId="7CF23F86" w14:textId="08E7AF24" w:rsidR="74DEFD04" w:rsidRDefault="74DEFD04" w:rsidP="74DEFD04">
            <w:pPr>
              <w:pStyle w:val="ListParagraph"/>
              <w:numPr>
                <w:ilvl w:val="0"/>
                <w:numId w:val="20"/>
              </w:numPr>
              <w:rPr>
                <w:i/>
                <w:iCs/>
                <w:sz w:val="20"/>
                <w:szCs w:val="20"/>
              </w:rPr>
            </w:pPr>
            <w:r w:rsidRPr="74DEFD04">
              <w:rPr>
                <w:i/>
                <w:iCs/>
                <w:sz w:val="20"/>
                <w:szCs w:val="20"/>
                <w:u w:val="single"/>
              </w:rPr>
              <w:t>galvenajam būvdarbu veicējam</w:t>
            </w:r>
            <w:r w:rsidRPr="74DEFD04">
              <w:rPr>
                <w:sz w:val="20"/>
                <w:szCs w:val="20"/>
              </w:rPr>
              <w:t xml:space="preserve"> - ja reģistrācijas pienākumu nav veikušas vai nepienācīgi veikušas vismaz 30% procenti no būvlaukumā nodarbinātajām personām un citām personām, kas uzturas būvlaukumā (bet ne mazāk par 20 šādām personām); </w:t>
            </w:r>
          </w:p>
          <w:p w14:paraId="4FD149FE" w14:textId="1D534E78" w:rsidR="74DEFD04" w:rsidRDefault="74DEFD04" w:rsidP="74DEFD04">
            <w:pPr>
              <w:pStyle w:val="ListParagraph"/>
              <w:numPr>
                <w:ilvl w:val="0"/>
                <w:numId w:val="20"/>
              </w:numPr>
              <w:rPr>
                <w:i/>
                <w:iCs/>
                <w:sz w:val="20"/>
                <w:szCs w:val="20"/>
              </w:rPr>
            </w:pPr>
            <w:r w:rsidRPr="74DEFD04">
              <w:rPr>
                <w:i/>
                <w:iCs/>
                <w:sz w:val="20"/>
                <w:szCs w:val="20"/>
                <w:u w:val="single"/>
              </w:rPr>
              <w:t>galvenajam būvdarbu veicējam</w:t>
            </w:r>
            <w:r w:rsidRPr="74DEFD04">
              <w:rPr>
                <w:sz w:val="20"/>
                <w:szCs w:val="20"/>
              </w:rPr>
              <w:t xml:space="preserve"> - par informācijas nesniegšanu VEDLUDB par trešās grupas būves būvniecības uzsākšanu vai par tādu būvdarbu uzsākšanu, kuru izmaksas ir 1 miljons </w:t>
            </w:r>
            <w:r w:rsidRPr="74DEFD04">
              <w:rPr>
                <w:i/>
                <w:iCs/>
                <w:sz w:val="20"/>
                <w:szCs w:val="20"/>
              </w:rPr>
              <w:t>euro</w:t>
            </w:r>
            <w:r w:rsidRPr="74DEFD04">
              <w:rPr>
                <w:sz w:val="20"/>
                <w:szCs w:val="20"/>
              </w:rPr>
              <w:t xml:space="preserve"> vai vairāk, un par noslēgto būvdarbu līgumu ar būvniecības ierosinātāju. </w:t>
            </w:r>
          </w:p>
          <w:p w14:paraId="6517A215" w14:textId="0739D7DF" w:rsidR="74DEFD04" w:rsidRDefault="74DEFD04" w:rsidP="74DEFD04">
            <w:pPr>
              <w:pStyle w:val="ListParagraph"/>
              <w:numPr>
                <w:ilvl w:val="0"/>
                <w:numId w:val="20"/>
              </w:numPr>
              <w:rPr>
                <w:i/>
                <w:iCs/>
                <w:sz w:val="20"/>
                <w:szCs w:val="20"/>
              </w:rPr>
            </w:pPr>
            <w:r w:rsidRPr="74DEFD04">
              <w:rPr>
                <w:i/>
                <w:iCs/>
                <w:sz w:val="20"/>
                <w:szCs w:val="20"/>
                <w:u w:val="single"/>
              </w:rPr>
              <w:t>galvenajam būvdarbu veicējam</w:t>
            </w:r>
            <w:r w:rsidRPr="74DEFD04">
              <w:rPr>
                <w:sz w:val="20"/>
                <w:szCs w:val="20"/>
              </w:rPr>
              <w:t xml:space="preserve"> – par datu nenodošanu VEDLUDB - strukturētā veidā EDLUS reģistrēto un uzkrāto datu, kā arī EDLUS notikumu auditācijas pierakstu, kas satur informāciju par visām datu uzkrāšanas periodā EDLUS veiktajām darbībām;</w:t>
            </w:r>
          </w:p>
          <w:p w14:paraId="2CFB5B44" w14:textId="708EE41B" w:rsidR="74DEFD04" w:rsidRDefault="74DEFD04" w:rsidP="74DEFD04">
            <w:pPr>
              <w:pStyle w:val="ListParagraph"/>
              <w:numPr>
                <w:ilvl w:val="0"/>
                <w:numId w:val="20"/>
              </w:numPr>
              <w:rPr>
                <w:i/>
                <w:iCs/>
                <w:sz w:val="20"/>
                <w:szCs w:val="20"/>
              </w:rPr>
            </w:pPr>
            <w:r w:rsidRPr="74DEFD04">
              <w:rPr>
                <w:i/>
                <w:iCs/>
                <w:sz w:val="20"/>
                <w:szCs w:val="20"/>
                <w:u w:val="single"/>
              </w:rPr>
              <w:t xml:space="preserve">galvenajam būvdarbu </w:t>
            </w:r>
            <w:proofErr w:type="gramStart"/>
            <w:r w:rsidRPr="74DEFD04">
              <w:rPr>
                <w:i/>
                <w:iCs/>
                <w:sz w:val="20"/>
                <w:szCs w:val="20"/>
                <w:u w:val="single"/>
              </w:rPr>
              <w:t>veicējam</w:t>
            </w:r>
            <w:r w:rsidRPr="74DEFD04">
              <w:rPr>
                <w:sz w:val="20"/>
                <w:szCs w:val="20"/>
              </w:rPr>
              <w:t xml:space="preserve">  -</w:t>
            </w:r>
            <w:proofErr w:type="gramEnd"/>
            <w:r w:rsidRPr="74DEFD04">
              <w:rPr>
                <w:sz w:val="20"/>
                <w:szCs w:val="20"/>
              </w:rPr>
              <w:t xml:space="preserve"> par EDLUS neieviešanu (EDLUS ir ieviesta, ja būvlaukumā ir pieejama elektroniskā sistēma, kas nodrošina sistēmā reģistrēto datu glabāšanu un nodošanu uz </w:t>
            </w:r>
            <w:r w:rsidRPr="74DEFD04">
              <w:rPr>
                <w:sz w:val="20"/>
                <w:szCs w:val="20"/>
              </w:rPr>
              <w:lastRenderedPageBreak/>
              <w:t>VEDLUDB un ja sistēmā nav konstatēta datu labošana);</w:t>
            </w:r>
          </w:p>
          <w:p w14:paraId="148E3C21" w14:textId="0C08A3F5" w:rsidR="74DEFD04" w:rsidRDefault="74DEFD04" w:rsidP="74DEFD04">
            <w:pPr>
              <w:spacing w:line="252" w:lineRule="auto"/>
            </w:pPr>
            <w:r w:rsidRPr="74DEFD04">
              <w:rPr>
                <w:rFonts w:ascii="Times New Roman" w:eastAsia="Times New Roman" w:hAnsi="Times New Roman" w:cs="Times New Roman"/>
                <w:i/>
                <w:iCs/>
                <w:sz w:val="20"/>
                <w:szCs w:val="20"/>
                <w:u w:val="single"/>
              </w:rPr>
              <w:t>nodarbinātajam</w:t>
            </w:r>
            <w:r w:rsidRPr="74DEFD04">
              <w:rPr>
                <w:rFonts w:ascii="Times New Roman" w:eastAsia="Times New Roman" w:hAnsi="Times New Roman" w:cs="Times New Roman"/>
                <w:sz w:val="20"/>
                <w:szCs w:val="20"/>
              </w:rPr>
              <w:t xml:space="preserve"> - par nereģistrēšanos EDLUS.</w:t>
            </w:r>
          </w:p>
        </w:tc>
        <w:tc>
          <w:tcPr>
            <w:tcW w:w="2846" w:type="dxa"/>
          </w:tcPr>
          <w:p w14:paraId="542AFC2F" w14:textId="0755BE78" w:rsidR="74DEFD04" w:rsidRDefault="74DEFD04" w:rsidP="74DEFD04">
            <w:pPr>
              <w:spacing w:line="252" w:lineRule="auto"/>
            </w:pPr>
            <w:r w:rsidRPr="74DEFD04">
              <w:rPr>
                <w:rFonts w:ascii="Times New Roman" w:eastAsia="Times New Roman" w:hAnsi="Times New Roman" w:cs="Times New Roman"/>
                <w:sz w:val="20"/>
                <w:szCs w:val="20"/>
              </w:rPr>
              <w:lastRenderedPageBreak/>
              <w:t>VSS-656; TA-2672</w:t>
            </w:r>
          </w:p>
          <w:p w14:paraId="6CE22714" w14:textId="41B1CEE3" w:rsidR="74DEFD04" w:rsidRDefault="74DEFD04">
            <w:r w:rsidRPr="74DEFD04">
              <w:rPr>
                <w:rFonts w:ascii="Times New Roman" w:eastAsia="Times New Roman" w:hAnsi="Times New Roman" w:cs="Times New Roman"/>
                <w:sz w:val="20"/>
                <w:szCs w:val="20"/>
              </w:rPr>
              <w:t>Izskatīts MKK 25.02.2019. (prot. Nr.5 1 §)</w:t>
            </w:r>
          </w:p>
          <w:p w14:paraId="75B99468" w14:textId="64AA655A" w:rsidR="74DEFD04" w:rsidRDefault="08EBC38B" w:rsidP="08EBC38B">
            <w:pPr>
              <w:spacing w:line="252" w:lineRule="auto"/>
              <w:rPr>
                <w:rFonts w:ascii="Times New Roman" w:eastAsia="Times New Roman" w:hAnsi="Times New Roman" w:cs="Times New Roman"/>
                <w:sz w:val="19"/>
                <w:szCs w:val="19"/>
              </w:rPr>
            </w:pPr>
            <w:r w:rsidRPr="08EBC38B">
              <w:rPr>
                <w:rFonts w:ascii="Times New Roman" w:eastAsia="Times New Roman" w:hAnsi="Times New Roman" w:cs="Times New Roman"/>
                <w:sz w:val="20"/>
                <w:szCs w:val="20"/>
              </w:rPr>
              <w:lastRenderedPageBreak/>
              <w:t>14.03.2019. nosūtīts VK – izskatīšanai MK;</w:t>
            </w:r>
          </w:p>
          <w:p w14:paraId="256C352D" w14:textId="55C5E631" w:rsidR="74DEFD04" w:rsidRDefault="08EBC38B" w:rsidP="08EBC38B">
            <w:pPr>
              <w:spacing w:line="252" w:lineRule="auto"/>
              <w:rPr>
                <w:rFonts w:ascii="Times New Roman" w:eastAsia="Times New Roman" w:hAnsi="Times New Roman" w:cs="Times New Roman"/>
                <w:sz w:val="20"/>
                <w:szCs w:val="20"/>
              </w:rPr>
            </w:pPr>
            <w:r w:rsidRPr="08EBC38B">
              <w:rPr>
                <w:rFonts w:ascii="Times New Roman" w:eastAsia="Times New Roman" w:hAnsi="Times New Roman" w:cs="Times New Roman"/>
                <w:sz w:val="20"/>
                <w:szCs w:val="20"/>
              </w:rPr>
              <w:t>Saeimā likumprojekts ir izskatīts pirmajā lasījumā 23.05.2019. Priekšlikumu iesniegšanas termiņš - 04.06.2019. Komisija nav paziņojusi nākamās sēdes datumu.</w:t>
            </w:r>
          </w:p>
        </w:tc>
      </w:tr>
      <w:tr w:rsidR="74DEFD04" w14:paraId="1FD06B39" w14:textId="77777777" w:rsidTr="17FE0BE1">
        <w:tc>
          <w:tcPr>
            <w:tcW w:w="885" w:type="dxa"/>
          </w:tcPr>
          <w:p w14:paraId="7E5BE8CC" w14:textId="4A475441" w:rsidR="74DEFD04" w:rsidRDefault="74DEFD04" w:rsidP="74DEFD04">
            <w:pPr>
              <w:ind w:left="360"/>
              <w:jc w:val="center"/>
            </w:pPr>
            <w:r w:rsidRPr="74DEFD04">
              <w:rPr>
                <w:rFonts w:ascii="Times New Roman" w:eastAsia="Times New Roman" w:hAnsi="Times New Roman" w:cs="Times New Roman"/>
                <w:sz w:val="20"/>
                <w:szCs w:val="20"/>
              </w:rPr>
              <w:lastRenderedPageBreak/>
              <w:t>4.</w:t>
            </w:r>
          </w:p>
        </w:tc>
        <w:tc>
          <w:tcPr>
            <w:tcW w:w="1845" w:type="dxa"/>
          </w:tcPr>
          <w:p w14:paraId="1767B63B" w14:textId="7AEC92BE" w:rsidR="74DEFD04" w:rsidRDefault="74DEFD04">
            <w:r w:rsidRPr="74DEFD04">
              <w:rPr>
                <w:rFonts w:ascii="Times New Roman" w:eastAsia="Times New Roman" w:hAnsi="Times New Roman" w:cs="Times New Roman"/>
                <w:sz w:val="20"/>
                <w:szCs w:val="20"/>
              </w:rPr>
              <w:t>Likums</w:t>
            </w:r>
          </w:p>
        </w:tc>
        <w:tc>
          <w:tcPr>
            <w:tcW w:w="3720" w:type="dxa"/>
          </w:tcPr>
          <w:p w14:paraId="3310ED4D" w14:textId="745FEA46" w:rsidR="74DEFD04" w:rsidRDefault="74DEFD04" w:rsidP="74DEFD04">
            <w:pPr>
              <w:spacing w:line="252" w:lineRule="auto"/>
            </w:pPr>
            <w:r w:rsidRPr="74DEFD04">
              <w:rPr>
                <w:rFonts w:ascii="Times New Roman" w:eastAsia="Times New Roman" w:hAnsi="Times New Roman" w:cs="Times New Roman"/>
                <w:sz w:val="20"/>
                <w:szCs w:val="20"/>
              </w:rPr>
              <w:t xml:space="preserve">Grozījumi </w:t>
            </w:r>
            <w:r w:rsidRPr="74DEFD04">
              <w:rPr>
                <w:rFonts w:ascii="Times New Roman" w:eastAsia="Times New Roman" w:hAnsi="Times New Roman" w:cs="Times New Roman"/>
                <w:b/>
                <w:bCs/>
                <w:sz w:val="20"/>
                <w:szCs w:val="20"/>
              </w:rPr>
              <w:t>Būvniecības likumā</w:t>
            </w:r>
            <w:r w:rsidRPr="74DEFD04">
              <w:rPr>
                <w:rFonts w:ascii="Times New Roman" w:eastAsia="Times New Roman" w:hAnsi="Times New Roman" w:cs="Times New Roman"/>
                <w:sz w:val="20"/>
                <w:szCs w:val="20"/>
              </w:rPr>
              <w:t xml:space="preserve"> (būvtehniķi, akustiķi u.c. jautājumi)</w:t>
            </w:r>
          </w:p>
        </w:tc>
        <w:tc>
          <w:tcPr>
            <w:tcW w:w="5220" w:type="dxa"/>
          </w:tcPr>
          <w:p w14:paraId="12B398CC" w14:textId="5F1535E0" w:rsidR="74DEFD04" w:rsidRDefault="74DEFD04" w:rsidP="74DEFD04">
            <w:pPr>
              <w:spacing w:line="252" w:lineRule="auto"/>
            </w:pPr>
            <w:r w:rsidRPr="74DEFD04">
              <w:rPr>
                <w:rFonts w:ascii="Times New Roman" w:eastAsia="Times New Roman" w:hAnsi="Times New Roman" w:cs="Times New Roman"/>
                <w:sz w:val="20"/>
                <w:szCs w:val="20"/>
              </w:rPr>
              <w:t xml:space="preserve">Tiek mainīts grozījumus attiecībā uz būvtehniķiem, piešķirot tiesības arī turpmāk (bez termiņa ierobežojuma) veikt inženierizpēti, vadīt būvdarbus un veikt būvuzraudzību, bet būvinženieriem (pirmā līmeņa augstākā </w:t>
            </w:r>
            <w:proofErr w:type="gramStart"/>
            <w:r w:rsidRPr="74DEFD04">
              <w:rPr>
                <w:rFonts w:ascii="Times New Roman" w:eastAsia="Times New Roman" w:hAnsi="Times New Roman" w:cs="Times New Roman"/>
                <w:sz w:val="20"/>
                <w:szCs w:val="20"/>
              </w:rPr>
              <w:t>izglītība )</w:t>
            </w:r>
            <w:proofErr w:type="gramEnd"/>
            <w:r w:rsidRPr="74DEFD04">
              <w:rPr>
                <w:rFonts w:ascii="Times New Roman" w:eastAsia="Times New Roman" w:hAnsi="Times New Roman" w:cs="Times New Roman"/>
                <w:sz w:val="20"/>
                <w:szCs w:val="20"/>
              </w:rPr>
              <w:t xml:space="preserve"> – inženierizpētē. Papildus tiek plānots precizēt regulējumu attiecībā uz personām, kurām jāreģistrējas būvkomersantu reģistrā, akustiķiem, restauratoriem un izmaiņu projektiem, mainot galveno lietošanas veidu.</w:t>
            </w:r>
          </w:p>
        </w:tc>
        <w:tc>
          <w:tcPr>
            <w:tcW w:w="2846" w:type="dxa"/>
          </w:tcPr>
          <w:p w14:paraId="5913AD57" w14:textId="20083CBB" w:rsidR="74DEFD04" w:rsidRDefault="74DEFD04" w:rsidP="74DEFD04">
            <w:pPr>
              <w:spacing w:line="252" w:lineRule="auto"/>
            </w:pPr>
            <w:r w:rsidRPr="74DEFD04">
              <w:rPr>
                <w:rFonts w:ascii="Times New Roman" w:eastAsia="Times New Roman" w:hAnsi="Times New Roman" w:cs="Times New Roman"/>
                <w:sz w:val="20"/>
                <w:szCs w:val="20"/>
              </w:rPr>
              <w:t xml:space="preserve">Izsludināt 26.07.2018. VSS (VSS-764) </w:t>
            </w:r>
          </w:p>
          <w:p w14:paraId="2FEB15F1" w14:textId="1D9494AF" w:rsidR="74DEFD04" w:rsidRDefault="08EBC38B" w:rsidP="74DEFD04">
            <w:pPr>
              <w:spacing w:line="252" w:lineRule="auto"/>
            </w:pPr>
            <w:r w:rsidRPr="08EBC38B">
              <w:rPr>
                <w:rFonts w:ascii="Times New Roman" w:eastAsia="Times New Roman" w:hAnsi="Times New Roman" w:cs="Times New Roman"/>
                <w:sz w:val="20"/>
                <w:szCs w:val="20"/>
              </w:rPr>
              <w:t>Sagatavota Izziņa.</w:t>
            </w:r>
          </w:p>
          <w:p w14:paraId="4FD8CF1F" w14:textId="2BD22F6A" w:rsidR="74DEFD04" w:rsidRDefault="08EBC38B" w:rsidP="08EBC38B">
            <w:pPr>
              <w:spacing w:line="252" w:lineRule="auto"/>
              <w:rPr>
                <w:rFonts w:ascii="Times New Roman" w:eastAsia="Times New Roman" w:hAnsi="Times New Roman" w:cs="Times New Roman"/>
                <w:sz w:val="20"/>
                <w:szCs w:val="20"/>
              </w:rPr>
            </w:pPr>
            <w:r w:rsidRPr="08EBC38B">
              <w:rPr>
                <w:rFonts w:ascii="Times New Roman" w:eastAsia="Times New Roman" w:hAnsi="Times New Roman" w:cs="Times New Roman"/>
                <w:sz w:val="20"/>
                <w:szCs w:val="20"/>
              </w:rPr>
              <w:t>Starpinsitūciju saskaņošanas sanāksme - 14.05.2019. Likumprojekts 12.07.2019. nosūtīts 5 dienu saskaņošanai. Šobrīd likumprojekts tiek precizēts, ņemot vērā saņemtos atzinumus.</w:t>
            </w:r>
          </w:p>
        </w:tc>
      </w:tr>
      <w:tr w:rsidR="74DEFD04" w14:paraId="6ACF3934" w14:textId="77777777" w:rsidTr="17FE0BE1">
        <w:tc>
          <w:tcPr>
            <w:tcW w:w="885" w:type="dxa"/>
          </w:tcPr>
          <w:p w14:paraId="0CA3FE91" w14:textId="546A4EB4" w:rsidR="74DEFD04" w:rsidRDefault="74DEFD04" w:rsidP="74DEFD04">
            <w:pPr>
              <w:ind w:left="360"/>
              <w:jc w:val="center"/>
            </w:pPr>
            <w:r w:rsidRPr="74DEFD04">
              <w:rPr>
                <w:rFonts w:ascii="Times New Roman" w:eastAsia="Times New Roman" w:hAnsi="Times New Roman" w:cs="Times New Roman"/>
                <w:sz w:val="20"/>
                <w:szCs w:val="20"/>
              </w:rPr>
              <w:t>5.</w:t>
            </w:r>
          </w:p>
        </w:tc>
        <w:tc>
          <w:tcPr>
            <w:tcW w:w="1845" w:type="dxa"/>
          </w:tcPr>
          <w:p w14:paraId="241FB3EE" w14:textId="2F8B9237" w:rsidR="74DEFD04" w:rsidRDefault="74DEFD04">
            <w:r w:rsidRPr="74DEFD04">
              <w:rPr>
                <w:rFonts w:ascii="Times New Roman" w:eastAsia="Times New Roman" w:hAnsi="Times New Roman" w:cs="Times New Roman"/>
                <w:sz w:val="20"/>
                <w:szCs w:val="20"/>
              </w:rPr>
              <w:t xml:space="preserve">MK noteikumi </w:t>
            </w:r>
          </w:p>
        </w:tc>
        <w:tc>
          <w:tcPr>
            <w:tcW w:w="3720" w:type="dxa"/>
          </w:tcPr>
          <w:p w14:paraId="7FA0A160" w14:textId="5E3D66D7" w:rsidR="74DEFD04" w:rsidRDefault="00C0146F" w:rsidP="74DEFD04">
            <w:pPr>
              <w:jc w:val="both"/>
            </w:pPr>
            <w:hyperlink r:id="rId11">
              <w:r w:rsidR="74DEFD04" w:rsidRPr="74DEFD04">
                <w:rPr>
                  <w:rStyle w:val="Hyperlink"/>
                  <w:rFonts w:ascii="Times New Roman" w:eastAsia="Times New Roman" w:hAnsi="Times New Roman" w:cs="Times New Roman"/>
                  <w:color w:val="000000" w:themeColor="text1"/>
                  <w:sz w:val="20"/>
                  <w:szCs w:val="20"/>
                </w:rPr>
                <w:t xml:space="preserve">Grozījumi Ministru kabineta 2014.gada </w:t>
              </w:r>
              <w:proofErr w:type="gramStart"/>
              <w:r w:rsidR="74DEFD04" w:rsidRPr="74DEFD04">
                <w:rPr>
                  <w:rStyle w:val="Hyperlink"/>
                  <w:rFonts w:ascii="Times New Roman" w:eastAsia="Times New Roman" w:hAnsi="Times New Roman" w:cs="Times New Roman"/>
                  <w:color w:val="000000" w:themeColor="text1"/>
                  <w:sz w:val="20"/>
                  <w:szCs w:val="20"/>
                </w:rPr>
                <w:t>14.oktobra</w:t>
              </w:r>
              <w:proofErr w:type="gramEnd"/>
              <w:r w:rsidR="74DEFD04" w:rsidRPr="74DEFD04">
                <w:rPr>
                  <w:rStyle w:val="Hyperlink"/>
                  <w:rFonts w:ascii="Times New Roman" w:eastAsia="Times New Roman" w:hAnsi="Times New Roman" w:cs="Times New Roman"/>
                  <w:color w:val="000000" w:themeColor="text1"/>
                  <w:sz w:val="20"/>
                  <w:szCs w:val="20"/>
                </w:rPr>
                <w:t xml:space="preserve"> noteikumos Nr.631</w:t>
              </w:r>
              <w:r w:rsidR="74DEFD04" w:rsidRPr="74DEFD04">
                <w:rPr>
                  <w:rStyle w:val="Hyperlink"/>
                  <w:rFonts w:ascii="Times New Roman" w:eastAsia="Times New Roman" w:hAnsi="Times New Roman" w:cs="Times New Roman"/>
                  <w:b/>
                  <w:bCs/>
                  <w:color w:val="000000" w:themeColor="text1"/>
                  <w:sz w:val="20"/>
                  <w:szCs w:val="20"/>
                </w:rPr>
                <w:t xml:space="preserve"> "Latvijas Republikas iekšējo jūras ūdeņu, teritoriālās jūras un ekskluzīvās ekonomiskās zonas būvju būvnoteikumi"</w:t>
              </w:r>
            </w:hyperlink>
          </w:p>
          <w:p w14:paraId="4902FEC4" w14:textId="58C4F71F" w:rsidR="74DEFD04" w:rsidRDefault="74DEFD04" w:rsidP="74DEFD04">
            <w:pPr>
              <w:jc w:val="both"/>
            </w:pPr>
            <w:r w:rsidRPr="74DEFD04">
              <w:rPr>
                <w:rFonts w:ascii="Times New Roman" w:eastAsia="Times New Roman" w:hAnsi="Times New Roman" w:cs="Times New Roman"/>
                <w:b/>
                <w:bCs/>
                <w:sz w:val="20"/>
                <w:szCs w:val="20"/>
              </w:rPr>
              <w:t xml:space="preserve"> </w:t>
            </w:r>
          </w:p>
        </w:tc>
        <w:tc>
          <w:tcPr>
            <w:tcW w:w="5220" w:type="dxa"/>
          </w:tcPr>
          <w:p w14:paraId="1522A41E" w14:textId="4C7FB695" w:rsidR="74DEFD04" w:rsidRDefault="74DEFD04" w:rsidP="74DEFD04">
            <w:pPr>
              <w:jc w:val="both"/>
            </w:pPr>
            <w:r w:rsidRPr="74DEFD04">
              <w:rPr>
                <w:rFonts w:ascii="Times New Roman" w:eastAsia="Times New Roman" w:hAnsi="Times New Roman" w:cs="Times New Roman"/>
                <w:sz w:val="20"/>
                <w:szCs w:val="20"/>
              </w:rPr>
              <w:t xml:space="preserve"> </w:t>
            </w:r>
          </w:p>
        </w:tc>
        <w:tc>
          <w:tcPr>
            <w:tcW w:w="2846" w:type="dxa"/>
          </w:tcPr>
          <w:p w14:paraId="77AF7CFA" w14:textId="45081C6C" w:rsidR="74DEFD04" w:rsidRDefault="74DEFD04" w:rsidP="74DEFD04">
            <w:pPr>
              <w:jc w:val="both"/>
            </w:pPr>
            <w:r w:rsidRPr="74DEFD04">
              <w:rPr>
                <w:rFonts w:ascii="Times New Roman" w:eastAsia="Times New Roman" w:hAnsi="Times New Roman" w:cs="Times New Roman"/>
                <w:sz w:val="20"/>
                <w:szCs w:val="20"/>
              </w:rPr>
              <w:t>Izsludināti 30.11.2017. VSS (VSS-1260). Saskaņošanā.</w:t>
            </w:r>
          </w:p>
        </w:tc>
      </w:tr>
      <w:tr w:rsidR="74DEFD04" w14:paraId="36092CA5" w14:textId="77777777" w:rsidTr="17FE0BE1">
        <w:tc>
          <w:tcPr>
            <w:tcW w:w="885" w:type="dxa"/>
          </w:tcPr>
          <w:p w14:paraId="1D4AB6D1" w14:textId="52EC113D" w:rsidR="74DEFD04" w:rsidRDefault="74DEFD04" w:rsidP="74DEFD04">
            <w:pPr>
              <w:ind w:left="360"/>
              <w:jc w:val="center"/>
            </w:pPr>
            <w:r w:rsidRPr="74DEFD04">
              <w:rPr>
                <w:rFonts w:ascii="Times New Roman" w:eastAsia="Times New Roman" w:hAnsi="Times New Roman" w:cs="Times New Roman"/>
                <w:sz w:val="20"/>
                <w:szCs w:val="20"/>
              </w:rPr>
              <w:t xml:space="preserve"> 6.</w:t>
            </w:r>
          </w:p>
        </w:tc>
        <w:tc>
          <w:tcPr>
            <w:tcW w:w="1845" w:type="dxa"/>
          </w:tcPr>
          <w:p w14:paraId="4D99CC04" w14:textId="03C8C229" w:rsidR="74DEFD04" w:rsidRDefault="5B2F13D4" w:rsidP="5B2F13D4">
            <w:pPr>
              <w:jc w:val="both"/>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MK noteikumi</w:t>
            </w:r>
          </w:p>
        </w:tc>
        <w:tc>
          <w:tcPr>
            <w:tcW w:w="3720" w:type="dxa"/>
          </w:tcPr>
          <w:p w14:paraId="56F667C7" w14:textId="314F2A4B" w:rsidR="74DEFD04" w:rsidRDefault="5B2F13D4" w:rsidP="5B2F13D4">
            <w:pPr>
              <w:jc w:val="both"/>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Grozījumi Ministru kabineta 2014.gada 19.augusta noteikumos Nr.500 “</w:t>
            </w:r>
            <w:r w:rsidRPr="5B2F13D4">
              <w:rPr>
                <w:rFonts w:ascii="Times New Roman" w:eastAsia="Times New Roman" w:hAnsi="Times New Roman" w:cs="Times New Roman"/>
                <w:b/>
                <w:bCs/>
                <w:sz w:val="20"/>
                <w:szCs w:val="20"/>
                <w:lang w:val="lv-LV"/>
              </w:rPr>
              <w:t>Vispārīgie būvnoteikumi</w:t>
            </w:r>
            <w:r w:rsidRPr="5B2F13D4">
              <w:rPr>
                <w:rFonts w:ascii="Times New Roman" w:eastAsia="Times New Roman" w:hAnsi="Times New Roman" w:cs="Times New Roman"/>
                <w:sz w:val="20"/>
                <w:szCs w:val="20"/>
                <w:lang w:val="lv-LV"/>
              </w:rPr>
              <w:t>”,</w:t>
            </w:r>
          </w:p>
          <w:p w14:paraId="773F3E09" w14:textId="350FA1DD" w:rsidR="74DEFD04" w:rsidRDefault="5B2F13D4" w:rsidP="5B2F13D4">
            <w:pPr>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 xml:space="preserve"> </w:t>
            </w:r>
          </w:p>
        </w:tc>
        <w:tc>
          <w:tcPr>
            <w:tcW w:w="5220" w:type="dxa"/>
          </w:tcPr>
          <w:p w14:paraId="50F509D5" w14:textId="681D18C5" w:rsidR="74DEFD04" w:rsidRDefault="5B2F13D4" w:rsidP="5B2F13D4">
            <w:pPr>
              <w:jc w:val="both"/>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Ir izstrādāti, lai noteiktu būvprojekta ekspertīzes mērķi un apjomu, precizētu gadījumus, kad ir nepieciešama būvuzraudzība un autoruzraudzība, kā arī precizētu būvspeciālistu pienākumus un tiesības.</w:t>
            </w:r>
          </w:p>
          <w:p w14:paraId="37AB8E40" w14:textId="638E307F" w:rsidR="74DEFD04" w:rsidRDefault="5B2F13D4" w:rsidP="5B2F13D4">
            <w:pPr>
              <w:jc w:val="both"/>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 xml:space="preserve">Šobrīd Vispārīgajos būvnoteikumos lietotā terminoloģija neatbilst Būvniecības likumā lietotai terminoloģijai, kā arī vairākas normas dublē citos normatīvajos aktos noteikto. </w:t>
            </w:r>
          </w:p>
          <w:p w14:paraId="26FC89BE" w14:textId="00607615" w:rsidR="74DEFD04" w:rsidRDefault="5B2F13D4" w:rsidP="5B2F13D4">
            <w:pPr>
              <w:jc w:val="both"/>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Ņemot vērā, ka pašvaldību autonomā funkcija ir būvniecības procesa tiesiskuma nodrošināšana, un būvvaldes atšķirīgi piemēro šobrīd esošās Vispārīgo būvnoteikumu normas, līdz ar to ir veikti atbilstoši grozījumi.</w:t>
            </w:r>
          </w:p>
          <w:p w14:paraId="6D2F60DE" w14:textId="0EBC8E2A" w:rsidR="74DEFD04" w:rsidRDefault="5B2F13D4" w:rsidP="5B2F13D4">
            <w:pPr>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 xml:space="preserve"> </w:t>
            </w:r>
          </w:p>
        </w:tc>
        <w:tc>
          <w:tcPr>
            <w:tcW w:w="2846" w:type="dxa"/>
          </w:tcPr>
          <w:p w14:paraId="223937BE" w14:textId="0619AD29" w:rsidR="5B2F13D4" w:rsidRDefault="5B2F13D4" w:rsidP="5B2F13D4">
            <w:pPr>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 xml:space="preserve">Nodots sabiedrības apspriešanai līdz 31.01.2019. </w:t>
            </w:r>
          </w:p>
          <w:p w14:paraId="2B83B629" w14:textId="547700F1" w:rsidR="5B2F13D4" w:rsidRDefault="5B2F13D4" w:rsidP="5B2F13D4">
            <w:pPr>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Notiek darbs pie projekta sagatavošanas LBP VBN Darba grupā.</w:t>
            </w:r>
          </w:p>
          <w:p w14:paraId="3965E837" w14:textId="5BC91851" w:rsidR="5B2F13D4" w:rsidRDefault="5B2F13D4" w:rsidP="5B2F13D4">
            <w:pPr>
              <w:spacing w:line="259" w:lineRule="auto"/>
              <w:rPr>
                <w:rFonts w:ascii="Times New Roman" w:eastAsia="Times New Roman" w:hAnsi="Times New Roman" w:cs="Times New Roman"/>
                <w:sz w:val="20"/>
                <w:szCs w:val="20"/>
                <w:lang w:val="lv-LV"/>
              </w:rPr>
            </w:pPr>
            <w:r w:rsidRPr="5B2F13D4">
              <w:rPr>
                <w:rFonts w:ascii="Times New Roman" w:eastAsia="Times New Roman" w:hAnsi="Times New Roman" w:cs="Times New Roman"/>
                <w:sz w:val="20"/>
                <w:szCs w:val="20"/>
                <w:lang w:val="lv-LV"/>
              </w:rPr>
              <w:t>Šobrīd notiek noteikumu projekta precizēšana (iekšējā saskaņošana).</w:t>
            </w:r>
          </w:p>
          <w:p w14:paraId="62F2B005" w14:textId="0619AD29" w:rsidR="5B2F13D4" w:rsidRDefault="5B2F13D4" w:rsidP="5B2F13D4">
            <w:pPr>
              <w:rPr>
                <w:rFonts w:ascii="Times New Roman" w:eastAsia="Times New Roman" w:hAnsi="Times New Roman" w:cs="Times New Roman"/>
                <w:sz w:val="20"/>
                <w:szCs w:val="20"/>
                <w:lang w:val="lv-LV"/>
              </w:rPr>
            </w:pPr>
          </w:p>
          <w:p w14:paraId="111E88F5" w14:textId="10B45E5A" w:rsidR="74DEFD04" w:rsidRDefault="74DEFD04" w:rsidP="5B2F13D4">
            <w:pPr>
              <w:rPr>
                <w:rFonts w:ascii="Times New Roman" w:eastAsia="Times New Roman" w:hAnsi="Times New Roman" w:cs="Times New Roman"/>
                <w:sz w:val="20"/>
                <w:szCs w:val="20"/>
                <w:lang w:val="lv-LV"/>
              </w:rPr>
            </w:pPr>
          </w:p>
        </w:tc>
      </w:tr>
      <w:tr w:rsidR="74DEFD04" w14:paraId="373E399D" w14:textId="77777777" w:rsidTr="17FE0BE1">
        <w:tc>
          <w:tcPr>
            <w:tcW w:w="885" w:type="dxa"/>
          </w:tcPr>
          <w:p w14:paraId="1DA6FC96" w14:textId="5B283C3F" w:rsidR="74DEFD04" w:rsidRDefault="3C8E9427" w:rsidP="74DEFD04">
            <w:pPr>
              <w:ind w:left="360"/>
              <w:jc w:val="center"/>
            </w:pPr>
            <w:r w:rsidRPr="3C8E9427">
              <w:rPr>
                <w:rFonts w:ascii="Times New Roman" w:eastAsia="Times New Roman" w:hAnsi="Times New Roman" w:cs="Times New Roman"/>
                <w:sz w:val="20"/>
                <w:szCs w:val="20"/>
              </w:rPr>
              <w:t>7.</w:t>
            </w:r>
          </w:p>
        </w:tc>
        <w:tc>
          <w:tcPr>
            <w:tcW w:w="1845" w:type="dxa"/>
          </w:tcPr>
          <w:p w14:paraId="2E4B966E" w14:textId="4860110F" w:rsidR="74DEFD04" w:rsidRDefault="74DEFD04">
            <w:r w:rsidRPr="74DEFD04">
              <w:rPr>
                <w:rFonts w:ascii="Times New Roman" w:eastAsia="Times New Roman" w:hAnsi="Times New Roman" w:cs="Times New Roman"/>
                <w:sz w:val="20"/>
                <w:szCs w:val="20"/>
              </w:rPr>
              <w:t>MK noteikumi</w:t>
            </w:r>
          </w:p>
        </w:tc>
        <w:tc>
          <w:tcPr>
            <w:tcW w:w="3720" w:type="dxa"/>
          </w:tcPr>
          <w:p w14:paraId="546154EB" w14:textId="28A7B8F5" w:rsidR="74DEFD04" w:rsidRDefault="74DEFD04">
            <w:r w:rsidRPr="74DEFD04">
              <w:rPr>
                <w:rFonts w:ascii="Times New Roman" w:eastAsia="Times New Roman" w:hAnsi="Times New Roman" w:cs="Times New Roman"/>
                <w:sz w:val="20"/>
                <w:szCs w:val="20"/>
              </w:rPr>
              <w:t xml:space="preserve">Grozījumi Ministru kabineta 2015. gada 16. jūnija noteikumos Nr. 312 “Noteikumi par Latvijas būvnormatīvu </w:t>
            </w:r>
            <w:r w:rsidRPr="74DEFD04">
              <w:rPr>
                <w:rFonts w:ascii="Times New Roman" w:eastAsia="Times New Roman" w:hAnsi="Times New Roman" w:cs="Times New Roman"/>
                <w:b/>
                <w:bCs/>
                <w:sz w:val="20"/>
                <w:szCs w:val="20"/>
              </w:rPr>
              <w:t>LBN 016 – 15 “Būvakustika”</w:t>
            </w:r>
          </w:p>
        </w:tc>
        <w:tc>
          <w:tcPr>
            <w:tcW w:w="5220" w:type="dxa"/>
          </w:tcPr>
          <w:p w14:paraId="29F36A56" w14:textId="140C2186" w:rsidR="74DEFD04" w:rsidRDefault="74DEFD04">
            <w:r w:rsidRPr="74DEFD04">
              <w:rPr>
                <w:rFonts w:ascii="Times New Roman" w:eastAsia="Times New Roman" w:hAnsi="Times New Roman" w:cs="Times New Roman"/>
                <w:sz w:val="20"/>
                <w:szCs w:val="20"/>
              </w:rPr>
              <w:t xml:space="preserve">Ministru kabineta noteikumu projekts ir izstrādāti, lai veiktu redakcionālus precizējumus. Veiktas izmaiņas atbilstoši Eiropas Parlamenta regulai (ES) Nr. 305/2011, būvju klasifikācijai un izmaiņām standartā par trokšņa novērtēšanu. Precizēts akustiskā komforta “D” klases raksturojošo parametru robežvērtību piemērošanas laiks ēkām, kuras nodotas ekspluatācijā līdz 2011. gada 1. jūlijam. Lai vienkāršotu pārskatamību, ir uzrādītas minimālās pamatprasības iekšējām norobežojošām konstrukcijām. Saskaņā ar mērījumu veikšanu objektos ir radusies nepieciešamība ieviest izolācijas indeksu saistībā ar faktisko ēku ekspluatāciju, kurš tiek regulēts atbilstoši situācijai. </w:t>
            </w:r>
            <w:r w:rsidRPr="74DEFD04">
              <w:rPr>
                <w:rFonts w:ascii="Times New Roman" w:eastAsia="Times New Roman" w:hAnsi="Times New Roman" w:cs="Times New Roman"/>
                <w:sz w:val="20"/>
                <w:szCs w:val="20"/>
              </w:rPr>
              <w:lastRenderedPageBreak/>
              <w:t xml:space="preserve">Veikti nelieli uzlabojumi triecientrokšņa izolācijai, skaņai gaisā izolācijai balstoties uz jaunām telpu grupām pēc būvju klasifikācijas. </w:t>
            </w:r>
          </w:p>
        </w:tc>
        <w:tc>
          <w:tcPr>
            <w:tcW w:w="2846" w:type="dxa"/>
          </w:tcPr>
          <w:p w14:paraId="59AD1A1B" w14:textId="55CD36F0" w:rsidR="4FF10963" w:rsidRDefault="4FF10963" w:rsidP="4FF10963">
            <w:pPr>
              <w:jc w:val="both"/>
            </w:pPr>
            <w:r w:rsidRPr="4FF10963">
              <w:rPr>
                <w:rFonts w:ascii="Times New Roman" w:eastAsia="Times New Roman" w:hAnsi="Times New Roman" w:cs="Times New Roman"/>
                <w:sz w:val="20"/>
                <w:szCs w:val="20"/>
              </w:rPr>
              <w:lastRenderedPageBreak/>
              <w:t>Izsludināts 28.03.2019. VSS prot. Nr.12 8.</w:t>
            </w:r>
            <w:r w:rsidRPr="4FF10963">
              <w:rPr>
                <w:rFonts w:ascii="Times New Roman" w:eastAsia="Times New Roman" w:hAnsi="Times New Roman" w:cs="Times New Roman"/>
                <w:sz w:val="24"/>
                <w:szCs w:val="24"/>
              </w:rPr>
              <w:t xml:space="preserve"> </w:t>
            </w:r>
            <w:r w:rsidRPr="4FF10963">
              <w:rPr>
                <w:rFonts w:ascii="Times New Roman" w:eastAsia="Times New Roman" w:hAnsi="Times New Roman" w:cs="Times New Roman"/>
                <w:sz w:val="20"/>
                <w:szCs w:val="20"/>
              </w:rPr>
              <w:t>§ (VSS-257).</w:t>
            </w:r>
            <w:r w:rsidRPr="4FF10963">
              <w:rPr>
                <w:rFonts w:ascii="Times New Roman" w:eastAsia="Times New Roman" w:hAnsi="Times New Roman" w:cs="Times New Roman"/>
                <w:sz w:val="24"/>
                <w:szCs w:val="24"/>
              </w:rPr>
              <w:t xml:space="preserve">  </w:t>
            </w:r>
            <w:r w:rsidRPr="4FF10963">
              <w:rPr>
                <w:rFonts w:ascii="Times New Roman" w:eastAsia="Times New Roman" w:hAnsi="Times New Roman" w:cs="Times New Roman"/>
                <w:sz w:val="20"/>
                <w:szCs w:val="20"/>
              </w:rPr>
              <w:t>Saskaņošanā.</w:t>
            </w:r>
          </w:p>
          <w:p w14:paraId="2165DE3B" w14:textId="7C0208FE" w:rsidR="4FF10963" w:rsidRDefault="4FF10963" w:rsidP="4FF10963">
            <w:pPr>
              <w:rPr>
                <w:rFonts w:ascii="Times New Roman" w:eastAsia="Times New Roman" w:hAnsi="Times New Roman" w:cs="Times New Roman"/>
                <w:sz w:val="20"/>
                <w:szCs w:val="20"/>
              </w:rPr>
            </w:pPr>
          </w:p>
          <w:p w14:paraId="0D5441DA" w14:textId="4964EE6F" w:rsidR="74DEFD04" w:rsidRDefault="74DEFD04">
            <w:r w:rsidRPr="74DEFD04">
              <w:rPr>
                <w:rFonts w:ascii="Times New Roman" w:eastAsia="Times New Roman" w:hAnsi="Times New Roman" w:cs="Times New Roman"/>
                <w:sz w:val="20"/>
                <w:szCs w:val="20"/>
              </w:rPr>
              <w:t xml:space="preserve"> </w:t>
            </w:r>
          </w:p>
        </w:tc>
      </w:tr>
      <w:tr w:rsidR="00F701A8" w14:paraId="118369BA" w14:textId="77777777" w:rsidTr="17FE0BE1">
        <w:tc>
          <w:tcPr>
            <w:tcW w:w="885" w:type="dxa"/>
          </w:tcPr>
          <w:p w14:paraId="103443FC" w14:textId="327A92AD" w:rsidR="00F701A8" w:rsidRPr="74DEFD04" w:rsidRDefault="17FE0BE1" w:rsidP="17FE0BE1">
            <w:pPr>
              <w:ind w:left="360"/>
              <w:jc w:val="center"/>
              <w:rPr>
                <w:rFonts w:ascii="Times New Roman" w:eastAsia="Times New Roman" w:hAnsi="Times New Roman" w:cs="Times New Roman"/>
                <w:sz w:val="20"/>
                <w:szCs w:val="20"/>
              </w:rPr>
            </w:pPr>
            <w:r>
              <w:t>8.</w:t>
            </w:r>
          </w:p>
        </w:tc>
        <w:tc>
          <w:tcPr>
            <w:tcW w:w="1845" w:type="dxa"/>
          </w:tcPr>
          <w:p w14:paraId="4020D118" w14:textId="2907F3E8" w:rsidR="00F701A8" w:rsidRPr="74DEFD04" w:rsidRDefault="00F701A8" w:rsidP="74DEFD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Likumi</w:t>
            </w:r>
          </w:p>
        </w:tc>
        <w:tc>
          <w:tcPr>
            <w:tcW w:w="3720" w:type="dxa"/>
          </w:tcPr>
          <w:p w14:paraId="4602688D" w14:textId="235FBEF1" w:rsidR="00F701A8" w:rsidRPr="74DEFD04" w:rsidRDefault="001327AF" w:rsidP="74DEFD04">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Grozījumi </w:t>
            </w:r>
            <w:r w:rsidRPr="00187085">
              <w:rPr>
                <w:rFonts w:ascii="Times New Roman" w:eastAsia="Times New Roman" w:hAnsi="Times New Roman" w:cs="Times New Roman"/>
                <w:b/>
                <w:bCs/>
                <w:sz w:val="20"/>
                <w:szCs w:val="20"/>
              </w:rPr>
              <w:t>Publisko iepirkumu likumā</w:t>
            </w:r>
            <w:r>
              <w:rPr>
                <w:rFonts w:ascii="Times New Roman" w:eastAsia="Times New Roman" w:hAnsi="Times New Roman" w:cs="Times New Roman"/>
                <w:sz w:val="20"/>
                <w:szCs w:val="20"/>
              </w:rPr>
              <w:t xml:space="preserve">, </w:t>
            </w:r>
            <w:r w:rsidRPr="00187085">
              <w:rPr>
                <w:rFonts w:ascii="Times New Roman" w:eastAsia="Times New Roman" w:hAnsi="Times New Roman" w:cs="Times New Roman"/>
                <w:b/>
                <w:bCs/>
                <w:sz w:val="20"/>
                <w:szCs w:val="20"/>
              </w:rPr>
              <w:t>Sab</w:t>
            </w:r>
            <w:r w:rsidR="00187085" w:rsidRPr="00187085">
              <w:rPr>
                <w:rFonts w:ascii="Times New Roman" w:eastAsia="Times New Roman" w:hAnsi="Times New Roman" w:cs="Times New Roman"/>
                <w:b/>
                <w:bCs/>
                <w:sz w:val="20"/>
                <w:szCs w:val="20"/>
              </w:rPr>
              <w:t>iedrisko pakalpojumu sniedzēju iepirkumu likumā</w:t>
            </w:r>
            <w:r w:rsidR="00187085">
              <w:rPr>
                <w:rFonts w:ascii="Times New Roman" w:eastAsia="Times New Roman" w:hAnsi="Times New Roman" w:cs="Times New Roman"/>
                <w:sz w:val="20"/>
                <w:szCs w:val="20"/>
              </w:rPr>
              <w:t xml:space="preserve"> un </w:t>
            </w:r>
            <w:r w:rsidR="00187085" w:rsidRPr="00187085">
              <w:rPr>
                <w:rFonts w:ascii="Times New Roman" w:eastAsia="Times New Roman" w:hAnsi="Times New Roman" w:cs="Times New Roman"/>
                <w:b/>
                <w:bCs/>
                <w:sz w:val="20"/>
                <w:szCs w:val="20"/>
              </w:rPr>
              <w:t>Publiskās un privātās partnerības likumā</w:t>
            </w:r>
          </w:p>
        </w:tc>
        <w:tc>
          <w:tcPr>
            <w:tcW w:w="5220" w:type="dxa"/>
          </w:tcPr>
          <w:p w14:paraId="6571B31A" w14:textId="6853CA87" w:rsidR="00F701A8" w:rsidRPr="74DEFD04" w:rsidRDefault="00187085" w:rsidP="74DEFD0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Grozījumi izstrādāti ar mērķi izslēgt deleģējumu Ministru kabinetam noteikt prasības būvkomersaniet</w:t>
            </w:r>
            <w:r w:rsidR="003B3F91">
              <w:rPr>
                <w:rFonts w:ascii="Times New Roman" w:eastAsia="Times New Roman" w:hAnsi="Times New Roman" w:cs="Times New Roman"/>
                <w:sz w:val="20"/>
                <w:szCs w:val="20"/>
              </w:rPr>
              <w:t>iem attiecībā uz pieredzi un klasi publisku būvdarbu veikšanai būvju grupās.</w:t>
            </w:r>
          </w:p>
        </w:tc>
        <w:tc>
          <w:tcPr>
            <w:tcW w:w="2846" w:type="dxa"/>
          </w:tcPr>
          <w:p w14:paraId="1AD4C5ED" w14:textId="40641150" w:rsidR="00F701A8" w:rsidRPr="74DEFD04" w:rsidRDefault="6D1A0F7D" w:rsidP="74DEFD04">
            <w:pPr>
              <w:jc w:val="both"/>
            </w:pPr>
            <w:r w:rsidRPr="6D1A0F7D">
              <w:rPr>
                <w:rFonts w:ascii="Times New Roman" w:eastAsia="Times New Roman" w:hAnsi="Times New Roman" w:cs="Times New Roman"/>
                <w:sz w:val="20"/>
                <w:szCs w:val="20"/>
              </w:rPr>
              <w:t xml:space="preserve"> 09.12.2019 iesniegts MK</w:t>
            </w:r>
          </w:p>
          <w:p w14:paraId="55F0CA08" w14:textId="71CBB455" w:rsidR="00F701A8" w:rsidRPr="74DEFD04" w:rsidRDefault="00F701A8" w:rsidP="6D1A0F7D">
            <w:pPr>
              <w:spacing w:line="259" w:lineRule="auto"/>
              <w:jc w:val="both"/>
              <w:rPr>
                <w:rFonts w:ascii="Times New Roman" w:eastAsia="Times New Roman" w:hAnsi="Times New Roman" w:cs="Times New Roman"/>
                <w:sz w:val="20"/>
                <w:szCs w:val="20"/>
              </w:rPr>
            </w:pPr>
          </w:p>
        </w:tc>
      </w:tr>
      <w:tr w:rsidR="74DEFD04" w14:paraId="768AFBE8" w14:textId="77777777" w:rsidTr="17FE0BE1">
        <w:tc>
          <w:tcPr>
            <w:tcW w:w="885" w:type="dxa"/>
          </w:tcPr>
          <w:p w14:paraId="0AE1F446" w14:textId="0FAB842C" w:rsidR="74DEFD04" w:rsidRDefault="17FE0BE1" w:rsidP="74DEFD04">
            <w:pPr>
              <w:ind w:left="360"/>
              <w:jc w:val="center"/>
            </w:pPr>
            <w:r w:rsidRPr="17FE0BE1">
              <w:rPr>
                <w:rFonts w:ascii="Times New Roman" w:eastAsia="Times New Roman" w:hAnsi="Times New Roman" w:cs="Times New Roman"/>
                <w:sz w:val="20"/>
                <w:szCs w:val="20"/>
              </w:rPr>
              <w:t>9.</w:t>
            </w:r>
          </w:p>
        </w:tc>
        <w:tc>
          <w:tcPr>
            <w:tcW w:w="1845" w:type="dxa"/>
          </w:tcPr>
          <w:p w14:paraId="7D56EF52" w14:textId="7D873207" w:rsidR="74DEFD04" w:rsidRDefault="74DEFD04" w:rsidP="74DEFD04">
            <w:pPr>
              <w:jc w:val="both"/>
            </w:pPr>
            <w:proofErr w:type="gramStart"/>
            <w:r w:rsidRPr="74DEFD04">
              <w:rPr>
                <w:rFonts w:ascii="Times New Roman" w:eastAsia="Times New Roman" w:hAnsi="Times New Roman" w:cs="Times New Roman"/>
                <w:sz w:val="20"/>
                <w:szCs w:val="20"/>
              </w:rPr>
              <w:t>MK  noteikumi</w:t>
            </w:r>
            <w:proofErr w:type="gramEnd"/>
            <w:r w:rsidRPr="74DEFD04">
              <w:rPr>
                <w:rFonts w:ascii="Times New Roman" w:eastAsia="Times New Roman" w:hAnsi="Times New Roman" w:cs="Times New Roman"/>
                <w:sz w:val="20"/>
                <w:szCs w:val="20"/>
              </w:rPr>
              <w:t xml:space="preserve"> </w:t>
            </w:r>
          </w:p>
        </w:tc>
        <w:tc>
          <w:tcPr>
            <w:tcW w:w="3720" w:type="dxa"/>
          </w:tcPr>
          <w:p w14:paraId="4CEAF71F" w14:textId="565241B3" w:rsidR="74DEFD04" w:rsidRDefault="74DEFD04" w:rsidP="74DEFD04">
            <w:pPr>
              <w:spacing w:line="276" w:lineRule="auto"/>
              <w:jc w:val="both"/>
            </w:pPr>
            <w:r w:rsidRPr="74DEFD04">
              <w:rPr>
                <w:rFonts w:ascii="Times New Roman" w:eastAsia="Times New Roman" w:hAnsi="Times New Roman" w:cs="Times New Roman"/>
                <w:sz w:val="20"/>
                <w:szCs w:val="20"/>
              </w:rPr>
              <w:t>Noteikumi par Latvijas būvnormatīvu LBN 003-19 “Būvklimatoloģija”</w:t>
            </w:r>
          </w:p>
        </w:tc>
        <w:tc>
          <w:tcPr>
            <w:tcW w:w="5220" w:type="dxa"/>
          </w:tcPr>
          <w:p w14:paraId="5FB04B31" w14:textId="68605DA4" w:rsidR="74DEFD04" w:rsidRDefault="74DEFD04" w:rsidP="74DEFD04">
            <w:pPr>
              <w:jc w:val="both"/>
            </w:pPr>
            <w:r w:rsidRPr="74DEFD04">
              <w:rPr>
                <w:rFonts w:ascii="Times New Roman" w:eastAsia="Times New Roman" w:hAnsi="Times New Roman" w:cs="Times New Roman"/>
                <w:sz w:val="20"/>
                <w:szCs w:val="20"/>
              </w:rPr>
              <w:t>Izstrādes mērķis ir atjaunot datus par meteoroloģiskajiem apstākļiem Latvijā. Būvnormatīvā ietvertos klimatoloģiskos rādītājus piemēro inženierizpētē, būvju projektēšanā un būvdarbu veikšanā. Jebkura ģeogrāfiskā punkta klimatoloģiskos rādītājus būvniecības vajadzībām Latvijas teritorijā nosaka pēc šī būvnormatīva pielikuma tabulās ietvertā tuvākā ģeogrāfiskā punkta klimatoloģiskajiem rādītājiem.</w:t>
            </w:r>
          </w:p>
          <w:p w14:paraId="1910262F" w14:textId="06B57848" w:rsidR="74DEFD04" w:rsidRDefault="74DEFD04" w:rsidP="74DEFD04">
            <w:pPr>
              <w:spacing w:line="259" w:lineRule="auto"/>
              <w:jc w:val="both"/>
            </w:pPr>
            <w:r w:rsidRPr="74DEFD04">
              <w:rPr>
                <w:rFonts w:ascii="Times New Roman" w:eastAsia="Times New Roman" w:hAnsi="Times New Roman" w:cs="Times New Roman"/>
                <w:sz w:val="20"/>
                <w:szCs w:val="20"/>
              </w:rPr>
              <w:t>Būvnormatīva tiesiskais regulējums salīdzinājumā ar līdzšinējo regulējumu pēc būtības netiek mainīts, atjaunoti dati par meteoroloģiskajiem apstākļiem Latvijas teritorijā, atjaunoto datu apskatāmais intervāls 2008. – 2017.gads.</w:t>
            </w:r>
          </w:p>
        </w:tc>
        <w:tc>
          <w:tcPr>
            <w:tcW w:w="2846" w:type="dxa"/>
          </w:tcPr>
          <w:p w14:paraId="5614D57D" w14:textId="3645F64F" w:rsidR="74DEFD04" w:rsidRDefault="4FF10963" w:rsidP="4FF10963">
            <w:pPr>
              <w:jc w:val="both"/>
            </w:pPr>
            <w:r w:rsidRPr="4FF10963">
              <w:rPr>
                <w:rFonts w:ascii="Times New Roman" w:eastAsia="Times New Roman" w:hAnsi="Times New Roman" w:cs="Times New Roman"/>
                <w:sz w:val="20"/>
                <w:szCs w:val="20"/>
              </w:rPr>
              <w:t>Izsludināts 21.02.2019. VSS prot. Nr.7 3.</w:t>
            </w:r>
            <w:r w:rsidRPr="4FF10963">
              <w:rPr>
                <w:rFonts w:ascii="Times New Roman" w:eastAsia="Times New Roman" w:hAnsi="Times New Roman" w:cs="Times New Roman"/>
                <w:sz w:val="24"/>
                <w:szCs w:val="24"/>
              </w:rPr>
              <w:t xml:space="preserve"> </w:t>
            </w:r>
            <w:r w:rsidRPr="4FF10963">
              <w:rPr>
                <w:rFonts w:ascii="Times New Roman" w:eastAsia="Times New Roman" w:hAnsi="Times New Roman" w:cs="Times New Roman"/>
                <w:sz w:val="20"/>
                <w:szCs w:val="20"/>
              </w:rPr>
              <w:t>§ (VSS-154).</w:t>
            </w:r>
            <w:r w:rsidRPr="4FF10963">
              <w:rPr>
                <w:rFonts w:ascii="Times New Roman" w:eastAsia="Times New Roman" w:hAnsi="Times New Roman" w:cs="Times New Roman"/>
                <w:sz w:val="24"/>
                <w:szCs w:val="24"/>
              </w:rPr>
              <w:t xml:space="preserve">  </w:t>
            </w:r>
            <w:r w:rsidRPr="4FF10963">
              <w:rPr>
                <w:rFonts w:ascii="Times New Roman" w:eastAsia="Times New Roman" w:hAnsi="Times New Roman" w:cs="Times New Roman"/>
                <w:sz w:val="20"/>
                <w:szCs w:val="20"/>
              </w:rPr>
              <w:t>Saskaņošanā.</w:t>
            </w:r>
          </w:p>
        </w:tc>
      </w:tr>
      <w:tr w:rsidR="74DEFD04" w14:paraId="2176087D" w14:textId="77777777" w:rsidTr="17FE0BE1">
        <w:tc>
          <w:tcPr>
            <w:tcW w:w="885" w:type="dxa"/>
          </w:tcPr>
          <w:p w14:paraId="55C2FCA4" w14:textId="009C96D7" w:rsidR="74DEFD04" w:rsidRDefault="17FE0BE1" w:rsidP="17FE0BE1">
            <w:pPr>
              <w:jc w:val="center"/>
              <w:rPr>
                <w:rFonts w:ascii="Times New Roman" w:eastAsia="Times New Roman" w:hAnsi="Times New Roman" w:cs="Times New Roman"/>
                <w:sz w:val="20"/>
                <w:szCs w:val="20"/>
              </w:rPr>
            </w:pPr>
            <w:r w:rsidRPr="17FE0BE1">
              <w:rPr>
                <w:rFonts w:ascii="Times New Roman" w:eastAsia="Times New Roman" w:hAnsi="Times New Roman" w:cs="Times New Roman"/>
                <w:sz w:val="20"/>
                <w:szCs w:val="20"/>
              </w:rPr>
              <w:t>10.</w:t>
            </w:r>
          </w:p>
        </w:tc>
        <w:tc>
          <w:tcPr>
            <w:tcW w:w="1845" w:type="dxa"/>
          </w:tcPr>
          <w:p w14:paraId="208822F9" w14:textId="1108A984" w:rsidR="74DEFD04" w:rsidRDefault="74DEFD04" w:rsidP="74DEFD04">
            <w:pPr>
              <w:jc w:val="both"/>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t>MK noteikumi</w:t>
            </w:r>
          </w:p>
        </w:tc>
        <w:tc>
          <w:tcPr>
            <w:tcW w:w="3720" w:type="dxa"/>
          </w:tcPr>
          <w:p w14:paraId="1C820E0B" w14:textId="386DCEBF" w:rsidR="74DEFD04" w:rsidRDefault="74DEFD04" w:rsidP="74DEFD04">
            <w:pPr>
              <w:spacing w:line="276" w:lineRule="auto"/>
              <w:jc w:val="both"/>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t>Noteikumi par Latvijas būvnormatīvu LBN “Būtiskas prasības būvēm”</w:t>
            </w:r>
          </w:p>
        </w:tc>
        <w:tc>
          <w:tcPr>
            <w:tcW w:w="5220" w:type="dxa"/>
          </w:tcPr>
          <w:p w14:paraId="24C269F7" w14:textId="53226DE9" w:rsidR="74DEFD04" w:rsidRDefault="74DEFD04" w:rsidP="74DEFD04">
            <w:pPr>
              <w:jc w:val="both"/>
            </w:pPr>
            <w:r w:rsidRPr="74DEFD04">
              <w:rPr>
                <w:rFonts w:ascii="Times New Roman" w:eastAsia="Times New Roman" w:hAnsi="Times New Roman" w:cs="Times New Roman"/>
                <w:sz w:val="20"/>
                <w:szCs w:val="20"/>
              </w:rPr>
              <w:t>Izstrādes mērķis ir pārskatīt novecojušās prasības "LBN 211-15 Dzīvojamās ēkas" un "LBN 208-15 Publiskas būves" un noteikt prasības atbilstoši Būvniecības likumā izvirzītajām būtiskajām prasībām būvēm.</w:t>
            </w:r>
          </w:p>
        </w:tc>
        <w:tc>
          <w:tcPr>
            <w:tcW w:w="2846" w:type="dxa"/>
          </w:tcPr>
          <w:p w14:paraId="6AEEA608" w14:textId="5E65D99A" w:rsidR="74DEFD04" w:rsidRDefault="74DEFD04">
            <w:r w:rsidRPr="74DEFD04">
              <w:rPr>
                <w:rFonts w:ascii="Times New Roman" w:eastAsia="Times New Roman" w:hAnsi="Times New Roman" w:cs="Times New Roman"/>
                <w:sz w:val="20"/>
                <w:szCs w:val="20"/>
              </w:rPr>
              <w:t>Notiek darbs pie projekta sagatavošanas</w:t>
            </w:r>
          </w:p>
          <w:p w14:paraId="24971ECE" w14:textId="1316A48A" w:rsidR="74DEFD04" w:rsidRDefault="74DEFD04" w:rsidP="74DEFD04">
            <w:pPr>
              <w:jc w:val="both"/>
              <w:rPr>
                <w:rFonts w:ascii="Times New Roman" w:eastAsia="Times New Roman" w:hAnsi="Times New Roman" w:cs="Times New Roman"/>
                <w:sz w:val="20"/>
                <w:szCs w:val="20"/>
              </w:rPr>
            </w:pPr>
          </w:p>
        </w:tc>
      </w:tr>
      <w:tr w:rsidR="74DEFD04" w14:paraId="54396214" w14:textId="77777777" w:rsidTr="17FE0BE1">
        <w:tc>
          <w:tcPr>
            <w:tcW w:w="885" w:type="dxa"/>
          </w:tcPr>
          <w:p w14:paraId="00CA8B5A" w14:textId="30B396FB" w:rsidR="74DEFD04" w:rsidRDefault="17FE0BE1" w:rsidP="17FE0BE1">
            <w:pPr>
              <w:jc w:val="center"/>
              <w:rPr>
                <w:rFonts w:ascii="Times New Roman" w:eastAsia="Times New Roman" w:hAnsi="Times New Roman" w:cs="Times New Roman"/>
                <w:sz w:val="20"/>
                <w:szCs w:val="20"/>
              </w:rPr>
            </w:pPr>
            <w:r w:rsidRPr="17FE0BE1">
              <w:rPr>
                <w:rFonts w:ascii="Times New Roman" w:eastAsia="Times New Roman" w:hAnsi="Times New Roman" w:cs="Times New Roman"/>
                <w:sz w:val="20"/>
                <w:szCs w:val="20"/>
              </w:rPr>
              <w:t>11.</w:t>
            </w:r>
          </w:p>
        </w:tc>
        <w:tc>
          <w:tcPr>
            <w:tcW w:w="1845" w:type="dxa"/>
          </w:tcPr>
          <w:p w14:paraId="02833BAF" w14:textId="02499CBE" w:rsidR="74DEFD04" w:rsidRDefault="74DEFD04" w:rsidP="74DEFD04">
            <w:pPr>
              <w:jc w:val="both"/>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t>MK noteikumi</w:t>
            </w:r>
          </w:p>
        </w:tc>
        <w:tc>
          <w:tcPr>
            <w:tcW w:w="3720" w:type="dxa"/>
          </w:tcPr>
          <w:p w14:paraId="5C64D090" w14:textId="62A50142" w:rsidR="74DEFD04" w:rsidRDefault="74DEFD04" w:rsidP="74DEFD04">
            <w:pPr>
              <w:spacing w:line="276" w:lineRule="auto"/>
              <w:jc w:val="both"/>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t>Noteikumi par tipveida līgumiem</w:t>
            </w:r>
          </w:p>
        </w:tc>
        <w:tc>
          <w:tcPr>
            <w:tcW w:w="5220" w:type="dxa"/>
          </w:tcPr>
          <w:p w14:paraId="003C5BC9" w14:textId="3D691C7F" w:rsidR="74DEFD04" w:rsidRDefault="74DEFD04" w:rsidP="74DEFD04">
            <w:pPr>
              <w:jc w:val="both"/>
              <w:rPr>
                <w:rFonts w:ascii="Times New Roman" w:eastAsia="Times New Roman" w:hAnsi="Times New Roman" w:cs="Times New Roman"/>
                <w:sz w:val="20"/>
                <w:szCs w:val="20"/>
              </w:rPr>
            </w:pPr>
            <w:r w:rsidRPr="74DEFD04">
              <w:rPr>
                <w:rFonts w:ascii="Times New Roman" w:eastAsia="Times New Roman" w:hAnsi="Times New Roman" w:cs="Times New Roman"/>
                <w:sz w:val="20"/>
                <w:szCs w:val="20"/>
              </w:rPr>
              <w:t>Izstrādes mērķis noteikts saskaņā ar Ministru kabineta 2009. gada 7. aprīļa noteikumu Nr. 300 "Ministru kabineta kārtības rullis" 234. punktu līdz 2018. gada 1. janvārim sagatavot un noteiktā kārtībā iesniegt Ministru kabinetā Būvniecības likuma (2016. gada 23. novembra likuma "Grozījumi Būvniecības likumā" redakcijā) 5. panta pirmās daļas 14. punktā minētā tiesību akta projektu, attiecīgi nodrošinot pārejas noteikumu 13. punktā Ministru kabinetam dotā uzdevuma izpildi.</w:t>
            </w:r>
          </w:p>
        </w:tc>
        <w:tc>
          <w:tcPr>
            <w:tcW w:w="2846" w:type="dxa"/>
          </w:tcPr>
          <w:p w14:paraId="52DC75A5" w14:textId="5E65D99A" w:rsidR="74DEFD04" w:rsidRDefault="74DEFD04">
            <w:r w:rsidRPr="74DEFD04">
              <w:rPr>
                <w:rFonts w:ascii="Times New Roman" w:eastAsia="Times New Roman" w:hAnsi="Times New Roman" w:cs="Times New Roman"/>
                <w:sz w:val="20"/>
                <w:szCs w:val="20"/>
              </w:rPr>
              <w:t>Notiek darbs pie projekta sagatavošanas</w:t>
            </w:r>
          </w:p>
          <w:p w14:paraId="0A4D82DD" w14:textId="7FD70EFE" w:rsidR="74DEFD04" w:rsidRDefault="74DEFD04" w:rsidP="74DEFD04">
            <w:pPr>
              <w:jc w:val="both"/>
              <w:rPr>
                <w:rFonts w:ascii="Times New Roman" w:eastAsia="Times New Roman" w:hAnsi="Times New Roman" w:cs="Times New Roman"/>
                <w:sz w:val="20"/>
                <w:szCs w:val="20"/>
              </w:rPr>
            </w:pPr>
          </w:p>
        </w:tc>
      </w:tr>
      <w:tr w:rsidR="74DEFD04" w14:paraId="404B220A" w14:textId="77777777" w:rsidTr="17FE0BE1">
        <w:tc>
          <w:tcPr>
            <w:tcW w:w="885" w:type="dxa"/>
          </w:tcPr>
          <w:p w14:paraId="0A7EFD13" w14:textId="3401B289" w:rsidR="5B2F13D4" w:rsidRDefault="17FE0BE1" w:rsidP="17FE0BE1">
            <w:pPr>
              <w:jc w:val="center"/>
              <w:rPr>
                <w:rFonts w:ascii="Times New Roman" w:eastAsia="Times New Roman" w:hAnsi="Times New Roman" w:cs="Times New Roman"/>
                <w:sz w:val="20"/>
                <w:szCs w:val="20"/>
              </w:rPr>
            </w:pPr>
            <w:r w:rsidRPr="17FE0BE1">
              <w:rPr>
                <w:rFonts w:ascii="Times New Roman" w:eastAsia="Times New Roman" w:hAnsi="Times New Roman" w:cs="Times New Roman"/>
                <w:sz w:val="20"/>
                <w:szCs w:val="20"/>
              </w:rPr>
              <w:t>12.</w:t>
            </w:r>
          </w:p>
        </w:tc>
        <w:tc>
          <w:tcPr>
            <w:tcW w:w="1845" w:type="dxa"/>
          </w:tcPr>
          <w:p w14:paraId="4D92744C" w14:textId="4C27A6D9" w:rsidR="5B2F13D4" w:rsidRDefault="5B2F13D4" w:rsidP="5B2F13D4">
            <w:pPr>
              <w:jc w:val="both"/>
              <w:rPr>
                <w:rFonts w:ascii="Times New Roman" w:eastAsia="Times New Roman" w:hAnsi="Times New Roman" w:cs="Times New Roman"/>
                <w:sz w:val="20"/>
                <w:szCs w:val="20"/>
              </w:rPr>
            </w:pPr>
            <w:r w:rsidRPr="5B2F13D4">
              <w:rPr>
                <w:rFonts w:ascii="Times New Roman" w:eastAsia="Times New Roman" w:hAnsi="Times New Roman" w:cs="Times New Roman"/>
                <w:sz w:val="20"/>
                <w:szCs w:val="20"/>
              </w:rPr>
              <w:t xml:space="preserve">MK noteikumi </w:t>
            </w:r>
          </w:p>
        </w:tc>
        <w:tc>
          <w:tcPr>
            <w:tcW w:w="3720" w:type="dxa"/>
          </w:tcPr>
          <w:p w14:paraId="0FE72FD5" w14:textId="2838C2DA" w:rsidR="5B2F13D4" w:rsidRDefault="5B2F13D4" w:rsidP="5B2F13D4">
            <w:pPr>
              <w:jc w:val="both"/>
              <w:rPr>
                <w:rFonts w:ascii="Times New Roman" w:hAnsi="Times New Roman" w:cs="Times New Roman"/>
                <w:sz w:val="20"/>
                <w:szCs w:val="20"/>
              </w:rPr>
            </w:pPr>
            <w:r w:rsidRPr="5B2F13D4">
              <w:rPr>
                <w:rFonts w:ascii="Times New Roman" w:eastAsia="Times New Roman" w:hAnsi="Times New Roman" w:cs="Times New Roman"/>
                <w:b/>
                <w:bCs/>
                <w:color w:val="2A2A2A"/>
                <w:sz w:val="20"/>
                <w:szCs w:val="20"/>
              </w:rPr>
              <w:t xml:space="preserve"> Grozījumi Ministru kabineta 2019.gada </w:t>
            </w:r>
            <w:proofErr w:type="gramStart"/>
            <w:r w:rsidRPr="5B2F13D4">
              <w:rPr>
                <w:rFonts w:ascii="Times New Roman" w:eastAsia="Times New Roman" w:hAnsi="Times New Roman" w:cs="Times New Roman"/>
                <w:b/>
                <w:bCs/>
                <w:color w:val="2A2A2A"/>
                <w:sz w:val="20"/>
                <w:szCs w:val="20"/>
              </w:rPr>
              <w:t>7.maija</w:t>
            </w:r>
            <w:proofErr w:type="gramEnd"/>
            <w:r w:rsidRPr="5B2F13D4">
              <w:rPr>
                <w:rFonts w:ascii="Times New Roman" w:eastAsia="Times New Roman" w:hAnsi="Times New Roman" w:cs="Times New Roman"/>
                <w:b/>
                <w:bCs/>
                <w:color w:val="2A2A2A"/>
                <w:sz w:val="20"/>
                <w:szCs w:val="20"/>
              </w:rPr>
              <w:t xml:space="preserve"> noteikumos Nr.189 “Biedrības "Latvijas Arhitektu savienība" valsts pārvaldes uzdevuma ietvaros sniegto maksas pakalpojumu cenrādis”</w:t>
            </w:r>
          </w:p>
        </w:tc>
        <w:tc>
          <w:tcPr>
            <w:tcW w:w="5220" w:type="dxa"/>
          </w:tcPr>
          <w:p w14:paraId="7D4F4A30" w14:textId="2497EDE1" w:rsidR="5B2F13D4" w:rsidRDefault="5B2F13D4" w:rsidP="5B2F13D4">
            <w:pPr>
              <w:jc w:val="both"/>
              <w:rPr>
                <w:rFonts w:ascii="Times New Roman" w:hAnsi="Times New Roman" w:cs="Times New Roman"/>
                <w:sz w:val="20"/>
                <w:szCs w:val="20"/>
              </w:rPr>
            </w:pPr>
            <w:r w:rsidRPr="5B2F13D4">
              <w:rPr>
                <w:rFonts w:ascii="Times New Roman" w:eastAsia="Times New Roman" w:hAnsi="Times New Roman" w:cs="Times New Roman"/>
                <w:sz w:val="20"/>
                <w:szCs w:val="20"/>
              </w:rPr>
              <w:t xml:space="preserve"> Projekts ir izstrādāts, lai SIA Serteks un biedrībai “Latvijas arhitektu savienība” noteiktu vienotu cenrādi Arhitektu uzraudzībai un kompetences novērtēšanai</w:t>
            </w:r>
          </w:p>
        </w:tc>
        <w:tc>
          <w:tcPr>
            <w:tcW w:w="2846" w:type="dxa"/>
          </w:tcPr>
          <w:p w14:paraId="72C6A679" w14:textId="0E0776BA" w:rsidR="5B2F13D4" w:rsidRDefault="6D1A0F7D" w:rsidP="6D1A0F7D">
            <w:pPr>
              <w:jc w:val="both"/>
              <w:rPr>
                <w:rFonts w:ascii="Times New Roman" w:eastAsia="Times New Roman" w:hAnsi="Times New Roman" w:cs="Times New Roman"/>
                <w:sz w:val="20"/>
                <w:szCs w:val="20"/>
              </w:rPr>
            </w:pPr>
            <w:r w:rsidRPr="6D1A0F7D">
              <w:rPr>
                <w:rFonts w:ascii="Times New Roman" w:eastAsia="Times New Roman" w:hAnsi="Times New Roman" w:cs="Times New Roman"/>
                <w:sz w:val="20"/>
                <w:szCs w:val="20"/>
              </w:rPr>
              <w:t>10.12.2019 iesniegts MK</w:t>
            </w:r>
          </w:p>
        </w:tc>
      </w:tr>
      <w:tr w:rsidR="00077F05" w14:paraId="066E2DAD" w14:textId="77777777" w:rsidTr="17FE0BE1">
        <w:tc>
          <w:tcPr>
            <w:tcW w:w="885" w:type="dxa"/>
          </w:tcPr>
          <w:p w14:paraId="1BBE798C" w14:textId="582846EB" w:rsidR="00077F05" w:rsidRPr="4FF10963" w:rsidRDefault="17FE0BE1" w:rsidP="17FE0BE1">
            <w:pPr>
              <w:jc w:val="center"/>
              <w:rPr>
                <w:rFonts w:ascii="Times New Roman" w:eastAsia="Times New Roman" w:hAnsi="Times New Roman" w:cs="Times New Roman"/>
                <w:sz w:val="20"/>
                <w:szCs w:val="20"/>
              </w:rPr>
            </w:pPr>
            <w:r w:rsidRPr="17FE0BE1">
              <w:rPr>
                <w:rFonts w:ascii="Times New Roman" w:eastAsia="Times New Roman" w:hAnsi="Times New Roman" w:cs="Times New Roman"/>
                <w:sz w:val="20"/>
                <w:szCs w:val="20"/>
              </w:rPr>
              <w:t>13.</w:t>
            </w:r>
          </w:p>
        </w:tc>
        <w:tc>
          <w:tcPr>
            <w:tcW w:w="1845" w:type="dxa"/>
          </w:tcPr>
          <w:p w14:paraId="5D6E3381" w14:textId="53D6E4BE" w:rsidR="17FE0BE1" w:rsidRDefault="17FE0BE1" w:rsidP="17FE0BE1">
            <w:r>
              <w:t>MK noteikumi</w:t>
            </w:r>
          </w:p>
        </w:tc>
        <w:tc>
          <w:tcPr>
            <w:tcW w:w="3720" w:type="dxa"/>
          </w:tcPr>
          <w:p w14:paraId="58BE89E7" w14:textId="383D8C35" w:rsidR="17FE0BE1" w:rsidRDefault="17FE0BE1" w:rsidP="17FE0BE1">
            <w:r>
              <w:t>“Vienotās elektroniskās darba laika uzskaites datubāzes darbības noteikumi” un</w:t>
            </w:r>
          </w:p>
          <w:p w14:paraId="2B177AF2" w14:textId="5EE12951" w:rsidR="17FE0BE1" w:rsidRDefault="17FE0BE1" w:rsidP="17FE0BE1"/>
          <w:p w14:paraId="3E2094FE" w14:textId="6BA6A061" w:rsidR="17FE0BE1" w:rsidRDefault="17FE0BE1" w:rsidP="17FE0BE1">
            <w:r>
              <w:t xml:space="preserve">Grozījumi Ministru kabineta 2015. gada 28. jūlija noteikumos Nr.438 </w:t>
            </w:r>
            <w:r>
              <w:lastRenderedPageBreak/>
              <w:t>„Būvniecības informācijas sistēmas noteikumi”</w:t>
            </w:r>
          </w:p>
        </w:tc>
        <w:tc>
          <w:tcPr>
            <w:tcW w:w="5220" w:type="dxa"/>
          </w:tcPr>
          <w:p w14:paraId="2B270476" w14:textId="5779B144" w:rsidR="17FE0BE1" w:rsidRDefault="17FE0BE1" w:rsidP="17FE0BE1">
            <w:r>
              <w:lastRenderedPageBreak/>
              <w:t xml:space="preserve">Vienotās elektroniskās darba laika uzskaites datu bāzē apkopo datus no elektroniskās darba laika uzskaites datu bāzēm un izsniedz tos likumā “Par nodokļiem un nodevām” noteiktām iestādēm noteiktā apjomā, </w:t>
            </w:r>
            <w:proofErr w:type="gramStart"/>
            <w:r>
              <w:t>lai  izmantotu</w:t>
            </w:r>
            <w:proofErr w:type="gramEnd"/>
            <w:r>
              <w:t xml:space="preserve"> nodokļu administrēšanā, darba tiesisko attiecību reglamentējošo normatīvo aktu ievērošanas uzraudzībā un kontrolē, būvdarbu valsts kontrolē, </w:t>
            </w:r>
            <w:r>
              <w:lastRenderedPageBreak/>
              <w:t>būvniecības politikas veidošanā, būvniecības nozares vispārīgās pārraudzības īstenošanā, oficiālās statistikas nodrošināšanā.</w:t>
            </w:r>
          </w:p>
          <w:p w14:paraId="68F29B6F" w14:textId="5FF14848" w:rsidR="17FE0BE1" w:rsidRDefault="17FE0BE1" w:rsidP="17FE0BE1">
            <w:r>
              <w:t>13.06.2019. stājās spēkā 30.05.2019. pieņemtie grozījumi likumā “Par nodokļiem un nodevām”. Saskaņā ar likuma “Par nodokļiem un nodevām” 112.panta ceturto daļu Ministru kabinets nosaka kārtību, kādā elektroniskās darba laika uzskaites sistēmas dati sniedzami iekļaušanai vienotajā elektroniskās darba laika uzskaites datubāzē.</w:t>
            </w:r>
          </w:p>
          <w:p w14:paraId="1E00FFA0" w14:textId="4D4F33F3" w:rsidR="17FE0BE1" w:rsidRDefault="17FE0BE1" w:rsidP="17FE0BE1">
            <w:r>
              <w:t xml:space="preserve">Atbilstoši pieņemtajiem grozījumiem likuma “Par nodokļiem un nodevām” 112.panta pirmajā daļā, vienotā elektroniskās darba laika uzskaites datubāze ir Būvniecības informācijas sistēmas sastāvdaļa, līdz ar to nepieciešami attiecīgie grozījumi Ministru kabineta 2015.gada </w:t>
            </w:r>
            <w:proofErr w:type="gramStart"/>
            <w:r>
              <w:t>28.jūlija</w:t>
            </w:r>
            <w:proofErr w:type="gramEnd"/>
            <w:r>
              <w:t xml:space="preserve"> noteikumos Nr. 438 “Būvniecības informācijas sistēmas noteikumi”.</w:t>
            </w:r>
          </w:p>
        </w:tc>
        <w:tc>
          <w:tcPr>
            <w:tcW w:w="2846" w:type="dxa"/>
          </w:tcPr>
          <w:p w14:paraId="568C4ED1" w14:textId="04E7C9D3" w:rsidR="17FE0BE1" w:rsidRDefault="17FE0BE1" w:rsidP="17FE0BE1">
            <w:r>
              <w:lastRenderedPageBreak/>
              <w:t>Notiek darbs pie noteikumu projektu sagatavošanas. Abi projekti tiks virzīti vienā pakā.</w:t>
            </w:r>
          </w:p>
          <w:p w14:paraId="40FB022F" w14:textId="305E1735" w:rsidR="17FE0BE1" w:rsidRDefault="17FE0BE1" w:rsidP="17FE0BE1"/>
        </w:tc>
      </w:tr>
    </w:tbl>
    <w:p w14:paraId="036B794D" w14:textId="57D28E6F" w:rsidR="74DEFD04" w:rsidRDefault="74DEFD04" w:rsidP="74DEFD04">
      <w:pPr>
        <w:jc w:val="right"/>
      </w:pPr>
      <w:bookmarkStart w:id="0" w:name="_GoBack"/>
      <w:bookmarkEnd w:id="0"/>
      <w:r w:rsidRPr="74DEFD04">
        <w:rPr>
          <w:rFonts w:ascii="Times New Roman" w:eastAsia="Times New Roman" w:hAnsi="Times New Roman" w:cs="Times New Roman"/>
          <w:sz w:val="18"/>
          <w:szCs w:val="18"/>
        </w:rPr>
        <w:t xml:space="preserve"> </w:t>
      </w:r>
    </w:p>
    <w:p w14:paraId="1B5177EA" w14:textId="7E5BFB99" w:rsidR="74DEFD04" w:rsidRDefault="74DEFD04" w:rsidP="74DEFD04">
      <w:pPr>
        <w:jc w:val="right"/>
      </w:pPr>
      <w:r w:rsidRPr="74DEFD04">
        <w:rPr>
          <w:rFonts w:ascii="Times New Roman" w:eastAsia="Times New Roman" w:hAnsi="Times New Roman" w:cs="Times New Roman"/>
          <w:sz w:val="18"/>
          <w:szCs w:val="18"/>
        </w:rPr>
        <w:t xml:space="preserve"> </w:t>
      </w:r>
    </w:p>
    <w:p w14:paraId="23283D05" w14:textId="07412A1E" w:rsidR="74DEFD04" w:rsidRDefault="74DEFD04" w:rsidP="74DEFD04">
      <w:pPr>
        <w:jc w:val="right"/>
      </w:pPr>
      <w:r w:rsidRPr="74DEFD04">
        <w:rPr>
          <w:rFonts w:ascii="Times New Roman" w:eastAsia="Times New Roman" w:hAnsi="Times New Roman" w:cs="Times New Roman"/>
          <w:sz w:val="18"/>
          <w:szCs w:val="18"/>
        </w:rPr>
        <w:t xml:space="preserve"> </w:t>
      </w:r>
    </w:p>
    <w:p w14:paraId="7E4FBE74" w14:textId="5B38A7DA" w:rsidR="74DEFD04" w:rsidRDefault="74DEFD04" w:rsidP="74DEFD04">
      <w:pPr>
        <w:jc w:val="right"/>
      </w:pPr>
      <w:r w:rsidRPr="74DEFD04">
        <w:rPr>
          <w:rFonts w:ascii="Times New Roman" w:eastAsia="Times New Roman" w:hAnsi="Times New Roman" w:cs="Times New Roman"/>
          <w:sz w:val="18"/>
          <w:szCs w:val="18"/>
        </w:rPr>
        <w:t xml:space="preserve"> </w:t>
      </w:r>
    </w:p>
    <w:sectPr w:rsidR="74DEFD04">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3476" w14:textId="77777777" w:rsidR="00D7447D" w:rsidRDefault="00D7447D" w:rsidP="00D7447D">
      <w:pPr>
        <w:spacing w:after="0" w:line="240" w:lineRule="auto"/>
      </w:pPr>
      <w:r>
        <w:separator/>
      </w:r>
    </w:p>
  </w:endnote>
  <w:endnote w:type="continuationSeparator" w:id="0">
    <w:p w14:paraId="57071383" w14:textId="77777777" w:rsidR="00D7447D" w:rsidRDefault="00D7447D" w:rsidP="00D7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87A80" w14:textId="77777777" w:rsidR="00D7447D" w:rsidRDefault="00D7447D" w:rsidP="00D7447D">
      <w:pPr>
        <w:spacing w:after="0" w:line="240" w:lineRule="auto"/>
      </w:pPr>
      <w:r>
        <w:separator/>
      </w:r>
    </w:p>
  </w:footnote>
  <w:footnote w:type="continuationSeparator" w:id="0">
    <w:p w14:paraId="0E73EA53" w14:textId="77777777" w:rsidR="00D7447D" w:rsidRDefault="00D7447D" w:rsidP="00D7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713808"/>
      <w:docPartObj>
        <w:docPartGallery w:val="Page Numbers (Top of Page)"/>
        <w:docPartUnique/>
      </w:docPartObj>
    </w:sdtPr>
    <w:sdtEndPr>
      <w:rPr>
        <w:noProof/>
      </w:rPr>
    </w:sdtEndPr>
    <w:sdtContent>
      <w:p w14:paraId="46F2A4CE" w14:textId="77777777" w:rsidR="00D7447D" w:rsidRDefault="00D7447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27BFFA" w14:textId="7B3669E3" w:rsidR="00D7447D" w:rsidRDefault="00D7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023B"/>
    <w:multiLevelType w:val="hybridMultilevel"/>
    <w:tmpl w:val="6C86DFD0"/>
    <w:lvl w:ilvl="0" w:tplc="C9D44BA0">
      <w:start w:val="1"/>
      <w:numFmt w:val="decimal"/>
      <w:lvlText w:val="%1."/>
      <w:lvlJc w:val="left"/>
      <w:pPr>
        <w:ind w:left="720" w:hanging="360"/>
      </w:pPr>
    </w:lvl>
    <w:lvl w:ilvl="1" w:tplc="CF34A3EA">
      <w:start w:val="1"/>
      <w:numFmt w:val="lowerLetter"/>
      <w:lvlText w:val="%2."/>
      <w:lvlJc w:val="left"/>
      <w:pPr>
        <w:ind w:left="1440" w:hanging="360"/>
      </w:pPr>
    </w:lvl>
    <w:lvl w:ilvl="2" w:tplc="FA3209A4">
      <w:start w:val="1"/>
      <w:numFmt w:val="lowerRoman"/>
      <w:lvlText w:val="%3."/>
      <w:lvlJc w:val="right"/>
      <w:pPr>
        <w:ind w:left="2160" w:hanging="180"/>
      </w:pPr>
    </w:lvl>
    <w:lvl w:ilvl="3" w:tplc="4BF6AA7C">
      <w:start w:val="1"/>
      <w:numFmt w:val="decimal"/>
      <w:lvlText w:val="%4."/>
      <w:lvlJc w:val="left"/>
      <w:pPr>
        <w:ind w:left="2880" w:hanging="360"/>
      </w:pPr>
    </w:lvl>
    <w:lvl w:ilvl="4" w:tplc="C0FAA71E">
      <w:start w:val="1"/>
      <w:numFmt w:val="lowerLetter"/>
      <w:lvlText w:val="%5."/>
      <w:lvlJc w:val="left"/>
      <w:pPr>
        <w:ind w:left="3600" w:hanging="360"/>
      </w:pPr>
    </w:lvl>
    <w:lvl w:ilvl="5" w:tplc="D6F62798">
      <w:start w:val="1"/>
      <w:numFmt w:val="lowerRoman"/>
      <w:lvlText w:val="%6."/>
      <w:lvlJc w:val="right"/>
      <w:pPr>
        <w:ind w:left="4320" w:hanging="180"/>
      </w:pPr>
    </w:lvl>
    <w:lvl w:ilvl="6" w:tplc="374250DE">
      <w:start w:val="1"/>
      <w:numFmt w:val="decimal"/>
      <w:lvlText w:val="%7."/>
      <w:lvlJc w:val="left"/>
      <w:pPr>
        <w:ind w:left="5040" w:hanging="360"/>
      </w:pPr>
    </w:lvl>
    <w:lvl w:ilvl="7" w:tplc="E41A4A80">
      <w:start w:val="1"/>
      <w:numFmt w:val="lowerLetter"/>
      <w:lvlText w:val="%8."/>
      <w:lvlJc w:val="left"/>
      <w:pPr>
        <w:ind w:left="5760" w:hanging="360"/>
      </w:pPr>
    </w:lvl>
    <w:lvl w:ilvl="8" w:tplc="9BA0CED4">
      <w:start w:val="1"/>
      <w:numFmt w:val="lowerRoman"/>
      <w:lvlText w:val="%9."/>
      <w:lvlJc w:val="right"/>
      <w:pPr>
        <w:ind w:left="6480" w:hanging="180"/>
      </w:pPr>
    </w:lvl>
  </w:abstractNum>
  <w:abstractNum w:abstractNumId="1" w15:restartNumberingAfterBreak="0">
    <w:nsid w:val="072A7D32"/>
    <w:multiLevelType w:val="hybridMultilevel"/>
    <w:tmpl w:val="78EC8EAE"/>
    <w:lvl w:ilvl="0" w:tplc="3B4635D0">
      <w:start w:val="1"/>
      <w:numFmt w:val="decimal"/>
      <w:lvlText w:val="%1."/>
      <w:lvlJc w:val="left"/>
      <w:pPr>
        <w:ind w:left="720" w:hanging="360"/>
      </w:pPr>
    </w:lvl>
    <w:lvl w:ilvl="1" w:tplc="F80EE87C">
      <w:start w:val="1"/>
      <w:numFmt w:val="lowerLetter"/>
      <w:lvlText w:val="%2."/>
      <w:lvlJc w:val="left"/>
      <w:pPr>
        <w:ind w:left="1440" w:hanging="360"/>
      </w:pPr>
    </w:lvl>
    <w:lvl w:ilvl="2" w:tplc="5C0E1B20">
      <w:start w:val="1"/>
      <w:numFmt w:val="lowerRoman"/>
      <w:lvlText w:val="%3."/>
      <w:lvlJc w:val="right"/>
      <w:pPr>
        <w:ind w:left="2160" w:hanging="180"/>
      </w:pPr>
    </w:lvl>
    <w:lvl w:ilvl="3" w:tplc="F4864206">
      <w:start w:val="1"/>
      <w:numFmt w:val="decimal"/>
      <w:lvlText w:val="%4."/>
      <w:lvlJc w:val="left"/>
      <w:pPr>
        <w:ind w:left="2880" w:hanging="360"/>
      </w:pPr>
    </w:lvl>
    <w:lvl w:ilvl="4" w:tplc="317E2004">
      <w:start w:val="1"/>
      <w:numFmt w:val="lowerLetter"/>
      <w:lvlText w:val="%5."/>
      <w:lvlJc w:val="left"/>
      <w:pPr>
        <w:ind w:left="3600" w:hanging="360"/>
      </w:pPr>
    </w:lvl>
    <w:lvl w:ilvl="5" w:tplc="8D86F914">
      <w:start w:val="1"/>
      <w:numFmt w:val="lowerRoman"/>
      <w:lvlText w:val="%6."/>
      <w:lvlJc w:val="right"/>
      <w:pPr>
        <w:ind w:left="4320" w:hanging="180"/>
      </w:pPr>
    </w:lvl>
    <w:lvl w:ilvl="6" w:tplc="21BEF5AC">
      <w:start w:val="1"/>
      <w:numFmt w:val="decimal"/>
      <w:lvlText w:val="%7."/>
      <w:lvlJc w:val="left"/>
      <w:pPr>
        <w:ind w:left="5040" w:hanging="360"/>
      </w:pPr>
    </w:lvl>
    <w:lvl w:ilvl="7" w:tplc="4A506AD8">
      <w:start w:val="1"/>
      <w:numFmt w:val="lowerLetter"/>
      <w:lvlText w:val="%8."/>
      <w:lvlJc w:val="left"/>
      <w:pPr>
        <w:ind w:left="5760" w:hanging="360"/>
      </w:pPr>
    </w:lvl>
    <w:lvl w:ilvl="8" w:tplc="67EA1540">
      <w:start w:val="1"/>
      <w:numFmt w:val="lowerRoman"/>
      <w:lvlText w:val="%9."/>
      <w:lvlJc w:val="right"/>
      <w:pPr>
        <w:ind w:left="6480" w:hanging="180"/>
      </w:pPr>
    </w:lvl>
  </w:abstractNum>
  <w:abstractNum w:abstractNumId="2" w15:restartNumberingAfterBreak="0">
    <w:nsid w:val="101B0045"/>
    <w:multiLevelType w:val="hybridMultilevel"/>
    <w:tmpl w:val="24B0F5FE"/>
    <w:lvl w:ilvl="0" w:tplc="D2D48A92">
      <w:start w:val="1"/>
      <w:numFmt w:val="decimal"/>
      <w:lvlText w:val="%1."/>
      <w:lvlJc w:val="left"/>
      <w:pPr>
        <w:ind w:left="720" w:hanging="360"/>
      </w:pPr>
    </w:lvl>
    <w:lvl w:ilvl="1" w:tplc="A7A85D06">
      <w:start w:val="1"/>
      <w:numFmt w:val="lowerLetter"/>
      <w:lvlText w:val="%2."/>
      <w:lvlJc w:val="left"/>
      <w:pPr>
        <w:ind w:left="1440" w:hanging="360"/>
      </w:pPr>
    </w:lvl>
    <w:lvl w:ilvl="2" w:tplc="0E343132">
      <w:start w:val="1"/>
      <w:numFmt w:val="lowerRoman"/>
      <w:lvlText w:val="%3."/>
      <w:lvlJc w:val="right"/>
      <w:pPr>
        <w:ind w:left="2160" w:hanging="180"/>
      </w:pPr>
    </w:lvl>
    <w:lvl w:ilvl="3" w:tplc="B1F8FC20">
      <w:start w:val="1"/>
      <w:numFmt w:val="decimal"/>
      <w:lvlText w:val="%4."/>
      <w:lvlJc w:val="left"/>
      <w:pPr>
        <w:ind w:left="2880" w:hanging="360"/>
      </w:pPr>
    </w:lvl>
    <w:lvl w:ilvl="4" w:tplc="E2AEC0FC">
      <w:start w:val="1"/>
      <w:numFmt w:val="lowerLetter"/>
      <w:lvlText w:val="%5."/>
      <w:lvlJc w:val="left"/>
      <w:pPr>
        <w:ind w:left="3600" w:hanging="360"/>
      </w:pPr>
    </w:lvl>
    <w:lvl w:ilvl="5" w:tplc="FF447260">
      <w:start w:val="1"/>
      <w:numFmt w:val="lowerRoman"/>
      <w:lvlText w:val="%6."/>
      <w:lvlJc w:val="right"/>
      <w:pPr>
        <w:ind w:left="4320" w:hanging="180"/>
      </w:pPr>
    </w:lvl>
    <w:lvl w:ilvl="6" w:tplc="6F9E777C">
      <w:start w:val="1"/>
      <w:numFmt w:val="decimal"/>
      <w:lvlText w:val="%7."/>
      <w:lvlJc w:val="left"/>
      <w:pPr>
        <w:ind w:left="5040" w:hanging="360"/>
      </w:pPr>
    </w:lvl>
    <w:lvl w:ilvl="7" w:tplc="762856D6">
      <w:start w:val="1"/>
      <w:numFmt w:val="lowerLetter"/>
      <w:lvlText w:val="%8."/>
      <w:lvlJc w:val="left"/>
      <w:pPr>
        <w:ind w:left="5760" w:hanging="360"/>
      </w:pPr>
    </w:lvl>
    <w:lvl w:ilvl="8" w:tplc="E47CE5B2">
      <w:start w:val="1"/>
      <w:numFmt w:val="lowerRoman"/>
      <w:lvlText w:val="%9."/>
      <w:lvlJc w:val="right"/>
      <w:pPr>
        <w:ind w:left="6480" w:hanging="180"/>
      </w:pPr>
    </w:lvl>
  </w:abstractNum>
  <w:abstractNum w:abstractNumId="3" w15:restartNumberingAfterBreak="0">
    <w:nsid w:val="1398570B"/>
    <w:multiLevelType w:val="hybridMultilevel"/>
    <w:tmpl w:val="1422E39A"/>
    <w:lvl w:ilvl="0" w:tplc="2794B69A">
      <w:start w:val="1"/>
      <w:numFmt w:val="decimal"/>
      <w:lvlText w:val="%1."/>
      <w:lvlJc w:val="left"/>
      <w:pPr>
        <w:ind w:left="720" w:hanging="360"/>
      </w:pPr>
    </w:lvl>
    <w:lvl w:ilvl="1" w:tplc="B546D19C">
      <w:start w:val="1"/>
      <w:numFmt w:val="lowerLetter"/>
      <w:lvlText w:val="%2."/>
      <w:lvlJc w:val="left"/>
      <w:pPr>
        <w:ind w:left="1440" w:hanging="360"/>
      </w:pPr>
    </w:lvl>
    <w:lvl w:ilvl="2" w:tplc="F17EFC0C">
      <w:start w:val="1"/>
      <w:numFmt w:val="lowerRoman"/>
      <w:lvlText w:val="%3."/>
      <w:lvlJc w:val="right"/>
      <w:pPr>
        <w:ind w:left="2160" w:hanging="180"/>
      </w:pPr>
    </w:lvl>
    <w:lvl w:ilvl="3" w:tplc="201C4FB0">
      <w:start w:val="1"/>
      <w:numFmt w:val="decimal"/>
      <w:lvlText w:val="%4."/>
      <w:lvlJc w:val="left"/>
      <w:pPr>
        <w:ind w:left="2880" w:hanging="360"/>
      </w:pPr>
    </w:lvl>
    <w:lvl w:ilvl="4" w:tplc="97BEC520">
      <w:start w:val="1"/>
      <w:numFmt w:val="lowerLetter"/>
      <w:lvlText w:val="%5."/>
      <w:lvlJc w:val="left"/>
      <w:pPr>
        <w:ind w:left="3600" w:hanging="360"/>
      </w:pPr>
    </w:lvl>
    <w:lvl w:ilvl="5" w:tplc="048E0B6E">
      <w:start w:val="1"/>
      <w:numFmt w:val="lowerRoman"/>
      <w:lvlText w:val="%6."/>
      <w:lvlJc w:val="right"/>
      <w:pPr>
        <w:ind w:left="4320" w:hanging="180"/>
      </w:pPr>
    </w:lvl>
    <w:lvl w:ilvl="6" w:tplc="F6A25902">
      <w:start w:val="1"/>
      <w:numFmt w:val="decimal"/>
      <w:lvlText w:val="%7."/>
      <w:lvlJc w:val="left"/>
      <w:pPr>
        <w:ind w:left="5040" w:hanging="360"/>
      </w:pPr>
    </w:lvl>
    <w:lvl w:ilvl="7" w:tplc="3802F05E">
      <w:start w:val="1"/>
      <w:numFmt w:val="lowerLetter"/>
      <w:lvlText w:val="%8."/>
      <w:lvlJc w:val="left"/>
      <w:pPr>
        <w:ind w:left="5760" w:hanging="360"/>
      </w:pPr>
    </w:lvl>
    <w:lvl w:ilvl="8" w:tplc="0E009060">
      <w:start w:val="1"/>
      <w:numFmt w:val="lowerRoman"/>
      <w:lvlText w:val="%9."/>
      <w:lvlJc w:val="right"/>
      <w:pPr>
        <w:ind w:left="6480" w:hanging="180"/>
      </w:pPr>
    </w:lvl>
  </w:abstractNum>
  <w:abstractNum w:abstractNumId="4" w15:restartNumberingAfterBreak="0">
    <w:nsid w:val="1B011BFF"/>
    <w:multiLevelType w:val="hybridMultilevel"/>
    <w:tmpl w:val="81AC49FE"/>
    <w:lvl w:ilvl="0" w:tplc="230A9E3A">
      <w:start w:val="1"/>
      <w:numFmt w:val="decimal"/>
      <w:lvlText w:val="%1."/>
      <w:lvlJc w:val="left"/>
      <w:pPr>
        <w:ind w:left="720" w:hanging="360"/>
      </w:pPr>
    </w:lvl>
    <w:lvl w:ilvl="1" w:tplc="8ED643E6">
      <w:start w:val="1"/>
      <w:numFmt w:val="lowerLetter"/>
      <w:lvlText w:val="%2."/>
      <w:lvlJc w:val="left"/>
      <w:pPr>
        <w:ind w:left="1440" w:hanging="360"/>
      </w:pPr>
    </w:lvl>
    <w:lvl w:ilvl="2" w:tplc="440E33E4">
      <w:start w:val="1"/>
      <w:numFmt w:val="lowerRoman"/>
      <w:lvlText w:val="%3."/>
      <w:lvlJc w:val="right"/>
      <w:pPr>
        <w:ind w:left="2160" w:hanging="180"/>
      </w:pPr>
    </w:lvl>
    <w:lvl w:ilvl="3" w:tplc="001EBBD2">
      <w:start w:val="1"/>
      <w:numFmt w:val="decimal"/>
      <w:lvlText w:val="%4."/>
      <w:lvlJc w:val="left"/>
      <w:pPr>
        <w:ind w:left="2880" w:hanging="360"/>
      </w:pPr>
    </w:lvl>
    <w:lvl w:ilvl="4" w:tplc="D910C56A">
      <w:start w:val="1"/>
      <w:numFmt w:val="lowerLetter"/>
      <w:lvlText w:val="%5."/>
      <w:lvlJc w:val="left"/>
      <w:pPr>
        <w:ind w:left="3600" w:hanging="360"/>
      </w:pPr>
    </w:lvl>
    <w:lvl w:ilvl="5" w:tplc="122C800A">
      <w:start w:val="1"/>
      <w:numFmt w:val="lowerRoman"/>
      <w:lvlText w:val="%6."/>
      <w:lvlJc w:val="right"/>
      <w:pPr>
        <w:ind w:left="4320" w:hanging="180"/>
      </w:pPr>
    </w:lvl>
    <w:lvl w:ilvl="6" w:tplc="A83EF5B2">
      <w:start w:val="1"/>
      <w:numFmt w:val="decimal"/>
      <w:lvlText w:val="%7."/>
      <w:lvlJc w:val="left"/>
      <w:pPr>
        <w:ind w:left="5040" w:hanging="360"/>
      </w:pPr>
    </w:lvl>
    <w:lvl w:ilvl="7" w:tplc="56849EB2">
      <w:start w:val="1"/>
      <w:numFmt w:val="lowerLetter"/>
      <w:lvlText w:val="%8."/>
      <w:lvlJc w:val="left"/>
      <w:pPr>
        <w:ind w:left="5760" w:hanging="360"/>
      </w:pPr>
    </w:lvl>
    <w:lvl w:ilvl="8" w:tplc="938E3270">
      <w:start w:val="1"/>
      <w:numFmt w:val="lowerRoman"/>
      <w:lvlText w:val="%9."/>
      <w:lvlJc w:val="right"/>
      <w:pPr>
        <w:ind w:left="6480" w:hanging="180"/>
      </w:pPr>
    </w:lvl>
  </w:abstractNum>
  <w:abstractNum w:abstractNumId="5" w15:restartNumberingAfterBreak="0">
    <w:nsid w:val="1CBA5292"/>
    <w:multiLevelType w:val="hybridMultilevel"/>
    <w:tmpl w:val="DD440EF8"/>
    <w:lvl w:ilvl="0" w:tplc="7F242C78">
      <w:start w:val="1"/>
      <w:numFmt w:val="decimal"/>
      <w:lvlText w:val="%1."/>
      <w:lvlJc w:val="left"/>
      <w:pPr>
        <w:ind w:left="720" w:hanging="360"/>
      </w:pPr>
    </w:lvl>
    <w:lvl w:ilvl="1" w:tplc="49DC1142">
      <w:start w:val="1"/>
      <w:numFmt w:val="lowerLetter"/>
      <w:lvlText w:val="%2."/>
      <w:lvlJc w:val="left"/>
      <w:pPr>
        <w:ind w:left="1440" w:hanging="360"/>
      </w:pPr>
    </w:lvl>
    <w:lvl w:ilvl="2" w:tplc="6FBA9812">
      <w:start w:val="1"/>
      <w:numFmt w:val="lowerRoman"/>
      <w:lvlText w:val="%3."/>
      <w:lvlJc w:val="right"/>
      <w:pPr>
        <w:ind w:left="2160" w:hanging="180"/>
      </w:pPr>
    </w:lvl>
    <w:lvl w:ilvl="3" w:tplc="7C286C04">
      <w:start w:val="1"/>
      <w:numFmt w:val="decimal"/>
      <w:lvlText w:val="%4."/>
      <w:lvlJc w:val="left"/>
      <w:pPr>
        <w:ind w:left="2880" w:hanging="360"/>
      </w:pPr>
    </w:lvl>
    <w:lvl w:ilvl="4" w:tplc="5E3C8DC0">
      <w:start w:val="1"/>
      <w:numFmt w:val="lowerLetter"/>
      <w:lvlText w:val="%5."/>
      <w:lvlJc w:val="left"/>
      <w:pPr>
        <w:ind w:left="3600" w:hanging="360"/>
      </w:pPr>
    </w:lvl>
    <w:lvl w:ilvl="5" w:tplc="6D76CD3E">
      <w:start w:val="1"/>
      <w:numFmt w:val="lowerRoman"/>
      <w:lvlText w:val="%6."/>
      <w:lvlJc w:val="right"/>
      <w:pPr>
        <w:ind w:left="4320" w:hanging="180"/>
      </w:pPr>
    </w:lvl>
    <w:lvl w:ilvl="6" w:tplc="6E08BAA8">
      <w:start w:val="1"/>
      <w:numFmt w:val="decimal"/>
      <w:lvlText w:val="%7."/>
      <w:lvlJc w:val="left"/>
      <w:pPr>
        <w:ind w:left="5040" w:hanging="360"/>
      </w:pPr>
    </w:lvl>
    <w:lvl w:ilvl="7" w:tplc="52CCB702">
      <w:start w:val="1"/>
      <w:numFmt w:val="lowerLetter"/>
      <w:lvlText w:val="%8."/>
      <w:lvlJc w:val="left"/>
      <w:pPr>
        <w:ind w:left="5760" w:hanging="360"/>
      </w:pPr>
    </w:lvl>
    <w:lvl w:ilvl="8" w:tplc="76D2CBEA">
      <w:start w:val="1"/>
      <w:numFmt w:val="lowerRoman"/>
      <w:lvlText w:val="%9."/>
      <w:lvlJc w:val="right"/>
      <w:pPr>
        <w:ind w:left="6480" w:hanging="180"/>
      </w:pPr>
    </w:lvl>
  </w:abstractNum>
  <w:abstractNum w:abstractNumId="6" w15:restartNumberingAfterBreak="0">
    <w:nsid w:val="20EE07A9"/>
    <w:multiLevelType w:val="hybridMultilevel"/>
    <w:tmpl w:val="3078F446"/>
    <w:lvl w:ilvl="0" w:tplc="D12056D4">
      <w:start w:val="1"/>
      <w:numFmt w:val="decimal"/>
      <w:lvlText w:val="%1."/>
      <w:lvlJc w:val="left"/>
      <w:pPr>
        <w:ind w:left="720" w:hanging="360"/>
      </w:pPr>
    </w:lvl>
    <w:lvl w:ilvl="1" w:tplc="7306506A">
      <w:start w:val="1"/>
      <w:numFmt w:val="lowerLetter"/>
      <w:lvlText w:val="%2."/>
      <w:lvlJc w:val="left"/>
      <w:pPr>
        <w:ind w:left="1440" w:hanging="360"/>
      </w:pPr>
    </w:lvl>
    <w:lvl w:ilvl="2" w:tplc="5EBCBF60">
      <w:start w:val="1"/>
      <w:numFmt w:val="lowerRoman"/>
      <w:lvlText w:val="%3."/>
      <w:lvlJc w:val="right"/>
      <w:pPr>
        <w:ind w:left="2160" w:hanging="180"/>
      </w:pPr>
    </w:lvl>
    <w:lvl w:ilvl="3" w:tplc="4CF48632">
      <w:start w:val="1"/>
      <w:numFmt w:val="decimal"/>
      <w:lvlText w:val="%4."/>
      <w:lvlJc w:val="left"/>
      <w:pPr>
        <w:ind w:left="2880" w:hanging="360"/>
      </w:pPr>
    </w:lvl>
    <w:lvl w:ilvl="4" w:tplc="AEE2C2D6">
      <w:start w:val="1"/>
      <w:numFmt w:val="lowerLetter"/>
      <w:lvlText w:val="%5."/>
      <w:lvlJc w:val="left"/>
      <w:pPr>
        <w:ind w:left="3600" w:hanging="360"/>
      </w:pPr>
    </w:lvl>
    <w:lvl w:ilvl="5" w:tplc="09CE9F00">
      <w:start w:val="1"/>
      <w:numFmt w:val="lowerRoman"/>
      <w:lvlText w:val="%6."/>
      <w:lvlJc w:val="right"/>
      <w:pPr>
        <w:ind w:left="4320" w:hanging="180"/>
      </w:pPr>
    </w:lvl>
    <w:lvl w:ilvl="6" w:tplc="6F58FE70">
      <w:start w:val="1"/>
      <w:numFmt w:val="decimal"/>
      <w:lvlText w:val="%7."/>
      <w:lvlJc w:val="left"/>
      <w:pPr>
        <w:ind w:left="5040" w:hanging="360"/>
      </w:pPr>
    </w:lvl>
    <w:lvl w:ilvl="7" w:tplc="B6F4529C">
      <w:start w:val="1"/>
      <w:numFmt w:val="lowerLetter"/>
      <w:lvlText w:val="%8."/>
      <w:lvlJc w:val="left"/>
      <w:pPr>
        <w:ind w:left="5760" w:hanging="360"/>
      </w:pPr>
    </w:lvl>
    <w:lvl w:ilvl="8" w:tplc="C44A038E">
      <w:start w:val="1"/>
      <w:numFmt w:val="lowerRoman"/>
      <w:lvlText w:val="%9."/>
      <w:lvlJc w:val="right"/>
      <w:pPr>
        <w:ind w:left="6480" w:hanging="180"/>
      </w:pPr>
    </w:lvl>
  </w:abstractNum>
  <w:abstractNum w:abstractNumId="7" w15:restartNumberingAfterBreak="0">
    <w:nsid w:val="219B02A5"/>
    <w:multiLevelType w:val="hybridMultilevel"/>
    <w:tmpl w:val="398C4324"/>
    <w:lvl w:ilvl="0" w:tplc="450C57EC">
      <w:start w:val="1"/>
      <w:numFmt w:val="decimal"/>
      <w:lvlText w:val="%1."/>
      <w:lvlJc w:val="left"/>
      <w:pPr>
        <w:ind w:left="720" w:hanging="360"/>
      </w:pPr>
    </w:lvl>
    <w:lvl w:ilvl="1" w:tplc="63CE2A92">
      <w:start w:val="1"/>
      <w:numFmt w:val="lowerLetter"/>
      <w:lvlText w:val="%2."/>
      <w:lvlJc w:val="left"/>
      <w:pPr>
        <w:ind w:left="1440" w:hanging="360"/>
      </w:pPr>
    </w:lvl>
    <w:lvl w:ilvl="2" w:tplc="8CF41192">
      <w:start w:val="1"/>
      <w:numFmt w:val="lowerRoman"/>
      <w:lvlText w:val="%3."/>
      <w:lvlJc w:val="right"/>
      <w:pPr>
        <w:ind w:left="2160" w:hanging="180"/>
      </w:pPr>
    </w:lvl>
    <w:lvl w:ilvl="3" w:tplc="496AE29E">
      <w:start w:val="1"/>
      <w:numFmt w:val="decimal"/>
      <w:lvlText w:val="%4."/>
      <w:lvlJc w:val="left"/>
      <w:pPr>
        <w:ind w:left="2880" w:hanging="360"/>
      </w:pPr>
    </w:lvl>
    <w:lvl w:ilvl="4" w:tplc="719C0FE2">
      <w:start w:val="1"/>
      <w:numFmt w:val="lowerLetter"/>
      <w:lvlText w:val="%5."/>
      <w:lvlJc w:val="left"/>
      <w:pPr>
        <w:ind w:left="3600" w:hanging="360"/>
      </w:pPr>
    </w:lvl>
    <w:lvl w:ilvl="5" w:tplc="BC0A4306">
      <w:start w:val="1"/>
      <w:numFmt w:val="lowerRoman"/>
      <w:lvlText w:val="%6."/>
      <w:lvlJc w:val="right"/>
      <w:pPr>
        <w:ind w:left="4320" w:hanging="180"/>
      </w:pPr>
    </w:lvl>
    <w:lvl w:ilvl="6" w:tplc="A24A6CFC">
      <w:start w:val="1"/>
      <w:numFmt w:val="decimal"/>
      <w:lvlText w:val="%7."/>
      <w:lvlJc w:val="left"/>
      <w:pPr>
        <w:ind w:left="5040" w:hanging="360"/>
      </w:pPr>
    </w:lvl>
    <w:lvl w:ilvl="7" w:tplc="76CE17B0">
      <w:start w:val="1"/>
      <w:numFmt w:val="lowerLetter"/>
      <w:lvlText w:val="%8."/>
      <w:lvlJc w:val="left"/>
      <w:pPr>
        <w:ind w:left="5760" w:hanging="360"/>
      </w:pPr>
    </w:lvl>
    <w:lvl w:ilvl="8" w:tplc="3306F38E">
      <w:start w:val="1"/>
      <w:numFmt w:val="lowerRoman"/>
      <w:lvlText w:val="%9."/>
      <w:lvlJc w:val="right"/>
      <w:pPr>
        <w:ind w:left="6480" w:hanging="180"/>
      </w:pPr>
    </w:lvl>
  </w:abstractNum>
  <w:abstractNum w:abstractNumId="8" w15:restartNumberingAfterBreak="0">
    <w:nsid w:val="229D1D6F"/>
    <w:multiLevelType w:val="hybridMultilevel"/>
    <w:tmpl w:val="C16A8A76"/>
    <w:lvl w:ilvl="0" w:tplc="4B989ED0">
      <w:start w:val="1"/>
      <w:numFmt w:val="decimal"/>
      <w:lvlText w:val="%1."/>
      <w:lvlJc w:val="left"/>
      <w:pPr>
        <w:ind w:left="720" w:hanging="360"/>
      </w:pPr>
    </w:lvl>
    <w:lvl w:ilvl="1" w:tplc="1E4CCF92">
      <w:start w:val="1"/>
      <w:numFmt w:val="lowerLetter"/>
      <w:lvlText w:val="%2."/>
      <w:lvlJc w:val="left"/>
      <w:pPr>
        <w:ind w:left="1440" w:hanging="360"/>
      </w:pPr>
    </w:lvl>
    <w:lvl w:ilvl="2" w:tplc="8D986DA8">
      <w:start w:val="1"/>
      <w:numFmt w:val="lowerRoman"/>
      <w:lvlText w:val="%3."/>
      <w:lvlJc w:val="right"/>
      <w:pPr>
        <w:ind w:left="2160" w:hanging="180"/>
      </w:pPr>
    </w:lvl>
    <w:lvl w:ilvl="3" w:tplc="2272F43A">
      <w:start w:val="1"/>
      <w:numFmt w:val="decimal"/>
      <w:lvlText w:val="%4."/>
      <w:lvlJc w:val="left"/>
      <w:pPr>
        <w:ind w:left="2880" w:hanging="360"/>
      </w:pPr>
    </w:lvl>
    <w:lvl w:ilvl="4" w:tplc="0C86D0FC">
      <w:start w:val="1"/>
      <w:numFmt w:val="lowerLetter"/>
      <w:lvlText w:val="%5."/>
      <w:lvlJc w:val="left"/>
      <w:pPr>
        <w:ind w:left="3600" w:hanging="360"/>
      </w:pPr>
    </w:lvl>
    <w:lvl w:ilvl="5" w:tplc="E84EAD88">
      <w:start w:val="1"/>
      <w:numFmt w:val="lowerRoman"/>
      <w:lvlText w:val="%6."/>
      <w:lvlJc w:val="right"/>
      <w:pPr>
        <w:ind w:left="4320" w:hanging="180"/>
      </w:pPr>
    </w:lvl>
    <w:lvl w:ilvl="6" w:tplc="CE0EACBC">
      <w:start w:val="1"/>
      <w:numFmt w:val="decimal"/>
      <w:lvlText w:val="%7."/>
      <w:lvlJc w:val="left"/>
      <w:pPr>
        <w:ind w:left="5040" w:hanging="360"/>
      </w:pPr>
    </w:lvl>
    <w:lvl w:ilvl="7" w:tplc="179CFFBC">
      <w:start w:val="1"/>
      <w:numFmt w:val="lowerLetter"/>
      <w:lvlText w:val="%8."/>
      <w:lvlJc w:val="left"/>
      <w:pPr>
        <w:ind w:left="5760" w:hanging="360"/>
      </w:pPr>
    </w:lvl>
    <w:lvl w:ilvl="8" w:tplc="922C0F20">
      <w:start w:val="1"/>
      <w:numFmt w:val="lowerRoman"/>
      <w:lvlText w:val="%9."/>
      <w:lvlJc w:val="right"/>
      <w:pPr>
        <w:ind w:left="6480" w:hanging="180"/>
      </w:pPr>
    </w:lvl>
  </w:abstractNum>
  <w:abstractNum w:abstractNumId="9" w15:restartNumberingAfterBreak="0">
    <w:nsid w:val="29362E2B"/>
    <w:multiLevelType w:val="hybridMultilevel"/>
    <w:tmpl w:val="ED1A84C4"/>
    <w:lvl w:ilvl="0" w:tplc="D534DF7A">
      <w:start w:val="1"/>
      <w:numFmt w:val="decimal"/>
      <w:lvlText w:val="%1."/>
      <w:lvlJc w:val="left"/>
      <w:pPr>
        <w:ind w:left="720" w:hanging="360"/>
      </w:pPr>
    </w:lvl>
    <w:lvl w:ilvl="1" w:tplc="F424AFFA">
      <w:start w:val="1"/>
      <w:numFmt w:val="lowerLetter"/>
      <w:lvlText w:val="%2."/>
      <w:lvlJc w:val="left"/>
      <w:pPr>
        <w:ind w:left="1440" w:hanging="360"/>
      </w:pPr>
    </w:lvl>
    <w:lvl w:ilvl="2" w:tplc="9146A2B6">
      <w:start w:val="1"/>
      <w:numFmt w:val="lowerRoman"/>
      <w:lvlText w:val="%3."/>
      <w:lvlJc w:val="right"/>
      <w:pPr>
        <w:ind w:left="2160" w:hanging="180"/>
      </w:pPr>
    </w:lvl>
    <w:lvl w:ilvl="3" w:tplc="964202C8">
      <w:start w:val="1"/>
      <w:numFmt w:val="decimal"/>
      <w:lvlText w:val="%4."/>
      <w:lvlJc w:val="left"/>
      <w:pPr>
        <w:ind w:left="2880" w:hanging="360"/>
      </w:pPr>
    </w:lvl>
    <w:lvl w:ilvl="4" w:tplc="0D7E1EEE">
      <w:start w:val="1"/>
      <w:numFmt w:val="lowerLetter"/>
      <w:lvlText w:val="%5."/>
      <w:lvlJc w:val="left"/>
      <w:pPr>
        <w:ind w:left="3600" w:hanging="360"/>
      </w:pPr>
    </w:lvl>
    <w:lvl w:ilvl="5" w:tplc="D7F8EC1C">
      <w:start w:val="1"/>
      <w:numFmt w:val="lowerRoman"/>
      <w:lvlText w:val="%6."/>
      <w:lvlJc w:val="right"/>
      <w:pPr>
        <w:ind w:left="4320" w:hanging="180"/>
      </w:pPr>
    </w:lvl>
    <w:lvl w:ilvl="6" w:tplc="A05EDB60">
      <w:start w:val="1"/>
      <w:numFmt w:val="decimal"/>
      <w:lvlText w:val="%7."/>
      <w:lvlJc w:val="left"/>
      <w:pPr>
        <w:ind w:left="5040" w:hanging="360"/>
      </w:pPr>
    </w:lvl>
    <w:lvl w:ilvl="7" w:tplc="807A6344">
      <w:start w:val="1"/>
      <w:numFmt w:val="lowerLetter"/>
      <w:lvlText w:val="%8."/>
      <w:lvlJc w:val="left"/>
      <w:pPr>
        <w:ind w:left="5760" w:hanging="360"/>
      </w:pPr>
    </w:lvl>
    <w:lvl w:ilvl="8" w:tplc="B596E3F0">
      <w:start w:val="1"/>
      <w:numFmt w:val="lowerRoman"/>
      <w:lvlText w:val="%9."/>
      <w:lvlJc w:val="right"/>
      <w:pPr>
        <w:ind w:left="6480" w:hanging="180"/>
      </w:pPr>
    </w:lvl>
  </w:abstractNum>
  <w:abstractNum w:abstractNumId="10" w15:restartNumberingAfterBreak="0">
    <w:nsid w:val="2C796356"/>
    <w:multiLevelType w:val="multilevel"/>
    <w:tmpl w:val="5E44A9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0DE670C"/>
    <w:multiLevelType w:val="hybridMultilevel"/>
    <w:tmpl w:val="0B900EA8"/>
    <w:lvl w:ilvl="0" w:tplc="9EC8D95E">
      <w:start w:val="1"/>
      <w:numFmt w:val="decimal"/>
      <w:lvlText w:val="%1."/>
      <w:lvlJc w:val="left"/>
      <w:pPr>
        <w:ind w:left="720" w:hanging="360"/>
      </w:pPr>
    </w:lvl>
    <w:lvl w:ilvl="1" w:tplc="80FCD15A">
      <w:start w:val="1"/>
      <w:numFmt w:val="lowerLetter"/>
      <w:lvlText w:val="%2."/>
      <w:lvlJc w:val="left"/>
      <w:pPr>
        <w:ind w:left="1440" w:hanging="360"/>
      </w:pPr>
    </w:lvl>
    <w:lvl w:ilvl="2" w:tplc="29643D56">
      <w:start w:val="1"/>
      <w:numFmt w:val="lowerRoman"/>
      <w:lvlText w:val="%3."/>
      <w:lvlJc w:val="right"/>
      <w:pPr>
        <w:ind w:left="2160" w:hanging="180"/>
      </w:pPr>
    </w:lvl>
    <w:lvl w:ilvl="3" w:tplc="9AFE78C4">
      <w:start w:val="1"/>
      <w:numFmt w:val="decimal"/>
      <w:lvlText w:val="%4."/>
      <w:lvlJc w:val="left"/>
      <w:pPr>
        <w:ind w:left="2880" w:hanging="360"/>
      </w:pPr>
    </w:lvl>
    <w:lvl w:ilvl="4" w:tplc="60BCA650">
      <w:start w:val="1"/>
      <w:numFmt w:val="lowerLetter"/>
      <w:lvlText w:val="%5."/>
      <w:lvlJc w:val="left"/>
      <w:pPr>
        <w:ind w:left="3600" w:hanging="360"/>
      </w:pPr>
    </w:lvl>
    <w:lvl w:ilvl="5" w:tplc="E20EB076">
      <w:start w:val="1"/>
      <w:numFmt w:val="lowerRoman"/>
      <w:lvlText w:val="%6."/>
      <w:lvlJc w:val="right"/>
      <w:pPr>
        <w:ind w:left="4320" w:hanging="180"/>
      </w:pPr>
    </w:lvl>
    <w:lvl w:ilvl="6" w:tplc="28A22974">
      <w:start w:val="1"/>
      <w:numFmt w:val="decimal"/>
      <w:lvlText w:val="%7."/>
      <w:lvlJc w:val="left"/>
      <w:pPr>
        <w:ind w:left="5040" w:hanging="360"/>
      </w:pPr>
    </w:lvl>
    <w:lvl w:ilvl="7" w:tplc="ABE026D0">
      <w:start w:val="1"/>
      <w:numFmt w:val="lowerLetter"/>
      <w:lvlText w:val="%8."/>
      <w:lvlJc w:val="left"/>
      <w:pPr>
        <w:ind w:left="5760" w:hanging="360"/>
      </w:pPr>
    </w:lvl>
    <w:lvl w:ilvl="8" w:tplc="78805EA2">
      <w:start w:val="1"/>
      <w:numFmt w:val="lowerRoman"/>
      <w:lvlText w:val="%9."/>
      <w:lvlJc w:val="right"/>
      <w:pPr>
        <w:ind w:left="6480" w:hanging="180"/>
      </w:pPr>
    </w:lvl>
  </w:abstractNum>
  <w:abstractNum w:abstractNumId="12" w15:restartNumberingAfterBreak="0">
    <w:nsid w:val="31665947"/>
    <w:multiLevelType w:val="hybridMultilevel"/>
    <w:tmpl w:val="8E48C996"/>
    <w:lvl w:ilvl="0" w:tplc="F3EEA7C6">
      <w:start w:val="1"/>
      <w:numFmt w:val="decimal"/>
      <w:lvlText w:val="%1."/>
      <w:lvlJc w:val="left"/>
      <w:pPr>
        <w:ind w:left="720" w:hanging="360"/>
      </w:pPr>
    </w:lvl>
    <w:lvl w:ilvl="1" w:tplc="D1125DAE">
      <w:start w:val="1"/>
      <w:numFmt w:val="lowerLetter"/>
      <w:lvlText w:val="%2."/>
      <w:lvlJc w:val="left"/>
      <w:pPr>
        <w:ind w:left="1440" w:hanging="360"/>
      </w:pPr>
    </w:lvl>
    <w:lvl w:ilvl="2" w:tplc="7A988012">
      <w:start w:val="1"/>
      <w:numFmt w:val="lowerRoman"/>
      <w:lvlText w:val="%3."/>
      <w:lvlJc w:val="right"/>
      <w:pPr>
        <w:ind w:left="2160" w:hanging="180"/>
      </w:pPr>
    </w:lvl>
    <w:lvl w:ilvl="3" w:tplc="C33683D0">
      <w:start w:val="1"/>
      <w:numFmt w:val="decimal"/>
      <w:lvlText w:val="%4."/>
      <w:lvlJc w:val="left"/>
      <w:pPr>
        <w:ind w:left="2880" w:hanging="360"/>
      </w:pPr>
    </w:lvl>
    <w:lvl w:ilvl="4" w:tplc="46243D58">
      <w:start w:val="1"/>
      <w:numFmt w:val="lowerLetter"/>
      <w:lvlText w:val="%5."/>
      <w:lvlJc w:val="left"/>
      <w:pPr>
        <w:ind w:left="3600" w:hanging="360"/>
      </w:pPr>
    </w:lvl>
    <w:lvl w:ilvl="5" w:tplc="B4F25DC0">
      <w:start w:val="1"/>
      <w:numFmt w:val="lowerRoman"/>
      <w:lvlText w:val="%6."/>
      <w:lvlJc w:val="right"/>
      <w:pPr>
        <w:ind w:left="4320" w:hanging="180"/>
      </w:pPr>
    </w:lvl>
    <w:lvl w:ilvl="6" w:tplc="F3F48CB0">
      <w:start w:val="1"/>
      <w:numFmt w:val="decimal"/>
      <w:lvlText w:val="%7."/>
      <w:lvlJc w:val="left"/>
      <w:pPr>
        <w:ind w:left="5040" w:hanging="360"/>
      </w:pPr>
    </w:lvl>
    <w:lvl w:ilvl="7" w:tplc="BD527D00">
      <w:start w:val="1"/>
      <w:numFmt w:val="lowerLetter"/>
      <w:lvlText w:val="%8."/>
      <w:lvlJc w:val="left"/>
      <w:pPr>
        <w:ind w:left="5760" w:hanging="360"/>
      </w:pPr>
    </w:lvl>
    <w:lvl w:ilvl="8" w:tplc="EE1AFC90">
      <w:start w:val="1"/>
      <w:numFmt w:val="lowerRoman"/>
      <w:lvlText w:val="%9."/>
      <w:lvlJc w:val="right"/>
      <w:pPr>
        <w:ind w:left="6480" w:hanging="180"/>
      </w:pPr>
    </w:lvl>
  </w:abstractNum>
  <w:abstractNum w:abstractNumId="13" w15:restartNumberingAfterBreak="0">
    <w:nsid w:val="3C1E0B2B"/>
    <w:multiLevelType w:val="hybridMultilevel"/>
    <w:tmpl w:val="24264BCC"/>
    <w:lvl w:ilvl="0" w:tplc="303490A4">
      <w:start w:val="1"/>
      <w:numFmt w:val="decimal"/>
      <w:lvlText w:val="%1."/>
      <w:lvlJc w:val="left"/>
      <w:pPr>
        <w:ind w:left="720" w:hanging="360"/>
      </w:pPr>
    </w:lvl>
    <w:lvl w:ilvl="1" w:tplc="64BE2322">
      <w:start w:val="1"/>
      <w:numFmt w:val="lowerLetter"/>
      <w:lvlText w:val="%2."/>
      <w:lvlJc w:val="left"/>
      <w:pPr>
        <w:ind w:left="1440" w:hanging="360"/>
      </w:pPr>
    </w:lvl>
    <w:lvl w:ilvl="2" w:tplc="37B0AA5A">
      <w:start w:val="1"/>
      <w:numFmt w:val="lowerRoman"/>
      <w:lvlText w:val="%3."/>
      <w:lvlJc w:val="right"/>
      <w:pPr>
        <w:ind w:left="2160" w:hanging="180"/>
      </w:pPr>
    </w:lvl>
    <w:lvl w:ilvl="3" w:tplc="AFC0E04E">
      <w:start w:val="1"/>
      <w:numFmt w:val="decimal"/>
      <w:lvlText w:val="%4."/>
      <w:lvlJc w:val="left"/>
      <w:pPr>
        <w:ind w:left="2880" w:hanging="360"/>
      </w:pPr>
    </w:lvl>
    <w:lvl w:ilvl="4" w:tplc="969694D4">
      <w:start w:val="1"/>
      <w:numFmt w:val="lowerLetter"/>
      <w:lvlText w:val="%5."/>
      <w:lvlJc w:val="left"/>
      <w:pPr>
        <w:ind w:left="3600" w:hanging="360"/>
      </w:pPr>
    </w:lvl>
    <w:lvl w:ilvl="5" w:tplc="F4F87950">
      <w:start w:val="1"/>
      <w:numFmt w:val="lowerRoman"/>
      <w:lvlText w:val="%6."/>
      <w:lvlJc w:val="right"/>
      <w:pPr>
        <w:ind w:left="4320" w:hanging="180"/>
      </w:pPr>
    </w:lvl>
    <w:lvl w:ilvl="6" w:tplc="66E02688">
      <w:start w:val="1"/>
      <w:numFmt w:val="decimal"/>
      <w:lvlText w:val="%7."/>
      <w:lvlJc w:val="left"/>
      <w:pPr>
        <w:ind w:left="5040" w:hanging="360"/>
      </w:pPr>
    </w:lvl>
    <w:lvl w:ilvl="7" w:tplc="B04E2B1E">
      <w:start w:val="1"/>
      <w:numFmt w:val="lowerLetter"/>
      <w:lvlText w:val="%8."/>
      <w:lvlJc w:val="left"/>
      <w:pPr>
        <w:ind w:left="5760" w:hanging="360"/>
      </w:pPr>
    </w:lvl>
    <w:lvl w:ilvl="8" w:tplc="7C9010E2">
      <w:start w:val="1"/>
      <w:numFmt w:val="lowerRoman"/>
      <w:lvlText w:val="%9."/>
      <w:lvlJc w:val="right"/>
      <w:pPr>
        <w:ind w:left="6480" w:hanging="180"/>
      </w:pPr>
    </w:lvl>
  </w:abstractNum>
  <w:abstractNum w:abstractNumId="14" w15:restartNumberingAfterBreak="0">
    <w:nsid w:val="48385604"/>
    <w:multiLevelType w:val="hybridMultilevel"/>
    <w:tmpl w:val="27F65984"/>
    <w:lvl w:ilvl="0" w:tplc="9438D19A">
      <w:start w:val="1"/>
      <w:numFmt w:val="decimal"/>
      <w:lvlText w:val="%1."/>
      <w:lvlJc w:val="left"/>
      <w:pPr>
        <w:ind w:left="720" w:hanging="360"/>
      </w:pPr>
    </w:lvl>
    <w:lvl w:ilvl="1" w:tplc="79D0C520">
      <w:start w:val="1"/>
      <w:numFmt w:val="lowerLetter"/>
      <w:lvlText w:val="%2."/>
      <w:lvlJc w:val="left"/>
      <w:pPr>
        <w:ind w:left="1440" w:hanging="360"/>
      </w:pPr>
    </w:lvl>
    <w:lvl w:ilvl="2" w:tplc="D7882310">
      <w:start w:val="1"/>
      <w:numFmt w:val="lowerRoman"/>
      <w:lvlText w:val="%3."/>
      <w:lvlJc w:val="right"/>
      <w:pPr>
        <w:ind w:left="2160" w:hanging="180"/>
      </w:pPr>
    </w:lvl>
    <w:lvl w:ilvl="3" w:tplc="A8740200">
      <w:start w:val="1"/>
      <w:numFmt w:val="decimal"/>
      <w:lvlText w:val="%4."/>
      <w:lvlJc w:val="left"/>
      <w:pPr>
        <w:ind w:left="2880" w:hanging="360"/>
      </w:pPr>
    </w:lvl>
    <w:lvl w:ilvl="4" w:tplc="3C20FF74">
      <w:start w:val="1"/>
      <w:numFmt w:val="lowerLetter"/>
      <w:lvlText w:val="%5."/>
      <w:lvlJc w:val="left"/>
      <w:pPr>
        <w:ind w:left="3600" w:hanging="360"/>
      </w:pPr>
    </w:lvl>
    <w:lvl w:ilvl="5" w:tplc="8E62B192">
      <w:start w:val="1"/>
      <w:numFmt w:val="lowerRoman"/>
      <w:lvlText w:val="%6."/>
      <w:lvlJc w:val="right"/>
      <w:pPr>
        <w:ind w:left="4320" w:hanging="180"/>
      </w:pPr>
    </w:lvl>
    <w:lvl w:ilvl="6" w:tplc="E4645262">
      <w:start w:val="1"/>
      <w:numFmt w:val="decimal"/>
      <w:lvlText w:val="%7."/>
      <w:lvlJc w:val="left"/>
      <w:pPr>
        <w:ind w:left="5040" w:hanging="360"/>
      </w:pPr>
    </w:lvl>
    <w:lvl w:ilvl="7" w:tplc="DCF8A9A8">
      <w:start w:val="1"/>
      <w:numFmt w:val="lowerLetter"/>
      <w:lvlText w:val="%8."/>
      <w:lvlJc w:val="left"/>
      <w:pPr>
        <w:ind w:left="5760" w:hanging="360"/>
      </w:pPr>
    </w:lvl>
    <w:lvl w:ilvl="8" w:tplc="2F321AB0">
      <w:start w:val="1"/>
      <w:numFmt w:val="lowerRoman"/>
      <w:lvlText w:val="%9."/>
      <w:lvlJc w:val="right"/>
      <w:pPr>
        <w:ind w:left="6480" w:hanging="180"/>
      </w:pPr>
    </w:lvl>
  </w:abstractNum>
  <w:abstractNum w:abstractNumId="15" w15:restartNumberingAfterBreak="0">
    <w:nsid w:val="4A4B742E"/>
    <w:multiLevelType w:val="hybridMultilevel"/>
    <w:tmpl w:val="A94EC74C"/>
    <w:lvl w:ilvl="0" w:tplc="295AC8D0">
      <w:start w:val="1"/>
      <w:numFmt w:val="bullet"/>
      <w:lvlText w:val=""/>
      <w:lvlJc w:val="left"/>
      <w:pPr>
        <w:ind w:left="720" w:hanging="360"/>
      </w:pPr>
      <w:rPr>
        <w:rFonts w:ascii="Symbol" w:hAnsi="Symbol" w:hint="default"/>
      </w:rPr>
    </w:lvl>
    <w:lvl w:ilvl="1" w:tplc="5978E0AC">
      <w:start w:val="1"/>
      <w:numFmt w:val="bullet"/>
      <w:lvlText w:val="o"/>
      <w:lvlJc w:val="left"/>
      <w:pPr>
        <w:ind w:left="1440" w:hanging="360"/>
      </w:pPr>
      <w:rPr>
        <w:rFonts w:ascii="Courier New" w:hAnsi="Courier New" w:hint="default"/>
      </w:rPr>
    </w:lvl>
    <w:lvl w:ilvl="2" w:tplc="C9A4118A">
      <w:start w:val="1"/>
      <w:numFmt w:val="bullet"/>
      <w:lvlText w:val=""/>
      <w:lvlJc w:val="left"/>
      <w:pPr>
        <w:ind w:left="2160" w:hanging="360"/>
      </w:pPr>
      <w:rPr>
        <w:rFonts w:ascii="Wingdings" w:hAnsi="Wingdings" w:hint="default"/>
      </w:rPr>
    </w:lvl>
    <w:lvl w:ilvl="3" w:tplc="3CA29AEE">
      <w:start w:val="1"/>
      <w:numFmt w:val="bullet"/>
      <w:lvlText w:val=""/>
      <w:lvlJc w:val="left"/>
      <w:pPr>
        <w:ind w:left="2880" w:hanging="360"/>
      </w:pPr>
      <w:rPr>
        <w:rFonts w:ascii="Symbol" w:hAnsi="Symbol" w:hint="default"/>
      </w:rPr>
    </w:lvl>
    <w:lvl w:ilvl="4" w:tplc="1E7E13CE">
      <w:start w:val="1"/>
      <w:numFmt w:val="bullet"/>
      <w:lvlText w:val="o"/>
      <w:lvlJc w:val="left"/>
      <w:pPr>
        <w:ind w:left="3600" w:hanging="360"/>
      </w:pPr>
      <w:rPr>
        <w:rFonts w:ascii="Courier New" w:hAnsi="Courier New" w:hint="default"/>
      </w:rPr>
    </w:lvl>
    <w:lvl w:ilvl="5" w:tplc="4C2EFED4">
      <w:start w:val="1"/>
      <w:numFmt w:val="bullet"/>
      <w:lvlText w:val=""/>
      <w:lvlJc w:val="left"/>
      <w:pPr>
        <w:ind w:left="4320" w:hanging="360"/>
      </w:pPr>
      <w:rPr>
        <w:rFonts w:ascii="Wingdings" w:hAnsi="Wingdings" w:hint="default"/>
      </w:rPr>
    </w:lvl>
    <w:lvl w:ilvl="6" w:tplc="D464C26E">
      <w:start w:val="1"/>
      <w:numFmt w:val="bullet"/>
      <w:lvlText w:val=""/>
      <w:lvlJc w:val="left"/>
      <w:pPr>
        <w:ind w:left="5040" w:hanging="360"/>
      </w:pPr>
      <w:rPr>
        <w:rFonts w:ascii="Symbol" w:hAnsi="Symbol" w:hint="default"/>
      </w:rPr>
    </w:lvl>
    <w:lvl w:ilvl="7" w:tplc="80804E42">
      <w:start w:val="1"/>
      <w:numFmt w:val="bullet"/>
      <w:lvlText w:val="o"/>
      <w:lvlJc w:val="left"/>
      <w:pPr>
        <w:ind w:left="5760" w:hanging="360"/>
      </w:pPr>
      <w:rPr>
        <w:rFonts w:ascii="Courier New" w:hAnsi="Courier New" w:hint="default"/>
      </w:rPr>
    </w:lvl>
    <w:lvl w:ilvl="8" w:tplc="ADBA443C">
      <w:start w:val="1"/>
      <w:numFmt w:val="bullet"/>
      <w:lvlText w:val=""/>
      <w:lvlJc w:val="left"/>
      <w:pPr>
        <w:ind w:left="6480" w:hanging="360"/>
      </w:pPr>
      <w:rPr>
        <w:rFonts w:ascii="Wingdings" w:hAnsi="Wingdings" w:hint="default"/>
      </w:rPr>
    </w:lvl>
  </w:abstractNum>
  <w:abstractNum w:abstractNumId="16" w15:restartNumberingAfterBreak="0">
    <w:nsid w:val="4FA35C58"/>
    <w:multiLevelType w:val="hybridMultilevel"/>
    <w:tmpl w:val="BCC8F680"/>
    <w:lvl w:ilvl="0" w:tplc="40FA381C">
      <w:start w:val="1"/>
      <w:numFmt w:val="decimal"/>
      <w:lvlText w:val="%1."/>
      <w:lvlJc w:val="left"/>
      <w:pPr>
        <w:ind w:left="720" w:hanging="360"/>
      </w:pPr>
    </w:lvl>
    <w:lvl w:ilvl="1" w:tplc="145EC92E">
      <w:start w:val="1"/>
      <w:numFmt w:val="lowerLetter"/>
      <w:lvlText w:val="%2."/>
      <w:lvlJc w:val="left"/>
      <w:pPr>
        <w:ind w:left="1440" w:hanging="360"/>
      </w:pPr>
    </w:lvl>
    <w:lvl w:ilvl="2" w:tplc="86E2F926">
      <w:start w:val="1"/>
      <w:numFmt w:val="lowerRoman"/>
      <w:lvlText w:val="%3."/>
      <w:lvlJc w:val="right"/>
      <w:pPr>
        <w:ind w:left="2160" w:hanging="180"/>
      </w:pPr>
    </w:lvl>
    <w:lvl w:ilvl="3" w:tplc="DEFAB3B6">
      <w:start w:val="1"/>
      <w:numFmt w:val="decimal"/>
      <w:lvlText w:val="%4."/>
      <w:lvlJc w:val="left"/>
      <w:pPr>
        <w:ind w:left="2880" w:hanging="360"/>
      </w:pPr>
    </w:lvl>
    <w:lvl w:ilvl="4" w:tplc="F39A15B0">
      <w:start w:val="1"/>
      <w:numFmt w:val="lowerLetter"/>
      <w:lvlText w:val="%5."/>
      <w:lvlJc w:val="left"/>
      <w:pPr>
        <w:ind w:left="3600" w:hanging="360"/>
      </w:pPr>
    </w:lvl>
    <w:lvl w:ilvl="5" w:tplc="6BB2F034">
      <w:start w:val="1"/>
      <w:numFmt w:val="lowerRoman"/>
      <w:lvlText w:val="%6."/>
      <w:lvlJc w:val="right"/>
      <w:pPr>
        <w:ind w:left="4320" w:hanging="180"/>
      </w:pPr>
    </w:lvl>
    <w:lvl w:ilvl="6" w:tplc="994CA78E">
      <w:start w:val="1"/>
      <w:numFmt w:val="decimal"/>
      <w:lvlText w:val="%7."/>
      <w:lvlJc w:val="left"/>
      <w:pPr>
        <w:ind w:left="5040" w:hanging="360"/>
      </w:pPr>
    </w:lvl>
    <w:lvl w:ilvl="7" w:tplc="6C4ABA94">
      <w:start w:val="1"/>
      <w:numFmt w:val="lowerLetter"/>
      <w:lvlText w:val="%8."/>
      <w:lvlJc w:val="left"/>
      <w:pPr>
        <w:ind w:left="5760" w:hanging="360"/>
      </w:pPr>
    </w:lvl>
    <w:lvl w:ilvl="8" w:tplc="5C42BB1A">
      <w:start w:val="1"/>
      <w:numFmt w:val="lowerRoman"/>
      <w:lvlText w:val="%9."/>
      <w:lvlJc w:val="right"/>
      <w:pPr>
        <w:ind w:left="6480" w:hanging="180"/>
      </w:pPr>
    </w:lvl>
  </w:abstractNum>
  <w:abstractNum w:abstractNumId="17" w15:restartNumberingAfterBreak="0">
    <w:nsid w:val="54981CAA"/>
    <w:multiLevelType w:val="hybridMultilevel"/>
    <w:tmpl w:val="DA0A48B2"/>
    <w:lvl w:ilvl="0" w:tplc="4D40F950">
      <w:start w:val="4"/>
      <w:numFmt w:val="decimal"/>
      <w:lvlText w:val="%1."/>
      <w:lvlJc w:val="left"/>
      <w:pPr>
        <w:ind w:left="720" w:hanging="360"/>
      </w:pPr>
    </w:lvl>
    <w:lvl w:ilvl="1" w:tplc="07C68D38">
      <w:start w:val="1"/>
      <w:numFmt w:val="lowerLetter"/>
      <w:lvlText w:val="%2."/>
      <w:lvlJc w:val="left"/>
      <w:pPr>
        <w:ind w:left="1440" w:hanging="360"/>
      </w:pPr>
    </w:lvl>
    <w:lvl w:ilvl="2" w:tplc="1922725E">
      <w:start w:val="1"/>
      <w:numFmt w:val="lowerRoman"/>
      <w:lvlText w:val="%3."/>
      <w:lvlJc w:val="right"/>
      <w:pPr>
        <w:ind w:left="2160" w:hanging="180"/>
      </w:pPr>
    </w:lvl>
    <w:lvl w:ilvl="3" w:tplc="17FEC6E2">
      <w:start w:val="1"/>
      <w:numFmt w:val="decimal"/>
      <w:lvlText w:val="%4."/>
      <w:lvlJc w:val="left"/>
      <w:pPr>
        <w:ind w:left="2880" w:hanging="360"/>
      </w:pPr>
    </w:lvl>
    <w:lvl w:ilvl="4" w:tplc="72B64C20">
      <w:start w:val="1"/>
      <w:numFmt w:val="lowerLetter"/>
      <w:lvlText w:val="%5."/>
      <w:lvlJc w:val="left"/>
      <w:pPr>
        <w:ind w:left="3600" w:hanging="360"/>
      </w:pPr>
    </w:lvl>
    <w:lvl w:ilvl="5" w:tplc="CE9490A0">
      <w:start w:val="1"/>
      <w:numFmt w:val="lowerRoman"/>
      <w:lvlText w:val="%6."/>
      <w:lvlJc w:val="right"/>
      <w:pPr>
        <w:ind w:left="4320" w:hanging="180"/>
      </w:pPr>
    </w:lvl>
    <w:lvl w:ilvl="6" w:tplc="D77A1D88">
      <w:start w:val="1"/>
      <w:numFmt w:val="decimal"/>
      <w:lvlText w:val="%7."/>
      <w:lvlJc w:val="left"/>
      <w:pPr>
        <w:ind w:left="5040" w:hanging="360"/>
      </w:pPr>
    </w:lvl>
    <w:lvl w:ilvl="7" w:tplc="4E8E2022">
      <w:start w:val="1"/>
      <w:numFmt w:val="lowerLetter"/>
      <w:lvlText w:val="%8."/>
      <w:lvlJc w:val="left"/>
      <w:pPr>
        <w:ind w:left="5760" w:hanging="360"/>
      </w:pPr>
    </w:lvl>
    <w:lvl w:ilvl="8" w:tplc="0B5C0FAA">
      <w:start w:val="1"/>
      <w:numFmt w:val="lowerRoman"/>
      <w:lvlText w:val="%9."/>
      <w:lvlJc w:val="right"/>
      <w:pPr>
        <w:ind w:left="6480" w:hanging="180"/>
      </w:pPr>
    </w:lvl>
  </w:abstractNum>
  <w:abstractNum w:abstractNumId="18" w15:restartNumberingAfterBreak="0">
    <w:nsid w:val="604B5794"/>
    <w:multiLevelType w:val="hybridMultilevel"/>
    <w:tmpl w:val="24AC2A9C"/>
    <w:lvl w:ilvl="0" w:tplc="1DC2DCBE">
      <w:start w:val="1"/>
      <w:numFmt w:val="decimal"/>
      <w:lvlText w:val="%1."/>
      <w:lvlJc w:val="left"/>
      <w:pPr>
        <w:ind w:left="720" w:hanging="360"/>
      </w:pPr>
    </w:lvl>
    <w:lvl w:ilvl="1" w:tplc="00A030C8">
      <w:start w:val="1"/>
      <w:numFmt w:val="lowerLetter"/>
      <w:lvlText w:val="%2."/>
      <w:lvlJc w:val="left"/>
      <w:pPr>
        <w:ind w:left="1440" w:hanging="360"/>
      </w:pPr>
    </w:lvl>
    <w:lvl w:ilvl="2" w:tplc="D5F253E4">
      <w:start w:val="1"/>
      <w:numFmt w:val="lowerRoman"/>
      <w:lvlText w:val="%3."/>
      <w:lvlJc w:val="right"/>
      <w:pPr>
        <w:ind w:left="2160" w:hanging="180"/>
      </w:pPr>
    </w:lvl>
    <w:lvl w:ilvl="3" w:tplc="CC80E0A6">
      <w:start w:val="1"/>
      <w:numFmt w:val="decimal"/>
      <w:lvlText w:val="%4."/>
      <w:lvlJc w:val="left"/>
      <w:pPr>
        <w:ind w:left="2880" w:hanging="360"/>
      </w:pPr>
    </w:lvl>
    <w:lvl w:ilvl="4" w:tplc="E1227ABA">
      <w:start w:val="1"/>
      <w:numFmt w:val="lowerLetter"/>
      <w:lvlText w:val="%5."/>
      <w:lvlJc w:val="left"/>
      <w:pPr>
        <w:ind w:left="3600" w:hanging="360"/>
      </w:pPr>
    </w:lvl>
    <w:lvl w:ilvl="5" w:tplc="B74C4BFE">
      <w:start w:val="1"/>
      <w:numFmt w:val="lowerRoman"/>
      <w:lvlText w:val="%6."/>
      <w:lvlJc w:val="right"/>
      <w:pPr>
        <w:ind w:left="4320" w:hanging="180"/>
      </w:pPr>
    </w:lvl>
    <w:lvl w:ilvl="6" w:tplc="C0D2E20C">
      <w:start w:val="1"/>
      <w:numFmt w:val="decimal"/>
      <w:lvlText w:val="%7."/>
      <w:lvlJc w:val="left"/>
      <w:pPr>
        <w:ind w:left="5040" w:hanging="360"/>
      </w:pPr>
    </w:lvl>
    <w:lvl w:ilvl="7" w:tplc="88D6E2DE">
      <w:start w:val="1"/>
      <w:numFmt w:val="lowerLetter"/>
      <w:lvlText w:val="%8."/>
      <w:lvlJc w:val="left"/>
      <w:pPr>
        <w:ind w:left="5760" w:hanging="360"/>
      </w:pPr>
    </w:lvl>
    <w:lvl w:ilvl="8" w:tplc="17CC6B48">
      <w:start w:val="1"/>
      <w:numFmt w:val="lowerRoman"/>
      <w:lvlText w:val="%9."/>
      <w:lvlJc w:val="right"/>
      <w:pPr>
        <w:ind w:left="6480" w:hanging="180"/>
      </w:pPr>
    </w:lvl>
  </w:abstractNum>
  <w:abstractNum w:abstractNumId="19" w15:restartNumberingAfterBreak="0">
    <w:nsid w:val="609A32BA"/>
    <w:multiLevelType w:val="hybridMultilevel"/>
    <w:tmpl w:val="9AC2988C"/>
    <w:lvl w:ilvl="0" w:tplc="9FB8D774">
      <w:start w:val="1"/>
      <w:numFmt w:val="decimal"/>
      <w:lvlText w:val="%1."/>
      <w:lvlJc w:val="left"/>
      <w:pPr>
        <w:ind w:left="720" w:hanging="360"/>
      </w:pPr>
    </w:lvl>
    <w:lvl w:ilvl="1" w:tplc="1FA45D94">
      <w:start w:val="1"/>
      <w:numFmt w:val="lowerLetter"/>
      <w:lvlText w:val="%2."/>
      <w:lvlJc w:val="left"/>
      <w:pPr>
        <w:ind w:left="1440" w:hanging="360"/>
      </w:pPr>
    </w:lvl>
    <w:lvl w:ilvl="2" w:tplc="9510FD26">
      <w:start w:val="1"/>
      <w:numFmt w:val="lowerRoman"/>
      <w:lvlText w:val="%3."/>
      <w:lvlJc w:val="right"/>
      <w:pPr>
        <w:ind w:left="2160" w:hanging="180"/>
      </w:pPr>
    </w:lvl>
    <w:lvl w:ilvl="3" w:tplc="3FA05F12">
      <w:start w:val="1"/>
      <w:numFmt w:val="decimal"/>
      <w:lvlText w:val="%4."/>
      <w:lvlJc w:val="left"/>
      <w:pPr>
        <w:ind w:left="2880" w:hanging="360"/>
      </w:pPr>
    </w:lvl>
    <w:lvl w:ilvl="4" w:tplc="A3626176">
      <w:start w:val="1"/>
      <w:numFmt w:val="lowerLetter"/>
      <w:lvlText w:val="%5."/>
      <w:lvlJc w:val="left"/>
      <w:pPr>
        <w:ind w:left="3600" w:hanging="360"/>
      </w:pPr>
    </w:lvl>
    <w:lvl w:ilvl="5" w:tplc="7F22D3D0">
      <w:start w:val="1"/>
      <w:numFmt w:val="lowerRoman"/>
      <w:lvlText w:val="%6."/>
      <w:lvlJc w:val="right"/>
      <w:pPr>
        <w:ind w:left="4320" w:hanging="180"/>
      </w:pPr>
    </w:lvl>
    <w:lvl w:ilvl="6" w:tplc="914A5A84">
      <w:start w:val="1"/>
      <w:numFmt w:val="decimal"/>
      <w:lvlText w:val="%7."/>
      <w:lvlJc w:val="left"/>
      <w:pPr>
        <w:ind w:left="5040" w:hanging="360"/>
      </w:pPr>
    </w:lvl>
    <w:lvl w:ilvl="7" w:tplc="F20A114C">
      <w:start w:val="1"/>
      <w:numFmt w:val="lowerLetter"/>
      <w:lvlText w:val="%8."/>
      <w:lvlJc w:val="left"/>
      <w:pPr>
        <w:ind w:left="5760" w:hanging="360"/>
      </w:pPr>
    </w:lvl>
    <w:lvl w:ilvl="8" w:tplc="FA9E4588">
      <w:start w:val="1"/>
      <w:numFmt w:val="lowerRoman"/>
      <w:lvlText w:val="%9."/>
      <w:lvlJc w:val="right"/>
      <w:pPr>
        <w:ind w:left="6480" w:hanging="180"/>
      </w:pPr>
    </w:lvl>
  </w:abstractNum>
  <w:abstractNum w:abstractNumId="20" w15:restartNumberingAfterBreak="0">
    <w:nsid w:val="62726E72"/>
    <w:multiLevelType w:val="hybridMultilevel"/>
    <w:tmpl w:val="C5E464EA"/>
    <w:lvl w:ilvl="0" w:tplc="D9AE91DC">
      <w:start w:val="1"/>
      <w:numFmt w:val="decimal"/>
      <w:lvlText w:val="%1."/>
      <w:lvlJc w:val="left"/>
      <w:pPr>
        <w:ind w:left="720" w:hanging="360"/>
      </w:pPr>
    </w:lvl>
    <w:lvl w:ilvl="1" w:tplc="0C487212">
      <w:start w:val="1"/>
      <w:numFmt w:val="lowerLetter"/>
      <w:lvlText w:val="%2."/>
      <w:lvlJc w:val="left"/>
      <w:pPr>
        <w:ind w:left="1440" w:hanging="360"/>
      </w:pPr>
    </w:lvl>
    <w:lvl w:ilvl="2" w:tplc="76D2E810">
      <w:start w:val="1"/>
      <w:numFmt w:val="lowerRoman"/>
      <w:lvlText w:val="%3."/>
      <w:lvlJc w:val="right"/>
      <w:pPr>
        <w:ind w:left="2160" w:hanging="180"/>
      </w:pPr>
    </w:lvl>
    <w:lvl w:ilvl="3" w:tplc="2E0CCAF4">
      <w:start w:val="1"/>
      <w:numFmt w:val="decimal"/>
      <w:lvlText w:val="%4."/>
      <w:lvlJc w:val="left"/>
      <w:pPr>
        <w:ind w:left="2880" w:hanging="360"/>
      </w:pPr>
    </w:lvl>
    <w:lvl w:ilvl="4" w:tplc="9A16DE1E">
      <w:start w:val="1"/>
      <w:numFmt w:val="lowerLetter"/>
      <w:lvlText w:val="%5."/>
      <w:lvlJc w:val="left"/>
      <w:pPr>
        <w:ind w:left="3600" w:hanging="360"/>
      </w:pPr>
    </w:lvl>
    <w:lvl w:ilvl="5" w:tplc="E9E4728E">
      <w:start w:val="1"/>
      <w:numFmt w:val="lowerRoman"/>
      <w:lvlText w:val="%6."/>
      <w:lvlJc w:val="right"/>
      <w:pPr>
        <w:ind w:left="4320" w:hanging="180"/>
      </w:pPr>
    </w:lvl>
    <w:lvl w:ilvl="6" w:tplc="282A503A">
      <w:start w:val="1"/>
      <w:numFmt w:val="decimal"/>
      <w:lvlText w:val="%7."/>
      <w:lvlJc w:val="left"/>
      <w:pPr>
        <w:ind w:left="5040" w:hanging="360"/>
      </w:pPr>
    </w:lvl>
    <w:lvl w:ilvl="7" w:tplc="3AA07938">
      <w:start w:val="1"/>
      <w:numFmt w:val="lowerLetter"/>
      <w:lvlText w:val="%8."/>
      <w:lvlJc w:val="left"/>
      <w:pPr>
        <w:ind w:left="5760" w:hanging="360"/>
      </w:pPr>
    </w:lvl>
    <w:lvl w:ilvl="8" w:tplc="F9783272">
      <w:start w:val="1"/>
      <w:numFmt w:val="lowerRoman"/>
      <w:lvlText w:val="%9."/>
      <w:lvlJc w:val="right"/>
      <w:pPr>
        <w:ind w:left="6480" w:hanging="180"/>
      </w:pPr>
    </w:lvl>
  </w:abstractNum>
  <w:abstractNum w:abstractNumId="21" w15:restartNumberingAfterBreak="0">
    <w:nsid w:val="649577EB"/>
    <w:multiLevelType w:val="hybridMultilevel"/>
    <w:tmpl w:val="F9F6DB20"/>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0F4BAC"/>
    <w:multiLevelType w:val="hybridMultilevel"/>
    <w:tmpl w:val="7A580AA6"/>
    <w:lvl w:ilvl="0" w:tplc="03DC59BC">
      <w:start w:val="1"/>
      <w:numFmt w:val="decimal"/>
      <w:lvlText w:val="%1."/>
      <w:lvlJc w:val="left"/>
      <w:pPr>
        <w:ind w:left="720" w:hanging="360"/>
      </w:pPr>
    </w:lvl>
    <w:lvl w:ilvl="1" w:tplc="EFB6CA88">
      <w:start w:val="1"/>
      <w:numFmt w:val="lowerLetter"/>
      <w:lvlText w:val="%2."/>
      <w:lvlJc w:val="left"/>
      <w:pPr>
        <w:ind w:left="1440" w:hanging="360"/>
      </w:pPr>
    </w:lvl>
    <w:lvl w:ilvl="2" w:tplc="42BA6484">
      <w:start w:val="1"/>
      <w:numFmt w:val="lowerRoman"/>
      <w:lvlText w:val="%3."/>
      <w:lvlJc w:val="right"/>
      <w:pPr>
        <w:ind w:left="2160" w:hanging="180"/>
      </w:pPr>
    </w:lvl>
    <w:lvl w:ilvl="3" w:tplc="72BE617E">
      <w:start w:val="1"/>
      <w:numFmt w:val="decimal"/>
      <w:lvlText w:val="%4."/>
      <w:lvlJc w:val="left"/>
      <w:pPr>
        <w:ind w:left="2880" w:hanging="360"/>
      </w:pPr>
    </w:lvl>
    <w:lvl w:ilvl="4" w:tplc="9B7C7A68">
      <w:start w:val="1"/>
      <w:numFmt w:val="lowerLetter"/>
      <w:lvlText w:val="%5."/>
      <w:lvlJc w:val="left"/>
      <w:pPr>
        <w:ind w:left="3600" w:hanging="360"/>
      </w:pPr>
    </w:lvl>
    <w:lvl w:ilvl="5" w:tplc="763E85E4">
      <w:start w:val="1"/>
      <w:numFmt w:val="lowerRoman"/>
      <w:lvlText w:val="%6."/>
      <w:lvlJc w:val="right"/>
      <w:pPr>
        <w:ind w:left="4320" w:hanging="180"/>
      </w:pPr>
    </w:lvl>
    <w:lvl w:ilvl="6" w:tplc="E95AAF24">
      <w:start w:val="1"/>
      <w:numFmt w:val="decimal"/>
      <w:lvlText w:val="%7."/>
      <w:lvlJc w:val="left"/>
      <w:pPr>
        <w:ind w:left="5040" w:hanging="360"/>
      </w:pPr>
    </w:lvl>
    <w:lvl w:ilvl="7" w:tplc="8940F6F4">
      <w:start w:val="1"/>
      <w:numFmt w:val="lowerLetter"/>
      <w:lvlText w:val="%8."/>
      <w:lvlJc w:val="left"/>
      <w:pPr>
        <w:ind w:left="5760" w:hanging="360"/>
      </w:pPr>
    </w:lvl>
    <w:lvl w:ilvl="8" w:tplc="B8366176">
      <w:start w:val="1"/>
      <w:numFmt w:val="lowerRoman"/>
      <w:lvlText w:val="%9."/>
      <w:lvlJc w:val="right"/>
      <w:pPr>
        <w:ind w:left="6480" w:hanging="180"/>
      </w:pPr>
    </w:lvl>
  </w:abstractNum>
  <w:abstractNum w:abstractNumId="23" w15:restartNumberingAfterBreak="0">
    <w:nsid w:val="753C4BE6"/>
    <w:multiLevelType w:val="hybridMultilevel"/>
    <w:tmpl w:val="059A35AC"/>
    <w:lvl w:ilvl="0" w:tplc="7D2C664C">
      <w:start w:val="1"/>
      <w:numFmt w:val="decimal"/>
      <w:lvlText w:val="%1."/>
      <w:lvlJc w:val="left"/>
      <w:pPr>
        <w:ind w:left="720" w:hanging="360"/>
      </w:pPr>
    </w:lvl>
    <w:lvl w:ilvl="1" w:tplc="CF325D04">
      <w:start w:val="1"/>
      <w:numFmt w:val="lowerLetter"/>
      <w:lvlText w:val="%2."/>
      <w:lvlJc w:val="left"/>
      <w:pPr>
        <w:ind w:left="1440" w:hanging="360"/>
      </w:pPr>
    </w:lvl>
    <w:lvl w:ilvl="2" w:tplc="B7E69860">
      <w:start w:val="1"/>
      <w:numFmt w:val="lowerRoman"/>
      <w:lvlText w:val="%3."/>
      <w:lvlJc w:val="right"/>
      <w:pPr>
        <w:ind w:left="2160" w:hanging="180"/>
      </w:pPr>
    </w:lvl>
    <w:lvl w:ilvl="3" w:tplc="0CEC3EF4">
      <w:start w:val="1"/>
      <w:numFmt w:val="decimal"/>
      <w:lvlText w:val="%4."/>
      <w:lvlJc w:val="left"/>
      <w:pPr>
        <w:ind w:left="2880" w:hanging="360"/>
      </w:pPr>
    </w:lvl>
    <w:lvl w:ilvl="4" w:tplc="6B1EE2A0">
      <w:start w:val="1"/>
      <w:numFmt w:val="lowerLetter"/>
      <w:lvlText w:val="%5."/>
      <w:lvlJc w:val="left"/>
      <w:pPr>
        <w:ind w:left="3600" w:hanging="360"/>
      </w:pPr>
    </w:lvl>
    <w:lvl w:ilvl="5" w:tplc="9AB82536">
      <w:start w:val="1"/>
      <w:numFmt w:val="lowerRoman"/>
      <w:lvlText w:val="%6."/>
      <w:lvlJc w:val="right"/>
      <w:pPr>
        <w:ind w:left="4320" w:hanging="180"/>
      </w:pPr>
    </w:lvl>
    <w:lvl w:ilvl="6" w:tplc="05282F10">
      <w:start w:val="1"/>
      <w:numFmt w:val="decimal"/>
      <w:lvlText w:val="%7."/>
      <w:lvlJc w:val="left"/>
      <w:pPr>
        <w:ind w:left="5040" w:hanging="360"/>
      </w:pPr>
    </w:lvl>
    <w:lvl w:ilvl="7" w:tplc="C0B6B000">
      <w:start w:val="1"/>
      <w:numFmt w:val="lowerLetter"/>
      <w:lvlText w:val="%8."/>
      <w:lvlJc w:val="left"/>
      <w:pPr>
        <w:ind w:left="5760" w:hanging="360"/>
      </w:pPr>
    </w:lvl>
    <w:lvl w:ilvl="8" w:tplc="7EC4A774">
      <w:start w:val="1"/>
      <w:numFmt w:val="lowerRoman"/>
      <w:lvlText w:val="%9."/>
      <w:lvlJc w:val="right"/>
      <w:pPr>
        <w:ind w:left="6480" w:hanging="180"/>
      </w:pPr>
    </w:lvl>
  </w:abstractNum>
  <w:abstractNum w:abstractNumId="24" w15:restartNumberingAfterBreak="0">
    <w:nsid w:val="76091782"/>
    <w:multiLevelType w:val="hybridMultilevel"/>
    <w:tmpl w:val="152CBD56"/>
    <w:lvl w:ilvl="0" w:tplc="3F4EE4E0">
      <w:start w:val="1"/>
      <w:numFmt w:val="decimal"/>
      <w:lvlText w:val="%1."/>
      <w:lvlJc w:val="left"/>
      <w:pPr>
        <w:ind w:left="720" w:hanging="360"/>
      </w:pPr>
    </w:lvl>
    <w:lvl w:ilvl="1" w:tplc="E4645ECE">
      <w:start w:val="1"/>
      <w:numFmt w:val="lowerLetter"/>
      <w:lvlText w:val="%2."/>
      <w:lvlJc w:val="left"/>
      <w:pPr>
        <w:ind w:left="1440" w:hanging="360"/>
      </w:pPr>
    </w:lvl>
    <w:lvl w:ilvl="2" w:tplc="80CEE7F8">
      <w:start w:val="1"/>
      <w:numFmt w:val="lowerRoman"/>
      <w:lvlText w:val="%3."/>
      <w:lvlJc w:val="right"/>
      <w:pPr>
        <w:ind w:left="2160" w:hanging="180"/>
      </w:pPr>
    </w:lvl>
    <w:lvl w:ilvl="3" w:tplc="A4DC2904">
      <w:start w:val="1"/>
      <w:numFmt w:val="decimal"/>
      <w:lvlText w:val="%4."/>
      <w:lvlJc w:val="left"/>
      <w:pPr>
        <w:ind w:left="2880" w:hanging="360"/>
      </w:pPr>
    </w:lvl>
    <w:lvl w:ilvl="4" w:tplc="F1C4A3EA">
      <w:start w:val="1"/>
      <w:numFmt w:val="lowerLetter"/>
      <w:lvlText w:val="%5."/>
      <w:lvlJc w:val="left"/>
      <w:pPr>
        <w:ind w:left="3600" w:hanging="360"/>
      </w:pPr>
    </w:lvl>
    <w:lvl w:ilvl="5" w:tplc="E96C5232">
      <w:start w:val="1"/>
      <w:numFmt w:val="lowerRoman"/>
      <w:lvlText w:val="%6."/>
      <w:lvlJc w:val="right"/>
      <w:pPr>
        <w:ind w:left="4320" w:hanging="180"/>
      </w:pPr>
    </w:lvl>
    <w:lvl w:ilvl="6" w:tplc="DC36804E">
      <w:start w:val="1"/>
      <w:numFmt w:val="decimal"/>
      <w:lvlText w:val="%7."/>
      <w:lvlJc w:val="left"/>
      <w:pPr>
        <w:ind w:left="5040" w:hanging="360"/>
      </w:pPr>
    </w:lvl>
    <w:lvl w:ilvl="7" w:tplc="ADE0016C">
      <w:start w:val="1"/>
      <w:numFmt w:val="lowerLetter"/>
      <w:lvlText w:val="%8."/>
      <w:lvlJc w:val="left"/>
      <w:pPr>
        <w:ind w:left="5760" w:hanging="360"/>
      </w:pPr>
    </w:lvl>
    <w:lvl w:ilvl="8" w:tplc="E362B282">
      <w:start w:val="1"/>
      <w:numFmt w:val="lowerRoman"/>
      <w:lvlText w:val="%9."/>
      <w:lvlJc w:val="right"/>
      <w:pPr>
        <w:ind w:left="6480" w:hanging="180"/>
      </w:pPr>
    </w:lvl>
  </w:abstractNum>
  <w:abstractNum w:abstractNumId="25" w15:restartNumberingAfterBreak="0">
    <w:nsid w:val="78FF2FD4"/>
    <w:multiLevelType w:val="hybridMultilevel"/>
    <w:tmpl w:val="38A2F472"/>
    <w:lvl w:ilvl="0" w:tplc="80CC9394">
      <w:start w:val="1"/>
      <w:numFmt w:val="decimal"/>
      <w:lvlText w:val="%1."/>
      <w:lvlJc w:val="left"/>
      <w:pPr>
        <w:ind w:left="720" w:hanging="360"/>
      </w:pPr>
    </w:lvl>
    <w:lvl w:ilvl="1" w:tplc="427291EC">
      <w:start w:val="1"/>
      <w:numFmt w:val="lowerLetter"/>
      <w:lvlText w:val="%2."/>
      <w:lvlJc w:val="left"/>
      <w:pPr>
        <w:ind w:left="1440" w:hanging="360"/>
      </w:pPr>
    </w:lvl>
    <w:lvl w:ilvl="2" w:tplc="9BB857F0">
      <w:start w:val="1"/>
      <w:numFmt w:val="lowerRoman"/>
      <w:lvlText w:val="%3."/>
      <w:lvlJc w:val="right"/>
      <w:pPr>
        <w:ind w:left="2160" w:hanging="180"/>
      </w:pPr>
    </w:lvl>
    <w:lvl w:ilvl="3" w:tplc="05422D56">
      <w:start w:val="1"/>
      <w:numFmt w:val="decimal"/>
      <w:lvlText w:val="%4."/>
      <w:lvlJc w:val="left"/>
      <w:pPr>
        <w:ind w:left="2880" w:hanging="360"/>
      </w:pPr>
    </w:lvl>
    <w:lvl w:ilvl="4" w:tplc="8BA6D8B4">
      <w:start w:val="1"/>
      <w:numFmt w:val="lowerLetter"/>
      <w:lvlText w:val="%5."/>
      <w:lvlJc w:val="left"/>
      <w:pPr>
        <w:ind w:left="3600" w:hanging="360"/>
      </w:pPr>
    </w:lvl>
    <w:lvl w:ilvl="5" w:tplc="0C5EF492">
      <w:start w:val="1"/>
      <w:numFmt w:val="lowerRoman"/>
      <w:lvlText w:val="%6."/>
      <w:lvlJc w:val="right"/>
      <w:pPr>
        <w:ind w:left="4320" w:hanging="180"/>
      </w:pPr>
    </w:lvl>
    <w:lvl w:ilvl="6" w:tplc="224C43CE">
      <w:start w:val="1"/>
      <w:numFmt w:val="decimal"/>
      <w:lvlText w:val="%7."/>
      <w:lvlJc w:val="left"/>
      <w:pPr>
        <w:ind w:left="5040" w:hanging="360"/>
      </w:pPr>
    </w:lvl>
    <w:lvl w:ilvl="7" w:tplc="8A324B80">
      <w:start w:val="1"/>
      <w:numFmt w:val="lowerLetter"/>
      <w:lvlText w:val="%8."/>
      <w:lvlJc w:val="left"/>
      <w:pPr>
        <w:ind w:left="5760" w:hanging="360"/>
      </w:pPr>
    </w:lvl>
    <w:lvl w:ilvl="8" w:tplc="BC349B84">
      <w:start w:val="1"/>
      <w:numFmt w:val="lowerRoman"/>
      <w:lvlText w:val="%9."/>
      <w:lvlJc w:val="right"/>
      <w:pPr>
        <w:ind w:left="6480" w:hanging="180"/>
      </w:pPr>
    </w:lvl>
  </w:abstractNum>
  <w:num w:numId="1">
    <w:abstractNumId w:val="7"/>
  </w:num>
  <w:num w:numId="2">
    <w:abstractNumId w:val="8"/>
  </w:num>
  <w:num w:numId="3">
    <w:abstractNumId w:val="15"/>
  </w:num>
  <w:num w:numId="4">
    <w:abstractNumId w:val="2"/>
  </w:num>
  <w:num w:numId="5">
    <w:abstractNumId w:val="16"/>
  </w:num>
  <w:num w:numId="6">
    <w:abstractNumId w:val="12"/>
  </w:num>
  <w:num w:numId="7">
    <w:abstractNumId w:val="22"/>
  </w:num>
  <w:num w:numId="8">
    <w:abstractNumId w:val="9"/>
  </w:num>
  <w:num w:numId="9">
    <w:abstractNumId w:val="1"/>
  </w:num>
  <w:num w:numId="10">
    <w:abstractNumId w:val="14"/>
  </w:num>
  <w:num w:numId="11">
    <w:abstractNumId w:val="3"/>
  </w:num>
  <w:num w:numId="12">
    <w:abstractNumId w:val="6"/>
  </w:num>
  <w:num w:numId="13">
    <w:abstractNumId w:val="18"/>
  </w:num>
  <w:num w:numId="14">
    <w:abstractNumId w:val="0"/>
  </w:num>
  <w:num w:numId="15">
    <w:abstractNumId w:val="4"/>
  </w:num>
  <w:num w:numId="16">
    <w:abstractNumId w:val="13"/>
  </w:num>
  <w:num w:numId="17">
    <w:abstractNumId w:val="25"/>
  </w:num>
  <w:num w:numId="18">
    <w:abstractNumId w:val="20"/>
  </w:num>
  <w:num w:numId="19">
    <w:abstractNumId w:val="19"/>
  </w:num>
  <w:num w:numId="20">
    <w:abstractNumId w:val="23"/>
  </w:num>
  <w:num w:numId="21">
    <w:abstractNumId w:val="17"/>
  </w:num>
  <w:num w:numId="22">
    <w:abstractNumId w:val="5"/>
  </w:num>
  <w:num w:numId="23">
    <w:abstractNumId w:val="11"/>
  </w:num>
  <w:num w:numId="24">
    <w:abstractNumId w:val="24"/>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634629"/>
    <w:rsid w:val="00006033"/>
    <w:rsid w:val="000222E6"/>
    <w:rsid w:val="000754C3"/>
    <w:rsid w:val="00077F05"/>
    <w:rsid w:val="00094B96"/>
    <w:rsid w:val="000D0EAE"/>
    <w:rsid w:val="000F733B"/>
    <w:rsid w:val="001327AF"/>
    <w:rsid w:val="00187085"/>
    <w:rsid w:val="00234C26"/>
    <w:rsid w:val="00264AA5"/>
    <w:rsid w:val="00280442"/>
    <w:rsid w:val="003B3F91"/>
    <w:rsid w:val="00440F90"/>
    <w:rsid w:val="00455369"/>
    <w:rsid w:val="00472CD9"/>
    <w:rsid w:val="0058727F"/>
    <w:rsid w:val="00601AF8"/>
    <w:rsid w:val="00610915"/>
    <w:rsid w:val="00636E88"/>
    <w:rsid w:val="0076305A"/>
    <w:rsid w:val="007C42EE"/>
    <w:rsid w:val="007F584E"/>
    <w:rsid w:val="00964E70"/>
    <w:rsid w:val="00A66C66"/>
    <w:rsid w:val="00A849A3"/>
    <w:rsid w:val="00AC76D0"/>
    <w:rsid w:val="00B32F85"/>
    <w:rsid w:val="00B757B4"/>
    <w:rsid w:val="00B9152C"/>
    <w:rsid w:val="00BF3E46"/>
    <w:rsid w:val="00C0146F"/>
    <w:rsid w:val="00C65F23"/>
    <w:rsid w:val="00C70439"/>
    <w:rsid w:val="00CD74F5"/>
    <w:rsid w:val="00CF5DE9"/>
    <w:rsid w:val="00D678B6"/>
    <w:rsid w:val="00D7447D"/>
    <w:rsid w:val="00D81966"/>
    <w:rsid w:val="00DB40AB"/>
    <w:rsid w:val="00E051F5"/>
    <w:rsid w:val="00E73AEA"/>
    <w:rsid w:val="00ED3E06"/>
    <w:rsid w:val="00EE3445"/>
    <w:rsid w:val="00F6724C"/>
    <w:rsid w:val="00F701A8"/>
    <w:rsid w:val="00FB0576"/>
    <w:rsid w:val="08EBC38B"/>
    <w:rsid w:val="0F634629"/>
    <w:rsid w:val="17FE0BE1"/>
    <w:rsid w:val="3C8E9427"/>
    <w:rsid w:val="4AA84A9C"/>
    <w:rsid w:val="4FF10963"/>
    <w:rsid w:val="5B2F13D4"/>
    <w:rsid w:val="6222B892"/>
    <w:rsid w:val="64ACA12F"/>
    <w:rsid w:val="6D1A0F7D"/>
    <w:rsid w:val="7019DDA9"/>
    <w:rsid w:val="74DEF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098E1"/>
  <w15:chartTrackingRefBased/>
  <w15:docId w15:val="{4A6C88FF-7FDE-44B1-96E3-46A1E7B4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65F23"/>
    <w:rPr>
      <w:sz w:val="16"/>
      <w:szCs w:val="16"/>
    </w:rPr>
  </w:style>
  <w:style w:type="paragraph" w:styleId="CommentText">
    <w:name w:val="annotation text"/>
    <w:basedOn w:val="Normal"/>
    <w:link w:val="CommentTextChar"/>
    <w:uiPriority w:val="99"/>
    <w:semiHidden/>
    <w:unhideWhenUsed/>
    <w:rsid w:val="00C65F23"/>
    <w:pPr>
      <w:spacing w:line="240" w:lineRule="auto"/>
    </w:pPr>
    <w:rPr>
      <w:sz w:val="20"/>
      <w:szCs w:val="20"/>
    </w:rPr>
  </w:style>
  <w:style w:type="character" w:customStyle="1" w:styleId="CommentTextChar">
    <w:name w:val="Comment Text Char"/>
    <w:basedOn w:val="DefaultParagraphFont"/>
    <w:link w:val="CommentText"/>
    <w:uiPriority w:val="99"/>
    <w:semiHidden/>
    <w:rsid w:val="00C65F23"/>
    <w:rPr>
      <w:sz w:val="20"/>
      <w:szCs w:val="20"/>
    </w:rPr>
  </w:style>
  <w:style w:type="paragraph" w:styleId="CommentSubject">
    <w:name w:val="annotation subject"/>
    <w:basedOn w:val="CommentText"/>
    <w:next w:val="CommentText"/>
    <w:link w:val="CommentSubjectChar"/>
    <w:uiPriority w:val="99"/>
    <w:semiHidden/>
    <w:unhideWhenUsed/>
    <w:rsid w:val="00C65F23"/>
    <w:rPr>
      <w:b/>
      <w:bCs/>
    </w:rPr>
  </w:style>
  <w:style w:type="character" w:customStyle="1" w:styleId="CommentSubjectChar">
    <w:name w:val="Comment Subject Char"/>
    <w:basedOn w:val="CommentTextChar"/>
    <w:link w:val="CommentSubject"/>
    <w:uiPriority w:val="99"/>
    <w:semiHidden/>
    <w:rsid w:val="00C65F23"/>
    <w:rPr>
      <w:b/>
      <w:bCs/>
      <w:sz w:val="20"/>
      <w:szCs w:val="20"/>
    </w:rPr>
  </w:style>
  <w:style w:type="paragraph" w:styleId="BalloonText">
    <w:name w:val="Balloon Text"/>
    <w:basedOn w:val="Normal"/>
    <w:link w:val="BalloonTextChar"/>
    <w:uiPriority w:val="99"/>
    <w:semiHidden/>
    <w:unhideWhenUsed/>
    <w:rsid w:val="00C65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F23"/>
    <w:rPr>
      <w:rFonts w:ascii="Segoe UI" w:hAnsi="Segoe UI" w:cs="Segoe UI"/>
      <w:sz w:val="18"/>
      <w:szCs w:val="18"/>
    </w:rPr>
  </w:style>
  <w:style w:type="paragraph" w:styleId="Header">
    <w:name w:val="header"/>
    <w:basedOn w:val="Normal"/>
    <w:link w:val="HeaderChar"/>
    <w:uiPriority w:val="99"/>
    <w:unhideWhenUsed/>
    <w:rsid w:val="00D744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447D"/>
  </w:style>
  <w:style w:type="paragraph" w:styleId="Footer">
    <w:name w:val="footer"/>
    <w:basedOn w:val="Normal"/>
    <w:link w:val="FooterChar"/>
    <w:uiPriority w:val="99"/>
    <w:unhideWhenUsed/>
    <w:rsid w:val="00D744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ap.mk.gov.lv/mk/tap/?pid=40442331" TargetMode="External"/><Relationship Id="rId5" Type="http://schemas.openxmlformats.org/officeDocument/2006/relationships/styles" Target="styles.xml"/><Relationship Id="rId10" Type="http://schemas.openxmlformats.org/officeDocument/2006/relationships/hyperlink" Target="https://likumi.lv/ta/id/264822-buvkomersantu-registracijas-noteikum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8" ma:contentTypeDescription="Create a new document." ma:contentTypeScope="" ma:versionID="10aa1fc370c8642974fffaf00798d86a">
  <xsd:schema xmlns:xsd="http://www.w3.org/2001/XMLSchema" xmlns:xs="http://www.w3.org/2001/XMLSchema" xmlns:p="http://schemas.microsoft.com/office/2006/metadata/properties" xmlns:ns2="98d6c3d8-aeaf-4e5b-adb6-e1ad8a72b2c7" xmlns:ns3="e793aee2-0702-45ff-9c51-b29030239f5c" targetNamespace="http://schemas.microsoft.com/office/2006/metadata/properties" ma:root="true" ma:fieldsID="a0e018101489f07f429d95ce85b42112" ns2:_="" ns3:_="">
    <xsd:import namespace="98d6c3d8-aeaf-4e5b-adb6-e1ad8a72b2c7"/>
    <xsd:import namespace="e793aee2-0702-45ff-9c51-b29030239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8d6c3d8-aeaf-4e5b-adb6-e1ad8a72b2c7">
      <UserInfo>
        <DisplayName>Edmunds Valantis</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A853F-56A4-4056-B15C-49F321A39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c3d8-aeaf-4e5b-adb6-e1ad8a72b2c7"/>
    <ds:schemaRef ds:uri="e793aee2-0702-45ff-9c51-b2903023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26853-CA79-439D-B859-DB65A25D922E}">
  <ds:schemaRefs>
    <ds:schemaRef ds:uri="http://schemas.microsoft.com/office/2006/metadata/properties"/>
    <ds:schemaRef ds:uri="http://schemas.microsoft.com/office/infopath/2007/PartnerControls"/>
    <ds:schemaRef ds:uri="98d6c3d8-aeaf-4e5b-adb6-e1ad8a72b2c7"/>
  </ds:schemaRefs>
</ds:datastoreItem>
</file>

<file path=customXml/itemProps3.xml><?xml version="1.0" encoding="utf-8"?>
<ds:datastoreItem xmlns:ds="http://schemas.openxmlformats.org/officeDocument/2006/customXml" ds:itemID="{53C12607-F3BF-40F2-9A8A-4E3BCB011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22965</Words>
  <Characters>13091</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4</cp:revision>
  <cp:lastPrinted>2020-01-23T07:09:00Z</cp:lastPrinted>
  <dcterms:created xsi:type="dcterms:W3CDTF">2020-01-23T07:09:00Z</dcterms:created>
  <dcterms:modified xsi:type="dcterms:W3CDTF">2020-03-26T07:19:00Z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