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09685" w14:textId="77777777" w:rsidR="007116C7" w:rsidRPr="001D7630" w:rsidRDefault="007116C7" w:rsidP="001D7630">
      <w:pPr>
        <w:pStyle w:val="naisnod"/>
        <w:spacing w:before="0" w:after="0"/>
        <w:ind w:firstLine="720"/>
        <w:rPr>
          <w:sz w:val="28"/>
          <w:szCs w:val="28"/>
        </w:rPr>
      </w:pPr>
      <w:r w:rsidRPr="001D7630">
        <w:rPr>
          <w:sz w:val="28"/>
          <w:szCs w:val="28"/>
        </w:rPr>
        <w:t>Izziņa par atzinumos sniegtajiem iebildumiem</w:t>
      </w:r>
    </w:p>
    <w:tbl>
      <w:tblPr>
        <w:tblW w:w="0" w:type="auto"/>
        <w:jc w:val="center"/>
        <w:tblLook w:val="00A0" w:firstRow="1" w:lastRow="0" w:firstColumn="1" w:lastColumn="0" w:noHBand="0" w:noVBand="0"/>
      </w:tblPr>
      <w:tblGrid>
        <w:gridCol w:w="11766"/>
      </w:tblGrid>
      <w:tr w:rsidR="007116C7" w:rsidRPr="001D7630" w14:paraId="79860300" w14:textId="77777777" w:rsidTr="00F70057">
        <w:trPr>
          <w:jc w:val="center"/>
        </w:trPr>
        <w:tc>
          <w:tcPr>
            <w:tcW w:w="11766" w:type="dxa"/>
            <w:tcBorders>
              <w:bottom w:val="single" w:sz="6" w:space="0" w:color="000000"/>
            </w:tcBorders>
          </w:tcPr>
          <w:p w14:paraId="64BB1E4B" w14:textId="77777777" w:rsidR="007116C7" w:rsidRPr="001D7630" w:rsidRDefault="00E16626" w:rsidP="001D7630">
            <w:pPr>
              <w:ind w:firstLine="720"/>
              <w:jc w:val="center"/>
              <w:rPr>
                <w:b/>
                <w:sz w:val="28"/>
                <w:szCs w:val="28"/>
              </w:rPr>
            </w:pPr>
            <w:r w:rsidRPr="001D7630">
              <w:rPr>
                <w:b/>
                <w:sz w:val="28"/>
                <w:szCs w:val="28"/>
              </w:rPr>
              <w:t>Likumprojekts “Transporta enerģijas likums”</w:t>
            </w:r>
            <w:r w:rsidR="0060493C" w:rsidRPr="001D7630">
              <w:rPr>
                <w:b/>
                <w:sz w:val="28"/>
                <w:szCs w:val="28"/>
              </w:rPr>
              <w:t xml:space="preserve"> (VSS-</w:t>
            </w:r>
            <w:r w:rsidRPr="001D7630">
              <w:rPr>
                <w:b/>
                <w:sz w:val="28"/>
                <w:szCs w:val="28"/>
              </w:rPr>
              <w:t>1102</w:t>
            </w:r>
            <w:r w:rsidR="0060493C" w:rsidRPr="001D7630">
              <w:rPr>
                <w:b/>
                <w:sz w:val="28"/>
                <w:szCs w:val="28"/>
              </w:rPr>
              <w:t>)</w:t>
            </w:r>
          </w:p>
        </w:tc>
      </w:tr>
    </w:tbl>
    <w:p w14:paraId="252E1C73" w14:textId="77777777" w:rsidR="007116C7" w:rsidRPr="001D7630" w:rsidRDefault="007116C7" w:rsidP="001D7630">
      <w:pPr>
        <w:pStyle w:val="naisc"/>
        <w:spacing w:before="0" w:after="0"/>
        <w:ind w:firstLine="1080"/>
        <w:rPr>
          <w:sz w:val="20"/>
          <w:szCs w:val="20"/>
        </w:rPr>
      </w:pPr>
      <w:r w:rsidRPr="001D7630">
        <w:rPr>
          <w:sz w:val="20"/>
          <w:szCs w:val="20"/>
        </w:rPr>
        <w:t>(dokumenta veids un nosaukums)</w:t>
      </w:r>
    </w:p>
    <w:p w14:paraId="75062E95" w14:textId="77777777" w:rsidR="007B4C0F" w:rsidRPr="001D7630" w:rsidRDefault="007B4C0F" w:rsidP="001D7630">
      <w:pPr>
        <w:pStyle w:val="naisf"/>
        <w:spacing w:before="0" w:after="0"/>
        <w:ind w:firstLine="720"/>
      </w:pPr>
    </w:p>
    <w:p w14:paraId="0935FCEC" w14:textId="77777777" w:rsidR="007B4C0F" w:rsidRPr="001D7630" w:rsidRDefault="007B4C0F" w:rsidP="001D7630">
      <w:pPr>
        <w:pStyle w:val="naisf"/>
        <w:spacing w:before="0" w:after="0"/>
        <w:ind w:firstLine="0"/>
        <w:jc w:val="center"/>
        <w:rPr>
          <w:b/>
        </w:rPr>
      </w:pPr>
      <w:r w:rsidRPr="001D7630">
        <w:rPr>
          <w:b/>
        </w:rPr>
        <w:t xml:space="preserve">I. Jautājumi, par kuriem saskaņošanā </w:t>
      </w:r>
      <w:r w:rsidR="00134188" w:rsidRPr="001D7630">
        <w:rPr>
          <w:b/>
        </w:rPr>
        <w:t xml:space="preserve">vienošanās </w:t>
      </w:r>
      <w:r w:rsidRPr="001D7630">
        <w:rPr>
          <w:b/>
        </w:rPr>
        <w:t>nav panākta</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810"/>
        <w:gridCol w:w="2828"/>
        <w:gridCol w:w="2827"/>
        <w:gridCol w:w="2827"/>
        <w:gridCol w:w="2827"/>
        <w:gridCol w:w="2827"/>
        <w:gridCol w:w="80"/>
      </w:tblGrid>
      <w:tr w:rsidR="005F4BFD" w:rsidRPr="001D7630" w14:paraId="7DE7DACF" w14:textId="77777777" w:rsidTr="00115CE0">
        <w:trPr>
          <w:gridAfter w:val="1"/>
          <w:wAfter w:w="80" w:type="dxa"/>
          <w:jc w:val="center"/>
        </w:trPr>
        <w:tc>
          <w:tcPr>
            <w:tcW w:w="810" w:type="dxa"/>
            <w:vAlign w:val="center"/>
          </w:tcPr>
          <w:p w14:paraId="7734A7B2" w14:textId="77777777" w:rsidR="005F4BFD" w:rsidRPr="001D7630" w:rsidRDefault="005F4BFD" w:rsidP="001D7630">
            <w:pPr>
              <w:pStyle w:val="naisc"/>
              <w:spacing w:before="0" w:after="0"/>
              <w:rPr>
                <w:sz w:val="20"/>
                <w:szCs w:val="20"/>
              </w:rPr>
            </w:pPr>
            <w:r w:rsidRPr="001D7630">
              <w:rPr>
                <w:sz w:val="20"/>
                <w:szCs w:val="20"/>
              </w:rPr>
              <w:t>Nr. p.k.</w:t>
            </w:r>
          </w:p>
        </w:tc>
        <w:tc>
          <w:tcPr>
            <w:tcW w:w="2828" w:type="dxa"/>
            <w:vAlign w:val="center"/>
          </w:tcPr>
          <w:p w14:paraId="3A12602F" w14:textId="77777777" w:rsidR="005F4BFD" w:rsidRPr="001D7630" w:rsidRDefault="005F4BFD" w:rsidP="001D7630">
            <w:pPr>
              <w:pStyle w:val="naisc"/>
              <w:spacing w:before="0" w:after="0"/>
              <w:ind w:firstLine="12"/>
              <w:rPr>
                <w:sz w:val="20"/>
                <w:szCs w:val="20"/>
              </w:rPr>
            </w:pPr>
            <w:r w:rsidRPr="001D7630">
              <w:rPr>
                <w:sz w:val="20"/>
                <w:szCs w:val="20"/>
              </w:rPr>
              <w:t>Saskaņošanai nosūtītā projekta redakcija (konkrēta punkta (panta) redakcija)</w:t>
            </w:r>
          </w:p>
        </w:tc>
        <w:tc>
          <w:tcPr>
            <w:tcW w:w="2827" w:type="dxa"/>
            <w:vAlign w:val="center"/>
          </w:tcPr>
          <w:p w14:paraId="6E00C31D" w14:textId="77777777" w:rsidR="005F4BFD" w:rsidRPr="001D7630" w:rsidRDefault="005F4BFD" w:rsidP="001D7630">
            <w:pPr>
              <w:pStyle w:val="naisc"/>
              <w:spacing w:before="0" w:after="0"/>
              <w:ind w:right="3"/>
              <w:rPr>
                <w:sz w:val="20"/>
                <w:szCs w:val="20"/>
              </w:rPr>
            </w:pPr>
            <w:r w:rsidRPr="001D7630">
              <w:rPr>
                <w:sz w:val="20"/>
                <w:szCs w:val="20"/>
              </w:rPr>
              <w:t>Atzinumā norādītais ministrijas (citas institūcijas) iebildums</w:t>
            </w:r>
            <w:r w:rsidR="00184479" w:rsidRPr="001D7630">
              <w:rPr>
                <w:sz w:val="20"/>
                <w:szCs w:val="20"/>
              </w:rPr>
              <w:t>,</w:t>
            </w:r>
            <w:r w:rsidR="000E5509" w:rsidRPr="001D7630">
              <w:rPr>
                <w:sz w:val="20"/>
                <w:szCs w:val="20"/>
              </w:rPr>
              <w:t xml:space="preserve"> kā arī saskaņošanā papildus izteiktais iebildums</w:t>
            </w:r>
            <w:r w:rsidRPr="001D7630">
              <w:rPr>
                <w:sz w:val="20"/>
                <w:szCs w:val="20"/>
              </w:rPr>
              <w:t xml:space="preserve"> par projekta konkrēto punktu (pantu)</w:t>
            </w:r>
          </w:p>
        </w:tc>
        <w:tc>
          <w:tcPr>
            <w:tcW w:w="2827" w:type="dxa"/>
            <w:vAlign w:val="center"/>
          </w:tcPr>
          <w:p w14:paraId="2E4A19C9" w14:textId="77777777" w:rsidR="005F4BFD" w:rsidRPr="001D7630" w:rsidRDefault="005F4BFD" w:rsidP="001D7630">
            <w:pPr>
              <w:pStyle w:val="naisc"/>
              <w:spacing w:before="0" w:after="0"/>
              <w:ind w:firstLine="21"/>
              <w:rPr>
                <w:sz w:val="20"/>
                <w:szCs w:val="20"/>
              </w:rPr>
            </w:pPr>
            <w:r w:rsidRPr="001D7630">
              <w:rPr>
                <w:sz w:val="20"/>
                <w:szCs w:val="20"/>
              </w:rPr>
              <w:t>Atbildīgās ministrijas pamatojums</w:t>
            </w:r>
            <w:r w:rsidR="009307F2" w:rsidRPr="001D7630">
              <w:rPr>
                <w:sz w:val="20"/>
                <w:szCs w:val="20"/>
              </w:rPr>
              <w:t xml:space="preserve"> iebilduma noraidījumam</w:t>
            </w:r>
          </w:p>
        </w:tc>
        <w:tc>
          <w:tcPr>
            <w:tcW w:w="2827" w:type="dxa"/>
            <w:vAlign w:val="center"/>
          </w:tcPr>
          <w:p w14:paraId="6BCBFD5F" w14:textId="77777777" w:rsidR="005F4BFD" w:rsidRPr="001D7630" w:rsidRDefault="005F4BFD" w:rsidP="001D7630">
            <w:pPr>
              <w:jc w:val="center"/>
              <w:rPr>
                <w:sz w:val="20"/>
                <w:szCs w:val="20"/>
              </w:rPr>
            </w:pPr>
            <w:r w:rsidRPr="001D7630">
              <w:rPr>
                <w:sz w:val="20"/>
                <w:szCs w:val="20"/>
              </w:rPr>
              <w:t>Atzinuma sniedzēja uzturētais iebildums, ja tas atšķiras no atzinumā norādītā iebilduma pamatojuma</w:t>
            </w:r>
          </w:p>
        </w:tc>
        <w:tc>
          <w:tcPr>
            <w:tcW w:w="2827" w:type="dxa"/>
            <w:vAlign w:val="center"/>
          </w:tcPr>
          <w:p w14:paraId="0BC41F0D" w14:textId="77777777" w:rsidR="005F4BFD" w:rsidRPr="001D7630" w:rsidRDefault="005F4BFD" w:rsidP="001D7630">
            <w:pPr>
              <w:jc w:val="center"/>
              <w:rPr>
                <w:sz w:val="20"/>
                <w:szCs w:val="20"/>
              </w:rPr>
            </w:pPr>
            <w:r w:rsidRPr="001D7630">
              <w:rPr>
                <w:sz w:val="20"/>
                <w:szCs w:val="20"/>
              </w:rPr>
              <w:t>Projekta attiecīgā punkta (panta) galīgā redakcija</w:t>
            </w:r>
          </w:p>
        </w:tc>
      </w:tr>
      <w:tr w:rsidR="005F4BFD" w:rsidRPr="001D7630" w14:paraId="4877E02B" w14:textId="77777777" w:rsidTr="00115CE0">
        <w:trPr>
          <w:jc w:val="center"/>
        </w:trPr>
        <w:tc>
          <w:tcPr>
            <w:tcW w:w="810" w:type="dxa"/>
          </w:tcPr>
          <w:p w14:paraId="42C23408" w14:textId="77777777" w:rsidR="005F4BFD" w:rsidRPr="001D7630" w:rsidRDefault="008A36C9" w:rsidP="001D7630">
            <w:pPr>
              <w:pStyle w:val="naisc"/>
              <w:spacing w:before="0" w:after="0"/>
              <w:rPr>
                <w:sz w:val="20"/>
                <w:szCs w:val="20"/>
              </w:rPr>
            </w:pPr>
            <w:r w:rsidRPr="001D7630">
              <w:rPr>
                <w:sz w:val="20"/>
                <w:szCs w:val="20"/>
              </w:rPr>
              <w:t>1</w:t>
            </w:r>
          </w:p>
        </w:tc>
        <w:tc>
          <w:tcPr>
            <w:tcW w:w="2828" w:type="dxa"/>
          </w:tcPr>
          <w:p w14:paraId="2F52E210" w14:textId="77777777" w:rsidR="005F4BFD" w:rsidRPr="001D7630" w:rsidRDefault="008A36C9" w:rsidP="001D7630">
            <w:pPr>
              <w:pStyle w:val="naisc"/>
              <w:spacing w:before="0" w:after="0"/>
              <w:rPr>
                <w:sz w:val="20"/>
                <w:szCs w:val="20"/>
              </w:rPr>
            </w:pPr>
            <w:r w:rsidRPr="001D7630">
              <w:rPr>
                <w:sz w:val="20"/>
                <w:szCs w:val="20"/>
              </w:rPr>
              <w:t>2</w:t>
            </w:r>
          </w:p>
        </w:tc>
        <w:tc>
          <w:tcPr>
            <w:tcW w:w="2827" w:type="dxa"/>
          </w:tcPr>
          <w:p w14:paraId="19B73A69" w14:textId="77777777" w:rsidR="005F4BFD" w:rsidRPr="001D7630" w:rsidRDefault="008A36C9" w:rsidP="001D7630">
            <w:pPr>
              <w:pStyle w:val="naisc"/>
              <w:spacing w:before="0" w:after="0"/>
              <w:rPr>
                <w:sz w:val="20"/>
                <w:szCs w:val="20"/>
              </w:rPr>
            </w:pPr>
            <w:r w:rsidRPr="001D7630">
              <w:rPr>
                <w:sz w:val="20"/>
                <w:szCs w:val="20"/>
              </w:rPr>
              <w:t>3</w:t>
            </w:r>
          </w:p>
        </w:tc>
        <w:tc>
          <w:tcPr>
            <w:tcW w:w="2827" w:type="dxa"/>
          </w:tcPr>
          <w:p w14:paraId="25488345" w14:textId="77777777" w:rsidR="005F4BFD" w:rsidRPr="001D7630" w:rsidRDefault="008A36C9" w:rsidP="001D7630">
            <w:pPr>
              <w:pStyle w:val="naisc"/>
              <w:spacing w:before="0" w:after="0"/>
              <w:rPr>
                <w:sz w:val="20"/>
                <w:szCs w:val="20"/>
              </w:rPr>
            </w:pPr>
            <w:r w:rsidRPr="001D7630">
              <w:rPr>
                <w:sz w:val="20"/>
                <w:szCs w:val="20"/>
              </w:rPr>
              <w:t>4</w:t>
            </w:r>
          </w:p>
        </w:tc>
        <w:tc>
          <w:tcPr>
            <w:tcW w:w="2827" w:type="dxa"/>
          </w:tcPr>
          <w:p w14:paraId="69E0BF96" w14:textId="77777777" w:rsidR="005F4BFD" w:rsidRPr="001D7630" w:rsidRDefault="008A36C9" w:rsidP="001D7630">
            <w:pPr>
              <w:jc w:val="center"/>
              <w:rPr>
                <w:sz w:val="20"/>
                <w:szCs w:val="20"/>
              </w:rPr>
            </w:pPr>
            <w:r w:rsidRPr="001D7630">
              <w:rPr>
                <w:sz w:val="20"/>
                <w:szCs w:val="20"/>
              </w:rPr>
              <w:t>5</w:t>
            </w:r>
          </w:p>
        </w:tc>
        <w:tc>
          <w:tcPr>
            <w:tcW w:w="2907" w:type="dxa"/>
            <w:gridSpan w:val="2"/>
          </w:tcPr>
          <w:p w14:paraId="6E22CF4E" w14:textId="77777777" w:rsidR="005F4BFD" w:rsidRPr="001D7630" w:rsidRDefault="008A36C9" w:rsidP="001D7630">
            <w:pPr>
              <w:jc w:val="center"/>
              <w:rPr>
                <w:sz w:val="20"/>
                <w:szCs w:val="20"/>
              </w:rPr>
            </w:pPr>
            <w:r w:rsidRPr="001D7630">
              <w:rPr>
                <w:sz w:val="20"/>
                <w:szCs w:val="20"/>
              </w:rPr>
              <w:t>6</w:t>
            </w:r>
          </w:p>
        </w:tc>
      </w:tr>
      <w:tr w:rsidR="00115CE0" w:rsidRPr="001D7630" w14:paraId="7A8DED1E" w14:textId="77777777" w:rsidTr="00115CE0">
        <w:trPr>
          <w:jc w:val="center"/>
        </w:trPr>
        <w:tc>
          <w:tcPr>
            <w:tcW w:w="810" w:type="dxa"/>
            <w:vMerge w:val="restart"/>
          </w:tcPr>
          <w:p w14:paraId="39DF9CC6" w14:textId="77777777" w:rsidR="00115CE0" w:rsidRPr="001D7630" w:rsidRDefault="00115CE0" w:rsidP="001D7630">
            <w:pPr>
              <w:pStyle w:val="naisc"/>
              <w:spacing w:before="0" w:after="0"/>
              <w:rPr>
                <w:b/>
              </w:rPr>
            </w:pPr>
            <w:r w:rsidRPr="001D7630">
              <w:rPr>
                <w:b/>
              </w:rPr>
              <w:t>1.</w:t>
            </w:r>
          </w:p>
        </w:tc>
        <w:tc>
          <w:tcPr>
            <w:tcW w:w="2828" w:type="dxa"/>
            <w:vMerge w:val="restart"/>
          </w:tcPr>
          <w:p w14:paraId="528E38E3" w14:textId="77777777" w:rsidR="00115CE0" w:rsidRPr="001D7630" w:rsidRDefault="00115CE0" w:rsidP="001D7630">
            <w:pPr>
              <w:pStyle w:val="naisf"/>
              <w:spacing w:before="0" w:after="0"/>
              <w:ind w:firstLine="0"/>
            </w:pPr>
            <w:r w:rsidRPr="001D7630">
              <w:t>8.panta 3.daļa:</w:t>
            </w:r>
          </w:p>
          <w:p w14:paraId="352937F4" w14:textId="77777777" w:rsidR="00115CE0" w:rsidRPr="001D7630" w:rsidRDefault="00115CE0" w:rsidP="001D7630">
            <w:pPr>
              <w:pStyle w:val="tv213"/>
              <w:spacing w:before="0" w:beforeAutospacing="0" w:after="0" w:afterAutospacing="0"/>
              <w:jc w:val="both"/>
            </w:pPr>
            <w:r w:rsidRPr="001D7630">
              <w:t>“(3) Līdzdalības mehānisma ietvaros degvielas piegādātājs līdz 2023. gada 31. decembrim ik gadu nodrošina, ka:</w:t>
            </w:r>
          </w:p>
          <w:p w14:paraId="09545D2B" w14:textId="77777777" w:rsidR="00115CE0" w:rsidRPr="001D7630" w:rsidRDefault="00115CE0" w:rsidP="001D7630">
            <w:pPr>
              <w:pStyle w:val="tv213"/>
              <w:spacing w:before="0" w:beforeAutospacing="0" w:after="0" w:afterAutospacing="0"/>
              <w:jc w:val="both"/>
            </w:pPr>
            <w:r w:rsidRPr="001D7630">
              <w:t>1) galapatēriņam transportā realizētajam benzīnam, kura pētnieciskais oktānskaitlis ir 95 vai lielāks, bet mazāks par 98 (95. markas benzīns), ir pievienota biodegviela vai modernā biodegviela vai biodegviela kopā ar moderno biodegvielu kopumā ne mazāk kā 9,5 tilpumprocentu apjomā no kopējā maisījuma tilpuma;</w:t>
            </w:r>
          </w:p>
          <w:p w14:paraId="0486DFB7" w14:textId="77777777" w:rsidR="00115CE0" w:rsidRPr="001D7630" w:rsidRDefault="00115CE0" w:rsidP="001D7630">
            <w:pPr>
              <w:pStyle w:val="tv213"/>
              <w:spacing w:before="0" w:beforeAutospacing="0" w:after="0" w:afterAutospacing="0"/>
              <w:jc w:val="both"/>
            </w:pPr>
            <w:r w:rsidRPr="001D7630">
              <w:t xml:space="preserve">2) galapatēriņam transportā realizētajam benzīnam, kura pētnieciskais oktānskaitlis ir 98 vai lielāks, bet mazāks par </w:t>
            </w:r>
            <w:r w:rsidRPr="001D7630">
              <w:lastRenderedPageBreak/>
              <w:t>100 (98. markas benzīns), ir pievienota biodegviela vai modernā biodegviela vai biodegviela kopā ar moderno biodegvielu ne vairāk kā 5 tilpumprocentu apjomā no kopējā maisījuma tilpuma;</w:t>
            </w:r>
          </w:p>
          <w:p w14:paraId="45411F96" w14:textId="77777777" w:rsidR="00115CE0" w:rsidRPr="001D7630" w:rsidRDefault="00115CE0" w:rsidP="001D7630">
            <w:pPr>
              <w:pStyle w:val="naisf"/>
              <w:spacing w:before="0" w:after="0"/>
              <w:ind w:firstLine="0"/>
            </w:pPr>
            <w:bookmarkStart w:id="0" w:name="p8.2"/>
            <w:bookmarkStart w:id="1" w:name="p-289816"/>
            <w:bookmarkEnd w:id="0"/>
            <w:bookmarkEnd w:id="1"/>
            <w:r w:rsidRPr="001D7630">
              <w:t>3) galapatēriņam transportā realizētajai dīzeļdegvielai ir pievienota biodegviela vai modernā biodegviela vai biodegviela kopā ar moderno biodegvielu ne mazāk kā 6,5 tilpumprocentu apjomā no kopējā maisījuma tilpuma;”</w:t>
            </w:r>
          </w:p>
        </w:tc>
        <w:tc>
          <w:tcPr>
            <w:tcW w:w="2827" w:type="dxa"/>
          </w:tcPr>
          <w:p w14:paraId="6E65887E" w14:textId="77777777" w:rsidR="00115CE0" w:rsidRPr="001D7630" w:rsidRDefault="00115CE0" w:rsidP="001D7630">
            <w:pPr>
              <w:pStyle w:val="Default"/>
              <w:jc w:val="center"/>
              <w:rPr>
                <w:rFonts w:ascii="Times New Roman" w:hAnsi="Times New Roman" w:cs="Times New Roman"/>
                <w:b/>
                <w:bCs/>
              </w:rPr>
            </w:pPr>
            <w:r w:rsidRPr="001D7630">
              <w:rPr>
                <w:rFonts w:ascii="Times New Roman" w:hAnsi="Times New Roman" w:cs="Times New Roman"/>
                <w:b/>
                <w:bCs/>
              </w:rPr>
              <w:lastRenderedPageBreak/>
              <w:t>Latvijas biodegvielu un bioenerģijas asociācija</w:t>
            </w:r>
          </w:p>
          <w:p w14:paraId="48324328" w14:textId="77777777" w:rsidR="00115CE0" w:rsidRPr="001D7630" w:rsidRDefault="00115CE0" w:rsidP="001D7630">
            <w:pPr>
              <w:pStyle w:val="Default"/>
              <w:jc w:val="center"/>
              <w:rPr>
                <w:rFonts w:ascii="Times New Roman" w:hAnsi="Times New Roman" w:cs="Times New Roman"/>
                <w:b/>
                <w:bCs/>
              </w:rPr>
            </w:pPr>
            <w:r w:rsidRPr="001D7630">
              <w:rPr>
                <w:rFonts w:ascii="Times New Roman" w:hAnsi="Times New Roman" w:cs="Times New Roman"/>
                <w:b/>
                <w:bCs/>
              </w:rPr>
              <w:t>(11.01.2021.)</w:t>
            </w:r>
          </w:p>
          <w:p w14:paraId="4B473943" w14:textId="77777777" w:rsidR="00115CE0" w:rsidRPr="001D7630" w:rsidRDefault="00115CE0" w:rsidP="001D7630">
            <w:pPr>
              <w:widowControl w:val="0"/>
              <w:jc w:val="both"/>
              <w:rPr>
                <w:b/>
                <w:bCs/>
              </w:rPr>
            </w:pPr>
            <w:r w:rsidRPr="001D7630">
              <w:t xml:space="preserve">1. 8. panta trešajā daļā paredzēts, ka līdzdalības mehānisma ietvaros degvielas piegādātājs līdz 2023. gada 31. decembrim ik gadu nodrošina biodegvielas obligāto piejaukumu benzīnam un dīzeļdegvielai. Mūsuprāt šajā pantā būtu jāpagarina termiņš līdz 2030.gada 1.janvārim, jo kamēr nav pietiekamā apjomā ieviesta otrās paaudzes biodegviela (2024-2030.gados) nevarēs sasniegt likumprojekta mērķi, pietiekami lielu AER apjomu transportā. </w:t>
            </w:r>
          </w:p>
        </w:tc>
        <w:tc>
          <w:tcPr>
            <w:tcW w:w="2827" w:type="dxa"/>
            <w:vMerge w:val="restart"/>
          </w:tcPr>
          <w:p w14:paraId="066C901E" w14:textId="77777777" w:rsidR="00115CE0" w:rsidRPr="001D7630" w:rsidRDefault="00115CE0" w:rsidP="001D7630">
            <w:pPr>
              <w:jc w:val="center"/>
              <w:rPr>
                <w:b/>
                <w:bCs/>
                <w:iCs/>
              </w:rPr>
            </w:pPr>
            <w:r w:rsidRPr="001D7630">
              <w:rPr>
                <w:b/>
                <w:bCs/>
                <w:iCs/>
              </w:rPr>
              <w:t>Nav ņemts vērā</w:t>
            </w:r>
          </w:p>
          <w:p w14:paraId="0DE17B09" w14:textId="77777777" w:rsidR="00115CE0" w:rsidRPr="001D7630" w:rsidRDefault="00115CE0" w:rsidP="001D7630">
            <w:pPr>
              <w:jc w:val="center"/>
              <w:rPr>
                <w:b/>
                <w:bCs/>
                <w:iCs/>
              </w:rPr>
            </w:pPr>
            <w:r w:rsidRPr="001D7630">
              <w:rPr>
                <w:b/>
                <w:bCs/>
                <w:iCs/>
              </w:rPr>
              <w:t>Pārrunāts starpministriju saskaņošana sanāksmē</w:t>
            </w:r>
          </w:p>
          <w:p w14:paraId="27D040F7" w14:textId="77777777" w:rsidR="00115CE0" w:rsidRPr="001D7630" w:rsidRDefault="00115CE0" w:rsidP="001D7630">
            <w:pPr>
              <w:jc w:val="both"/>
              <w:rPr>
                <w:iCs/>
              </w:rPr>
            </w:pPr>
            <w:r w:rsidRPr="001D7630">
              <w:rPr>
                <w:iCs/>
              </w:rPr>
              <w:t>1. Likumprojektā iekļautie nosacījumi izriet no NEKP2030, kurā ir noteikts kopējais Latvijas atjaunojamās transporta enerģijas mērķis 2030.gadam – 7%, kas izvēlēts, piemērojot Direktīvas 2018/2001 26.panta 1.punktā iekļautos nosacījumus par 25.panta 1.punktā iekļautā obligātā minimālā mērķa samazinājumu.</w:t>
            </w:r>
          </w:p>
          <w:p w14:paraId="7B59139A" w14:textId="77777777" w:rsidR="00115CE0" w:rsidRPr="001D7630" w:rsidRDefault="00115CE0" w:rsidP="001D7630">
            <w:pPr>
              <w:jc w:val="both"/>
              <w:rPr>
                <w:iCs/>
              </w:rPr>
            </w:pPr>
            <w:r w:rsidRPr="001D7630">
              <w:rPr>
                <w:iCs/>
              </w:rPr>
              <w:t xml:space="preserve">Likumprojekta 8.panta 4. un 5.daļā degvielas piegādātājam ir noteikti konkrēti mērķi, kuras noteikšanas pienākums ir </w:t>
            </w:r>
            <w:r w:rsidRPr="001D7630">
              <w:rPr>
                <w:iCs/>
              </w:rPr>
              <w:lastRenderedPageBreak/>
              <w:t>noteikts direktīvā 2018/2001, t.i. ir noteikti nosacījumi, kādu transporta enerģiju un kādā apjomā degvielas piegādātājs var paziņot attiecībā pret tam noteikto mērķu izpildi. Vienlaikus nav noteikts ierobežojums patēriņam transportā piegādāt arī cita veida transporta enerģiju, tai skaitā, arī lai izpildītu likumprojekta 9.pantā noteiktos mērķus.</w:t>
            </w:r>
          </w:p>
          <w:p w14:paraId="2351ECEA" w14:textId="77777777" w:rsidR="00115CE0" w:rsidRPr="001D7630" w:rsidRDefault="00115CE0" w:rsidP="001D7630">
            <w:pPr>
              <w:jc w:val="both"/>
              <w:rPr>
                <w:iCs/>
              </w:rPr>
            </w:pPr>
            <w:r w:rsidRPr="001D7630">
              <w:rPr>
                <w:iCs/>
              </w:rPr>
              <w:t>Norādām, ka, lai gan likumprojektā nav noteikti konkrēti obligātā piejaukuma apjomi periodā pēc 2023.gada, tomēr nav arī noteikts, ka degvielas piegādātāji biodegvielu piejaukt pie degvielas nedrīkstēs. Degvielas piegādātājiem būs brīva izvēle attiecībā uz biodegvielas piejaukumu un tā apjomu.</w:t>
            </w:r>
          </w:p>
          <w:p w14:paraId="5EB8145A" w14:textId="77777777" w:rsidR="00115CE0" w:rsidRPr="001D7630" w:rsidRDefault="00115CE0" w:rsidP="001D7630">
            <w:pPr>
              <w:jc w:val="both"/>
              <w:rPr>
                <w:iCs/>
              </w:rPr>
            </w:pPr>
            <w:r w:rsidRPr="001D7630">
              <w:rPr>
                <w:iCs/>
              </w:rPr>
              <w:t xml:space="preserve">Atceļot obligāto biodegvielas piejaukumu (atceļot noteiktos maksimālos apjomus) nav paredzama būtiska atjaunojamās enerģijas </w:t>
            </w:r>
            <w:r w:rsidRPr="001D7630">
              <w:rPr>
                <w:iCs/>
              </w:rPr>
              <w:lastRenderedPageBreak/>
              <w:t>transportā īpatsvara samazināšanās, jo šo īpatsvaru “noturēs” likumprojekta 9.pantā iekļauto ikgadējo mērķu pienākums.</w:t>
            </w:r>
          </w:p>
          <w:p w14:paraId="11FB1AD1" w14:textId="61A5227E" w:rsidR="00115CE0" w:rsidRPr="001D7630" w:rsidRDefault="00115CE0" w:rsidP="001D7630">
            <w:pPr>
              <w:jc w:val="both"/>
              <w:rPr>
                <w:b/>
                <w:bCs/>
                <w:iCs/>
              </w:rPr>
            </w:pPr>
            <w:r w:rsidRPr="001D7630">
              <w:rPr>
                <w:iCs/>
              </w:rPr>
              <w:t xml:space="preserve">Vienlaikus norādām, ka Eiropas Komisija </w:t>
            </w:r>
            <w:r>
              <w:rPr>
                <w:iCs/>
              </w:rPr>
              <w:t xml:space="preserve">ir publicējusi Direktīvas 2018/2001 grozījumu projektu, ar kuru tiek piedāvāts kāpināt likumprojekta 9.pantā noteikto mērķi (to nosakot 2030.gadam nevis ikgadēji), vienlaikus nosakot, ka minētais mērķis ir sasniedzams tikai ar atjaunojamajiem transporta enerģijas veidiem, t.i. mērķi nevarēs izpildīt ar sašķidrināto naftas gāzi, saspiesto vai sašķidrināto dabasgāzi vai ar no fosilajiem energoresursiem izmantoto ūdeņradi. Līdz ar to ir paredzams, ka </w:t>
            </w:r>
            <w:r w:rsidRPr="001D7630">
              <w:rPr>
                <w:iCs/>
              </w:rPr>
              <w:t>pieprasījums pēc biodegvielām un biodegvielu patēriņš nemazināsies</w:t>
            </w:r>
            <w:r>
              <w:rPr>
                <w:iCs/>
              </w:rPr>
              <w:t>, bet tikai palielināsies.</w:t>
            </w:r>
            <w:bookmarkStart w:id="2" w:name="_GoBack"/>
            <w:bookmarkEnd w:id="2"/>
          </w:p>
        </w:tc>
        <w:tc>
          <w:tcPr>
            <w:tcW w:w="2827" w:type="dxa"/>
          </w:tcPr>
          <w:p w14:paraId="69408E54" w14:textId="2200CF4F" w:rsidR="00115CE0" w:rsidRPr="001D7630" w:rsidRDefault="00115CE0" w:rsidP="001D7630">
            <w:pPr>
              <w:widowControl w:val="0"/>
              <w:jc w:val="center"/>
              <w:rPr>
                <w:b/>
                <w:bCs/>
              </w:rPr>
            </w:pPr>
            <w:r w:rsidRPr="001D7630">
              <w:rPr>
                <w:b/>
                <w:bCs/>
              </w:rPr>
              <w:lastRenderedPageBreak/>
              <w:t>23.03.2021.</w:t>
            </w:r>
          </w:p>
          <w:p w14:paraId="141DE078" w14:textId="712F5403" w:rsidR="00115CE0" w:rsidRDefault="00115CE0" w:rsidP="001D7630">
            <w:pPr>
              <w:widowControl w:val="0"/>
              <w:jc w:val="center"/>
              <w:rPr>
                <w:b/>
                <w:bCs/>
              </w:rPr>
            </w:pPr>
            <w:r w:rsidRPr="001D7630">
              <w:rPr>
                <w:b/>
                <w:bCs/>
              </w:rPr>
              <w:t>10.06.2021.</w:t>
            </w:r>
          </w:p>
          <w:p w14:paraId="3FB6FB0B" w14:textId="020FE904" w:rsidR="00115CE0" w:rsidRPr="001D7630" w:rsidRDefault="00115CE0" w:rsidP="001D7630">
            <w:pPr>
              <w:widowControl w:val="0"/>
              <w:jc w:val="center"/>
              <w:rPr>
                <w:b/>
                <w:bCs/>
              </w:rPr>
            </w:pPr>
            <w:r>
              <w:rPr>
                <w:b/>
                <w:bCs/>
              </w:rPr>
              <w:t>15.07.2021.</w:t>
            </w:r>
          </w:p>
          <w:p w14:paraId="6CA11484" w14:textId="77777777" w:rsidR="00115CE0" w:rsidRPr="001D7630" w:rsidRDefault="00115CE0" w:rsidP="001D7630">
            <w:pPr>
              <w:pStyle w:val="Default"/>
              <w:rPr>
                <w:rFonts w:ascii="Times New Roman" w:hAnsi="Times New Roman" w:cs="Times New Roman"/>
              </w:rPr>
            </w:pPr>
            <w:r w:rsidRPr="001D7630">
              <w:rPr>
                <w:rFonts w:ascii="Times New Roman" w:hAnsi="Times New Roman" w:cs="Times New Roman"/>
              </w:rPr>
              <w:t xml:space="preserve">2. Likumprojekta 8. panta trešajā daļā paredzēts, ka līdzdalības mehānisma ietvaros degvielas piegādātājs līdz 2023. gada 31. decembrim ik gadu nodrošina biodegvielas obligāto piejaukumu benzīnam un dīzeļdegvielai. Mūsuprāt šajā pantā būtu jāpagarina termiņš līdz 2030.gada 1.janvārim, jo kamēr nav pietiekamā apjomā ieviesta otrās paaudzes biodegviela (2024-2030.gados) nevarēs sasniegt likumprojekta mērķi, pietiekami lielu AER apjomu transportā. </w:t>
            </w:r>
          </w:p>
          <w:p w14:paraId="7A9CEA49" w14:textId="77777777" w:rsidR="00115CE0" w:rsidRPr="001D7630" w:rsidRDefault="00115CE0" w:rsidP="001D7630">
            <w:pPr>
              <w:pStyle w:val="Default"/>
              <w:rPr>
                <w:rFonts w:ascii="Times New Roman" w:hAnsi="Times New Roman" w:cs="Times New Roman"/>
              </w:rPr>
            </w:pPr>
            <w:r w:rsidRPr="001D7630">
              <w:rPr>
                <w:rFonts w:ascii="Times New Roman" w:hAnsi="Times New Roman" w:cs="Times New Roman"/>
              </w:rPr>
              <w:lastRenderedPageBreak/>
              <w:t xml:space="preserve">Iebildums nav ņemts vērā. Izziņā par atzinumos sniegtajiem iebildumiem (turpmāk – “Izziņa”) minēts, ka iebildums ir ņemts vērā un Likumprojekta 8.pants ir precizēts un Likumprojekta anotācijas II sadaļas 2.punkta sadaļa “Likumprojekta 8.pants” ir būtiski papildināta. Tomēr, tas neatbilst patiesībai, 8.pants nav precizēts un nerisina AER mērķu sasnigšanas problēmu periodā no </w:t>
            </w:r>
          </w:p>
          <w:p w14:paraId="70D4E6BB" w14:textId="77777777" w:rsidR="00115CE0" w:rsidRPr="001D7630" w:rsidRDefault="00115CE0" w:rsidP="001D7630">
            <w:pPr>
              <w:pStyle w:val="naisf"/>
              <w:spacing w:before="0" w:after="0"/>
              <w:ind w:firstLine="0"/>
            </w:pPr>
            <w:r w:rsidRPr="001D7630">
              <w:t>2024.-2030.gadam, kad atbilstoši likumprojektā noteiktajai obligātā piejaukuma atcelšanai benzīnam un dīzeļdegvielai būs būtisks AER patēriņa kritums transportā.</w:t>
            </w:r>
          </w:p>
        </w:tc>
        <w:tc>
          <w:tcPr>
            <w:tcW w:w="2907" w:type="dxa"/>
            <w:gridSpan w:val="2"/>
            <w:vMerge w:val="restart"/>
          </w:tcPr>
          <w:p w14:paraId="32A489A6" w14:textId="77777777" w:rsidR="00115CE0" w:rsidRPr="001D7630" w:rsidRDefault="00115CE0" w:rsidP="001D7630">
            <w:pPr>
              <w:rPr>
                <w:color w:val="000000" w:themeColor="text1"/>
              </w:rPr>
            </w:pPr>
            <w:r w:rsidRPr="001D7630">
              <w:rPr>
                <w:color w:val="000000" w:themeColor="text1"/>
              </w:rPr>
              <w:lastRenderedPageBreak/>
              <w:t>8.panta 3.daļa:</w:t>
            </w:r>
          </w:p>
          <w:p w14:paraId="6D416691" w14:textId="77777777" w:rsidR="00115CE0" w:rsidRPr="001D7630" w:rsidRDefault="00115CE0" w:rsidP="001D7630">
            <w:pPr>
              <w:pStyle w:val="tv213"/>
              <w:spacing w:before="0" w:beforeAutospacing="0" w:after="0" w:afterAutospacing="0"/>
              <w:jc w:val="both"/>
            </w:pPr>
            <w:r w:rsidRPr="001D7630">
              <w:rPr>
                <w:color w:val="000000" w:themeColor="text1"/>
              </w:rPr>
              <w:t>“</w:t>
            </w:r>
            <w:r w:rsidRPr="001D7630">
              <w:t>(3) Līdzdalības mehānisma ietvaros degvielas piegādātājs līdz 2023. gada 31. decembrim ik gadu nodrošina, ka:</w:t>
            </w:r>
          </w:p>
          <w:p w14:paraId="0108AA89" w14:textId="77777777" w:rsidR="00115CE0" w:rsidRPr="001D7630" w:rsidRDefault="00115CE0" w:rsidP="001D7630">
            <w:pPr>
              <w:pStyle w:val="tv213"/>
              <w:spacing w:before="0" w:beforeAutospacing="0" w:after="0" w:afterAutospacing="0"/>
              <w:jc w:val="both"/>
            </w:pPr>
            <w:r w:rsidRPr="001D7630">
              <w:t>1) galapatēriņam transportā realizētajam benzīnam, kura pētnieciskais oktānskaitlis ir 95 vai lielāks, bet mazāks par 98 (95. markas benzīns), ir pievienota biodegviela vai modernā biodegviela vai biodegviela kopā ar moderno biodegvielu kopumā ne mazāk kā 9,5 tilpumprocentu apjomā no kopējā maisījuma tilpuma;</w:t>
            </w:r>
          </w:p>
          <w:p w14:paraId="448305F0" w14:textId="77777777" w:rsidR="00115CE0" w:rsidRPr="001D7630" w:rsidRDefault="00115CE0" w:rsidP="001D7630">
            <w:pPr>
              <w:pStyle w:val="tv213"/>
              <w:spacing w:before="0" w:beforeAutospacing="0" w:after="0" w:afterAutospacing="0"/>
              <w:jc w:val="both"/>
            </w:pPr>
            <w:r w:rsidRPr="001D7630">
              <w:t xml:space="preserve">2) galapatēriņam transportā realizētajam benzīnam, kura pētnieciskais oktānskaitlis ir 98 vai lielāks, bet mazāks par </w:t>
            </w:r>
            <w:r w:rsidRPr="001D7630">
              <w:lastRenderedPageBreak/>
              <w:t>100 (98. markas benzīns), ir pievienota biodegviela vai modernā biodegviela vai biodegviela kopā ar moderno biodegvielu ne vairāk kā 5 tilpumprocentu apjomā no kopējā maisījuma tilpuma;</w:t>
            </w:r>
          </w:p>
          <w:p w14:paraId="71879C8E" w14:textId="77777777" w:rsidR="00115CE0" w:rsidRPr="001D7630" w:rsidRDefault="00115CE0" w:rsidP="001D7630">
            <w:pPr>
              <w:pStyle w:val="tv213"/>
              <w:spacing w:before="0" w:beforeAutospacing="0" w:after="0" w:afterAutospacing="0"/>
              <w:jc w:val="both"/>
            </w:pPr>
            <w:r w:rsidRPr="001D7630">
              <w:t>3) galapatēriņam transportā realizētajai dīzeļdegvielai ir pievienota biodegviela vai modernā biodegviela vai biodegviela kopā ar moderno biodegvielu ne mazāk kā 6,5 tilpumprocentu apjomā no kopējā maisījuma tilpuma;”</w:t>
            </w:r>
          </w:p>
        </w:tc>
      </w:tr>
      <w:tr w:rsidR="00115CE0" w:rsidRPr="001D7630" w14:paraId="7FD71B64" w14:textId="77777777" w:rsidTr="00115CE0">
        <w:trPr>
          <w:jc w:val="center"/>
        </w:trPr>
        <w:tc>
          <w:tcPr>
            <w:tcW w:w="810" w:type="dxa"/>
            <w:vMerge/>
          </w:tcPr>
          <w:p w14:paraId="50322486" w14:textId="77777777" w:rsidR="00115CE0" w:rsidRPr="001D7630" w:rsidRDefault="00115CE0" w:rsidP="001D7630">
            <w:pPr>
              <w:pStyle w:val="naisc"/>
              <w:spacing w:before="0" w:after="0"/>
              <w:rPr>
                <w:b/>
              </w:rPr>
            </w:pPr>
          </w:p>
        </w:tc>
        <w:tc>
          <w:tcPr>
            <w:tcW w:w="2828" w:type="dxa"/>
            <w:vMerge/>
          </w:tcPr>
          <w:p w14:paraId="2EB01254" w14:textId="77777777" w:rsidR="00115CE0" w:rsidRPr="001D7630" w:rsidRDefault="00115CE0" w:rsidP="001D7630">
            <w:pPr>
              <w:pStyle w:val="naisf"/>
              <w:spacing w:before="0" w:after="0"/>
              <w:ind w:firstLine="0"/>
            </w:pPr>
          </w:p>
        </w:tc>
        <w:tc>
          <w:tcPr>
            <w:tcW w:w="2827" w:type="dxa"/>
          </w:tcPr>
          <w:p w14:paraId="0057C2E2" w14:textId="77777777" w:rsidR="00115CE0" w:rsidRDefault="00115CE0" w:rsidP="001D7630">
            <w:pPr>
              <w:pStyle w:val="Default"/>
              <w:jc w:val="center"/>
              <w:rPr>
                <w:rFonts w:ascii="Times New Roman" w:hAnsi="Times New Roman" w:cs="Times New Roman"/>
                <w:b/>
                <w:bCs/>
              </w:rPr>
            </w:pPr>
            <w:r>
              <w:rPr>
                <w:rFonts w:ascii="Times New Roman" w:hAnsi="Times New Roman" w:cs="Times New Roman"/>
                <w:b/>
                <w:bCs/>
              </w:rPr>
              <w:t>Zemkopības ministrija</w:t>
            </w:r>
          </w:p>
          <w:p w14:paraId="3A871737" w14:textId="77777777" w:rsidR="00115CE0" w:rsidRDefault="00115CE0" w:rsidP="001D7630">
            <w:pPr>
              <w:pStyle w:val="Default"/>
              <w:jc w:val="center"/>
              <w:rPr>
                <w:rFonts w:ascii="Times New Roman" w:hAnsi="Times New Roman" w:cs="Times New Roman"/>
                <w:b/>
                <w:bCs/>
              </w:rPr>
            </w:pPr>
            <w:r>
              <w:rPr>
                <w:rFonts w:ascii="Times New Roman" w:hAnsi="Times New Roman" w:cs="Times New Roman"/>
                <w:b/>
                <w:bCs/>
              </w:rPr>
              <w:t>(25.08.2021. atzinums)</w:t>
            </w:r>
          </w:p>
          <w:p w14:paraId="6B9270DE" w14:textId="77777777" w:rsidR="00115CE0" w:rsidRDefault="00115CE0" w:rsidP="00115CE0">
            <w:r>
              <w:t xml:space="preserve">Ņemot vērā, šī gada 14.jūlijā publicēto </w:t>
            </w:r>
            <w:r w:rsidRPr="00687A0B">
              <w:t>jauno tiesību aktu pakotni klimata jomā (t.s.</w:t>
            </w:r>
            <w:r>
              <w:t xml:space="preserve"> </w:t>
            </w:r>
            <w:r w:rsidRPr="00100B26">
              <w:rPr>
                <w:i/>
              </w:rPr>
              <w:t>"Fit for 55"</w:t>
            </w:r>
            <w:r w:rsidRPr="00687A0B">
              <w:t>)</w:t>
            </w:r>
            <w:r>
              <w:t xml:space="preserve">, konkrēti grozījumus </w:t>
            </w:r>
            <w:r w:rsidRPr="00EA4466">
              <w:rPr>
                <w:noProof/>
              </w:rPr>
              <w:t>Eiropas Parlamenta un Padomes 2018.gada 11.decembra direktīv</w:t>
            </w:r>
            <w:r>
              <w:rPr>
                <w:noProof/>
              </w:rPr>
              <w:t>ā</w:t>
            </w:r>
            <w:r w:rsidRPr="00EA4466">
              <w:rPr>
                <w:noProof/>
              </w:rPr>
              <w:t xml:space="preserve"> Nr.2018/2001 par </w:t>
            </w:r>
            <w:r w:rsidRPr="00EA4466">
              <w:rPr>
                <w:noProof/>
              </w:rPr>
              <w:lastRenderedPageBreak/>
              <w:t>no atjaunojamajiem energoresursiem iegūtas enerģijas izmantošanas veicināšanu</w:t>
            </w:r>
            <w:r w:rsidRPr="00687A0B">
              <w:t>, </w:t>
            </w:r>
            <w:r>
              <w:t xml:space="preserve"> </w:t>
            </w:r>
            <w:r w:rsidRPr="00FF77DB">
              <w:t>Zemkopības ministrija</w:t>
            </w:r>
            <w:r>
              <w:t xml:space="preserve">, </w:t>
            </w:r>
            <w:r w:rsidRPr="00FF77DB">
              <w:t>savas kompetences ietvaros</w:t>
            </w:r>
            <w:r>
              <w:t>,</w:t>
            </w:r>
            <w:r w:rsidRPr="00FF77DB">
              <w:t xml:space="preserve"> </w:t>
            </w:r>
            <w:r>
              <w:t xml:space="preserve">atkārtoti izvērtējot Ekonomikas ministrijas sagatavoto likumprojektu </w:t>
            </w:r>
            <w:r w:rsidRPr="00712C88">
              <w:t>"Transporta enerģijas likums" (VSS-1102)</w:t>
            </w:r>
            <w:r>
              <w:t xml:space="preserve">, </w:t>
            </w:r>
            <w:r w:rsidRPr="00FF77DB">
              <w:t xml:space="preserve">tā </w:t>
            </w:r>
            <w:r>
              <w:t xml:space="preserve">pavadošo pielikumu, </w:t>
            </w:r>
            <w:r w:rsidRPr="00712C88">
              <w:t>sākotnējās ietekmes novērtējuma ziņojum</w:t>
            </w:r>
            <w:r>
              <w:t>u</w:t>
            </w:r>
            <w:r w:rsidRPr="00712C88">
              <w:t xml:space="preserve"> (anotācija)</w:t>
            </w:r>
            <w:r>
              <w:t xml:space="preserve">, izziņu par </w:t>
            </w:r>
            <w:r w:rsidRPr="00424B4D">
              <w:t>atzinumos sniegtajiem iebildumiem</w:t>
            </w:r>
            <w:r>
              <w:t xml:space="preserve">, izsaka iebildumu par tā tālāku virzību. </w:t>
            </w:r>
          </w:p>
          <w:p w14:paraId="6C00F752" w14:textId="77777777" w:rsidR="00115CE0" w:rsidRDefault="00115CE0" w:rsidP="00115CE0">
            <w:r>
              <w:t xml:space="preserve">Mēs apzināmies, ka </w:t>
            </w:r>
            <w:r w:rsidRPr="0069720A">
              <w:t>Eiropas Savienība ir apņēmusies realizēt ambiciozus klimata pārmaiņas mazinošus mērķus un būtiska šīs politikas daļa</w:t>
            </w:r>
            <w:r>
              <w:t xml:space="preserve"> </w:t>
            </w:r>
            <w:r w:rsidRPr="0069720A">
              <w:t>veltīta ekonomikas dekarbonizācijai un ilgtspējīgai resursu izmantošanai</w:t>
            </w:r>
            <w:r>
              <w:t xml:space="preserve">. Uzskatām, ka </w:t>
            </w:r>
            <w:r w:rsidRPr="0069720A">
              <w:t xml:space="preserve">Latvijas </w:t>
            </w:r>
            <w:r>
              <w:t>interesēs būtu vairāk izmantot un pārstrādāt vietējas izcelsmes</w:t>
            </w:r>
            <w:r w:rsidRPr="0069720A">
              <w:t xml:space="preserve"> </w:t>
            </w:r>
            <w:r>
              <w:t xml:space="preserve">atjaunojamo </w:t>
            </w:r>
            <w:r>
              <w:lastRenderedPageBreak/>
              <w:t xml:space="preserve">bioenergoresursu, kā izejvielu enerģijas izmantošanai transportā. </w:t>
            </w:r>
          </w:p>
          <w:p w14:paraId="33BBFEB4" w14:textId="70E4F7AF" w:rsidR="00115CE0" w:rsidRPr="00115CE0" w:rsidRDefault="00115CE0" w:rsidP="00115CE0">
            <w:r>
              <w:t>Līdz ar to, lūdzam pagarināt l</w:t>
            </w:r>
            <w:r w:rsidRPr="00BB4658">
              <w:t xml:space="preserve">ikumprojekta 8. panta trešajā daļā </w:t>
            </w:r>
            <w:r>
              <w:t xml:space="preserve">noteikto termiņu, kas </w:t>
            </w:r>
            <w:r w:rsidRPr="00BB4658">
              <w:t>paredz, ka līdzdalības mehānisma ietvaros degvielas piegādātājs ik gadu nodrošina biodegvielas obligāto piejaukumu benzīnam un dīzeļdegvielai.</w:t>
            </w:r>
            <w:r>
              <w:t xml:space="preserve"> Ierosinām, ka </w:t>
            </w:r>
            <w:r w:rsidRPr="00BB4658">
              <w:t>termiņ</w:t>
            </w:r>
            <w:r>
              <w:t xml:space="preserve">a pagarinājums varētu būt vismaz līdz </w:t>
            </w:r>
            <w:r w:rsidRPr="00BB4658">
              <w:t xml:space="preserve">2030.gada 1.janvārim, </w:t>
            </w:r>
            <w:r>
              <w:t xml:space="preserve">jo, </w:t>
            </w:r>
            <w:r w:rsidRPr="00BB4658">
              <w:t>kamēr nav pietiekamā apjomā sākta ražot</w:t>
            </w:r>
            <w:r>
              <w:t xml:space="preserve"> </w:t>
            </w:r>
            <w:r w:rsidRPr="00BB4658">
              <w:t>modernā biodegviela</w:t>
            </w:r>
            <w:r>
              <w:t>,</w:t>
            </w:r>
            <w:r w:rsidRPr="00BB4658">
              <w:t xml:space="preserve"> likumprojekt</w:t>
            </w:r>
            <w:r>
              <w:t>ā</w:t>
            </w:r>
            <w:r w:rsidRPr="00BB4658">
              <w:t xml:space="preserve"> </w:t>
            </w:r>
            <w:r>
              <w:t xml:space="preserve">noteikto </w:t>
            </w:r>
            <w:r w:rsidRPr="00BB4658">
              <w:t>mērķi</w:t>
            </w:r>
            <w:r w:rsidRPr="00C4247A">
              <w:t xml:space="preserve"> </w:t>
            </w:r>
            <w:r w:rsidRPr="00BB4658">
              <w:t>nevarēs sasniegt</w:t>
            </w:r>
            <w:r>
              <w:t>.</w:t>
            </w:r>
          </w:p>
        </w:tc>
        <w:tc>
          <w:tcPr>
            <w:tcW w:w="2827" w:type="dxa"/>
            <w:vMerge/>
          </w:tcPr>
          <w:p w14:paraId="4E26FF3B" w14:textId="77777777" w:rsidR="00115CE0" w:rsidRPr="001D7630" w:rsidRDefault="00115CE0" w:rsidP="001D7630">
            <w:pPr>
              <w:jc w:val="center"/>
              <w:rPr>
                <w:b/>
                <w:bCs/>
                <w:iCs/>
              </w:rPr>
            </w:pPr>
          </w:p>
        </w:tc>
        <w:tc>
          <w:tcPr>
            <w:tcW w:w="2827" w:type="dxa"/>
          </w:tcPr>
          <w:p w14:paraId="491A4AFB" w14:textId="77777777" w:rsidR="00115CE0" w:rsidRPr="001D7630" w:rsidRDefault="00115CE0" w:rsidP="001D7630">
            <w:pPr>
              <w:widowControl w:val="0"/>
              <w:jc w:val="center"/>
              <w:rPr>
                <w:b/>
                <w:bCs/>
              </w:rPr>
            </w:pPr>
          </w:p>
        </w:tc>
        <w:tc>
          <w:tcPr>
            <w:tcW w:w="2907" w:type="dxa"/>
            <w:gridSpan w:val="2"/>
            <w:vMerge/>
          </w:tcPr>
          <w:p w14:paraId="10BB6324" w14:textId="77777777" w:rsidR="00115CE0" w:rsidRPr="001D7630" w:rsidRDefault="00115CE0" w:rsidP="001D7630">
            <w:pPr>
              <w:rPr>
                <w:color w:val="000000" w:themeColor="text1"/>
              </w:rPr>
            </w:pPr>
          </w:p>
        </w:tc>
      </w:tr>
      <w:tr w:rsidR="004077A4" w:rsidRPr="001D7630" w14:paraId="1DC505DF" w14:textId="77777777" w:rsidTr="00115CE0">
        <w:trPr>
          <w:jc w:val="center"/>
        </w:trPr>
        <w:tc>
          <w:tcPr>
            <w:tcW w:w="810" w:type="dxa"/>
          </w:tcPr>
          <w:p w14:paraId="31CE89B7" w14:textId="77777777" w:rsidR="004077A4" w:rsidRPr="001D7630" w:rsidRDefault="009D426A" w:rsidP="001D7630">
            <w:pPr>
              <w:pStyle w:val="naisc"/>
              <w:spacing w:before="0" w:after="0"/>
              <w:rPr>
                <w:b/>
              </w:rPr>
            </w:pPr>
            <w:r w:rsidRPr="001D7630">
              <w:rPr>
                <w:b/>
              </w:rPr>
              <w:lastRenderedPageBreak/>
              <w:t>2</w:t>
            </w:r>
            <w:r w:rsidR="006D5D93" w:rsidRPr="001D7630">
              <w:rPr>
                <w:b/>
              </w:rPr>
              <w:t>.</w:t>
            </w:r>
          </w:p>
        </w:tc>
        <w:tc>
          <w:tcPr>
            <w:tcW w:w="2828" w:type="dxa"/>
          </w:tcPr>
          <w:p w14:paraId="5B860805" w14:textId="77777777" w:rsidR="004077A4" w:rsidRPr="001D7630" w:rsidRDefault="004077A4" w:rsidP="001D7630">
            <w:pPr>
              <w:pStyle w:val="naisf"/>
              <w:spacing w:before="0" w:after="0"/>
              <w:ind w:firstLine="0"/>
            </w:pPr>
          </w:p>
        </w:tc>
        <w:tc>
          <w:tcPr>
            <w:tcW w:w="2827" w:type="dxa"/>
          </w:tcPr>
          <w:p w14:paraId="3FEEA027" w14:textId="77777777" w:rsidR="004077A4" w:rsidRPr="001D7630" w:rsidRDefault="004077A4" w:rsidP="001D7630">
            <w:pPr>
              <w:pStyle w:val="Default"/>
              <w:jc w:val="center"/>
              <w:rPr>
                <w:rFonts w:ascii="Times New Roman" w:hAnsi="Times New Roman" w:cs="Times New Roman"/>
                <w:b/>
                <w:bCs/>
              </w:rPr>
            </w:pPr>
            <w:r w:rsidRPr="001D7630">
              <w:rPr>
                <w:rFonts w:ascii="Times New Roman" w:hAnsi="Times New Roman" w:cs="Times New Roman"/>
                <w:b/>
                <w:bCs/>
              </w:rPr>
              <w:t>Latvijas biodegvielu un bioenerģijas asociācija</w:t>
            </w:r>
          </w:p>
          <w:p w14:paraId="4082C711" w14:textId="77777777" w:rsidR="004077A4" w:rsidRPr="001D7630" w:rsidRDefault="004077A4" w:rsidP="001D7630">
            <w:pPr>
              <w:pStyle w:val="Default"/>
              <w:jc w:val="center"/>
              <w:rPr>
                <w:rFonts w:ascii="Times New Roman" w:hAnsi="Times New Roman" w:cs="Times New Roman"/>
                <w:b/>
                <w:bCs/>
              </w:rPr>
            </w:pPr>
            <w:r w:rsidRPr="001D7630">
              <w:rPr>
                <w:rFonts w:ascii="Times New Roman" w:hAnsi="Times New Roman" w:cs="Times New Roman"/>
                <w:b/>
                <w:bCs/>
              </w:rPr>
              <w:t>(11.01.2021.)</w:t>
            </w:r>
          </w:p>
          <w:p w14:paraId="741BBB47" w14:textId="77777777" w:rsidR="004077A4" w:rsidRPr="001D7630" w:rsidRDefault="004077A4" w:rsidP="001D7630">
            <w:pPr>
              <w:pStyle w:val="Default"/>
              <w:jc w:val="both"/>
              <w:rPr>
                <w:rFonts w:ascii="Times New Roman" w:hAnsi="Times New Roman" w:cs="Times New Roman"/>
                <w:b/>
                <w:bCs/>
              </w:rPr>
            </w:pPr>
            <w:r w:rsidRPr="001D7630">
              <w:rPr>
                <w:rFonts w:ascii="Times New Roman" w:hAnsi="Times New Roman" w:cs="Times New Roman"/>
              </w:rPr>
              <w:t xml:space="preserve">5. Lai sasniegtu noteiktos AER mērķus transportā 7% apmērā, būtu jākāpina biodegvielas izmantošanas kopējie apjomi, piemēram, šobrīd Latvijā obligātais piejaukums transportā izmantojamai dīzeļdegvielai ir noteikts tikai vasaras </w:t>
            </w:r>
            <w:r w:rsidRPr="001D7630">
              <w:rPr>
                <w:rFonts w:ascii="Times New Roman" w:hAnsi="Times New Roman" w:cs="Times New Roman"/>
              </w:rPr>
              <w:lastRenderedPageBreak/>
              <w:t>periodā, kas ilgst attiecīgi tikai pusgadu un ar ko var sasniegt biodegvielas piejaukumu dīzeļdegvielai tikai aptuveni 3,5% pēc tilpuma, attiecinot to un pilnu gadu. Lai sasniegtu noteiktos mērķus (7%), būtu jāparedz nodrošināt obligāto biodegvielas piejaukumu transportā izmantojamai degvielai arī ziemas periodā, līdzīgi kā tas noteikts Lietuvā ar līdzīgiem ziemas klimatiskajiem apstākļiem.</w:t>
            </w:r>
          </w:p>
        </w:tc>
        <w:tc>
          <w:tcPr>
            <w:tcW w:w="2827" w:type="dxa"/>
          </w:tcPr>
          <w:p w14:paraId="66EC8668" w14:textId="77777777" w:rsidR="004077A4" w:rsidRPr="001D7630" w:rsidRDefault="004077A4" w:rsidP="001D7630">
            <w:pPr>
              <w:jc w:val="center"/>
              <w:rPr>
                <w:b/>
                <w:bCs/>
                <w:iCs/>
              </w:rPr>
            </w:pPr>
            <w:r w:rsidRPr="001D7630">
              <w:rPr>
                <w:b/>
                <w:bCs/>
                <w:iCs/>
              </w:rPr>
              <w:lastRenderedPageBreak/>
              <w:t>Nav ņemts vērā</w:t>
            </w:r>
          </w:p>
          <w:p w14:paraId="1AED281D" w14:textId="77777777" w:rsidR="006B0D0A" w:rsidRPr="001D7630" w:rsidRDefault="006B0D0A" w:rsidP="001D7630">
            <w:pPr>
              <w:jc w:val="center"/>
              <w:rPr>
                <w:b/>
                <w:bCs/>
                <w:iCs/>
              </w:rPr>
            </w:pPr>
            <w:r w:rsidRPr="001D7630">
              <w:rPr>
                <w:b/>
                <w:bCs/>
                <w:iCs/>
              </w:rPr>
              <w:t>Pārrunāts starpministriju saskaņošana sanāksmē</w:t>
            </w:r>
          </w:p>
          <w:p w14:paraId="0C021A69" w14:textId="77777777" w:rsidR="001B4A6F" w:rsidRPr="001D7630" w:rsidRDefault="001B4A6F" w:rsidP="001D7630">
            <w:pPr>
              <w:jc w:val="both"/>
              <w:rPr>
                <w:iCs/>
              </w:rPr>
            </w:pPr>
            <w:r w:rsidRPr="001D7630">
              <w:rPr>
                <w:iCs/>
              </w:rPr>
              <w:t>Norādām, ka</w:t>
            </w:r>
            <w:r w:rsidR="00777F3D" w:rsidRPr="001D7630">
              <w:rPr>
                <w:iCs/>
              </w:rPr>
              <w:t xml:space="preserve"> šobrīd spēkā esošie MK noteikumi Nr.332 nosaka pienākumu realizēt dīzeļdegvielu ar biodīzeļdegvielas piejaukumu, </w:t>
            </w:r>
            <w:r w:rsidR="00D86F8A" w:rsidRPr="001D7630">
              <w:rPr>
                <w:iCs/>
              </w:rPr>
              <w:t>vienlaikus nosako</w:t>
            </w:r>
            <w:r w:rsidR="006B0D0A" w:rsidRPr="001D7630">
              <w:rPr>
                <w:iCs/>
              </w:rPr>
              <w:t>t</w:t>
            </w:r>
            <w:r w:rsidR="00D86F8A" w:rsidRPr="001D7630">
              <w:rPr>
                <w:iCs/>
              </w:rPr>
              <w:t xml:space="preserve">, ka konkrētā laika periodā realizētajai dīzeļdegvielai obligātā </w:t>
            </w:r>
            <w:r w:rsidR="00D86F8A" w:rsidRPr="001D7630">
              <w:rPr>
                <w:iCs/>
              </w:rPr>
              <w:lastRenderedPageBreak/>
              <w:t xml:space="preserve">piejaukuma prasība nav piemērošana. Tomēr </w:t>
            </w:r>
            <w:r w:rsidR="00777F3D" w:rsidRPr="001D7630">
              <w:rPr>
                <w:iCs/>
              </w:rPr>
              <w:t>šajos MK noteikumos nav noteikts, ka konkrētajā laika periodā nedrīkst realizēt dīzeļdegvielu ar biodīzeļdegvielas piejaukumu un ka obligāti ir jārealizē degviela bez piejaukuma.</w:t>
            </w:r>
            <w:r w:rsidR="00D86F8A" w:rsidRPr="001D7630">
              <w:rPr>
                <w:iCs/>
              </w:rPr>
              <w:t xml:space="preserve"> Līdz ar to ir saprotams, ka degvielas piegādātājs var realizēt dīzeļdegvielu ar biodīzeļdegvielas piejaukumu arī visu gadu, iespējams nepiemērojot obligātā piejaukuma apjomu.</w:t>
            </w:r>
          </w:p>
          <w:p w14:paraId="47BBE418" w14:textId="77777777" w:rsidR="00D86F8A" w:rsidRPr="001D7630" w:rsidRDefault="00D86F8A" w:rsidP="001D7630">
            <w:pPr>
              <w:jc w:val="both"/>
              <w:rPr>
                <w:iCs/>
              </w:rPr>
            </w:pPr>
            <w:r w:rsidRPr="001D7630">
              <w:rPr>
                <w:iCs/>
              </w:rPr>
              <w:t>Šobrīd EM rīcībā nav pamatotu pētījumu, ka ziemas periodā dīzeļdegvielu ar piejaukumu realizācija neietekmēs tehnisko stāvokli transportlīdzekļiem.</w:t>
            </w:r>
          </w:p>
          <w:p w14:paraId="0E2A3E2B" w14:textId="77777777" w:rsidR="00C92CF4" w:rsidRPr="001D7630" w:rsidRDefault="004077A4" w:rsidP="001D7630">
            <w:pPr>
              <w:jc w:val="both"/>
              <w:rPr>
                <w:iCs/>
              </w:rPr>
            </w:pPr>
            <w:r w:rsidRPr="001D7630">
              <w:rPr>
                <w:iCs/>
              </w:rPr>
              <w:t xml:space="preserve">Norādām, ka </w:t>
            </w:r>
            <w:r w:rsidR="00D86F8A" w:rsidRPr="001D7630">
              <w:rPr>
                <w:iCs/>
              </w:rPr>
              <w:t xml:space="preserve">obligātā </w:t>
            </w:r>
            <w:r w:rsidRPr="001D7630">
              <w:rPr>
                <w:iCs/>
              </w:rPr>
              <w:t xml:space="preserve">piejaukuma prasība saskaņā ar likumprojekta 8.panta 3.daļu ir spēkā tikai līdz 2023.gada beigām. Pēc tam degvielas piegādātājam pašam ir jāvērtē un jālemj, kā izpildīt noteiktos mērķus, tai skaitā pievienojot degvielai moderno biodegvielu un </w:t>
            </w:r>
            <w:r w:rsidRPr="001D7630">
              <w:rPr>
                <w:iCs/>
              </w:rPr>
              <w:lastRenderedPageBreak/>
              <w:t>iespējams šo pievienošanu veicot visu gadu.</w:t>
            </w:r>
          </w:p>
        </w:tc>
        <w:tc>
          <w:tcPr>
            <w:tcW w:w="2827" w:type="dxa"/>
          </w:tcPr>
          <w:p w14:paraId="059FBC1C" w14:textId="6D63C1E6" w:rsidR="004077A4" w:rsidRPr="001D7630" w:rsidRDefault="004077A4" w:rsidP="001D7630">
            <w:pPr>
              <w:widowControl w:val="0"/>
              <w:jc w:val="center"/>
              <w:rPr>
                <w:b/>
                <w:bCs/>
              </w:rPr>
            </w:pPr>
            <w:r w:rsidRPr="001D7630">
              <w:rPr>
                <w:b/>
                <w:bCs/>
              </w:rPr>
              <w:lastRenderedPageBreak/>
              <w:t>23.03.2021.</w:t>
            </w:r>
          </w:p>
          <w:p w14:paraId="2712815A" w14:textId="3E5CF110" w:rsidR="0074317F" w:rsidRDefault="0074317F" w:rsidP="001D7630">
            <w:pPr>
              <w:widowControl w:val="0"/>
              <w:jc w:val="center"/>
              <w:rPr>
                <w:b/>
                <w:bCs/>
              </w:rPr>
            </w:pPr>
            <w:r w:rsidRPr="001D7630">
              <w:rPr>
                <w:b/>
                <w:bCs/>
              </w:rPr>
              <w:t>10.06.2021.</w:t>
            </w:r>
          </w:p>
          <w:p w14:paraId="0E98C4DD" w14:textId="02116A80" w:rsidR="009A365A" w:rsidRPr="001D7630" w:rsidRDefault="009A365A" w:rsidP="001D7630">
            <w:pPr>
              <w:widowControl w:val="0"/>
              <w:jc w:val="center"/>
              <w:rPr>
                <w:b/>
                <w:bCs/>
              </w:rPr>
            </w:pPr>
            <w:r>
              <w:rPr>
                <w:b/>
                <w:bCs/>
              </w:rPr>
              <w:t>15.07.2021.</w:t>
            </w:r>
          </w:p>
          <w:p w14:paraId="5C003265" w14:textId="77777777" w:rsidR="004077A4" w:rsidRPr="001D7630" w:rsidRDefault="004077A4" w:rsidP="001D7630">
            <w:pPr>
              <w:pStyle w:val="Default"/>
              <w:rPr>
                <w:rFonts w:ascii="Times New Roman" w:hAnsi="Times New Roman" w:cs="Times New Roman"/>
              </w:rPr>
            </w:pPr>
            <w:r w:rsidRPr="001D7630">
              <w:rPr>
                <w:rFonts w:ascii="Times New Roman" w:hAnsi="Times New Roman" w:cs="Times New Roman"/>
              </w:rPr>
              <w:t xml:space="preserve">6. Lai sasniegtu noteiktos AER mērķus transportā 7% apmērā, būtu jākāpina biodegvielas izmantošanas kopējie apjomi, piemēram, šobrīd Latvijā obligātais piejaukums transportā izmantojamai dīzeļdegvielai ir noteikts tikai vasaras </w:t>
            </w:r>
            <w:r w:rsidRPr="001D7630">
              <w:rPr>
                <w:rFonts w:ascii="Times New Roman" w:hAnsi="Times New Roman" w:cs="Times New Roman"/>
              </w:rPr>
              <w:lastRenderedPageBreak/>
              <w:t xml:space="preserve">periodā, kas ilgst attiecīgi tikai pusgadu un ar ko var sasniegt biodegvielas piejaukumu dīzeļdegvielai tikai aptuveni 3,5% pēc tilpuma, attiecinot to un pilnu gadu. Lai sasniegtu noteiktos mērķus (7%), būtu jāparedz nodrošināt obligāto biodegvielas piejaukumu transportā izmantojamai degvielai arī ziemas periodā, līdzīgi kā tas noteikts Lietuvā ar līdzīgiem ziemas klimatiskajiem apstākļiem. </w:t>
            </w:r>
          </w:p>
          <w:p w14:paraId="0E9A3DB0" w14:textId="77777777" w:rsidR="004077A4" w:rsidRPr="001D7630" w:rsidRDefault="004077A4" w:rsidP="001D7630">
            <w:pPr>
              <w:widowControl w:val="0"/>
              <w:jc w:val="both"/>
              <w:rPr>
                <w:b/>
                <w:bCs/>
              </w:rPr>
            </w:pPr>
            <w:r w:rsidRPr="001D7630">
              <w:t>Iebildums nav ņemts vērā, Izziņā ir paskaidrots, ka biodegvielu piejaukuma prasība saskaņā ar likumprojekta 8.panta trešo daļu ir spēkā tikai līdz 2023.gada beigām. Pēc tam degvielas piegādātājam pašam ir jāvērtē un jālemj, kā izpildīt noteiktos mērķus, tai skaitā pievienojot degvielai moderno biodegvielu un iespējams šo pievienošanu veicot visu gadu.</w:t>
            </w:r>
          </w:p>
        </w:tc>
        <w:tc>
          <w:tcPr>
            <w:tcW w:w="2907" w:type="dxa"/>
            <w:gridSpan w:val="2"/>
          </w:tcPr>
          <w:p w14:paraId="4E3D391E" w14:textId="77777777" w:rsidR="004077A4" w:rsidRPr="001D7630" w:rsidRDefault="004077A4" w:rsidP="001D7630">
            <w:pPr>
              <w:rPr>
                <w:iCs/>
              </w:rPr>
            </w:pPr>
          </w:p>
        </w:tc>
      </w:tr>
      <w:tr w:rsidR="009A365A" w:rsidRPr="004B77DA" w14:paraId="6688F168" w14:textId="77777777" w:rsidTr="00115CE0">
        <w:trPr>
          <w:jc w:val="center"/>
        </w:trPr>
        <w:tc>
          <w:tcPr>
            <w:tcW w:w="810" w:type="dxa"/>
          </w:tcPr>
          <w:p w14:paraId="002F0287" w14:textId="3C98CF34" w:rsidR="009A365A" w:rsidRPr="004B77DA" w:rsidRDefault="00115CE0" w:rsidP="001D7630">
            <w:pPr>
              <w:pStyle w:val="naisc"/>
              <w:spacing w:before="0" w:after="0"/>
              <w:rPr>
                <w:b/>
              </w:rPr>
            </w:pPr>
            <w:r>
              <w:rPr>
                <w:b/>
              </w:rPr>
              <w:lastRenderedPageBreak/>
              <w:t>3.</w:t>
            </w:r>
          </w:p>
        </w:tc>
        <w:tc>
          <w:tcPr>
            <w:tcW w:w="2828" w:type="dxa"/>
          </w:tcPr>
          <w:p w14:paraId="26809DF5" w14:textId="77777777" w:rsidR="009A365A" w:rsidRPr="004B77DA" w:rsidRDefault="009A365A" w:rsidP="001D7630">
            <w:pPr>
              <w:pStyle w:val="naisf"/>
              <w:spacing w:before="0" w:after="0"/>
              <w:ind w:firstLine="0"/>
            </w:pPr>
          </w:p>
        </w:tc>
        <w:tc>
          <w:tcPr>
            <w:tcW w:w="2827" w:type="dxa"/>
          </w:tcPr>
          <w:p w14:paraId="039D2339" w14:textId="77777777" w:rsidR="009A365A" w:rsidRPr="004B77DA" w:rsidRDefault="009A365A" w:rsidP="009A365A">
            <w:pPr>
              <w:pStyle w:val="Default"/>
              <w:jc w:val="center"/>
              <w:rPr>
                <w:rFonts w:ascii="Times New Roman" w:hAnsi="Times New Roman" w:cs="Times New Roman"/>
                <w:b/>
                <w:bCs/>
              </w:rPr>
            </w:pPr>
            <w:r w:rsidRPr="004B77DA">
              <w:rPr>
                <w:rFonts w:ascii="Times New Roman" w:hAnsi="Times New Roman" w:cs="Times New Roman"/>
                <w:b/>
                <w:bCs/>
              </w:rPr>
              <w:t>Latvijas biodegvielu un bioenerģijas asociācija</w:t>
            </w:r>
          </w:p>
          <w:p w14:paraId="179BCEFB" w14:textId="07F8B70E" w:rsidR="009A365A" w:rsidRPr="004B77DA" w:rsidRDefault="009A365A" w:rsidP="009A5411">
            <w:pPr>
              <w:pStyle w:val="Default"/>
              <w:jc w:val="center"/>
              <w:rPr>
                <w:rFonts w:ascii="Times New Roman" w:hAnsi="Times New Roman" w:cs="Times New Roman"/>
                <w:b/>
                <w:bCs/>
              </w:rPr>
            </w:pPr>
            <w:r w:rsidRPr="004B77DA">
              <w:rPr>
                <w:rFonts w:ascii="Times New Roman" w:hAnsi="Times New Roman" w:cs="Times New Roman"/>
                <w:b/>
                <w:bCs/>
              </w:rPr>
              <w:t>(15.07.2021)</w:t>
            </w:r>
          </w:p>
          <w:p w14:paraId="2F387A3A" w14:textId="6B935173" w:rsidR="009A365A" w:rsidRPr="004B77DA" w:rsidRDefault="009A365A" w:rsidP="009A5411">
            <w:pPr>
              <w:pStyle w:val="Default"/>
              <w:rPr>
                <w:rFonts w:ascii="Times New Roman" w:hAnsi="Times New Roman" w:cs="Times New Roman"/>
                <w:b/>
                <w:bCs/>
              </w:rPr>
            </w:pPr>
            <w:r w:rsidRPr="009A5411">
              <w:rPr>
                <w:rFonts w:ascii="Times New Roman" w:hAnsi="Times New Roman" w:cs="Times New Roman"/>
              </w:rPr>
              <w:t xml:space="preserve">1. Atšķirībā no likumprojekta sākotnējās 8.panta (1) daļas 1) punkta redakcijas, precizētajā 1) punkta redakcijā nav ietverta biodegviela; lūdzam izteikt 8.panta (1) daļas 1.punktu sākotnēji izstrādātā likumprojekta redakcijā: </w:t>
            </w:r>
            <w:r w:rsidRPr="009A5411">
              <w:rPr>
                <w:rFonts w:ascii="Times New Roman" w:hAnsi="Times New Roman" w:cs="Times New Roman"/>
                <w:b/>
                <w:bCs/>
              </w:rPr>
              <w:t>“1) biodegvielu vai biogāzi;”</w:t>
            </w:r>
          </w:p>
        </w:tc>
        <w:tc>
          <w:tcPr>
            <w:tcW w:w="2827" w:type="dxa"/>
          </w:tcPr>
          <w:p w14:paraId="32093ABC" w14:textId="77777777" w:rsidR="009A365A" w:rsidRPr="004B77DA" w:rsidRDefault="009A365A" w:rsidP="001D7630">
            <w:pPr>
              <w:jc w:val="center"/>
              <w:rPr>
                <w:b/>
                <w:bCs/>
                <w:iCs/>
              </w:rPr>
            </w:pPr>
            <w:r w:rsidRPr="004B77DA">
              <w:rPr>
                <w:b/>
                <w:bCs/>
                <w:iCs/>
              </w:rPr>
              <w:t>Nav ņemts vērā</w:t>
            </w:r>
          </w:p>
          <w:p w14:paraId="75513048" w14:textId="55C5051B" w:rsidR="009A365A" w:rsidRPr="004B77DA" w:rsidRDefault="009A365A" w:rsidP="009A365A">
            <w:pPr>
              <w:rPr>
                <w:iCs/>
              </w:rPr>
            </w:pPr>
            <w:r w:rsidRPr="004B77DA">
              <w:rPr>
                <w:iCs/>
              </w:rPr>
              <w:t>8.panta 1.daļā biodegviela vai biogāze nav iekļauta, jo šie transporta enerģijas veidi nav izmantojami likumprojekta 8.panta 4.daļā noteikto mērķu izpildei, kur var izmantot tikai uzskaitītos transporta enerģijas veidus.</w:t>
            </w:r>
          </w:p>
          <w:p w14:paraId="24B5CA1B" w14:textId="18F1C7B4" w:rsidR="009A365A" w:rsidRPr="009A5411" w:rsidRDefault="009A365A" w:rsidP="009A5411">
            <w:pPr>
              <w:rPr>
                <w:iCs/>
              </w:rPr>
            </w:pPr>
            <w:r w:rsidRPr="004B77DA">
              <w:rPr>
                <w:iCs/>
              </w:rPr>
              <w:t>Vienlaikus minētie transporta enerģijas veidi ir uzskaitīti likumprojekta 9.panta 2.daļā, kā izmantojami likumprojekta 9.panta 1.daļā noteiktā mērķa izpildei</w:t>
            </w:r>
          </w:p>
        </w:tc>
        <w:tc>
          <w:tcPr>
            <w:tcW w:w="2827" w:type="dxa"/>
          </w:tcPr>
          <w:p w14:paraId="6D1728C6" w14:textId="77777777" w:rsidR="009A365A" w:rsidRPr="004B77DA" w:rsidRDefault="009A365A" w:rsidP="009A5411">
            <w:pPr>
              <w:widowControl w:val="0"/>
              <w:rPr>
                <w:b/>
                <w:bCs/>
              </w:rPr>
            </w:pPr>
          </w:p>
        </w:tc>
        <w:tc>
          <w:tcPr>
            <w:tcW w:w="2907" w:type="dxa"/>
            <w:gridSpan w:val="2"/>
          </w:tcPr>
          <w:p w14:paraId="2C843243" w14:textId="195ACFC7" w:rsidR="009A365A" w:rsidRPr="004B77DA" w:rsidRDefault="009A365A" w:rsidP="001D7630">
            <w:pPr>
              <w:rPr>
                <w:iCs/>
              </w:rPr>
            </w:pPr>
            <w:r w:rsidRPr="004B77DA">
              <w:rPr>
                <w:iCs/>
              </w:rPr>
              <w:t>Likumprojekta 8.panta 1.daļa nav papildināta</w:t>
            </w:r>
          </w:p>
        </w:tc>
      </w:tr>
      <w:tr w:rsidR="000C7339" w:rsidRPr="004B77DA" w14:paraId="4B6D62E9" w14:textId="77777777" w:rsidTr="00115CE0">
        <w:trPr>
          <w:jc w:val="center"/>
        </w:trPr>
        <w:tc>
          <w:tcPr>
            <w:tcW w:w="810" w:type="dxa"/>
          </w:tcPr>
          <w:p w14:paraId="18B0F696" w14:textId="56470431" w:rsidR="000C7339" w:rsidRPr="004B77DA" w:rsidRDefault="00115CE0" w:rsidP="000C7339">
            <w:pPr>
              <w:pStyle w:val="naisc"/>
              <w:spacing w:before="0" w:after="0"/>
              <w:rPr>
                <w:b/>
              </w:rPr>
            </w:pPr>
            <w:r>
              <w:rPr>
                <w:b/>
              </w:rPr>
              <w:t>4.</w:t>
            </w:r>
          </w:p>
        </w:tc>
        <w:tc>
          <w:tcPr>
            <w:tcW w:w="2828" w:type="dxa"/>
          </w:tcPr>
          <w:p w14:paraId="4A37988D" w14:textId="77777777" w:rsidR="000C7339" w:rsidRPr="004B77DA" w:rsidRDefault="004B77DA" w:rsidP="000C7339">
            <w:pPr>
              <w:pStyle w:val="naisf"/>
              <w:spacing w:before="0" w:after="0"/>
              <w:ind w:firstLine="0"/>
            </w:pPr>
            <w:r w:rsidRPr="004B77DA">
              <w:t>Likumprojekta 15.panta 2.daļa:</w:t>
            </w:r>
          </w:p>
          <w:p w14:paraId="57F0A48B" w14:textId="3BFA72E1" w:rsidR="004B77DA" w:rsidRPr="004B77DA" w:rsidRDefault="004B77DA" w:rsidP="009A5411">
            <w:pPr>
              <w:spacing w:before="120" w:after="120"/>
              <w:jc w:val="both"/>
            </w:pPr>
            <w:r w:rsidRPr="004B77DA">
              <w:t>“</w:t>
            </w:r>
            <w:r w:rsidRPr="009A5411">
              <w:t xml:space="preserve">(2) Ienākumus no valsts nodevas un piespiedu naudas kā dotāciju no valsts pamatbudžeta vispārējiem ieņēmumiem plāno valsts pamatbudžetā šim mērķim izveidotajā Ekonomikas ministrijas budžeta programmā (apakšprogrammā), kuras izpildītāja ir Ekonomikas ministrija, atbilstoši </w:t>
            </w:r>
            <w:r w:rsidRPr="009A5411">
              <w:lastRenderedPageBreak/>
              <w:t>iepriekšējos gados iemaksātajiem un neizlietotajiem, kā arī attiecīgajā gadā valsts pamatbudžetā plānotajiem (prognozētajiem) ieņēmumiem no šā panta pirmajā daļā minētajiem ieņēmumiem. Ekonomikas ministrija ir atbildīga par to, lai izdevumi nepārsniedz valsts pamatbudžetā ieskaitīto valsts nodevas un piespiedu naudas apjomu.”</w:t>
            </w:r>
          </w:p>
        </w:tc>
        <w:tc>
          <w:tcPr>
            <w:tcW w:w="2827" w:type="dxa"/>
          </w:tcPr>
          <w:p w14:paraId="6D74D44E" w14:textId="77777777" w:rsidR="000C7339" w:rsidRPr="004B77DA" w:rsidRDefault="000C7339" w:rsidP="000C7339">
            <w:pPr>
              <w:autoSpaceDE w:val="0"/>
              <w:autoSpaceDN w:val="0"/>
              <w:adjustRightInd w:val="0"/>
              <w:jc w:val="center"/>
              <w:rPr>
                <w:b/>
                <w:bCs/>
              </w:rPr>
            </w:pPr>
            <w:r w:rsidRPr="004B77DA">
              <w:rPr>
                <w:b/>
                <w:bCs/>
              </w:rPr>
              <w:lastRenderedPageBreak/>
              <w:t>Finanšu ministrija</w:t>
            </w:r>
          </w:p>
          <w:p w14:paraId="3601AC13" w14:textId="77777777" w:rsidR="000C7339" w:rsidRPr="004B77DA" w:rsidRDefault="000C7339" w:rsidP="000C7339">
            <w:pPr>
              <w:autoSpaceDE w:val="0"/>
              <w:autoSpaceDN w:val="0"/>
              <w:adjustRightInd w:val="0"/>
              <w:jc w:val="center"/>
              <w:rPr>
                <w:b/>
                <w:bCs/>
              </w:rPr>
            </w:pPr>
            <w:r w:rsidRPr="004B77DA">
              <w:rPr>
                <w:b/>
                <w:bCs/>
              </w:rPr>
              <w:t>(20.07.2021. atzinums)</w:t>
            </w:r>
          </w:p>
          <w:p w14:paraId="79331291" w14:textId="77777777" w:rsidR="000C7339" w:rsidRPr="009A5411" w:rsidRDefault="000C7339" w:rsidP="000C7339">
            <w:r w:rsidRPr="004B77DA">
              <w:t xml:space="preserve">1. Ņemot vēra, ka dotāciju no valsts pamatbudžeta vispārējiem ieņēmumiem konkrētajā gadā var ieplānot tikai atbilstoši plānotajiem (prognozētajiem) ieņēmumiem no valsts nodevas attiecīgajā gadā, lūdzam izteikt likumprojekta 15.panta otro daļu šādā redakcijā, vienlaicīgi precizējot arī </w:t>
            </w:r>
            <w:r w:rsidRPr="004B77DA">
              <w:lastRenderedPageBreak/>
              <w:t>anotācijas III sadaļas 6.punktā sniegto informāciju:</w:t>
            </w:r>
          </w:p>
          <w:p w14:paraId="45E55059" w14:textId="375C3153" w:rsidR="000C7339" w:rsidRPr="004B77DA" w:rsidRDefault="000C7339" w:rsidP="009A5411">
            <w:pPr>
              <w:pStyle w:val="Default"/>
              <w:rPr>
                <w:rFonts w:ascii="Times New Roman" w:hAnsi="Times New Roman" w:cs="Times New Roman"/>
                <w:b/>
                <w:bCs/>
              </w:rPr>
            </w:pPr>
            <w:r w:rsidRPr="009A5411">
              <w:rPr>
                <w:rFonts w:ascii="Times New Roman" w:hAnsi="Times New Roman" w:cs="Times New Roman"/>
                <w:i/>
                <w:iCs/>
              </w:rPr>
              <w:t xml:space="preserve">“(2) Ienākumus no valsts nodevas un piespiedu naudas kā dotāciju no valsts pamatbudžeta vispārējiem ieņēmumiem plāno valsts pamatbudžetā šim mērķim izveidotajā Ekonomikas ministrijas budžeta programmā (apakšprogrammā), kuras izpildītāja ir Ekonomikas ministrija, </w:t>
            </w:r>
            <w:r w:rsidRPr="009A5411">
              <w:rPr>
                <w:rFonts w:ascii="Times New Roman" w:hAnsi="Times New Roman" w:cs="Times New Roman"/>
                <w:i/>
                <w:iCs/>
                <w:u w:val="single"/>
              </w:rPr>
              <w:t>atbilstoši attiecīgajā gadā</w:t>
            </w:r>
            <w:r w:rsidRPr="009A5411">
              <w:rPr>
                <w:rFonts w:ascii="Times New Roman" w:hAnsi="Times New Roman" w:cs="Times New Roman"/>
                <w:i/>
                <w:iCs/>
              </w:rPr>
              <w:t xml:space="preserve"> valsts pamatbudžetā plānotajiem (prognozētajiem) ieņēmumiem no šā panta pirmajā daļā minētajiem ieņēmumiem. Ekonomikas ministrija ir atbildīga par to, lai izdevumi nepārsniedz valsts pamatbudžetā ieskaitīto valsts nodevas un piespiedu naudas apjomu.”</w:t>
            </w:r>
          </w:p>
        </w:tc>
        <w:tc>
          <w:tcPr>
            <w:tcW w:w="2827" w:type="dxa"/>
          </w:tcPr>
          <w:p w14:paraId="44EE377D" w14:textId="77777777" w:rsidR="00FB5B9B" w:rsidRPr="004B77DA" w:rsidRDefault="00FB5B9B" w:rsidP="00FB5B9B">
            <w:pPr>
              <w:jc w:val="center"/>
              <w:rPr>
                <w:b/>
                <w:bCs/>
                <w:iCs/>
              </w:rPr>
            </w:pPr>
            <w:r w:rsidRPr="004B77DA">
              <w:rPr>
                <w:b/>
                <w:bCs/>
                <w:iCs/>
              </w:rPr>
              <w:lastRenderedPageBreak/>
              <w:t>Nav ņemts vērā</w:t>
            </w:r>
          </w:p>
          <w:p w14:paraId="034AE94B" w14:textId="0261C902" w:rsidR="00FB5B9B" w:rsidRPr="004B77DA" w:rsidRDefault="00FB5B9B" w:rsidP="00FB5B9B">
            <w:pPr>
              <w:rPr>
                <w:iCs/>
              </w:rPr>
            </w:pPr>
            <w:r w:rsidRPr="004B77DA">
              <w:rPr>
                <w:iCs/>
              </w:rPr>
              <w:t xml:space="preserve">Norādām, ka </w:t>
            </w:r>
            <w:r w:rsidR="00E87C8F">
              <w:rPr>
                <w:iCs/>
              </w:rPr>
              <w:t>j</w:t>
            </w:r>
            <w:r w:rsidRPr="004B77DA">
              <w:rPr>
                <w:iCs/>
              </w:rPr>
              <w:t xml:space="preserve">au šobrīd spēkā esošie 2030.gada atjaunojamās enerģijas un energoefektivitātes saistošie mērķi Latvijai ir ļoti ambiciozi un grūti izpildāmi, vienlaikus minēto mērķu izpildei Ekonomikas ministrijai ES struktūrfondu ietvaros ir pieejams būtiski mazāks finansējuma apjoms nekā nepieciešams (nepieciešamais kopējais </w:t>
            </w:r>
            <w:r w:rsidRPr="004B77DA">
              <w:rPr>
                <w:iCs/>
              </w:rPr>
              <w:lastRenderedPageBreak/>
              <w:t xml:space="preserve">finansējuma apjoms ir noteikts Latvijas Nacionālā enerģētikas un klimata plāna 2021.-2030.gadam 4.pielikumā). Vienlaikus Latvijas valdība, ieskaitot, finanšu ministru un neskatoties uz nozares ministru iebildumiem ir paudusi atbalstu vēl augstākiem klimata pārmaiņu mazināšanas mērķiem, kas rezultēsies vēl augstākos atjaunojamās enerģijas un energoefektivitātes mērķos, ko Eiropas Komisija jau ir piedāvājusi </w:t>
            </w:r>
            <w:r w:rsidRPr="004B77DA">
              <w:rPr>
                <w:i/>
              </w:rPr>
              <w:t>Fit for 55</w:t>
            </w:r>
            <w:r w:rsidRPr="004B77DA">
              <w:rPr>
                <w:iCs/>
              </w:rPr>
              <w:t xml:space="preserve"> pakotnē. Tomēr piedāvāto daudz ambiciozāko mērķu sasniegšanai papildu līdzekļi nav paredzēti.</w:t>
            </w:r>
          </w:p>
          <w:p w14:paraId="43DF024D" w14:textId="77777777" w:rsidR="00FB5B9B" w:rsidRPr="004B77DA" w:rsidRDefault="00FB5B9B" w:rsidP="00FB5B9B">
            <w:pPr>
              <w:rPr>
                <w:iCs/>
              </w:rPr>
            </w:pPr>
            <w:r w:rsidRPr="004B77DA">
              <w:rPr>
                <w:iCs/>
              </w:rPr>
              <w:t>Lai iegūtu līdzekļus atjaunojamās transporta enerģijas</w:t>
            </w:r>
            <w:r w:rsidR="00D33E67" w:rsidRPr="004B77DA">
              <w:rPr>
                <w:iCs/>
              </w:rPr>
              <w:t xml:space="preserve"> izmantošanas veicināšanai un energoefektivitātes uzlabošanai transportā valstī kopumā, kā arī lai iegūtu līdzekļu atbalsta programmām, kuru ietvaros atbalstu varētu gūt arī tie degvielas piegādātāji, </w:t>
            </w:r>
            <w:r w:rsidR="00D33E67" w:rsidRPr="004B77DA">
              <w:rPr>
                <w:iCs/>
              </w:rPr>
              <w:lastRenderedPageBreak/>
              <w:t xml:space="preserve">kuriem ar likumprojekti tiek noteikti ambiciozi mērķi vai kuriem </w:t>
            </w:r>
            <w:r w:rsidR="00D33E67" w:rsidRPr="004B77DA">
              <w:rPr>
                <w:i/>
              </w:rPr>
              <w:t>Fit for 55</w:t>
            </w:r>
            <w:r w:rsidR="00D33E67" w:rsidRPr="004B77DA">
              <w:rPr>
                <w:iCs/>
              </w:rPr>
              <w:t xml:space="preserve"> pakotnes īstenošanas ietvaros tiks noteikti vēl ambiciozāki mērķi, piemēram transporta enerģijas aprites cikla SEG emisiju intensitātes mērķi jau šobrīd tiek piedāvāts palielināt vairāk nekā 2 reizes vienlaikus samazinot mērķu sasniegšanai izmantojamo transporta enerģijas veidu aptvērumu.</w:t>
            </w:r>
          </w:p>
          <w:p w14:paraId="2E4234CB" w14:textId="77777777" w:rsidR="00D33E67" w:rsidRPr="004B77DA" w:rsidRDefault="00D33E67" w:rsidP="00FB5B9B">
            <w:pPr>
              <w:rPr>
                <w:b/>
                <w:bCs/>
                <w:iCs/>
              </w:rPr>
            </w:pPr>
            <w:r w:rsidRPr="004B77DA">
              <w:rPr>
                <w:b/>
                <w:bCs/>
                <w:iCs/>
              </w:rPr>
              <w:t>Līdz ar to, lai īstenotu iepriekšminēto, ir īpaši svarīgi, ka likumprojektā noteiktā piespiedu nauda un nodeva pilnā apjomā tiek “iezīmēta” izmantošanai noteiktiem mērķiem un ka minētajiem mērķiem ir izmantojama ne tikai kādā konkrētā kalendārajā gadā ieplānotais nodevas apjoms, bet arī iepriekš neiztērētais un uzkrātais apjoms.</w:t>
            </w:r>
          </w:p>
          <w:p w14:paraId="094836BC" w14:textId="0B99AB98" w:rsidR="00D33E67" w:rsidRPr="009A5411" w:rsidRDefault="00D33E67" w:rsidP="009A5411">
            <w:pPr>
              <w:rPr>
                <w:iCs/>
              </w:rPr>
            </w:pPr>
            <w:r w:rsidRPr="004B77DA">
              <w:rPr>
                <w:iCs/>
              </w:rPr>
              <w:t xml:space="preserve">Pretējā gadījumā Ekonomikas ministrijai nebūs finanšu līdzekļu atjaunojamās transporta </w:t>
            </w:r>
            <w:r w:rsidRPr="004B77DA">
              <w:rPr>
                <w:iCs/>
              </w:rPr>
              <w:lastRenderedPageBreak/>
              <w:t>enerģijas izmantošanas veicināšanai un energoefektivitātes uzlabošanai transportā, un degvielas piegādātājiem būs būtiski grūtāk sasniegt tiem noteiktos mērķus un tos būs jāveic komersantiem pieejamo līdzekļu ietvaros, kas pilnā apjomā un tiešā veidā atsauksies uz transporta enerģijas cenu galapatērētājiem.</w:t>
            </w:r>
          </w:p>
        </w:tc>
        <w:tc>
          <w:tcPr>
            <w:tcW w:w="2827" w:type="dxa"/>
          </w:tcPr>
          <w:p w14:paraId="326879F4" w14:textId="72275A00" w:rsidR="000C7339" w:rsidRPr="004B77DA" w:rsidRDefault="000C7339" w:rsidP="000C7339">
            <w:pPr>
              <w:widowControl w:val="0"/>
              <w:rPr>
                <w:b/>
                <w:bCs/>
              </w:rPr>
            </w:pPr>
          </w:p>
        </w:tc>
        <w:tc>
          <w:tcPr>
            <w:tcW w:w="2907" w:type="dxa"/>
            <w:gridSpan w:val="2"/>
          </w:tcPr>
          <w:p w14:paraId="01284A5A" w14:textId="77777777" w:rsidR="000C7339" w:rsidRPr="004B77DA" w:rsidRDefault="004B77DA" w:rsidP="000C7339">
            <w:pPr>
              <w:rPr>
                <w:iCs/>
              </w:rPr>
            </w:pPr>
            <w:r w:rsidRPr="004B77DA">
              <w:rPr>
                <w:iCs/>
              </w:rPr>
              <w:t>Likumprojekta 15.panta 2.daļa ir izteikta šādi:</w:t>
            </w:r>
          </w:p>
          <w:p w14:paraId="6D1B4D32" w14:textId="50E16CC9" w:rsidR="004B77DA" w:rsidRPr="009A5411" w:rsidRDefault="004B77DA" w:rsidP="009A5411">
            <w:pPr>
              <w:spacing w:before="120" w:after="120"/>
              <w:jc w:val="both"/>
            </w:pPr>
            <w:r w:rsidRPr="004B77DA">
              <w:rPr>
                <w:iCs/>
              </w:rPr>
              <w:t>“</w:t>
            </w:r>
            <w:r w:rsidRPr="009A5411">
              <w:t xml:space="preserve">(2) Ienākumus no valsts nodevas un piespiedu naudas atjaunojamās enerģijas izmantošanas veicināšanai un energoefektivitātes uzlabošanai transportā kā dotāciju no valsts pamatbudžeta vispārējiem ieņēmumiem plāno valsts pamatbudžetā šim mērķim izveidotajā Ekonomikas ministrijas budžeta </w:t>
            </w:r>
            <w:r w:rsidRPr="009A5411">
              <w:lastRenderedPageBreak/>
              <w:t>programmā (apakšprogrammā), kuras izpildītāja ir Ekonomikas ministrija, atbilstoši iepriekšējos gados iemaksātajiem un neizlietotajiem, kā arī attiecīgajā gadā valsts pamatbudžetā plānotajiem (prognozētajiem) ieņēmumiem no šā panta pirmajā daļā minētajiem ieņēmumiem. Ekonomikas ministrija ir atbildīga par to, lai izdevumi nepārsniedz valsts pamatbudžetā ieskaitīto valsts nodevas un piespiedu naudas apjomu.”</w:t>
            </w:r>
          </w:p>
        </w:tc>
      </w:tr>
    </w:tbl>
    <w:p w14:paraId="2A7F0AEA" w14:textId="77777777" w:rsidR="007B4C0F" w:rsidRPr="001D7630" w:rsidRDefault="007B4C0F" w:rsidP="001D7630">
      <w:pPr>
        <w:pStyle w:val="naisf"/>
        <w:spacing w:before="0" w:after="0"/>
        <w:ind w:firstLine="0"/>
        <w:rPr>
          <w:sz w:val="8"/>
          <w:szCs w:val="8"/>
        </w:rPr>
      </w:pPr>
    </w:p>
    <w:p w14:paraId="66D270BF" w14:textId="77777777" w:rsidR="005D67F7" w:rsidRPr="001D7630" w:rsidRDefault="005D67F7" w:rsidP="001D7630">
      <w:pPr>
        <w:pStyle w:val="naisf"/>
        <w:spacing w:before="0" w:after="0"/>
        <w:ind w:firstLine="0"/>
        <w:rPr>
          <w:b/>
        </w:rPr>
      </w:pPr>
      <w:r w:rsidRPr="001D7630">
        <w:rPr>
          <w:b/>
        </w:rPr>
        <w:t>Informācija par starpministriju (starpinstitūciju) sanāksmi vai elektronisko saskaņošanu</w:t>
      </w:r>
    </w:p>
    <w:p w14:paraId="323C4301" w14:textId="77777777" w:rsidR="005D67F7" w:rsidRPr="001D7630" w:rsidRDefault="005D67F7" w:rsidP="001D7630">
      <w:pPr>
        <w:pStyle w:val="naisf"/>
        <w:spacing w:before="0" w:after="0"/>
        <w:ind w:firstLine="0"/>
        <w:rPr>
          <w:b/>
          <w:sz w:val="8"/>
          <w:szCs w:val="8"/>
        </w:rPr>
      </w:pPr>
    </w:p>
    <w:tbl>
      <w:tblPr>
        <w:tblW w:w="14283" w:type="dxa"/>
        <w:tblLook w:val="00A0" w:firstRow="1" w:lastRow="0" w:firstColumn="1" w:lastColumn="0" w:noHBand="0" w:noVBand="0"/>
      </w:tblPr>
      <w:tblGrid>
        <w:gridCol w:w="2835"/>
        <w:gridCol w:w="11448"/>
      </w:tblGrid>
      <w:tr w:rsidR="007B4C0F" w:rsidRPr="001D7630" w14:paraId="7C3943FC" w14:textId="77777777" w:rsidTr="009A5411">
        <w:tc>
          <w:tcPr>
            <w:tcW w:w="2835" w:type="dxa"/>
          </w:tcPr>
          <w:p w14:paraId="4CE33B41" w14:textId="77777777" w:rsidR="007B4C0F" w:rsidRPr="001D7630" w:rsidRDefault="005D67F7" w:rsidP="001D7630">
            <w:pPr>
              <w:pStyle w:val="naisf"/>
              <w:spacing w:before="60" w:after="60"/>
              <w:ind w:firstLine="0"/>
            </w:pPr>
            <w:r w:rsidRPr="001D7630">
              <w:t>D</w:t>
            </w:r>
            <w:r w:rsidR="007B4C0F" w:rsidRPr="001D7630">
              <w:t>atums</w:t>
            </w:r>
          </w:p>
        </w:tc>
        <w:tc>
          <w:tcPr>
            <w:tcW w:w="11448" w:type="dxa"/>
            <w:tcBorders>
              <w:bottom w:val="single" w:sz="4" w:space="0" w:color="auto"/>
            </w:tcBorders>
          </w:tcPr>
          <w:p w14:paraId="446507CD" w14:textId="77777777" w:rsidR="006F17B3" w:rsidRPr="001D7630" w:rsidRDefault="00E16626" w:rsidP="001D7630">
            <w:pPr>
              <w:pStyle w:val="NormalWeb"/>
              <w:spacing w:before="60" w:beforeAutospacing="0" w:after="60" w:afterAutospacing="0"/>
            </w:pPr>
            <w:r w:rsidRPr="001D7630">
              <w:t>17.12.2020</w:t>
            </w:r>
            <w:r w:rsidR="0064499E" w:rsidRPr="001D7630">
              <w:t>. i</w:t>
            </w:r>
            <w:r w:rsidR="0060493C" w:rsidRPr="001D7630">
              <w:t>zsludināts Valsts sekretāru sanāksmē (VSS-</w:t>
            </w:r>
            <w:r w:rsidRPr="001D7630">
              <w:t>1102</w:t>
            </w:r>
            <w:r w:rsidR="0060493C" w:rsidRPr="001D7630">
              <w:t>)</w:t>
            </w:r>
          </w:p>
          <w:p w14:paraId="72E91F7B" w14:textId="77777777" w:rsidR="003507CF" w:rsidRPr="001D7630" w:rsidRDefault="003507CF" w:rsidP="001D7630">
            <w:pPr>
              <w:pStyle w:val="NormalWeb"/>
              <w:spacing w:before="60" w:beforeAutospacing="0" w:after="60" w:afterAutospacing="0"/>
            </w:pPr>
            <w:r w:rsidRPr="001D7630">
              <w:t>18.03.2021. nosūtīts elektroniskai 5-dienu saskaņošanai</w:t>
            </w:r>
          </w:p>
          <w:p w14:paraId="7469B3FB" w14:textId="77777777" w:rsidR="009D426A" w:rsidRPr="001D7630" w:rsidRDefault="009D426A" w:rsidP="001D7630">
            <w:pPr>
              <w:pStyle w:val="NormalWeb"/>
              <w:spacing w:before="60" w:beforeAutospacing="0" w:after="60" w:afterAutospacing="0"/>
            </w:pPr>
            <w:r w:rsidRPr="001D7630">
              <w:t>26.04.2021. starpministriju saskaņošanas sanāksme</w:t>
            </w:r>
          </w:p>
          <w:p w14:paraId="45D69207" w14:textId="77777777" w:rsidR="008829F0" w:rsidRDefault="008829F0" w:rsidP="001D7630">
            <w:pPr>
              <w:pStyle w:val="NormalWeb"/>
              <w:spacing w:before="60" w:beforeAutospacing="0" w:after="60" w:afterAutospacing="0"/>
            </w:pPr>
            <w:r w:rsidRPr="001D7630">
              <w:t>07.06.2021. nosūtīts atkārtotai elektroniskai saskaņošanai</w:t>
            </w:r>
          </w:p>
          <w:p w14:paraId="162A9F98" w14:textId="1C591F12" w:rsidR="00D33E67" w:rsidRPr="001D7630" w:rsidRDefault="00D33E67" w:rsidP="001D7630">
            <w:pPr>
              <w:pStyle w:val="NormalWeb"/>
              <w:spacing w:before="60" w:beforeAutospacing="0" w:after="60" w:afterAutospacing="0"/>
            </w:pPr>
            <w:r>
              <w:t>13.07.2021. nosūtīts atkārtotai elektroniskai saskaņošanai</w:t>
            </w:r>
          </w:p>
        </w:tc>
      </w:tr>
      <w:tr w:rsidR="007B4C0F" w:rsidRPr="001D7630" w14:paraId="424490DA" w14:textId="77777777" w:rsidTr="009A5411">
        <w:tc>
          <w:tcPr>
            <w:tcW w:w="2835" w:type="dxa"/>
          </w:tcPr>
          <w:p w14:paraId="3BF21C79" w14:textId="77777777" w:rsidR="007B4C0F" w:rsidRPr="001D7630" w:rsidRDefault="00365CC0" w:rsidP="001D7630">
            <w:pPr>
              <w:pStyle w:val="naiskr"/>
              <w:spacing w:before="60" w:after="60"/>
            </w:pPr>
            <w:r w:rsidRPr="001D7630">
              <w:t>Saskaņošanas dalībnieki</w:t>
            </w:r>
          </w:p>
        </w:tc>
        <w:tc>
          <w:tcPr>
            <w:tcW w:w="11448" w:type="dxa"/>
            <w:tcBorders>
              <w:bottom w:val="single" w:sz="4" w:space="0" w:color="auto"/>
            </w:tcBorders>
          </w:tcPr>
          <w:p w14:paraId="523B2699" w14:textId="77777777" w:rsidR="007B4C0F" w:rsidRPr="001D7630" w:rsidRDefault="00E16626" w:rsidP="001D7630">
            <w:pPr>
              <w:autoSpaceDE w:val="0"/>
              <w:autoSpaceDN w:val="0"/>
              <w:adjustRightInd w:val="0"/>
            </w:pPr>
            <w:r w:rsidRPr="001D7630">
              <w:t>Tieslietu ministrija, Finanšu ministrija, Satiksmes ministrija, Vides aizsardzības un reģionālās attīstības ministrija,</w:t>
            </w:r>
            <w:r w:rsidR="00AD6CE3" w:rsidRPr="001D7630">
              <w:t xml:space="preserve"> </w:t>
            </w:r>
            <w:r w:rsidRPr="001D7630">
              <w:t>Zemkopības ministrija, Latvijas Pašvaldību savienība</w:t>
            </w:r>
            <w:r w:rsidR="00AD6CE3" w:rsidRPr="001D7630">
              <w:t xml:space="preserve">, </w:t>
            </w:r>
            <w:r w:rsidRPr="001D7630">
              <w:t>Latvijas Darba devēju konfederācija, Valsts vides dienests, Degvielas tirgotāju un ražotāju savienība, Latvijas Degvielas tirgotāju asociācija, Latvijas Biodegvielu un bioenerģijas asociācijas, Latvijas biogāzes asociācija, Latvijas Finanšu nozares asociācija, Latvijas Līzinga Devēju asociācija, Latvijas Lielo pilsētu asociācija, Latvijas Tirdzniecības un rūpniecības kamera</w:t>
            </w:r>
          </w:p>
        </w:tc>
      </w:tr>
      <w:tr w:rsidR="0060493C" w:rsidRPr="001D7630" w14:paraId="25156A58" w14:textId="77777777" w:rsidTr="009A5411">
        <w:trPr>
          <w:trHeight w:val="285"/>
        </w:trPr>
        <w:tc>
          <w:tcPr>
            <w:tcW w:w="2835" w:type="dxa"/>
          </w:tcPr>
          <w:p w14:paraId="5B75C9CB" w14:textId="77777777" w:rsidR="0060493C" w:rsidRPr="001D7630" w:rsidRDefault="0060493C" w:rsidP="001D7630">
            <w:pPr>
              <w:pStyle w:val="naiskr"/>
              <w:spacing w:before="60" w:after="60"/>
            </w:pPr>
            <w:r w:rsidRPr="001D7630">
              <w:t>Saskaņošanas dalībnieki izskatīja šādu ministriju (citu institūciju) iebildumus</w:t>
            </w:r>
          </w:p>
        </w:tc>
        <w:tc>
          <w:tcPr>
            <w:tcW w:w="11448" w:type="dxa"/>
            <w:tcBorders>
              <w:top w:val="single" w:sz="4" w:space="0" w:color="auto"/>
              <w:bottom w:val="single" w:sz="4" w:space="0" w:color="auto"/>
            </w:tcBorders>
          </w:tcPr>
          <w:p w14:paraId="50CB5F57" w14:textId="77777777" w:rsidR="0060493C" w:rsidRPr="001D7630" w:rsidRDefault="00E57398" w:rsidP="001D7630">
            <w:pPr>
              <w:pStyle w:val="naiskr"/>
              <w:spacing w:before="60" w:after="60"/>
              <w:ind w:firstLine="12"/>
            </w:pPr>
            <w:r w:rsidRPr="001D7630">
              <w:t>Tieslietu ministrija, Finanšu ministrija, Satiksmes ministrija, Vides aizsardzības un reģionālās attīstības ministrija, Zemkopības ministrija, Latvijas Pašvaldību savienība, Latvijas Degvielas tirgotāju asociācija, Latvijas Biodegvielu un bioenerģijas asociācijas, Latvijas Finanšu nozares asociācija, Latvijas Lielo pilsētu asociācija, Latvijas Tirdzniecības un rūpniecības kamera, Bezizmešu mobilitātes atbalsta biedrība, Lauksaimniecības organizāciju sadarbības padome, a/s “Latvijas gāze”</w:t>
            </w:r>
            <w:r w:rsidRPr="001D7630">
              <w:tab/>
            </w:r>
          </w:p>
        </w:tc>
      </w:tr>
      <w:tr w:rsidR="007B4C0F" w:rsidRPr="001D7630" w14:paraId="3B17965F" w14:textId="77777777" w:rsidTr="009A5411">
        <w:tc>
          <w:tcPr>
            <w:tcW w:w="2835" w:type="dxa"/>
          </w:tcPr>
          <w:p w14:paraId="419D6E5C" w14:textId="77777777" w:rsidR="007B4C0F" w:rsidRPr="001D7630" w:rsidRDefault="007B4C0F" w:rsidP="001D7630">
            <w:pPr>
              <w:pStyle w:val="naiskr"/>
              <w:spacing w:before="60" w:after="60"/>
            </w:pPr>
            <w:r w:rsidRPr="001D7630">
              <w:lastRenderedPageBreak/>
              <w:t>Ministrijas (citas institūcijas), kuras nav ieradušās uz sanāksmi vai kuras nav atbildējušas uz uzaicinājumu piedalīties elektroniskajā saskaņošanā</w:t>
            </w:r>
          </w:p>
        </w:tc>
        <w:tc>
          <w:tcPr>
            <w:tcW w:w="11448" w:type="dxa"/>
            <w:tcBorders>
              <w:bottom w:val="single" w:sz="4" w:space="0" w:color="auto"/>
            </w:tcBorders>
          </w:tcPr>
          <w:p w14:paraId="4F9FA8B2" w14:textId="77777777" w:rsidR="007B4C0F" w:rsidRPr="001D7630" w:rsidRDefault="00345DE9" w:rsidP="001D7630">
            <w:pPr>
              <w:pStyle w:val="naiskr"/>
              <w:spacing w:before="60" w:after="60"/>
            </w:pPr>
            <w:r w:rsidRPr="001D7630">
              <w:t>Valsts vides dienests, Latvijas Darba devēju konfederācija, Degvielas tirgotāju un ražotāju savienība, Latvijas Līzinga Devēju asociācija</w:t>
            </w:r>
          </w:p>
        </w:tc>
      </w:tr>
    </w:tbl>
    <w:p w14:paraId="12F08EF5" w14:textId="77777777" w:rsidR="00683081" w:rsidRPr="001D7630" w:rsidRDefault="00683081" w:rsidP="001D7630">
      <w:pPr>
        <w:pStyle w:val="naisf"/>
        <w:spacing w:before="0" w:after="0"/>
        <w:ind w:firstLine="720"/>
      </w:pPr>
    </w:p>
    <w:p w14:paraId="31A91BAE" w14:textId="77777777" w:rsidR="00BF4DEC" w:rsidRPr="001D7630" w:rsidRDefault="00BF4DEC" w:rsidP="001D7630">
      <w:pPr>
        <w:pStyle w:val="naisf"/>
        <w:spacing w:before="0" w:after="0"/>
        <w:ind w:firstLine="0"/>
        <w:jc w:val="center"/>
        <w:rPr>
          <w:b/>
        </w:rPr>
        <w:sectPr w:rsidR="00BF4DEC" w:rsidRPr="001D7630" w:rsidSect="00201045">
          <w:headerReference w:type="even" r:id="rId8"/>
          <w:headerReference w:type="default" r:id="rId9"/>
          <w:footerReference w:type="default" r:id="rId10"/>
          <w:headerReference w:type="first" r:id="rId11"/>
          <w:footerReference w:type="first" r:id="rId12"/>
          <w:pgSz w:w="16838" w:h="11906" w:orient="landscape" w:code="9"/>
          <w:pgMar w:top="1418" w:right="1134" w:bottom="1134" w:left="1701" w:header="567" w:footer="567" w:gutter="0"/>
          <w:cols w:space="708"/>
          <w:titlePg/>
          <w:docGrid w:linePitch="360"/>
        </w:sectPr>
      </w:pPr>
    </w:p>
    <w:p w14:paraId="3F97B169" w14:textId="77777777" w:rsidR="007B4C0F" w:rsidRPr="001D7630" w:rsidRDefault="007B4C0F" w:rsidP="001D7630">
      <w:pPr>
        <w:pStyle w:val="naisf"/>
        <w:spacing w:before="0" w:after="0"/>
        <w:ind w:firstLine="0"/>
        <w:jc w:val="center"/>
        <w:rPr>
          <w:b/>
        </w:rPr>
      </w:pPr>
      <w:r w:rsidRPr="001D7630">
        <w:rPr>
          <w:b/>
        </w:rPr>
        <w:lastRenderedPageBreak/>
        <w:t>II. </w:t>
      </w:r>
      <w:r w:rsidR="00134188" w:rsidRPr="001D7630">
        <w:rPr>
          <w:b/>
        </w:rPr>
        <w:t>Jautājumi, par kuriem saskaņošanā vienošan</w:t>
      </w:r>
      <w:r w:rsidR="00144622" w:rsidRPr="001D7630">
        <w:rPr>
          <w:b/>
        </w:rPr>
        <w:t>ā</w:t>
      </w:r>
      <w:r w:rsidR="00134188" w:rsidRPr="001D7630">
        <w:rPr>
          <w:b/>
        </w:rPr>
        <w:t>s ir panākta</w:t>
      </w:r>
    </w:p>
    <w:tbl>
      <w:tblPr>
        <w:tblW w:w="14992" w:type="dxa"/>
        <w:jc w:val="center"/>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637"/>
        <w:gridCol w:w="3041"/>
        <w:gridCol w:w="4047"/>
        <w:gridCol w:w="2976"/>
        <w:gridCol w:w="4291"/>
      </w:tblGrid>
      <w:tr w:rsidR="00134188" w:rsidRPr="001D7630" w14:paraId="73AD5F94"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vAlign w:val="center"/>
          </w:tcPr>
          <w:p w14:paraId="397DE2C2" w14:textId="77777777" w:rsidR="00134188" w:rsidRPr="001D7630" w:rsidRDefault="005F1BA0" w:rsidP="001D7630">
            <w:pPr>
              <w:pStyle w:val="naisc"/>
              <w:spacing w:before="0" w:after="0"/>
              <w:jc w:val="left"/>
              <w:rPr>
                <w:sz w:val="22"/>
                <w:szCs w:val="22"/>
              </w:rPr>
            </w:pPr>
            <w:r w:rsidRPr="001D7630">
              <w:rPr>
                <w:sz w:val="22"/>
                <w:szCs w:val="22"/>
              </w:rPr>
              <w:t>N</w:t>
            </w:r>
            <w:r w:rsidR="00134188" w:rsidRPr="001D7630">
              <w:rPr>
                <w:sz w:val="22"/>
                <w:szCs w:val="22"/>
              </w:rPr>
              <w:t>r. p.k.</w:t>
            </w:r>
          </w:p>
        </w:tc>
        <w:tc>
          <w:tcPr>
            <w:tcW w:w="3041" w:type="dxa"/>
            <w:tcBorders>
              <w:top w:val="single" w:sz="6" w:space="0" w:color="000000"/>
              <w:left w:val="single" w:sz="6" w:space="0" w:color="000000"/>
              <w:bottom w:val="single" w:sz="6" w:space="0" w:color="000000"/>
              <w:right w:val="single" w:sz="6" w:space="0" w:color="000000"/>
            </w:tcBorders>
            <w:vAlign w:val="center"/>
          </w:tcPr>
          <w:p w14:paraId="2D710F9C" w14:textId="77777777" w:rsidR="00134188" w:rsidRPr="001D7630" w:rsidRDefault="00134188" w:rsidP="001D7630">
            <w:pPr>
              <w:pStyle w:val="naisc"/>
              <w:spacing w:before="0" w:after="0"/>
              <w:rPr>
                <w:sz w:val="22"/>
                <w:szCs w:val="22"/>
              </w:rPr>
            </w:pPr>
            <w:r w:rsidRPr="001D7630">
              <w:rPr>
                <w:sz w:val="22"/>
                <w:szCs w:val="22"/>
              </w:rPr>
              <w:t>Saskaņošanai nosūtītā projekta redakcija (konkrēta punkta (panta) redakcija)</w:t>
            </w:r>
          </w:p>
        </w:tc>
        <w:tc>
          <w:tcPr>
            <w:tcW w:w="4047" w:type="dxa"/>
            <w:tcBorders>
              <w:top w:val="single" w:sz="6" w:space="0" w:color="000000"/>
              <w:left w:val="single" w:sz="6" w:space="0" w:color="000000"/>
              <w:bottom w:val="single" w:sz="6" w:space="0" w:color="000000"/>
              <w:right w:val="single" w:sz="6" w:space="0" w:color="000000"/>
            </w:tcBorders>
            <w:vAlign w:val="center"/>
          </w:tcPr>
          <w:p w14:paraId="6570930F" w14:textId="77777777" w:rsidR="00134188" w:rsidRPr="001D7630" w:rsidRDefault="00134188" w:rsidP="001D7630">
            <w:pPr>
              <w:pStyle w:val="naisc"/>
              <w:spacing w:before="0" w:after="0"/>
              <w:rPr>
                <w:sz w:val="22"/>
                <w:szCs w:val="22"/>
              </w:rPr>
            </w:pPr>
            <w:r w:rsidRPr="001D7630">
              <w:rPr>
                <w:sz w:val="22"/>
                <w:szCs w:val="22"/>
              </w:rPr>
              <w:t>Atzinumā norādītais ministrijas (citas institūcijas) iebildums, kā arī saskaņošanā papildus izteiktais iebildums par projekta konkrēto punktu (pantu)</w:t>
            </w:r>
          </w:p>
        </w:tc>
        <w:tc>
          <w:tcPr>
            <w:tcW w:w="2976" w:type="dxa"/>
            <w:tcBorders>
              <w:top w:val="single" w:sz="6" w:space="0" w:color="000000"/>
              <w:left w:val="single" w:sz="6" w:space="0" w:color="000000"/>
              <w:bottom w:val="single" w:sz="6" w:space="0" w:color="000000"/>
              <w:right w:val="single" w:sz="6" w:space="0" w:color="000000"/>
            </w:tcBorders>
            <w:vAlign w:val="center"/>
          </w:tcPr>
          <w:p w14:paraId="2AC699EA" w14:textId="77777777" w:rsidR="00134188" w:rsidRPr="001D7630" w:rsidRDefault="00134188" w:rsidP="001D7630">
            <w:pPr>
              <w:pStyle w:val="naisc"/>
              <w:spacing w:before="0" w:after="0"/>
              <w:rPr>
                <w:sz w:val="22"/>
                <w:szCs w:val="22"/>
              </w:rPr>
            </w:pPr>
            <w:r w:rsidRPr="001D7630">
              <w:rPr>
                <w:sz w:val="22"/>
                <w:szCs w:val="22"/>
              </w:rPr>
              <w:t>Atbildīgās ministrijas norāde</w:t>
            </w:r>
            <w:r w:rsidR="006C1C48" w:rsidRPr="001D7630">
              <w:rPr>
                <w:sz w:val="22"/>
                <w:szCs w:val="22"/>
              </w:rPr>
              <w:t xml:space="preserve"> par to, ka </w:t>
            </w:r>
            <w:r w:rsidRPr="001D7630">
              <w:rPr>
                <w:sz w:val="22"/>
                <w:szCs w:val="22"/>
              </w:rPr>
              <w:t>iebildums ir ņemts vērā</w:t>
            </w:r>
            <w:r w:rsidR="006455E7" w:rsidRPr="001D7630">
              <w:rPr>
                <w:sz w:val="22"/>
                <w:szCs w:val="22"/>
              </w:rPr>
              <w:t>,</w:t>
            </w:r>
            <w:r w:rsidRPr="001D7630">
              <w:rPr>
                <w:sz w:val="22"/>
                <w:szCs w:val="22"/>
              </w:rPr>
              <w:t xml:space="preserve"> vai </w:t>
            </w:r>
            <w:r w:rsidR="006C1C48" w:rsidRPr="001D7630">
              <w:rPr>
                <w:sz w:val="22"/>
                <w:szCs w:val="22"/>
              </w:rPr>
              <w:t xml:space="preserve">informācija par saskaņošanā </w:t>
            </w:r>
            <w:r w:rsidR="00022B0F" w:rsidRPr="001D7630">
              <w:rPr>
                <w:sz w:val="22"/>
                <w:szCs w:val="22"/>
              </w:rPr>
              <w:t>panākto alternatīvo risinājumu</w:t>
            </w:r>
          </w:p>
        </w:tc>
        <w:tc>
          <w:tcPr>
            <w:tcW w:w="4291" w:type="dxa"/>
            <w:tcBorders>
              <w:top w:val="single" w:sz="4" w:space="0" w:color="auto"/>
              <w:left w:val="single" w:sz="4" w:space="0" w:color="auto"/>
              <w:bottom w:val="single" w:sz="4" w:space="0" w:color="auto"/>
            </w:tcBorders>
            <w:vAlign w:val="center"/>
          </w:tcPr>
          <w:p w14:paraId="200B7C54" w14:textId="77777777" w:rsidR="00134188" w:rsidRPr="001D7630" w:rsidRDefault="00134188" w:rsidP="001D7630">
            <w:pPr>
              <w:jc w:val="center"/>
              <w:rPr>
                <w:sz w:val="22"/>
                <w:szCs w:val="22"/>
              </w:rPr>
            </w:pPr>
            <w:r w:rsidRPr="001D7630">
              <w:rPr>
                <w:sz w:val="22"/>
                <w:szCs w:val="22"/>
              </w:rPr>
              <w:t>Projekta attiecīgā punkta (panta) galīgā redakcija</w:t>
            </w:r>
          </w:p>
        </w:tc>
      </w:tr>
      <w:tr w:rsidR="00134188" w:rsidRPr="001D7630" w14:paraId="7A39706D"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5D38B264" w14:textId="0E194541" w:rsidR="00134188" w:rsidRPr="001D7630" w:rsidRDefault="005F1BA0" w:rsidP="001D7630">
            <w:pPr>
              <w:pStyle w:val="naisc"/>
              <w:spacing w:before="0" w:after="0"/>
              <w:rPr>
                <w:sz w:val="20"/>
                <w:szCs w:val="20"/>
              </w:rPr>
            </w:pPr>
            <w:r w:rsidRPr="001D7630">
              <w:rPr>
                <w:sz w:val="20"/>
                <w:szCs w:val="20"/>
              </w:rPr>
              <w:t>1</w:t>
            </w:r>
          </w:p>
        </w:tc>
        <w:tc>
          <w:tcPr>
            <w:tcW w:w="3041" w:type="dxa"/>
            <w:tcBorders>
              <w:top w:val="single" w:sz="6" w:space="0" w:color="000000"/>
              <w:left w:val="single" w:sz="6" w:space="0" w:color="000000"/>
              <w:bottom w:val="single" w:sz="6" w:space="0" w:color="000000"/>
              <w:right w:val="single" w:sz="6" w:space="0" w:color="000000"/>
            </w:tcBorders>
          </w:tcPr>
          <w:p w14:paraId="63208975" w14:textId="77777777" w:rsidR="00134188" w:rsidRPr="001D7630" w:rsidRDefault="00F34AAB" w:rsidP="001D7630">
            <w:pPr>
              <w:pStyle w:val="naisc"/>
              <w:spacing w:before="0" w:after="0"/>
              <w:rPr>
                <w:sz w:val="20"/>
                <w:szCs w:val="20"/>
              </w:rPr>
            </w:pPr>
            <w:r w:rsidRPr="001D7630">
              <w:rPr>
                <w:sz w:val="20"/>
                <w:szCs w:val="20"/>
              </w:rPr>
              <w:t>2</w:t>
            </w:r>
          </w:p>
        </w:tc>
        <w:tc>
          <w:tcPr>
            <w:tcW w:w="4047" w:type="dxa"/>
            <w:tcBorders>
              <w:top w:val="single" w:sz="6" w:space="0" w:color="000000"/>
              <w:left w:val="single" w:sz="6" w:space="0" w:color="000000"/>
              <w:bottom w:val="single" w:sz="6" w:space="0" w:color="000000"/>
              <w:right w:val="single" w:sz="6" w:space="0" w:color="000000"/>
            </w:tcBorders>
          </w:tcPr>
          <w:p w14:paraId="72463341" w14:textId="77777777" w:rsidR="00134188" w:rsidRPr="001D7630" w:rsidRDefault="003B71E0" w:rsidP="001D7630">
            <w:pPr>
              <w:pStyle w:val="naisc"/>
              <w:spacing w:before="0" w:after="0"/>
              <w:rPr>
                <w:sz w:val="20"/>
                <w:szCs w:val="20"/>
              </w:rPr>
            </w:pPr>
            <w:r w:rsidRPr="001D7630">
              <w:rPr>
                <w:sz w:val="20"/>
                <w:szCs w:val="20"/>
              </w:rPr>
              <w:t>3</w:t>
            </w:r>
          </w:p>
        </w:tc>
        <w:tc>
          <w:tcPr>
            <w:tcW w:w="2976" w:type="dxa"/>
            <w:tcBorders>
              <w:top w:val="single" w:sz="6" w:space="0" w:color="000000"/>
              <w:left w:val="single" w:sz="6" w:space="0" w:color="000000"/>
              <w:bottom w:val="single" w:sz="6" w:space="0" w:color="000000"/>
              <w:right w:val="single" w:sz="6" w:space="0" w:color="000000"/>
            </w:tcBorders>
          </w:tcPr>
          <w:p w14:paraId="0A293815" w14:textId="77777777" w:rsidR="00134188" w:rsidRPr="001D7630" w:rsidRDefault="003B71E0" w:rsidP="001D7630">
            <w:pPr>
              <w:pStyle w:val="naisc"/>
              <w:spacing w:before="0" w:after="0"/>
              <w:rPr>
                <w:sz w:val="20"/>
                <w:szCs w:val="20"/>
              </w:rPr>
            </w:pPr>
            <w:r w:rsidRPr="001D7630">
              <w:rPr>
                <w:sz w:val="20"/>
                <w:szCs w:val="20"/>
              </w:rPr>
              <w:t>4</w:t>
            </w:r>
          </w:p>
        </w:tc>
        <w:tc>
          <w:tcPr>
            <w:tcW w:w="4291" w:type="dxa"/>
            <w:tcBorders>
              <w:top w:val="single" w:sz="4" w:space="0" w:color="auto"/>
              <w:left w:val="single" w:sz="4" w:space="0" w:color="auto"/>
              <w:bottom w:val="single" w:sz="4" w:space="0" w:color="auto"/>
            </w:tcBorders>
          </w:tcPr>
          <w:p w14:paraId="6A592DA8" w14:textId="77777777" w:rsidR="00134188" w:rsidRPr="001D7630" w:rsidRDefault="003B71E0" w:rsidP="001D7630">
            <w:pPr>
              <w:jc w:val="center"/>
              <w:rPr>
                <w:sz w:val="20"/>
                <w:szCs w:val="20"/>
              </w:rPr>
            </w:pPr>
            <w:r w:rsidRPr="001D7630">
              <w:rPr>
                <w:sz w:val="20"/>
                <w:szCs w:val="20"/>
              </w:rPr>
              <w:t>5</w:t>
            </w:r>
          </w:p>
        </w:tc>
      </w:tr>
      <w:tr w:rsidR="00D556F4" w:rsidRPr="001D7630" w14:paraId="636EFA7A" w14:textId="77777777" w:rsidTr="005D0902">
        <w:trPr>
          <w:jc w:val="center"/>
        </w:trPr>
        <w:tc>
          <w:tcPr>
            <w:tcW w:w="637" w:type="dxa"/>
            <w:vMerge w:val="restart"/>
            <w:tcBorders>
              <w:top w:val="single" w:sz="6" w:space="0" w:color="000000"/>
              <w:left w:val="single" w:sz="6" w:space="0" w:color="000000"/>
              <w:right w:val="single" w:sz="6" w:space="0" w:color="000000"/>
            </w:tcBorders>
          </w:tcPr>
          <w:p w14:paraId="089B031B" w14:textId="77777777" w:rsidR="00D556F4" w:rsidRPr="001D7630" w:rsidRDefault="00D556F4" w:rsidP="001D7630">
            <w:pPr>
              <w:pStyle w:val="naisc"/>
              <w:numPr>
                <w:ilvl w:val="0"/>
                <w:numId w:val="8"/>
              </w:numPr>
              <w:spacing w:before="0" w:after="0"/>
              <w:ind w:left="0" w:firstLine="0"/>
              <w:rPr>
                <w:b/>
              </w:rPr>
            </w:pPr>
          </w:p>
        </w:tc>
        <w:tc>
          <w:tcPr>
            <w:tcW w:w="3041" w:type="dxa"/>
            <w:vMerge w:val="restart"/>
            <w:tcBorders>
              <w:top w:val="single" w:sz="6" w:space="0" w:color="000000"/>
              <w:left w:val="single" w:sz="6" w:space="0" w:color="000000"/>
              <w:right w:val="single" w:sz="6" w:space="0" w:color="000000"/>
            </w:tcBorders>
          </w:tcPr>
          <w:p w14:paraId="3DD2DFE0" w14:textId="77777777" w:rsidR="00D556F4" w:rsidRPr="001D7630" w:rsidRDefault="00D556F4" w:rsidP="001D7630">
            <w:r w:rsidRPr="001D7630">
              <w:t>Viss likumprojekta teksts</w:t>
            </w:r>
          </w:p>
        </w:tc>
        <w:tc>
          <w:tcPr>
            <w:tcW w:w="4047" w:type="dxa"/>
            <w:tcBorders>
              <w:top w:val="single" w:sz="6" w:space="0" w:color="000000"/>
              <w:left w:val="single" w:sz="6" w:space="0" w:color="000000"/>
              <w:bottom w:val="single" w:sz="6" w:space="0" w:color="000000"/>
              <w:right w:val="single" w:sz="6" w:space="0" w:color="000000"/>
            </w:tcBorders>
          </w:tcPr>
          <w:p w14:paraId="5DE36FA3" w14:textId="77777777" w:rsidR="00D556F4" w:rsidRPr="001D7630" w:rsidRDefault="00D556F4" w:rsidP="001D7630">
            <w:pPr>
              <w:autoSpaceDE w:val="0"/>
              <w:autoSpaceDN w:val="0"/>
              <w:adjustRightInd w:val="0"/>
              <w:jc w:val="center"/>
              <w:rPr>
                <w:b/>
                <w:bCs/>
              </w:rPr>
            </w:pPr>
            <w:r w:rsidRPr="001D7630">
              <w:rPr>
                <w:b/>
                <w:bCs/>
              </w:rPr>
              <w:t>Tieslietu ministrija</w:t>
            </w:r>
          </w:p>
          <w:p w14:paraId="793EA331" w14:textId="77777777" w:rsidR="00D556F4" w:rsidRPr="001D7630" w:rsidRDefault="00D556F4" w:rsidP="001D7630">
            <w:pPr>
              <w:autoSpaceDE w:val="0"/>
              <w:autoSpaceDN w:val="0"/>
              <w:adjustRightInd w:val="0"/>
              <w:jc w:val="center"/>
              <w:rPr>
                <w:b/>
                <w:bCs/>
              </w:rPr>
            </w:pPr>
            <w:r w:rsidRPr="001D7630">
              <w:rPr>
                <w:b/>
                <w:bCs/>
              </w:rPr>
              <w:t>(08.01.2021. atzinums)</w:t>
            </w:r>
          </w:p>
          <w:p w14:paraId="73078CFA" w14:textId="77777777" w:rsidR="00D556F4" w:rsidRPr="001D7630" w:rsidRDefault="00D556F4" w:rsidP="001D7630">
            <w:pPr>
              <w:widowControl w:val="0"/>
              <w:tabs>
                <w:tab w:val="left" w:pos="993"/>
              </w:tabs>
              <w:jc w:val="both"/>
            </w:pPr>
            <w:r w:rsidRPr="001D7630">
              <w:rPr>
                <w:color w:val="000000" w:themeColor="text1"/>
              </w:rPr>
              <w:t>1. Pamatojoties uz Valsts sekretāru sanāksmes 2020. gada 9. janvāra sēdē Tieslietu ministrijai doto uzdevumu (prot. Nr. 2 14. § 2. punkts</w:t>
            </w:r>
            <w:r w:rsidRPr="001D7630">
              <w:rPr>
                <w:rStyle w:val="FootnoteReference"/>
                <w:color w:val="000000" w:themeColor="text1"/>
              </w:rPr>
              <w:footnoteReference w:id="1"/>
            </w:r>
            <w:r w:rsidRPr="001D7630">
              <w:rPr>
                <w:color w:val="000000" w:themeColor="text1"/>
              </w:rPr>
              <w:t>), lūdzam izvērtēt projektā ietvertā pilnvarojuma Ministru kabinetam atbilstību tiesību akta saturam, kuru paredzēts izdot uz šā pilnvarojuma pamata. Vēršam uzmanību, ka saskaņā ar Ministru kabineta iekārtas likuma 31. panta pirmās daļas 1. punktu, pilnvarojot Ministru kabinetu izdot noteikumus, pilnvarojumā jānorāda tā satura galvenie virzieni. Pilnvarojuma saturam ir jābūt tik skaidram, lai atklātu pilnvarojuma būtību un jēgu.</w:t>
            </w:r>
            <w:r w:rsidRPr="001D7630">
              <w:rPr>
                <w:rStyle w:val="FootnoteReference"/>
                <w:color w:val="000000" w:themeColor="text1"/>
              </w:rPr>
              <w:footnoteReference w:id="2"/>
            </w:r>
            <w:r w:rsidRPr="001D7630">
              <w:rPr>
                <w:color w:val="000000" w:themeColor="text1"/>
              </w:rPr>
              <w:t xml:space="preserve"> Nav pieļaujama personas pamattiesību ierobežošana, atsaucoties uz neskaidru vai pārprotamu likumdevēja pilnvarojumu.</w:t>
            </w:r>
            <w:r w:rsidRPr="001D7630">
              <w:rPr>
                <w:rStyle w:val="FootnoteReference"/>
                <w:color w:val="000000" w:themeColor="text1"/>
              </w:rPr>
              <w:footnoteReference w:id="3"/>
            </w:r>
          </w:p>
          <w:p w14:paraId="03B84E88" w14:textId="77777777" w:rsidR="00D556F4" w:rsidRPr="001D7630" w:rsidRDefault="00D556F4" w:rsidP="001D7630">
            <w:pPr>
              <w:pStyle w:val="naisf"/>
              <w:spacing w:before="0" w:after="0"/>
              <w:ind w:firstLine="720"/>
              <w:rPr>
                <w:rFonts w:eastAsia="Calibri"/>
                <w:color w:val="000000" w:themeColor="text1"/>
                <w:lang w:eastAsia="en-US"/>
              </w:rPr>
            </w:pPr>
            <w:r w:rsidRPr="001D7630">
              <w:t xml:space="preserve">Tai skaitā par </w:t>
            </w:r>
            <w:r w:rsidRPr="001D7630">
              <w:rPr>
                <w:color w:val="000000" w:themeColor="text1"/>
              </w:rPr>
              <w:t xml:space="preserve">projektā vairākkārt paredzēto pilnvarojumu Ministru </w:t>
            </w:r>
            <w:r w:rsidRPr="001D7630">
              <w:rPr>
                <w:color w:val="000000" w:themeColor="text1"/>
              </w:rPr>
              <w:lastRenderedPageBreak/>
              <w:t>kabinetam noteikt attiecīgā procesa “</w:t>
            </w:r>
            <w:r w:rsidRPr="001D7630">
              <w:rPr>
                <w:color w:val="000000" w:themeColor="text1"/>
                <w:u w:val="single"/>
              </w:rPr>
              <w:t>kārtību</w:t>
            </w:r>
            <w:r w:rsidRPr="001D7630">
              <w:rPr>
                <w:color w:val="000000" w:themeColor="text1"/>
              </w:rPr>
              <w:t xml:space="preserve">”, </w:t>
            </w:r>
            <w:r w:rsidRPr="001D7630">
              <w:rPr>
                <w:rFonts w:eastAsia="Calibri"/>
                <w:color w:val="000000" w:themeColor="text1"/>
                <w:lang w:eastAsia="en-US"/>
              </w:rPr>
              <w:t>skaidrojam, ka pilnvarojumā minētais vārds "kārtība" pamatā piešķir Ministru kabinetam tiesības noteikumos regulēt attiecīgā jautājuma procesuālo raksturu, proti, izstrādāt noteiktu procedūru. Vienlaikus tas neizslēdz Ministru kabineta tiesības pieņemt materiāla rakstura normas, ciktāl netiek pārkāpts attiecīgais pilnvarojums. Tomēr Ministru kabineta noteikumos nevar būt iekļautas tādas materiālās tiesību normas, kas veidotu no pilnvarojošā likuma būtiski atšķirīgas tiesiskās attiecības.</w:t>
            </w:r>
            <w:r w:rsidRPr="001D7630">
              <w:rPr>
                <w:rFonts w:eastAsia="Calibri"/>
                <w:vertAlign w:val="superscript"/>
                <w:lang w:eastAsia="en-US"/>
              </w:rPr>
              <w:footnoteReference w:id="4"/>
            </w:r>
            <w:r w:rsidRPr="001D7630">
              <w:rPr>
                <w:rFonts w:eastAsia="Calibri"/>
                <w:color w:val="000000" w:themeColor="text1"/>
                <w:lang w:eastAsia="en-US"/>
              </w:rPr>
              <w:t xml:space="preserve"> Ja tiesību normā jēdziens "kārtība" nav izmantots, tad pilnvarojums ir atšķirīgs un aptver ne tikai tiesības regulēt darbību procesuālo aspektu.</w:t>
            </w:r>
            <w:r w:rsidRPr="001D7630">
              <w:rPr>
                <w:rFonts w:eastAsia="Calibri"/>
                <w:vertAlign w:val="superscript"/>
                <w:lang w:eastAsia="en-US"/>
              </w:rPr>
              <w:footnoteReference w:id="5"/>
            </w:r>
            <w:r w:rsidRPr="001D7630">
              <w:rPr>
                <w:rFonts w:eastAsia="Calibri"/>
                <w:color w:val="000000" w:themeColor="text1"/>
                <w:lang w:eastAsia="en-US"/>
              </w:rPr>
              <w:t xml:space="preserve"> Šajā sakarā vēršam uzmanību uz Administratīvā procesa likuma 11. pantā minēto, ka Ministru kabineta noteikumi var būt par pamatu privātpersonai nelabvēlīgam administratīvajam aktam vai faktiskai rīcībai tikai tad, ja likumā tieši vai netieši ir ietverts pilnvarojums Ministru kabinetam, izdodot noteikumus, tajos paredzēt šādus administratīvos aktus vai faktisko rīcību. </w:t>
            </w:r>
          </w:p>
          <w:p w14:paraId="50A966AF" w14:textId="77777777" w:rsidR="00D556F4" w:rsidRPr="001D7630" w:rsidRDefault="00D556F4" w:rsidP="001D7630">
            <w:pPr>
              <w:ind w:firstLine="720"/>
              <w:jc w:val="both"/>
            </w:pPr>
            <w:r w:rsidRPr="001D7630">
              <w:rPr>
                <w:rFonts w:eastAsia="Calibri"/>
                <w:color w:val="000000" w:themeColor="text1"/>
              </w:rPr>
              <w:t xml:space="preserve">Ievērojot minēto, lūdzam izvērtēt un nepieciešamības gadījumā precizēt </w:t>
            </w:r>
            <w:r w:rsidRPr="001D7630">
              <w:rPr>
                <w:rFonts w:eastAsia="Calibri"/>
                <w:color w:val="000000" w:themeColor="text1"/>
              </w:rPr>
              <w:lastRenderedPageBreak/>
              <w:t>vai papildināt projektā ietvertos pilnvarojumus Ministru kabinetam.</w:t>
            </w:r>
          </w:p>
        </w:tc>
        <w:tc>
          <w:tcPr>
            <w:tcW w:w="2976" w:type="dxa"/>
            <w:vMerge w:val="restart"/>
            <w:tcBorders>
              <w:top w:val="single" w:sz="6" w:space="0" w:color="000000"/>
              <w:left w:val="single" w:sz="6" w:space="0" w:color="000000"/>
              <w:right w:val="single" w:sz="6" w:space="0" w:color="000000"/>
            </w:tcBorders>
          </w:tcPr>
          <w:p w14:paraId="0DD53905" w14:textId="77777777" w:rsidR="00D556F4" w:rsidRPr="001D7630" w:rsidRDefault="00D556F4" w:rsidP="001D7630">
            <w:pPr>
              <w:jc w:val="center"/>
              <w:rPr>
                <w:b/>
                <w:iCs/>
              </w:rPr>
            </w:pPr>
            <w:r w:rsidRPr="001D7630">
              <w:rPr>
                <w:b/>
                <w:iCs/>
              </w:rPr>
              <w:lastRenderedPageBreak/>
              <w:t>Ņemts vērā</w:t>
            </w:r>
          </w:p>
          <w:p w14:paraId="3C9156A9" w14:textId="77777777" w:rsidR="00D556F4" w:rsidRPr="001D7630" w:rsidRDefault="00D556F4" w:rsidP="001D7630">
            <w:pPr>
              <w:rPr>
                <w:bCs/>
                <w:iCs/>
              </w:rPr>
            </w:pPr>
          </w:p>
          <w:p w14:paraId="2EB6628B" w14:textId="77777777" w:rsidR="00D556F4" w:rsidRPr="001D7630" w:rsidRDefault="00D556F4" w:rsidP="001D7630">
            <w:pPr>
              <w:rPr>
                <w:b/>
                <w:iCs/>
              </w:rPr>
            </w:pPr>
            <w:r w:rsidRPr="001D7630">
              <w:rPr>
                <w:bCs/>
                <w:iCs/>
              </w:rPr>
              <w:t>Norādām, ka likumā iekļauto pienākumu izpildes uzraudzības nosacījumus nevar iekļaut likumprojektā, jo uzraudzības process ietver arī ziņojumu pārbaudi, izvērtēšanu, atsauces uz konkrētiem standartiem, saskaņā ar kuriem tiek veikta transporta enerģijas tirgus uzraudzība, kas ir pārāk detalizēti un tehniski nosacījumi iekļaušanai likumprojektā.</w:t>
            </w:r>
          </w:p>
        </w:tc>
        <w:tc>
          <w:tcPr>
            <w:tcW w:w="4291" w:type="dxa"/>
            <w:vMerge w:val="restart"/>
            <w:tcBorders>
              <w:top w:val="single" w:sz="4" w:space="0" w:color="auto"/>
              <w:left w:val="single" w:sz="4" w:space="0" w:color="auto"/>
            </w:tcBorders>
          </w:tcPr>
          <w:p w14:paraId="25EF3D79" w14:textId="77777777" w:rsidR="00D556F4" w:rsidRPr="001D7630" w:rsidRDefault="00D556F4" w:rsidP="001D7630">
            <w:r w:rsidRPr="001D7630">
              <w:t>Viss likumprojekta teksts ir precizēts</w:t>
            </w:r>
            <w:r w:rsidR="005340EE" w:rsidRPr="001D7630">
              <w:t>,</w:t>
            </w:r>
          </w:p>
          <w:p w14:paraId="66160FAA" w14:textId="77777777" w:rsidR="005340EE" w:rsidRPr="001D7630" w:rsidRDefault="005340EE" w:rsidP="001D7630"/>
          <w:p w14:paraId="7763DC40" w14:textId="77777777" w:rsidR="005340EE" w:rsidRPr="001D7630" w:rsidRDefault="005340EE" w:rsidP="001D7630">
            <w:r w:rsidRPr="001D7630">
              <w:t>Anotācijas IV sadaļas 1.punkts ir precizēts</w:t>
            </w:r>
          </w:p>
          <w:p w14:paraId="4D0567E1" w14:textId="77777777" w:rsidR="00D556F4" w:rsidRPr="001D7630" w:rsidRDefault="00D556F4" w:rsidP="001D7630"/>
        </w:tc>
      </w:tr>
      <w:tr w:rsidR="00D556F4" w:rsidRPr="001D7630" w14:paraId="364227DB" w14:textId="77777777" w:rsidTr="005D0902">
        <w:trPr>
          <w:jc w:val="center"/>
        </w:trPr>
        <w:tc>
          <w:tcPr>
            <w:tcW w:w="637" w:type="dxa"/>
            <w:vMerge/>
            <w:tcBorders>
              <w:left w:val="single" w:sz="6" w:space="0" w:color="000000"/>
              <w:right w:val="single" w:sz="6" w:space="0" w:color="000000"/>
            </w:tcBorders>
          </w:tcPr>
          <w:p w14:paraId="338C0F0F" w14:textId="77777777" w:rsidR="00D556F4" w:rsidRPr="001D7630" w:rsidRDefault="00D556F4" w:rsidP="001D7630">
            <w:pPr>
              <w:pStyle w:val="naisc"/>
              <w:numPr>
                <w:ilvl w:val="0"/>
                <w:numId w:val="8"/>
              </w:numPr>
              <w:spacing w:before="0" w:after="0"/>
              <w:ind w:left="0" w:firstLine="0"/>
              <w:rPr>
                <w:b/>
              </w:rPr>
            </w:pPr>
          </w:p>
        </w:tc>
        <w:tc>
          <w:tcPr>
            <w:tcW w:w="3041" w:type="dxa"/>
            <w:vMerge/>
            <w:tcBorders>
              <w:left w:val="single" w:sz="6" w:space="0" w:color="000000"/>
              <w:right w:val="single" w:sz="6" w:space="0" w:color="000000"/>
            </w:tcBorders>
          </w:tcPr>
          <w:p w14:paraId="1F2A8C24" w14:textId="77777777" w:rsidR="00D556F4" w:rsidRPr="001D7630" w:rsidRDefault="00D556F4" w:rsidP="001D7630"/>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3E4F04D0" w14:textId="77777777" w:rsidR="00D556F4" w:rsidRPr="001D7630" w:rsidRDefault="00D556F4" w:rsidP="001D7630">
            <w:pPr>
              <w:autoSpaceDE w:val="0"/>
              <w:autoSpaceDN w:val="0"/>
              <w:adjustRightInd w:val="0"/>
              <w:jc w:val="center"/>
              <w:rPr>
                <w:b/>
                <w:bCs/>
              </w:rPr>
            </w:pPr>
            <w:r w:rsidRPr="001D7630">
              <w:rPr>
                <w:b/>
                <w:bCs/>
              </w:rPr>
              <w:t>Tieslietu ministrija</w:t>
            </w:r>
          </w:p>
          <w:p w14:paraId="78788131" w14:textId="77777777" w:rsidR="00D556F4" w:rsidRPr="001D7630" w:rsidRDefault="00D556F4" w:rsidP="001D7630">
            <w:pPr>
              <w:autoSpaceDE w:val="0"/>
              <w:autoSpaceDN w:val="0"/>
              <w:adjustRightInd w:val="0"/>
              <w:jc w:val="center"/>
              <w:rPr>
                <w:b/>
                <w:bCs/>
              </w:rPr>
            </w:pPr>
            <w:r w:rsidRPr="001D7630">
              <w:rPr>
                <w:b/>
                <w:bCs/>
              </w:rPr>
              <w:t>(25.03.2021. atzinums)</w:t>
            </w:r>
          </w:p>
          <w:p w14:paraId="420128A4" w14:textId="77777777" w:rsidR="00D556F4" w:rsidRPr="001D7630" w:rsidRDefault="00D556F4" w:rsidP="001D7630">
            <w:pPr>
              <w:jc w:val="both"/>
              <w:rPr>
                <w:rStyle w:val="normaltextrun"/>
              </w:rPr>
            </w:pPr>
            <w:r w:rsidRPr="001D7630">
              <w:t xml:space="preserve">1. Atkārtoti lūdzam </w:t>
            </w:r>
            <w:r w:rsidRPr="001D7630">
              <w:rPr>
                <w:rStyle w:val="normaltextrun"/>
              </w:rPr>
              <w:t>izvērtēt visus projektā paredzētos pilnvarojumus Ministru kabinetam, attiecīgi precizējot projektu un papildinot projekta anotāciju (tās IV sadaļu).</w:t>
            </w:r>
          </w:p>
          <w:p w14:paraId="4180EE86" w14:textId="77777777" w:rsidR="00D556F4" w:rsidRPr="001D7630" w:rsidRDefault="00D556F4" w:rsidP="001D7630">
            <w:pPr>
              <w:pStyle w:val="ListParagraph"/>
              <w:spacing w:after="0" w:line="240" w:lineRule="auto"/>
              <w:ind w:left="28"/>
              <w:contextualSpacing w:val="0"/>
              <w:jc w:val="both"/>
              <w:rPr>
                <w:rStyle w:val="normaltextrun"/>
                <w:rFonts w:ascii="Times New Roman" w:hAnsi="Times New Roman"/>
                <w:sz w:val="24"/>
                <w:szCs w:val="24"/>
              </w:rPr>
            </w:pPr>
            <w:r w:rsidRPr="001D7630">
              <w:rPr>
                <w:rStyle w:val="normaltextrun"/>
                <w:rFonts w:ascii="Times New Roman" w:hAnsi="Times New Roman"/>
                <w:sz w:val="24"/>
                <w:szCs w:val="24"/>
              </w:rPr>
              <w:t>Vēršam uzmanību, ka pastāv tiesību praksē un judikatūrā nostiprināti principi par to, kā veidojami pilnvarojumi Ministru kabinetam:</w:t>
            </w:r>
          </w:p>
          <w:p w14:paraId="0A4B6772" w14:textId="77777777" w:rsidR="00D556F4" w:rsidRPr="001D7630" w:rsidRDefault="00D556F4" w:rsidP="001D7630">
            <w:pPr>
              <w:pStyle w:val="ListParagraph"/>
              <w:numPr>
                <w:ilvl w:val="0"/>
                <w:numId w:val="13"/>
              </w:numPr>
              <w:spacing w:after="0" w:line="240" w:lineRule="auto"/>
              <w:ind w:left="28"/>
              <w:contextualSpacing w:val="0"/>
              <w:jc w:val="both"/>
              <w:rPr>
                <w:rFonts w:ascii="Times New Roman" w:hAnsi="Times New Roman"/>
                <w:sz w:val="24"/>
                <w:szCs w:val="24"/>
              </w:rPr>
            </w:pPr>
            <w:r w:rsidRPr="001D7630">
              <w:rPr>
                <w:rFonts w:ascii="Times New Roman" w:hAnsi="Times New Roman"/>
                <w:sz w:val="24"/>
                <w:szCs w:val="24"/>
              </w:rPr>
              <w:t xml:space="preserve">Ministru kabinets var izdot vienīgi </w:t>
            </w:r>
            <w:r w:rsidRPr="001D7630">
              <w:rPr>
                <w:rFonts w:ascii="Times New Roman" w:hAnsi="Times New Roman"/>
                <w:sz w:val="24"/>
                <w:szCs w:val="24"/>
                <w:u w:val="single"/>
              </w:rPr>
              <w:t>likumam pakārtotus</w:t>
            </w:r>
            <w:r w:rsidRPr="001D7630">
              <w:rPr>
                <w:rFonts w:ascii="Times New Roman" w:hAnsi="Times New Roman"/>
                <w:sz w:val="24"/>
                <w:szCs w:val="24"/>
              </w:rPr>
              <w:t xml:space="preserve"> un likumam atbilstošus normatīvus aktus, lai sekmētu likumu īstenošanu dzīvē. To panāk, </w:t>
            </w:r>
            <w:r w:rsidRPr="001D7630">
              <w:rPr>
                <w:rFonts w:ascii="Times New Roman" w:hAnsi="Times New Roman"/>
                <w:sz w:val="24"/>
                <w:szCs w:val="24"/>
                <w:u w:val="single"/>
              </w:rPr>
              <w:t>noteikumos konkretizējot tās likuma normas, kuru īstenošana prasa detalizētāku reglamentāciju</w:t>
            </w:r>
            <w:r w:rsidRPr="001D7630">
              <w:rPr>
                <w:rFonts w:ascii="Times New Roman" w:hAnsi="Times New Roman"/>
                <w:sz w:val="24"/>
                <w:szCs w:val="24"/>
              </w:rPr>
              <w:t xml:space="preserve">. Ministru kabinets, izdodot noteikumus, nedrīkst tajos ietvert tādas normas, kas nav uzskatāmas par </w:t>
            </w:r>
            <w:r w:rsidRPr="001D7630">
              <w:rPr>
                <w:rFonts w:ascii="Times New Roman" w:hAnsi="Times New Roman"/>
                <w:sz w:val="24"/>
                <w:szCs w:val="24"/>
                <w:u w:val="single"/>
              </w:rPr>
              <w:t>palīglīdzekļiem</w:t>
            </w:r>
            <w:r w:rsidRPr="001D7630">
              <w:rPr>
                <w:rFonts w:ascii="Times New Roman" w:hAnsi="Times New Roman"/>
                <w:sz w:val="24"/>
                <w:szCs w:val="24"/>
              </w:rPr>
              <w:t xml:space="preserve"> likuma normas īstenošanā (</w:t>
            </w:r>
            <w:r w:rsidRPr="001D7630">
              <w:rPr>
                <w:rFonts w:ascii="Times New Roman" w:hAnsi="Times New Roman"/>
                <w:i/>
                <w:iCs/>
                <w:sz w:val="24"/>
                <w:szCs w:val="24"/>
              </w:rPr>
              <w:t>sk.</w:t>
            </w:r>
            <w:r w:rsidRPr="001D7630">
              <w:rPr>
                <w:rFonts w:ascii="Times New Roman" w:hAnsi="Times New Roman"/>
                <w:sz w:val="24"/>
                <w:szCs w:val="24"/>
              </w:rPr>
              <w:t xml:space="preserve"> </w:t>
            </w:r>
            <w:r w:rsidRPr="001D7630">
              <w:rPr>
                <w:rFonts w:ascii="Times New Roman" w:hAnsi="Times New Roman"/>
                <w:i/>
                <w:iCs/>
                <w:sz w:val="24"/>
                <w:szCs w:val="24"/>
              </w:rPr>
              <w:t>Satversmes tiesas 2001. gada 3. aprīļa sprieduma lietā Nr. 2000</w:t>
            </w:r>
            <w:r w:rsidRPr="001D7630">
              <w:rPr>
                <w:rFonts w:ascii="Times New Roman" w:hAnsi="Times New Roman"/>
                <w:i/>
                <w:iCs/>
                <w:sz w:val="24"/>
                <w:szCs w:val="24"/>
              </w:rPr>
              <w:noBreakHyphen/>
              <w:t>07</w:t>
            </w:r>
            <w:r w:rsidRPr="001D7630">
              <w:rPr>
                <w:rFonts w:ascii="Times New Roman" w:hAnsi="Times New Roman"/>
                <w:i/>
                <w:iCs/>
                <w:sz w:val="24"/>
                <w:szCs w:val="24"/>
              </w:rPr>
              <w:noBreakHyphen/>
              <w:t>0409 secinājumu daļas 5. punktu</w:t>
            </w:r>
            <w:r w:rsidRPr="001D7630">
              <w:rPr>
                <w:rFonts w:ascii="Times New Roman" w:hAnsi="Times New Roman"/>
                <w:sz w:val="24"/>
                <w:szCs w:val="24"/>
              </w:rPr>
              <w:t xml:space="preserve">). Visi subjekti, kas nav parlaments, ir strikti juridiski ierobežoti vispārsaistošu normu izdošanā. Vispirms jābūt likumdevēja tiešam deleģējumam šādas normas izdot, bet, šo deleģējumu īstenojot, ir precīzi jāievēro tā robežas, </w:t>
            </w:r>
            <w:r w:rsidRPr="001D7630">
              <w:rPr>
                <w:rFonts w:ascii="Times New Roman" w:hAnsi="Times New Roman"/>
                <w:sz w:val="24"/>
                <w:szCs w:val="24"/>
              </w:rPr>
              <w:lastRenderedPageBreak/>
              <w:t xml:space="preserve">kā arī varas dalīšanas un likumības principi. </w:t>
            </w:r>
          </w:p>
          <w:p w14:paraId="09CC2EF3" w14:textId="77777777" w:rsidR="00D556F4" w:rsidRPr="001D7630" w:rsidRDefault="00D556F4" w:rsidP="001D7630">
            <w:pPr>
              <w:pStyle w:val="ListParagraph"/>
              <w:numPr>
                <w:ilvl w:val="0"/>
                <w:numId w:val="13"/>
              </w:numPr>
              <w:spacing w:after="0" w:line="240" w:lineRule="auto"/>
              <w:ind w:left="28"/>
              <w:contextualSpacing w:val="0"/>
              <w:jc w:val="both"/>
              <w:rPr>
                <w:rFonts w:ascii="Times New Roman" w:hAnsi="Times New Roman"/>
                <w:sz w:val="24"/>
                <w:szCs w:val="24"/>
              </w:rPr>
            </w:pPr>
            <w:r w:rsidRPr="001D7630">
              <w:rPr>
                <w:rFonts w:ascii="Times New Roman" w:hAnsi="Times New Roman"/>
                <w:sz w:val="24"/>
                <w:szCs w:val="24"/>
              </w:rPr>
              <w:t xml:space="preserve">Likumdevēja rīcības brīvība, tam deleģējot citiem valsts orgāniem tiesības izdot vispārsaistošus normatīvos aktus, ir ierobežota. Satversmes tiesa savā judikatūrā ir uzsvērusi virkni kritēriju, kas likumdevējam jāņem vērā, piešķirot šādu pilnvarojumu. Ir jautājumi, kurus var izlemt tikai parlaments pats. Piemēram, par ikviena tāda svarīga un nozīmīga valsts un sabiedrības dzīves jautājuma reglamentāciju, </w:t>
            </w:r>
            <w:r w:rsidRPr="001D7630">
              <w:rPr>
                <w:rFonts w:ascii="Times New Roman" w:hAnsi="Times New Roman"/>
                <w:sz w:val="24"/>
                <w:szCs w:val="24"/>
                <w:u w:val="single"/>
              </w:rPr>
              <w:t>kuros nepieciešama konceptuāla izšķiršanās un politiska diskusija, jālemj likumdevējam pašam</w:t>
            </w:r>
            <w:r w:rsidRPr="001D7630">
              <w:rPr>
                <w:rFonts w:ascii="Times New Roman" w:hAnsi="Times New Roman"/>
                <w:sz w:val="24"/>
                <w:szCs w:val="24"/>
              </w:rPr>
              <w:t xml:space="preserve">. </w:t>
            </w:r>
          </w:p>
          <w:p w14:paraId="7931CC08" w14:textId="77777777" w:rsidR="00D556F4" w:rsidRPr="001D7630" w:rsidRDefault="00D556F4" w:rsidP="001D7630">
            <w:pPr>
              <w:pStyle w:val="ListParagraph"/>
              <w:numPr>
                <w:ilvl w:val="0"/>
                <w:numId w:val="13"/>
              </w:numPr>
              <w:spacing w:after="0" w:line="240" w:lineRule="auto"/>
              <w:ind w:left="28"/>
              <w:contextualSpacing w:val="0"/>
              <w:jc w:val="both"/>
              <w:rPr>
                <w:rFonts w:ascii="Times New Roman" w:hAnsi="Times New Roman"/>
                <w:sz w:val="24"/>
                <w:szCs w:val="24"/>
              </w:rPr>
            </w:pPr>
            <w:r w:rsidRPr="001D7630">
              <w:rPr>
                <w:rFonts w:ascii="Times New Roman" w:hAnsi="Times New Roman"/>
                <w:sz w:val="24"/>
                <w:szCs w:val="24"/>
              </w:rPr>
              <w:t>Likumdevēja pilnvarojumam jābūt konkrētam, proti, skaidri noteiktam. Parlamentam ir deleģējošajā likuma normā skaidri jānosaka kompetentām institūcijām piešķirto pilnvaru apjoms un to īstenošanas veids, ņemot vērā noteiktā līdzekļa leģitīmo mērķi (</w:t>
            </w:r>
            <w:r w:rsidRPr="001D7630">
              <w:rPr>
                <w:rFonts w:ascii="Times New Roman" w:hAnsi="Times New Roman"/>
                <w:i/>
                <w:iCs/>
                <w:sz w:val="24"/>
                <w:szCs w:val="24"/>
              </w:rPr>
              <w:t>plašāk sk.: Satversmes tiesas tiesnešu Inetas Ziemeles un Sanitas Osipovas atsevišķās domas lietā Nr. 2017-33-03</w:t>
            </w:r>
            <w:r w:rsidRPr="001D7630">
              <w:rPr>
                <w:rFonts w:ascii="Times New Roman" w:hAnsi="Times New Roman"/>
                <w:sz w:val="24"/>
                <w:szCs w:val="24"/>
              </w:rPr>
              <w:t xml:space="preserve">). </w:t>
            </w:r>
          </w:p>
          <w:p w14:paraId="066D521C" w14:textId="77777777" w:rsidR="00D556F4" w:rsidRPr="001D7630" w:rsidRDefault="00D556F4" w:rsidP="001D7630">
            <w:pPr>
              <w:pStyle w:val="ListParagraph"/>
              <w:numPr>
                <w:ilvl w:val="0"/>
                <w:numId w:val="13"/>
              </w:numPr>
              <w:spacing w:after="0" w:line="240" w:lineRule="auto"/>
              <w:ind w:left="28"/>
              <w:contextualSpacing w:val="0"/>
              <w:jc w:val="both"/>
              <w:rPr>
                <w:rFonts w:ascii="Times New Roman" w:hAnsi="Times New Roman"/>
                <w:sz w:val="24"/>
                <w:szCs w:val="24"/>
              </w:rPr>
            </w:pPr>
            <w:r w:rsidRPr="001D7630">
              <w:rPr>
                <w:rFonts w:ascii="Times New Roman" w:hAnsi="Times New Roman"/>
                <w:sz w:val="24"/>
                <w:szCs w:val="24"/>
              </w:rPr>
              <w:t>Ministru kabineta noteikumos nav pieļaujams ietvert sodoša rakstura administratīvās sankcijas. Likumdevējam ir jāizlemj gan to, par ko personu var sodīt, gan arī to, kādus sodus var paredzēt (</w:t>
            </w:r>
            <w:r w:rsidRPr="001D7630">
              <w:rPr>
                <w:rFonts w:ascii="Times New Roman" w:hAnsi="Times New Roman"/>
                <w:i/>
                <w:iCs/>
                <w:sz w:val="24"/>
                <w:szCs w:val="24"/>
              </w:rPr>
              <w:t xml:space="preserve">sal.: Augstākās tiesas Administratīvo lietu departamenta </w:t>
            </w:r>
            <w:r w:rsidRPr="001D7630">
              <w:rPr>
                <w:rFonts w:ascii="Times New Roman" w:hAnsi="Times New Roman"/>
                <w:i/>
                <w:iCs/>
                <w:sz w:val="24"/>
                <w:szCs w:val="24"/>
              </w:rPr>
              <w:lastRenderedPageBreak/>
              <w:t>2017. gada 5. jūlija sprieduma lietā Nr. SKA-48/2017 9. punkts</w:t>
            </w:r>
            <w:r w:rsidRPr="001D7630">
              <w:rPr>
                <w:rFonts w:ascii="Times New Roman" w:hAnsi="Times New Roman"/>
                <w:sz w:val="24"/>
                <w:szCs w:val="24"/>
              </w:rPr>
              <w:t>).</w:t>
            </w:r>
          </w:p>
          <w:p w14:paraId="2AF3B1BF" w14:textId="77777777" w:rsidR="00D556F4" w:rsidRPr="001D7630" w:rsidRDefault="00D556F4" w:rsidP="001D7630">
            <w:pPr>
              <w:jc w:val="both"/>
              <w:rPr>
                <w:rFonts w:eastAsiaTheme="minorHAnsi"/>
              </w:rPr>
            </w:pPr>
            <w:r w:rsidRPr="001D7630">
              <w:t>Jebkurā gadījumā nav ieteicams pārslogot likuma tekstu ar pilnvarojumiem, jo tas padara pašu likumu neefektīvu un sarežģī likuma normu piemērošanu (</w:t>
            </w:r>
            <w:r w:rsidRPr="001D7630">
              <w:rPr>
                <w:i/>
                <w:iCs/>
              </w:rPr>
              <w:t xml:space="preserve">Normatīvo aktu projektu izstrādes rokasgrāmata, </w:t>
            </w:r>
            <w:hyperlink r:id="rId13" w:history="1">
              <w:r w:rsidRPr="001D7630">
                <w:rPr>
                  <w:rStyle w:val="Hyperlink"/>
                  <w:i/>
                  <w:iCs/>
                </w:rPr>
                <w:t>https://tai.mk.gov.lv/book/1/chapter/97</w:t>
              </w:r>
            </w:hyperlink>
            <w:r w:rsidRPr="001D7630">
              <w:t>).</w:t>
            </w:r>
          </w:p>
          <w:p w14:paraId="61F6C15B" w14:textId="77777777" w:rsidR="00D556F4" w:rsidRPr="001D7630" w:rsidRDefault="00D556F4" w:rsidP="001D7630">
            <w:pPr>
              <w:jc w:val="both"/>
            </w:pPr>
            <w:r w:rsidRPr="001D7630">
              <w:t>Šobrīd projektā ir ietverti daudzi pilnvarojumi Ministru kabinetam ne tikai noteikt kādas likuma prasības īstenošanas procedūru, bet arī risināt materiāla rakstura jautājumus. Par to liecina pilnvarojumos lietotie tādi vārdi kā "prasības", "rādītāji", "personu tiesības un pienākumi" (tik abstrakts pilnvarojums vispār nav pieļaujams), "kritēriji", "izņēmumi" (Ministru kabineta noteikumos nebūtu pieļaujams paredzēt izņēmumus no likuma), "nosacījumi" u. tml. Turklāt likumā nav atrodamas nekādas vadlīnijas (pamatregulējums) Ministru kabinetam, kā šādu pilnvarojumu izpildīt.</w:t>
            </w:r>
          </w:p>
          <w:p w14:paraId="52649926" w14:textId="77777777" w:rsidR="00D556F4" w:rsidRPr="001D7630" w:rsidRDefault="00D556F4" w:rsidP="001D7630">
            <w:pPr>
              <w:jc w:val="both"/>
            </w:pPr>
            <w:r w:rsidRPr="001D7630">
              <w:t xml:space="preserve">Šādas norādes nav atrodamas arī projekta anotācijas IV sadaļā (atbilstoši </w:t>
            </w:r>
            <w:r w:rsidRPr="001D7630">
              <w:rPr>
                <w:rStyle w:val="normaltextrun"/>
              </w:rPr>
              <w:t xml:space="preserve">Ministru kabineta 2009. gada 15. decembra instrukcijas Nr. 19 "Tiesību akta projekta sākotnējās ietekmes izvērtēšanas kārtība" 54. punkta prasībām projekta anotācijā ir jāskaidro projektā paredzēto tiesību aktu nepieciešamība un būtība). </w:t>
            </w:r>
            <w:r w:rsidRPr="001D7630">
              <w:t xml:space="preserve">Ja ir nolemts </w:t>
            </w:r>
            <w:r w:rsidRPr="001D7630">
              <w:lastRenderedPageBreak/>
              <w:t>izstrādāt jaunus Ministru kabineta noteikumus, tad projekta anotācijā norāda pamatojumu šādai izvēlei, kā arī apraksta jauno Ministru kabineta noteikumu saturisko ietvaru. Jau šajā stadijā ir lietderīgi rūpīgi apdomāt, kā precīzi formulēt regulējamo jautājumu loku. (</w:t>
            </w:r>
            <w:r w:rsidRPr="001D7630">
              <w:rPr>
                <w:i/>
                <w:iCs/>
              </w:rPr>
              <w:t>Smiltēna A., Bloma I. Tiesību akta projekta ietekmes sākotnējā izvērtēšana. [B.v.]: Valsts kanceleja, 2014, 45.–46.  lpp.).</w:t>
            </w:r>
            <w:r w:rsidRPr="001D7630">
              <w:t xml:space="preserve"> </w:t>
            </w:r>
            <w:r w:rsidRPr="001D7630">
              <w:rPr>
                <w:u w:val="single"/>
              </w:rPr>
              <w:t>Pirms pilnvarojuma ietveršanas normatīvā akta projektā būtībā ir nepieciešams konstatēt izstrādājamo noteikumu galvenos regulējamos jautājumus</w:t>
            </w:r>
            <w:r w:rsidRPr="001D7630">
              <w:t xml:space="preserve"> (piemēram, kas ietilpst "kārtībā", kādus procesa posmus nepieciešams regulēt). Citiem vārdiem sakot, jāspēj izveidot attiecīgā noteikumu projekta satura rādītāju, galveno tēžu sarakstu. </w:t>
            </w:r>
          </w:p>
          <w:p w14:paraId="78541F84" w14:textId="77777777" w:rsidR="00D556F4" w:rsidRPr="001D7630" w:rsidRDefault="00D556F4" w:rsidP="001D7630">
            <w:pPr>
              <w:jc w:val="both"/>
            </w:pPr>
            <w:r w:rsidRPr="001D7630">
              <w:t xml:space="preserve">Ja projekta anotācijā nav skaidrojuma, tad nav iespējams izvērtēt pilnvarojuma atbilstību iepriekšminētajām prasībām, kā arī pastāv liela varbūtība, ka Ministru kabineta noteikumos nemaz nevarēs ietvert nepieciešamo vai plānoto regulējumu. </w:t>
            </w:r>
          </w:p>
          <w:p w14:paraId="4E4A0D8D" w14:textId="77777777" w:rsidR="00D556F4" w:rsidRPr="001D7630" w:rsidRDefault="00D556F4" w:rsidP="001D7630">
            <w:pPr>
              <w:ind w:firstLine="720"/>
              <w:jc w:val="both"/>
            </w:pPr>
            <w:r w:rsidRPr="001D7630">
              <w:t>Atbilstoši iepriekš minētajam it īpaši pārskatāmi un precizējami šādi projektā ietvertie pilnvarojumi (uzsveram, ka turpmāk minētais precizējamo normu saraksts nav izsmeļošs):</w:t>
            </w:r>
          </w:p>
          <w:p w14:paraId="09F6CB25" w14:textId="77777777" w:rsidR="00D556F4" w:rsidRPr="001D7630" w:rsidRDefault="00D556F4" w:rsidP="001D7630">
            <w:pPr>
              <w:ind w:left="28"/>
              <w:jc w:val="both"/>
            </w:pPr>
            <w:r w:rsidRPr="001D7630">
              <w:lastRenderedPageBreak/>
              <w:t>- projekta 4.panta astotās daļas 2.punkts, ka MK nosaka “</w:t>
            </w:r>
            <w:r w:rsidRPr="001D7630">
              <w:rPr>
                <w:i/>
                <w:iCs/>
              </w:rPr>
              <w:t xml:space="preserve">kārtību, kādā Ministru kabineta noteikta </w:t>
            </w:r>
            <w:r w:rsidRPr="001D7630">
              <w:rPr>
                <w:i/>
                <w:iCs/>
                <w:u w:val="single"/>
              </w:rPr>
              <w:t>institūcija</w:t>
            </w:r>
            <w:r w:rsidRPr="001D7630">
              <w:rPr>
                <w:i/>
                <w:iCs/>
              </w:rPr>
              <w:t xml:space="preserve">, kura nodrošina enerģētikas politikas administrēšanu (turpmāk – Ministru kabineta noteikta institūcija) </w:t>
            </w:r>
            <w:r w:rsidRPr="001D7630">
              <w:rPr>
                <w:i/>
                <w:iCs/>
                <w:u w:val="single"/>
              </w:rPr>
              <w:t>iznīcina</w:t>
            </w:r>
            <w:r w:rsidRPr="001D7630">
              <w:rPr>
                <w:i/>
                <w:iCs/>
              </w:rPr>
              <w:t xml:space="preserve"> kvalitātes prasībām neatbilstošu transporta enerģiju</w:t>
            </w:r>
            <w:r w:rsidRPr="001D7630">
              <w:t>”. Atbilstošā likuma (projekta) norma – 4.panta septītā daļa – paredz, ka “</w:t>
            </w:r>
            <w:r w:rsidRPr="001D7630">
              <w:rPr>
                <w:i/>
                <w:iCs/>
              </w:rPr>
              <w:t xml:space="preserve">transporta enerģiju, kas neatbilst šajā likumā un uz tā pamata izdoto normatīvo aktu noteiktām kvalitātes prasībām, šā panta otrajā daļā minētā </w:t>
            </w:r>
            <w:r w:rsidRPr="001D7630">
              <w:rPr>
                <w:i/>
                <w:iCs/>
                <w:u w:val="single"/>
              </w:rPr>
              <w:t>persona</w:t>
            </w:r>
            <w:r w:rsidRPr="001D7630">
              <w:rPr>
                <w:i/>
                <w:iCs/>
              </w:rPr>
              <w:t xml:space="preserve"> [t.i., “</w:t>
            </w:r>
            <w:r w:rsidRPr="001D7630">
              <w:t xml:space="preserve">Persona, kas galapatēriņam transportā realizē transporta enerģiju”] </w:t>
            </w:r>
            <w:r w:rsidRPr="001D7630">
              <w:rPr>
                <w:i/>
                <w:iCs/>
              </w:rPr>
              <w:t xml:space="preserve">[1] atgriež attiecīgajai personai, no kā transporta enerģija ir iegādāta, [2] pārstrādā vai [3] </w:t>
            </w:r>
            <w:r w:rsidRPr="001D7630">
              <w:rPr>
                <w:i/>
                <w:iCs/>
                <w:u w:val="single"/>
              </w:rPr>
              <w:t>iznīcina</w:t>
            </w:r>
            <w:r w:rsidRPr="001D7630">
              <w:t>”. No projekta un anotācijas nav izsecināms, vai enerģijas atgriešana, pārstrādāšana vai iznīcināšana ir personas – vai uzraudzības institūcijas – brīva izvēle, vai arī pastāv kādi nosacījumi šādas izvēles izdarīšanai. Tāpat secināms, ka neatbilstošās degvielas iznīcināšanu veic persona, nevis institūcija. Nav skaidrs, vai šos jautājumus paredzēts risināt MK noteikumos (ņemot vērā, ka minētais regulējums skar personu pamattiesības uz īpašumu, Tieslietu ministrijas ieskatā šāds regulējums būtu jāiekļauj likumā).</w:t>
            </w:r>
          </w:p>
          <w:p w14:paraId="5BDBF3A7" w14:textId="77777777" w:rsidR="00D556F4" w:rsidRPr="001D7630" w:rsidRDefault="00D556F4" w:rsidP="001D7630">
            <w:pPr>
              <w:ind w:left="28" w:firstLine="11"/>
              <w:jc w:val="both"/>
            </w:pPr>
            <w:r w:rsidRPr="001D7630">
              <w:lastRenderedPageBreak/>
              <w:t>- projekta 4.panta astotās daļas 3.punkts – MK nosaka “</w:t>
            </w:r>
            <w:bookmarkStart w:id="3" w:name="_Hlk66190456"/>
            <w:r w:rsidRPr="001D7630">
              <w:t xml:space="preserve">prasības transporta enerģijas apritē iesaistītajām personām, tai skaitā degvielas piegādātājiem, šo personu tiesības un pienākumus”. Šāds pilnvarojums ir nesamērīgi plašs, šādus MK noteikumus nevar uzskatīt par uzskatāmas par </w:t>
            </w:r>
            <w:r w:rsidRPr="001D7630">
              <w:rPr>
                <w:u w:val="single"/>
              </w:rPr>
              <w:t>palīglīdzekļiem</w:t>
            </w:r>
            <w:r w:rsidRPr="001D7630">
              <w:t xml:space="preserve"> likuma normas īstenošanā.</w:t>
            </w:r>
            <w:bookmarkEnd w:id="3"/>
          </w:p>
          <w:p w14:paraId="201F23C3" w14:textId="77777777" w:rsidR="00D556F4" w:rsidRPr="001D7630" w:rsidRDefault="00D556F4" w:rsidP="001D7630">
            <w:pPr>
              <w:ind w:left="28" w:firstLine="11"/>
              <w:jc w:val="both"/>
            </w:pPr>
            <w:r w:rsidRPr="001D7630">
              <w:t xml:space="preserve">- projekta 5.panta astotā daļa – paredz, ka “ Ministru kabinets izdod noteikumus, kuros nosaka </w:t>
            </w:r>
            <w:r w:rsidRPr="001D7630">
              <w:rPr>
                <w:u w:val="single"/>
              </w:rPr>
              <w:t>šā panta pirmajā un septītajā daļā noteikto uzdevumu nodrošināšanas nosacījumus</w:t>
            </w:r>
            <w:r w:rsidRPr="001D7630">
              <w:t>.” Projekta 5.panta pirmā daļa savukārt noteic, ka “</w:t>
            </w:r>
            <w:r w:rsidRPr="001D7630">
              <w:rPr>
                <w:i/>
                <w:iCs/>
              </w:rPr>
              <w:t>Satiksmes ministrija, sadarbojoties ar Ekonomikas ministriju, Vides aizsardzības un reģionālās attīstības ministriju un attiecīgajām pašvaldībām, kuru administratīvo teritoriju tas skars, un ņemot vērā politikas plānošanas dokumentus klimata, enerģētikas un transporta politikas jomā, izstrādā nepieciešamos normatīvos aktus, lai nodrošinātu, ka Eiropas Transporta tīkla (turpmāk – TEN-T) pamattīklā, valstspilsētu teritorijā un to kaimiņu novadu teritorijā, kā arī blīvi apdzīvotās teritorijās tiek uzstādīti jauni uzlādes punkti</w:t>
            </w:r>
            <w:r w:rsidRPr="001D7630">
              <w:t>.”</w:t>
            </w:r>
          </w:p>
          <w:p w14:paraId="65ABBE5D" w14:textId="77777777" w:rsidR="00D556F4" w:rsidRPr="001D7630" w:rsidRDefault="00D556F4" w:rsidP="001D7630">
            <w:pPr>
              <w:ind w:left="28" w:firstLine="11"/>
              <w:jc w:val="both"/>
            </w:pPr>
            <w:r w:rsidRPr="001D7630">
              <w:t xml:space="preserve">Līdz ar to nav īsti saprotams, ko paredzēs projekta 5.panta astotajā daļā minētie noteikumi – no pašreizējās projekta </w:t>
            </w:r>
            <w:r w:rsidRPr="001D7630">
              <w:lastRenderedPageBreak/>
              <w:t>redakcijas secināms, ka MK noteiks nosacījumus, kā SAM sadarbībā ar citām ministrijām izstrādā nepieciešamos normatīvos aktus. Nav skaidra ne šādu MK noteikumu jēga, ne tas, kādus normatīvos aktus izstrādās minētās ministrijas (jānorāda, ka ministrijām nav tiesību izdot ārējus normatīvos aktus), ne kas saprotams ar “nodrošināšanas nosacījumiem”.</w:t>
            </w:r>
          </w:p>
          <w:p w14:paraId="08B2DD6A" w14:textId="77777777" w:rsidR="00D556F4" w:rsidRPr="001D7630" w:rsidRDefault="00D556F4" w:rsidP="001D7630">
            <w:pPr>
              <w:ind w:left="28" w:firstLine="11"/>
              <w:jc w:val="both"/>
            </w:pPr>
            <w:r w:rsidRPr="001D7630">
              <w:t>Savukārt projekta 5.panta astotajā daļā minētā 5.panta septītā daļa jau pati par sevi satur tikai pilnvarojumus MK, līdz ar to atsauce uz septīto daļu svītrojama.</w:t>
            </w:r>
          </w:p>
          <w:p w14:paraId="50E4E700" w14:textId="77777777" w:rsidR="00D556F4" w:rsidRPr="001D7630" w:rsidRDefault="00D556F4" w:rsidP="001D7630">
            <w:pPr>
              <w:pStyle w:val="ListParagraph"/>
              <w:numPr>
                <w:ilvl w:val="0"/>
                <w:numId w:val="13"/>
              </w:numPr>
              <w:spacing w:after="0" w:line="240" w:lineRule="auto"/>
              <w:ind w:left="28" w:firstLine="11"/>
              <w:contextualSpacing w:val="0"/>
              <w:jc w:val="both"/>
              <w:rPr>
                <w:rFonts w:ascii="Times New Roman" w:hAnsi="Times New Roman"/>
                <w:sz w:val="24"/>
                <w:szCs w:val="24"/>
              </w:rPr>
            </w:pPr>
            <w:r w:rsidRPr="001D7630">
              <w:rPr>
                <w:rFonts w:ascii="Times New Roman" w:hAnsi="Times New Roman"/>
                <w:sz w:val="24"/>
                <w:szCs w:val="24"/>
              </w:rPr>
              <w:t>Projekta 5.panta septītās daļas 4.punkts – MK nosaka “</w:t>
            </w:r>
            <w:r w:rsidRPr="001D7630">
              <w:rPr>
                <w:rFonts w:ascii="Times New Roman" w:hAnsi="Times New Roman"/>
                <w:i/>
                <w:iCs/>
                <w:sz w:val="24"/>
                <w:szCs w:val="24"/>
              </w:rPr>
              <w:t>gadījumus, kuros nav piemērojams šā panta 2.daļas 2.teikumā minētais pienākums</w:t>
            </w:r>
            <w:r w:rsidRPr="001D7630">
              <w:rPr>
                <w:rFonts w:ascii="Times New Roman" w:hAnsi="Times New Roman"/>
                <w:sz w:val="24"/>
                <w:szCs w:val="24"/>
              </w:rPr>
              <w:t>”. Projekta 5.panta otrās daļas otrais teikums paredz, ka “</w:t>
            </w:r>
            <w:r w:rsidRPr="001D7630">
              <w:rPr>
                <w:rFonts w:ascii="Times New Roman" w:hAnsi="Times New Roman"/>
                <w:i/>
                <w:iCs/>
                <w:sz w:val="24"/>
                <w:szCs w:val="24"/>
              </w:rPr>
              <w:t>Minēto būvniecības procesu ietvaros, ja degvielas uzpildes stacijas atrodas pie valsts galvenajiem autoceļiem, jāparedz vismaz viens elektroenerģijas uzlādes punkts atbilstoši</w:t>
            </w:r>
            <w:r w:rsidRPr="001D7630">
              <w:rPr>
                <w:rFonts w:ascii="Times New Roman" w:hAnsi="Times New Roman"/>
                <w:sz w:val="24"/>
                <w:szCs w:val="24"/>
              </w:rPr>
              <w:t xml:space="preserve"> </w:t>
            </w:r>
            <w:r w:rsidRPr="001D7630">
              <w:rPr>
                <w:rFonts w:ascii="Times New Roman" w:hAnsi="Times New Roman"/>
                <w:i/>
                <w:iCs/>
                <w:sz w:val="24"/>
                <w:szCs w:val="24"/>
              </w:rPr>
              <w:t xml:space="preserve">minētajiem kritērijiem </w:t>
            </w:r>
            <w:r w:rsidRPr="001D7630">
              <w:rPr>
                <w:rFonts w:ascii="Times New Roman" w:hAnsi="Times New Roman"/>
                <w:i/>
                <w:iCs/>
                <w:sz w:val="24"/>
                <w:szCs w:val="24"/>
                <w:u w:val="single"/>
              </w:rPr>
              <w:t>vai izņēmumiem</w:t>
            </w:r>
            <w:r w:rsidRPr="001D7630">
              <w:rPr>
                <w:rFonts w:ascii="Times New Roman" w:hAnsi="Times New Roman"/>
                <w:i/>
                <w:iCs/>
                <w:sz w:val="24"/>
                <w:szCs w:val="24"/>
              </w:rPr>
              <w:t xml:space="preserve"> un Ministru kabineta noteiktā kārtībā veiktajam izvērtējumam par elektroenerģijas uzlādes pieprasījumu</w:t>
            </w:r>
            <w:r w:rsidRPr="001D7630">
              <w:rPr>
                <w:rFonts w:ascii="Times New Roman" w:hAnsi="Times New Roman"/>
                <w:sz w:val="24"/>
                <w:szCs w:val="24"/>
              </w:rPr>
              <w:t xml:space="preserve">”. </w:t>
            </w:r>
          </w:p>
          <w:p w14:paraId="787ECD61" w14:textId="77777777" w:rsidR="00D556F4" w:rsidRPr="001D7630" w:rsidRDefault="00D556F4" w:rsidP="001D7630">
            <w:pPr>
              <w:pStyle w:val="ListParagraph"/>
              <w:spacing w:after="0" w:line="240" w:lineRule="auto"/>
              <w:ind w:left="28" w:firstLine="11"/>
              <w:contextualSpacing w:val="0"/>
              <w:jc w:val="both"/>
              <w:rPr>
                <w:rFonts w:ascii="Times New Roman" w:hAnsi="Times New Roman"/>
                <w:sz w:val="24"/>
                <w:szCs w:val="24"/>
              </w:rPr>
            </w:pPr>
            <w:r w:rsidRPr="001D7630">
              <w:rPr>
                <w:rFonts w:ascii="Times New Roman" w:hAnsi="Times New Roman"/>
                <w:sz w:val="24"/>
                <w:szCs w:val="24"/>
              </w:rPr>
              <w:t xml:space="preserve">Nav skaidra 5.panta septītās daļas 4.punkta nepieciešamība (noteikt izņēmumus no izņēmumiem), it īpaši ņemot vērā 5.panta septītās daļas </w:t>
            </w:r>
            <w:r w:rsidRPr="001D7630">
              <w:rPr>
                <w:rFonts w:ascii="Times New Roman" w:hAnsi="Times New Roman"/>
                <w:sz w:val="24"/>
                <w:szCs w:val="24"/>
              </w:rPr>
              <w:lastRenderedPageBreak/>
              <w:t>3.punktā jau ietverto pilnvarojumu Savukārt projekta 5.panta septītās daļas 3.punktā minētais pilnvarojums apsverams atbilstoši iepriekš šajā atzinumā minētajam būtiskuma kritērijam, proti, ka likumdevējs pats regulē būtiskus jautājumus un jautājumus, kuros nepieciešama konceptuāla izšķiršanās. Lūdzam ņemt vērā arī iepriekš šajā atzinumā minēto, ka nebūtu pieļaujamas MK tiesības noteikt izņēmumus no likuma prasībām, jo tas būtībā pārkāpj varas dalīšanas principu.</w:t>
            </w:r>
          </w:p>
          <w:p w14:paraId="3399EF09" w14:textId="77777777" w:rsidR="00D556F4" w:rsidRPr="001D7630" w:rsidRDefault="00D556F4" w:rsidP="001D7630">
            <w:pPr>
              <w:pStyle w:val="ListParagraph"/>
              <w:numPr>
                <w:ilvl w:val="0"/>
                <w:numId w:val="13"/>
              </w:numPr>
              <w:spacing w:after="0" w:line="240" w:lineRule="auto"/>
              <w:ind w:left="28" w:firstLine="11"/>
              <w:contextualSpacing w:val="0"/>
              <w:jc w:val="both"/>
              <w:rPr>
                <w:rFonts w:ascii="Times New Roman" w:hAnsi="Times New Roman"/>
                <w:sz w:val="24"/>
                <w:szCs w:val="24"/>
              </w:rPr>
            </w:pPr>
            <w:r w:rsidRPr="001D7630">
              <w:rPr>
                <w:rFonts w:ascii="Times New Roman" w:hAnsi="Times New Roman"/>
                <w:sz w:val="24"/>
                <w:szCs w:val="24"/>
              </w:rPr>
              <w:t>Projekta 8.panta desmitās daļas 1.punkts – MK nosaka “līdzdalības mehānisma darbības nosacījumus”. Pilnvarojums jāskaidro vismaz projekta anotācijas IV sadaļā, jo tas ir ārkārtīgi plašs un nav skaidrs, kādus nosacījumus papildus projekta 6.pantā jau ietvertajiem MK varēs noteikt;</w:t>
            </w:r>
          </w:p>
          <w:p w14:paraId="3373FC38" w14:textId="77777777" w:rsidR="00D556F4" w:rsidRPr="001D7630" w:rsidRDefault="00D556F4" w:rsidP="001D7630">
            <w:pPr>
              <w:pStyle w:val="ListParagraph"/>
              <w:numPr>
                <w:ilvl w:val="0"/>
                <w:numId w:val="13"/>
              </w:numPr>
              <w:spacing w:after="0" w:line="240" w:lineRule="auto"/>
              <w:ind w:left="28" w:firstLine="11"/>
              <w:contextualSpacing w:val="0"/>
              <w:jc w:val="both"/>
              <w:rPr>
                <w:rFonts w:ascii="Times New Roman" w:hAnsi="Times New Roman"/>
                <w:sz w:val="24"/>
                <w:szCs w:val="24"/>
              </w:rPr>
            </w:pPr>
            <w:r w:rsidRPr="001D7630">
              <w:rPr>
                <w:rFonts w:ascii="Times New Roman" w:hAnsi="Times New Roman"/>
                <w:sz w:val="24"/>
                <w:szCs w:val="24"/>
              </w:rPr>
              <w:t>projekta 8.panta 12.daļa. Ņemam vērā Ekonomikas ministrijas sniegto skaidrojumu, proti, ka “</w:t>
            </w:r>
            <w:r w:rsidRPr="001D7630">
              <w:rPr>
                <w:rFonts w:ascii="Times New Roman" w:hAnsi="Times New Roman"/>
                <w:i/>
                <w:iCs/>
                <w:sz w:val="24"/>
                <w:szCs w:val="24"/>
              </w:rPr>
              <w:t xml:space="preserve">biodegvielas vai biogāze, kas ražota no likumprojekta pielikuma 2.punktā minētajām izejvielām, nav izmantojama degvielas piegādātājiem noteikto atjaunojamās transporta enerģijas mērķu izpildei (degvielas piegādātāji to nevar ieskaitīt noteiktajos mērķos), tomēr šādas biodegvielas vai biogāze būtu atļauta izmantošanai Latvijā arī, tai skaitā, lai </w:t>
            </w:r>
            <w:r w:rsidRPr="001D7630">
              <w:rPr>
                <w:rFonts w:ascii="Times New Roman" w:hAnsi="Times New Roman"/>
                <w:i/>
                <w:iCs/>
                <w:sz w:val="24"/>
                <w:szCs w:val="24"/>
              </w:rPr>
              <w:lastRenderedPageBreak/>
              <w:t>izpildītu likumprojekta 9.pantā noteiktos pienākumus</w:t>
            </w:r>
            <w:r w:rsidRPr="001D7630">
              <w:rPr>
                <w:rFonts w:ascii="Times New Roman" w:hAnsi="Times New Roman"/>
                <w:sz w:val="24"/>
                <w:szCs w:val="24"/>
              </w:rPr>
              <w:t>.” Tomēr norādām, ka šis izziņā minētais regulējums no likumprojekta, tai skaitā no tā 8.panta, skaidri neizriet. Projekta pielikuma 2.punkts ir minēts tikai un vienīgi 9.panta 12.daļā, kas pēc precizēšanas paredz, ka “</w:t>
            </w:r>
            <w:r w:rsidRPr="001D7630">
              <w:rPr>
                <w:rFonts w:ascii="Times New Roman" w:hAnsi="Times New Roman"/>
                <w:sz w:val="24"/>
                <w:szCs w:val="24"/>
                <w:u w:val="single"/>
              </w:rPr>
              <w:t>Ministru kabinets var rosināt noteikt ierobežojumus</w:t>
            </w:r>
            <w:r w:rsidRPr="001D7630">
              <w:rPr>
                <w:rFonts w:ascii="Times New Roman" w:hAnsi="Times New Roman"/>
                <w:sz w:val="24"/>
                <w:szCs w:val="24"/>
              </w:rPr>
              <w:t xml:space="preserve"> to biodegvielu un biogāzes, kas ražota no pielikuma 2. punktā uzskaitītajām izejvielām, patēriņam, ņemot vērā šo izejvielu pieejamību”.</w:t>
            </w:r>
          </w:p>
          <w:p w14:paraId="039FC2EB" w14:textId="77777777" w:rsidR="00D556F4" w:rsidRPr="001D7630" w:rsidRDefault="00D556F4" w:rsidP="001D7630">
            <w:pPr>
              <w:pStyle w:val="ListParagraph"/>
              <w:spacing w:after="0" w:line="240" w:lineRule="auto"/>
              <w:ind w:left="28" w:firstLine="11"/>
              <w:contextualSpacing w:val="0"/>
              <w:jc w:val="both"/>
              <w:rPr>
                <w:rFonts w:ascii="Times New Roman" w:hAnsi="Times New Roman"/>
                <w:sz w:val="24"/>
                <w:szCs w:val="24"/>
              </w:rPr>
            </w:pPr>
            <w:r w:rsidRPr="001D7630">
              <w:rPr>
                <w:rFonts w:ascii="Times New Roman" w:hAnsi="Times New Roman"/>
                <w:sz w:val="24"/>
                <w:szCs w:val="24"/>
              </w:rPr>
              <w:t xml:space="preserve">Līdz ar to nepieciešams vai nu paredzēt projekta 8.pantā pamatregulējumu par degvielu, kas ražota no pielikuma 2.punktā minētajām izejvielām, izmantošanu (atbilstoši izziņā skaidrotajam), un atbilstoši tam Ministru kabineta tiesības noteikt ierobežojumus šādas degvielas patēriņam līdzdalības mehānisma izpildē, vai arī svītrojot projekta 8.panta 12.daļu. Turklāt vēršam uzmanību, ka projekta 8.panta 12.daļā ietvertais pilnvarojums precizējams arī no tāda viedokļa, ka jābūt skaidri saprotamam, ka Ministru kabinetam tiek dotas tiesības izdot ārēju normatīvo aktu (noteikumus). Šobrīd no projekta redakcijas tas nav saprotams, piemēram, nav skaidrs, kam Ministru kabinets rosina šādus ierobežojumus noteikt. </w:t>
            </w:r>
          </w:p>
          <w:p w14:paraId="23056B4B" w14:textId="77777777" w:rsidR="00D556F4" w:rsidRPr="001D7630" w:rsidRDefault="00D556F4" w:rsidP="001D7630">
            <w:pPr>
              <w:pStyle w:val="ListParagraph"/>
              <w:numPr>
                <w:ilvl w:val="0"/>
                <w:numId w:val="13"/>
              </w:numPr>
              <w:spacing w:after="0" w:line="240" w:lineRule="auto"/>
              <w:ind w:left="28" w:firstLine="0"/>
              <w:contextualSpacing w:val="0"/>
              <w:jc w:val="both"/>
              <w:rPr>
                <w:rFonts w:ascii="Times New Roman" w:hAnsi="Times New Roman"/>
                <w:sz w:val="24"/>
                <w:szCs w:val="24"/>
              </w:rPr>
            </w:pPr>
            <w:bookmarkStart w:id="4" w:name="_Hlk67662407"/>
            <w:r w:rsidRPr="001D7630">
              <w:rPr>
                <w:rFonts w:ascii="Times New Roman" w:hAnsi="Times New Roman"/>
                <w:sz w:val="24"/>
                <w:szCs w:val="24"/>
              </w:rPr>
              <w:lastRenderedPageBreak/>
              <w:t xml:space="preserve">Projekta 10.panta devītās daļas </w:t>
            </w:r>
            <w:bookmarkEnd w:id="4"/>
            <w:r w:rsidRPr="001D7630">
              <w:rPr>
                <w:rFonts w:ascii="Times New Roman" w:hAnsi="Times New Roman"/>
                <w:sz w:val="24"/>
                <w:szCs w:val="24"/>
              </w:rPr>
              <w:t xml:space="preserve">4.punkts, kas paredz, ka MK nosaka “to personu loku, kam ir saistoši šā panta trešajā, ceturtajā un piektajā daļā noteiktie pienākumi” (sk. arī izziņas 23.punktā minēto iebildumu). Ņemot vērā, ka masas bilances ievērošana ir komplekss un būtisks personu pienākums, kā arī jau šobrīd projekta anotācijā un izziņā skaidroto, Tieslietu ministrijas ieskatā minētās personas tomēr jānosaka likumā (būtisks jautājums, kas jāizlemj pašam likumdevējam). </w:t>
            </w:r>
          </w:p>
          <w:p w14:paraId="21F1DF62" w14:textId="77777777" w:rsidR="00D556F4" w:rsidRPr="001D7630" w:rsidRDefault="00D556F4" w:rsidP="001D7630">
            <w:pPr>
              <w:pStyle w:val="ListParagraph"/>
              <w:numPr>
                <w:ilvl w:val="0"/>
                <w:numId w:val="13"/>
              </w:numPr>
              <w:spacing w:after="0" w:line="240" w:lineRule="auto"/>
              <w:ind w:left="28" w:firstLine="11"/>
              <w:contextualSpacing w:val="0"/>
              <w:jc w:val="both"/>
              <w:rPr>
                <w:rFonts w:ascii="Times New Roman" w:hAnsi="Times New Roman"/>
                <w:sz w:val="24"/>
                <w:szCs w:val="24"/>
              </w:rPr>
            </w:pPr>
            <w:r w:rsidRPr="001D7630">
              <w:rPr>
                <w:rFonts w:ascii="Times New Roman" w:hAnsi="Times New Roman"/>
                <w:sz w:val="24"/>
                <w:szCs w:val="24"/>
              </w:rPr>
              <w:t>Projekta 10.panta devītās daļas 5.punkts – MK nosaka “kritēriju ieviešanas mehānismu un atbilstības minētajiem kritējiem pārbaudes, uzraudzības un kontroles nosacījumus un kārtību”. Minētais pilnvarojums kā minimums skaidrojams projekta anotācijas IV sadaļā, jo nav saprotams, ko plānots iekļaut šādos MK noteikumos.</w:t>
            </w:r>
          </w:p>
          <w:p w14:paraId="571382D9" w14:textId="77777777" w:rsidR="00D556F4" w:rsidRPr="001D7630" w:rsidRDefault="00D556F4" w:rsidP="001D7630">
            <w:pPr>
              <w:pStyle w:val="ListParagraph"/>
              <w:numPr>
                <w:ilvl w:val="0"/>
                <w:numId w:val="13"/>
              </w:numPr>
              <w:spacing w:after="0" w:line="240" w:lineRule="auto"/>
              <w:ind w:left="28" w:firstLine="11"/>
              <w:contextualSpacing w:val="0"/>
              <w:jc w:val="both"/>
              <w:rPr>
                <w:rFonts w:ascii="Times New Roman" w:hAnsi="Times New Roman"/>
                <w:sz w:val="24"/>
                <w:szCs w:val="24"/>
              </w:rPr>
            </w:pPr>
            <w:bookmarkStart w:id="5" w:name="_Hlk68002760"/>
            <w:r w:rsidRPr="001D7630">
              <w:rPr>
                <w:rFonts w:ascii="Times New Roman" w:hAnsi="Times New Roman"/>
                <w:sz w:val="24"/>
                <w:szCs w:val="24"/>
              </w:rPr>
              <w:t xml:space="preserve"> projekta 12. panta ceturtajā daļā pilnvarojums Ministru kabinetam noteikt </w:t>
            </w:r>
            <w:r w:rsidRPr="001D7630">
              <w:rPr>
                <w:rFonts w:ascii="Times New Roman" w:hAnsi="Times New Roman"/>
                <w:sz w:val="24"/>
                <w:szCs w:val="24"/>
                <w:u w:val="single"/>
              </w:rPr>
              <w:t>uzraudzības</w:t>
            </w:r>
            <w:r w:rsidRPr="001D7630">
              <w:rPr>
                <w:rFonts w:ascii="Times New Roman" w:hAnsi="Times New Roman"/>
                <w:sz w:val="24"/>
                <w:szCs w:val="24"/>
              </w:rPr>
              <w:t xml:space="preserve"> "nosacījumus un kārtību", kā arī “transporta enerģijas tirgus uzraudzības nosacījumus”. Nav skaidrs, kas ir domāts ar "nosacījumiem", tomēr jānorāda, ka uzraudzība tipiski būtu regulējama likumā, kā arī nevarētu būt </w:t>
            </w:r>
            <w:r w:rsidRPr="001D7630">
              <w:rPr>
                <w:rFonts w:ascii="Times New Roman" w:hAnsi="Times New Roman"/>
                <w:sz w:val="24"/>
                <w:szCs w:val="24"/>
              </w:rPr>
              <w:lastRenderedPageBreak/>
              <w:t>paredzēti sodoša vai kriminālprocesam raksturīgi uzraudzības pasākumi;</w:t>
            </w:r>
            <w:bookmarkEnd w:id="5"/>
          </w:p>
        </w:tc>
        <w:tc>
          <w:tcPr>
            <w:tcW w:w="2976" w:type="dxa"/>
            <w:vMerge/>
            <w:tcBorders>
              <w:left w:val="single" w:sz="6" w:space="0" w:color="000000"/>
              <w:right w:val="single" w:sz="6" w:space="0" w:color="000000"/>
            </w:tcBorders>
          </w:tcPr>
          <w:p w14:paraId="228FAD47" w14:textId="77777777" w:rsidR="00D556F4" w:rsidRPr="001D7630" w:rsidRDefault="00D556F4" w:rsidP="001D7630">
            <w:pPr>
              <w:rPr>
                <w:b/>
                <w:iCs/>
              </w:rPr>
            </w:pPr>
          </w:p>
        </w:tc>
        <w:tc>
          <w:tcPr>
            <w:tcW w:w="4291" w:type="dxa"/>
            <w:vMerge/>
            <w:tcBorders>
              <w:left w:val="single" w:sz="4" w:space="0" w:color="auto"/>
            </w:tcBorders>
          </w:tcPr>
          <w:p w14:paraId="7CF74C97" w14:textId="77777777" w:rsidR="00D556F4" w:rsidRPr="001D7630" w:rsidRDefault="00D556F4" w:rsidP="001D7630"/>
        </w:tc>
      </w:tr>
      <w:tr w:rsidR="00673FEE" w:rsidRPr="001D7630" w14:paraId="19445145" w14:textId="77777777" w:rsidTr="005D0902">
        <w:trPr>
          <w:jc w:val="center"/>
        </w:trPr>
        <w:tc>
          <w:tcPr>
            <w:tcW w:w="637" w:type="dxa"/>
            <w:tcBorders>
              <w:top w:val="single" w:sz="6" w:space="0" w:color="000000"/>
              <w:left w:val="single" w:sz="6" w:space="0" w:color="000000"/>
              <w:bottom w:val="single" w:sz="4" w:space="0" w:color="auto"/>
              <w:right w:val="single" w:sz="6" w:space="0" w:color="000000"/>
            </w:tcBorders>
          </w:tcPr>
          <w:p w14:paraId="22FFBEB9" w14:textId="77777777" w:rsidR="00DF2F24" w:rsidRPr="001D7630" w:rsidRDefault="00DF2F24" w:rsidP="001D7630">
            <w:pPr>
              <w:pStyle w:val="naisc"/>
              <w:numPr>
                <w:ilvl w:val="0"/>
                <w:numId w:val="8"/>
              </w:numPr>
              <w:spacing w:before="0" w:after="0"/>
              <w:ind w:left="0" w:firstLine="0"/>
              <w:rPr>
                <w:b/>
              </w:rPr>
            </w:pPr>
          </w:p>
        </w:tc>
        <w:tc>
          <w:tcPr>
            <w:tcW w:w="3041" w:type="dxa"/>
            <w:tcBorders>
              <w:top w:val="single" w:sz="6" w:space="0" w:color="000000"/>
              <w:left w:val="single" w:sz="6" w:space="0" w:color="000000"/>
              <w:right w:val="single" w:sz="6" w:space="0" w:color="000000"/>
            </w:tcBorders>
          </w:tcPr>
          <w:p w14:paraId="48448198" w14:textId="77777777" w:rsidR="00DF2F24" w:rsidRPr="001D7630" w:rsidRDefault="00F849CD" w:rsidP="001D7630">
            <w:r w:rsidRPr="001D7630">
              <w:t>Viss likumprojekta teksts</w:t>
            </w:r>
          </w:p>
        </w:tc>
        <w:tc>
          <w:tcPr>
            <w:tcW w:w="4047" w:type="dxa"/>
            <w:tcBorders>
              <w:top w:val="single" w:sz="6" w:space="0" w:color="000000"/>
              <w:left w:val="single" w:sz="6" w:space="0" w:color="000000"/>
              <w:bottom w:val="single" w:sz="6" w:space="0" w:color="000000"/>
              <w:right w:val="single" w:sz="6" w:space="0" w:color="000000"/>
            </w:tcBorders>
          </w:tcPr>
          <w:p w14:paraId="072C7B84" w14:textId="77777777" w:rsidR="00DF2F24" w:rsidRPr="001D7630" w:rsidRDefault="005233C0" w:rsidP="001D7630">
            <w:pPr>
              <w:autoSpaceDE w:val="0"/>
              <w:autoSpaceDN w:val="0"/>
              <w:adjustRightInd w:val="0"/>
              <w:jc w:val="center"/>
              <w:rPr>
                <w:b/>
                <w:bCs/>
              </w:rPr>
            </w:pPr>
            <w:r w:rsidRPr="001D7630">
              <w:rPr>
                <w:b/>
                <w:bCs/>
              </w:rPr>
              <w:t>Latvijas Pašvaldību savienība</w:t>
            </w:r>
          </w:p>
          <w:p w14:paraId="508B1B84" w14:textId="77777777" w:rsidR="005233C0" w:rsidRPr="001D7630" w:rsidRDefault="005233C0" w:rsidP="001D7630">
            <w:pPr>
              <w:autoSpaceDE w:val="0"/>
              <w:autoSpaceDN w:val="0"/>
              <w:adjustRightInd w:val="0"/>
              <w:jc w:val="center"/>
              <w:rPr>
                <w:b/>
                <w:bCs/>
              </w:rPr>
            </w:pPr>
            <w:r w:rsidRPr="001D7630">
              <w:rPr>
                <w:b/>
                <w:bCs/>
              </w:rPr>
              <w:t>(11.01.2021.)</w:t>
            </w:r>
          </w:p>
          <w:p w14:paraId="03AB895F" w14:textId="77777777" w:rsidR="005233C0" w:rsidRPr="001D7630" w:rsidRDefault="005233C0" w:rsidP="001D7630">
            <w:pPr>
              <w:ind w:firstLine="720"/>
              <w:jc w:val="both"/>
            </w:pPr>
            <w:r w:rsidRPr="001D7630">
              <w:t>Kaut arī pret likuma mērķiem nevarētu iebilst, tomēr likumā izvirzītās prasības transporta enerģijai, kā arī tās kontroles prasības, radīs būtisku transporta enerģijas cenu pieaugumu, kas radīs ievērojamu cenu slogu gan uz visu tautsaimniecību kopumā, gan pašvaldībām, tāpat arī uz individuālajiem transporta īpašniekiem.</w:t>
            </w:r>
          </w:p>
          <w:p w14:paraId="66C1C2FF" w14:textId="77777777" w:rsidR="005233C0" w:rsidRPr="001D7630" w:rsidRDefault="005233C0" w:rsidP="001D7630">
            <w:pPr>
              <w:ind w:firstLine="720"/>
              <w:jc w:val="both"/>
            </w:pPr>
            <w:r w:rsidRPr="001D7630">
              <w:t xml:space="preserve">Slogu radīs ne tik daudz pati elektrouzlāde, kā transporta parka nomaiņa, gāzes uzpildes staciju izveidošana, un arī alternatīvo degvielu izmaksas. Piemēram, ja bioetanols un biodīzeļdegviela Latvijā tiek ražota, tad transporta biogāze un eko-ūdeņradis pieejamos apmēros netiek ražoti, to ražošanas uzsākšana prasa lielas izmaksas. </w:t>
            </w:r>
          </w:p>
          <w:p w14:paraId="3262A766" w14:textId="77777777" w:rsidR="005233C0" w:rsidRPr="001D7630" w:rsidRDefault="005233C0" w:rsidP="001D7630">
            <w:pPr>
              <w:ind w:firstLine="720"/>
              <w:jc w:val="both"/>
            </w:pPr>
            <w:r w:rsidRPr="001D7630">
              <w:t>Transporta enerģijas piegādātāji izmaksas iekļaus gala cenās un visas šīs izmaksas gulsies uz gala patērētājiem, sadārdzinot jebkurus transporta pakalpojumus tautsaimniecībā, un arī iedzīvotāju pārvietošanos.</w:t>
            </w:r>
          </w:p>
          <w:p w14:paraId="0DBCCA13" w14:textId="77777777" w:rsidR="005233C0" w:rsidRPr="001D7630" w:rsidRDefault="005233C0" w:rsidP="001D7630">
            <w:pPr>
              <w:autoSpaceDE w:val="0"/>
              <w:autoSpaceDN w:val="0"/>
              <w:adjustRightInd w:val="0"/>
              <w:jc w:val="both"/>
            </w:pPr>
          </w:p>
        </w:tc>
        <w:tc>
          <w:tcPr>
            <w:tcW w:w="2976" w:type="dxa"/>
            <w:tcBorders>
              <w:top w:val="single" w:sz="6" w:space="0" w:color="000000"/>
              <w:left w:val="single" w:sz="6" w:space="0" w:color="000000"/>
              <w:right w:val="single" w:sz="6" w:space="0" w:color="000000"/>
            </w:tcBorders>
          </w:tcPr>
          <w:p w14:paraId="1EA10276" w14:textId="77777777" w:rsidR="00DF2F24" w:rsidRPr="001D7630" w:rsidRDefault="004F626B" w:rsidP="001D7630">
            <w:pPr>
              <w:jc w:val="center"/>
              <w:rPr>
                <w:b/>
                <w:iCs/>
              </w:rPr>
            </w:pPr>
            <w:r w:rsidRPr="001D7630">
              <w:rPr>
                <w:b/>
                <w:iCs/>
              </w:rPr>
              <w:t>Ņ</w:t>
            </w:r>
            <w:r w:rsidR="009F008B" w:rsidRPr="001D7630">
              <w:rPr>
                <w:b/>
                <w:iCs/>
              </w:rPr>
              <w:t>emts vērā</w:t>
            </w:r>
          </w:p>
          <w:p w14:paraId="21E82E41" w14:textId="77777777" w:rsidR="009F008B" w:rsidRPr="001D7630" w:rsidRDefault="009F008B" w:rsidP="001D7630">
            <w:pPr>
              <w:rPr>
                <w:b/>
                <w:iCs/>
              </w:rPr>
            </w:pPr>
          </w:p>
          <w:p w14:paraId="63432EBB" w14:textId="77777777" w:rsidR="009F008B" w:rsidRPr="001D7630" w:rsidRDefault="009F008B" w:rsidP="001D7630">
            <w:pPr>
              <w:rPr>
                <w:bCs/>
                <w:iCs/>
              </w:rPr>
            </w:pPr>
            <w:r w:rsidRPr="001D7630">
              <w:rPr>
                <w:bCs/>
                <w:iCs/>
              </w:rPr>
              <w:t>Likumprojekts ir jāskata kontekstā ar valsts saistībā starptautiskā un ES līmenī klimata pārmaiņu mazināšanas jomā, kā arī kontekstā ar valdības vairākkārtīgi izteikto atbalstu klimata pārmaiņu mazināšanas ambīciju paaugstināšanai.</w:t>
            </w:r>
          </w:p>
          <w:p w14:paraId="2364A1D7" w14:textId="77777777" w:rsidR="009F008B" w:rsidRPr="001D7630" w:rsidRDefault="009F008B" w:rsidP="001D7630">
            <w:pPr>
              <w:rPr>
                <w:bCs/>
                <w:iCs/>
              </w:rPr>
            </w:pPr>
            <w:r w:rsidRPr="001D7630">
              <w:rPr>
                <w:bCs/>
                <w:iCs/>
              </w:rPr>
              <w:t>Transporta sektors ir viens no lielākajiem siltumnīcefekta gāzu emisiju avotiem un arī lielā mērā ietekmē gaisa kvalitāti pilsētu teritorijās.</w:t>
            </w:r>
          </w:p>
          <w:p w14:paraId="66A169C7" w14:textId="77777777" w:rsidR="009F008B" w:rsidRPr="001D7630" w:rsidRDefault="009F008B" w:rsidP="001D7630">
            <w:pPr>
              <w:rPr>
                <w:bCs/>
                <w:iCs/>
              </w:rPr>
            </w:pPr>
            <w:r w:rsidRPr="001D7630">
              <w:rPr>
                <w:bCs/>
                <w:iCs/>
              </w:rPr>
              <w:t>Likumprojektā ir iekļauti mazākie no Direktīvas 2018/2001 izrietošie saistošie atjaunojamās transporta enerģijas mērķi.</w:t>
            </w:r>
          </w:p>
          <w:p w14:paraId="5963EBBB" w14:textId="77777777" w:rsidR="009F008B" w:rsidRPr="001D7630" w:rsidRDefault="009F008B" w:rsidP="001D7630">
            <w:pPr>
              <w:rPr>
                <w:bCs/>
                <w:iCs/>
              </w:rPr>
            </w:pPr>
            <w:r w:rsidRPr="001D7630">
              <w:rPr>
                <w:bCs/>
                <w:iCs/>
              </w:rPr>
              <w:t>Latvijas atjaunojamās transporta enerģijas mērķi ir jau apstiprināti Nacionālajā enerģētikas un klimata plānā 2021.-2030.gadam (</w:t>
            </w:r>
            <w:hyperlink r:id="rId14" w:history="1">
              <w:r w:rsidRPr="001D7630">
                <w:rPr>
                  <w:rStyle w:val="Hyperlink"/>
                  <w:bCs/>
                  <w:iCs/>
                </w:rPr>
                <w:t>http://polsis.mk.gov.lv/documents/6645</w:t>
              </w:r>
            </w:hyperlink>
            <w:r w:rsidRPr="001D7630">
              <w:rPr>
                <w:bCs/>
                <w:iCs/>
              </w:rPr>
              <w:t xml:space="preserve">) (turpmāk – NEKP2030). </w:t>
            </w:r>
          </w:p>
          <w:p w14:paraId="6957491C" w14:textId="77777777" w:rsidR="009F008B" w:rsidRPr="001D7630" w:rsidRDefault="009F008B" w:rsidP="001D7630">
            <w:pPr>
              <w:rPr>
                <w:bCs/>
                <w:iCs/>
              </w:rPr>
            </w:pPr>
            <w:r w:rsidRPr="001D7630">
              <w:rPr>
                <w:bCs/>
                <w:iCs/>
              </w:rPr>
              <w:lastRenderedPageBreak/>
              <w:t>Likumprojekts ir jāskata kontekstā ar NEKP2030 īstenošanai noteikto pasākumu īstenošanu, piemēram, biometāna ražošanas atbalsta programma, ES struktūrfondu ietvaros īstenotajiem pasākumiem</w:t>
            </w:r>
            <w:r w:rsidR="0049234E" w:rsidRPr="001D7630">
              <w:rPr>
                <w:bCs/>
                <w:iCs/>
              </w:rPr>
              <w:t>, un pasākumiem, kas tiek finansēti no emisijas kvotu izsolīšanas līdzekļiem.</w:t>
            </w:r>
          </w:p>
          <w:p w14:paraId="549CB1C1" w14:textId="77777777" w:rsidR="0049234E" w:rsidRPr="001D7630" w:rsidRDefault="0049234E" w:rsidP="001D7630">
            <w:pPr>
              <w:rPr>
                <w:bCs/>
                <w:iCs/>
              </w:rPr>
            </w:pPr>
            <w:r w:rsidRPr="001D7630">
              <w:rPr>
                <w:bCs/>
                <w:iCs/>
              </w:rPr>
              <w:t xml:space="preserve">Ja likumprojekta ietekmē palielināsies </w:t>
            </w:r>
            <w:r w:rsidR="00B76E86" w:rsidRPr="001D7630">
              <w:rPr>
                <w:bCs/>
                <w:iCs/>
              </w:rPr>
              <w:t xml:space="preserve">atsevišķas izmaksas degvielas piegādātājiem, tas nenozīmē, ka degvielas cena mazumtirdzniecībā palielināsies. Dažādu piejaukumu pievienošanas degvielai izmaksas ir tikai viena no daudzajām komponentēm degvielas cenas veidošanai, kur lielākais īpatsvars ir degvielas iepirkuma cenai un valsts nodevām un nodokļiem. To ļoti labi parādīja 2020.g. sākums, kad ar 1.janvāri tika paaugstināts akcīzes nodoklis benzīnam un dīzeļdegvielai, gan tika palielināts biodegvielu </w:t>
            </w:r>
            <w:r w:rsidR="00B76E86" w:rsidRPr="001D7630">
              <w:rPr>
                <w:bCs/>
                <w:iCs/>
              </w:rPr>
              <w:lastRenderedPageBreak/>
              <w:t>piejaukuma apjoms benzīnam un dīzeļdegvielai,  bet degvielas cena paaugstinājās nedaudz un īslaicīgi.</w:t>
            </w:r>
          </w:p>
          <w:p w14:paraId="1A5C1940" w14:textId="77777777" w:rsidR="00B76E86" w:rsidRPr="001D7630" w:rsidRDefault="00B76E86" w:rsidP="001D7630">
            <w:pPr>
              <w:rPr>
                <w:bCs/>
                <w:iCs/>
              </w:rPr>
            </w:pPr>
            <w:r w:rsidRPr="001D7630">
              <w:rPr>
                <w:bCs/>
                <w:iCs/>
              </w:rPr>
              <w:t>Vienlaikus jāmin, ka degvielas cenu paaugstināšana var būt nelabvēlīga pašiem degvielas piegādātājiem, ko var redzēt no vēsturiskajiem statistikas datiem – degvielas cena būtiski augsta bija 2010.-2012.g. periodā, vienlaikus tieši šajos gados bija viszemākais 2008.-2019.g. perioda dīzeļdegvielas patēriņš transportā</w:t>
            </w:r>
            <w:r w:rsidR="00E2021E" w:rsidRPr="001D7630">
              <w:rPr>
                <w:bCs/>
                <w:iCs/>
              </w:rPr>
              <w:t>.</w:t>
            </w:r>
            <w:r w:rsidRPr="001D7630">
              <w:rPr>
                <w:bCs/>
                <w:iCs/>
              </w:rPr>
              <w:t xml:space="preserve"> </w:t>
            </w:r>
          </w:p>
        </w:tc>
        <w:tc>
          <w:tcPr>
            <w:tcW w:w="4291" w:type="dxa"/>
            <w:tcBorders>
              <w:top w:val="single" w:sz="4" w:space="0" w:color="auto"/>
              <w:left w:val="single" w:sz="4" w:space="0" w:color="auto"/>
            </w:tcBorders>
          </w:tcPr>
          <w:p w14:paraId="5A416173" w14:textId="77777777" w:rsidR="00DF2F24" w:rsidRPr="001D7630" w:rsidRDefault="00870398" w:rsidP="001D7630">
            <w:r w:rsidRPr="001D7630">
              <w:lastRenderedPageBreak/>
              <w:t>Likumprojekta anotācija</w:t>
            </w:r>
            <w:r w:rsidR="004D0C72" w:rsidRPr="001D7630">
              <w:t>s III sadaļa</w:t>
            </w:r>
            <w:r w:rsidRPr="001D7630">
              <w:t xml:space="preserve"> ir papildināta</w:t>
            </w:r>
            <w:r w:rsidR="004D0C72" w:rsidRPr="001D7630">
              <w:t xml:space="preserve"> ar finansējuma avotiem minēto pasākumu īstenošanai.</w:t>
            </w:r>
          </w:p>
        </w:tc>
      </w:tr>
      <w:tr w:rsidR="00A8399B" w:rsidRPr="001D7630" w14:paraId="2E251858" w14:textId="77777777" w:rsidTr="005D0902">
        <w:trPr>
          <w:jc w:val="center"/>
        </w:trPr>
        <w:tc>
          <w:tcPr>
            <w:tcW w:w="637" w:type="dxa"/>
            <w:tcBorders>
              <w:top w:val="single" w:sz="4" w:space="0" w:color="auto"/>
              <w:left w:val="single" w:sz="4" w:space="0" w:color="auto"/>
              <w:bottom w:val="single" w:sz="4" w:space="0" w:color="auto"/>
              <w:right w:val="single" w:sz="4" w:space="0" w:color="auto"/>
            </w:tcBorders>
            <w:shd w:val="clear" w:color="auto" w:fill="auto"/>
          </w:tcPr>
          <w:p w14:paraId="6CEE8B65" w14:textId="77777777" w:rsidR="00A8399B" w:rsidRPr="001D7630" w:rsidRDefault="00A8399B" w:rsidP="001D7630">
            <w:pPr>
              <w:pStyle w:val="naisc"/>
              <w:numPr>
                <w:ilvl w:val="0"/>
                <w:numId w:val="8"/>
              </w:numPr>
              <w:spacing w:before="0" w:after="0"/>
              <w:ind w:left="0" w:firstLine="0"/>
              <w:rPr>
                <w:b/>
              </w:rPr>
            </w:pPr>
          </w:p>
        </w:tc>
        <w:tc>
          <w:tcPr>
            <w:tcW w:w="3041" w:type="dxa"/>
            <w:tcBorders>
              <w:top w:val="single" w:sz="6" w:space="0" w:color="000000"/>
              <w:left w:val="single" w:sz="4" w:space="0" w:color="auto"/>
              <w:bottom w:val="single" w:sz="6" w:space="0" w:color="000000"/>
              <w:right w:val="single" w:sz="6" w:space="0" w:color="000000"/>
            </w:tcBorders>
            <w:shd w:val="clear" w:color="auto" w:fill="auto"/>
          </w:tcPr>
          <w:p w14:paraId="16669EE6" w14:textId="77777777" w:rsidR="00A8399B" w:rsidRPr="001D7630" w:rsidRDefault="00A8399B" w:rsidP="001D763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79EAA51C" w14:textId="77777777" w:rsidR="00A8399B" w:rsidRPr="001D7630" w:rsidRDefault="00A8399B" w:rsidP="001D7630">
            <w:pPr>
              <w:jc w:val="center"/>
              <w:rPr>
                <w:b/>
                <w:bCs/>
              </w:rPr>
            </w:pPr>
            <w:r w:rsidRPr="001D7630">
              <w:rPr>
                <w:b/>
                <w:bCs/>
              </w:rPr>
              <w:t>Latvijas Degvielas tirgotāju asociācija</w:t>
            </w:r>
          </w:p>
          <w:p w14:paraId="39CD0EEB" w14:textId="77777777" w:rsidR="00A8399B" w:rsidRPr="001D7630" w:rsidRDefault="00A8399B" w:rsidP="001D7630">
            <w:pPr>
              <w:jc w:val="center"/>
              <w:rPr>
                <w:b/>
                <w:bCs/>
              </w:rPr>
            </w:pPr>
            <w:r w:rsidRPr="001D7630">
              <w:rPr>
                <w:b/>
                <w:bCs/>
              </w:rPr>
              <w:t>(13.01.2021.)</w:t>
            </w:r>
          </w:p>
          <w:p w14:paraId="0AC22F02" w14:textId="77777777" w:rsidR="00A8399B" w:rsidRPr="001D7630" w:rsidRDefault="00A8399B" w:rsidP="001D7630">
            <w:pPr>
              <w:jc w:val="both"/>
            </w:pPr>
            <w:r w:rsidRPr="001D7630">
              <w:t>Vienlaikus lūdzam sniegt skaidrojumu, kāda ir Latvijas pozīcija attiecībā uz transporta enerģijas produktiem, kas saražoti līdzpārstrādāšanas procesā, un to iekļaušanu mērķu sasniegšanā?</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569206D7" w14:textId="77777777" w:rsidR="00A8399B" w:rsidRPr="001D7630" w:rsidRDefault="00A8399B" w:rsidP="001D7630">
            <w:pPr>
              <w:jc w:val="center"/>
              <w:rPr>
                <w:b/>
                <w:bCs/>
                <w:iCs/>
              </w:rPr>
            </w:pPr>
            <w:r w:rsidRPr="001D7630">
              <w:rPr>
                <w:b/>
                <w:bCs/>
                <w:iCs/>
              </w:rPr>
              <w:t>Ņemts vērā</w:t>
            </w:r>
          </w:p>
          <w:p w14:paraId="3B1D38E7" w14:textId="77777777" w:rsidR="00A8399B" w:rsidRPr="001D7630" w:rsidRDefault="00A8399B" w:rsidP="001D7630">
            <w:pPr>
              <w:rPr>
                <w:iCs/>
              </w:rPr>
            </w:pPr>
            <w:r w:rsidRPr="001D7630">
              <w:rPr>
                <w:iCs/>
              </w:rPr>
              <w:t>Ņemot vērā direktīvas 98/70/EK un direktīvas 2015/652 nosacījumus līdzpārstrādātā degviela (fosilās izcelsmes degvielu un biodegviela tiek pārstrādāta vienā procesā) ir ieskaitāma transporta enerģijas aprites cikla emisiju intensitātes mērķa izpildē.</w:t>
            </w:r>
          </w:p>
          <w:p w14:paraId="6B1CC4BD" w14:textId="77777777" w:rsidR="00A8399B" w:rsidRPr="001D7630" w:rsidRDefault="00A8399B" w:rsidP="001D7630">
            <w:pPr>
              <w:rPr>
                <w:iCs/>
              </w:rPr>
            </w:pPr>
            <w:r w:rsidRPr="001D7630">
              <w:rPr>
                <w:iCs/>
              </w:rPr>
              <w:t>Detalizēti nosacījumi tiks iekļauti MK noteikumos par līdzdalības mehānismu.</w:t>
            </w:r>
          </w:p>
        </w:tc>
        <w:tc>
          <w:tcPr>
            <w:tcW w:w="4291" w:type="dxa"/>
            <w:tcBorders>
              <w:top w:val="single" w:sz="4" w:space="0" w:color="auto"/>
              <w:left w:val="single" w:sz="4" w:space="0" w:color="auto"/>
              <w:bottom w:val="single" w:sz="4" w:space="0" w:color="auto"/>
            </w:tcBorders>
            <w:shd w:val="clear" w:color="auto" w:fill="auto"/>
          </w:tcPr>
          <w:p w14:paraId="49B48A29" w14:textId="77777777" w:rsidR="00A8399B" w:rsidRPr="001D7630" w:rsidRDefault="00A8399B" w:rsidP="001D7630">
            <w:pPr>
              <w:pStyle w:val="ListParagraph"/>
              <w:spacing w:after="0" w:line="240" w:lineRule="auto"/>
              <w:ind w:left="0"/>
              <w:contextualSpacing w:val="0"/>
              <w:rPr>
                <w:rFonts w:ascii="Times New Roman" w:hAnsi="Times New Roman"/>
                <w:sz w:val="24"/>
                <w:szCs w:val="24"/>
                <w:lang w:eastAsia="lv-LV"/>
              </w:rPr>
            </w:pPr>
          </w:p>
        </w:tc>
      </w:tr>
      <w:tr w:rsidR="00BD3552" w:rsidRPr="001D7630" w14:paraId="0BA8F54B" w14:textId="77777777" w:rsidTr="005D0902">
        <w:trPr>
          <w:jc w:val="center"/>
        </w:trPr>
        <w:tc>
          <w:tcPr>
            <w:tcW w:w="637" w:type="dxa"/>
            <w:vMerge w:val="restart"/>
            <w:tcBorders>
              <w:top w:val="single" w:sz="4" w:space="0" w:color="auto"/>
              <w:left w:val="single" w:sz="4" w:space="0" w:color="auto"/>
              <w:right w:val="single" w:sz="4" w:space="0" w:color="auto"/>
            </w:tcBorders>
            <w:shd w:val="clear" w:color="auto" w:fill="auto"/>
          </w:tcPr>
          <w:p w14:paraId="6023AC74" w14:textId="77777777" w:rsidR="00BD3552" w:rsidRPr="001D7630" w:rsidRDefault="00BD3552" w:rsidP="001D7630">
            <w:pPr>
              <w:pStyle w:val="naisc"/>
              <w:numPr>
                <w:ilvl w:val="0"/>
                <w:numId w:val="8"/>
              </w:numPr>
              <w:spacing w:before="0" w:after="0"/>
              <w:ind w:left="0" w:firstLine="0"/>
              <w:rPr>
                <w:b/>
              </w:rPr>
            </w:pPr>
          </w:p>
        </w:tc>
        <w:tc>
          <w:tcPr>
            <w:tcW w:w="3041" w:type="dxa"/>
            <w:vMerge w:val="restart"/>
            <w:tcBorders>
              <w:top w:val="single" w:sz="6" w:space="0" w:color="000000"/>
              <w:left w:val="single" w:sz="4" w:space="0" w:color="auto"/>
              <w:right w:val="single" w:sz="6" w:space="0" w:color="000000"/>
            </w:tcBorders>
            <w:shd w:val="clear" w:color="auto" w:fill="auto"/>
          </w:tcPr>
          <w:p w14:paraId="539BB8BA" w14:textId="77777777" w:rsidR="00BD3552" w:rsidRPr="001D7630" w:rsidRDefault="00BD3552" w:rsidP="001D763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180AA891" w14:textId="77777777" w:rsidR="00BD3552" w:rsidRPr="001D7630" w:rsidRDefault="00BD3552" w:rsidP="001D7630">
            <w:pPr>
              <w:jc w:val="center"/>
              <w:rPr>
                <w:b/>
                <w:bCs/>
              </w:rPr>
            </w:pPr>
            <w:r w:rsidRPr="001D7630">
              <w:rPr>
                <w:b/>
                <w:bCs/>
              </w:rPr>
              <w:t>Zemkopības ministrija</w:t>
            </w:r>
          </w:p>
          <w:p w14:paraId="6BF172DA" w14:textId="77777777" w:rsidR="00BD3552" w:rsidRPr="001D7630" w:rsidRDefault="00BD3552" w:rsidP="001D7630">
            <w:pPr>
              <w:jc w:val="center"/>
              <w:rPr>
                <w:b/>
                <w:bCs/>
              </w:rPr>
            </w:pPr>
            <w:r w:rsidRPr="001D7630">
              <w:rPr>
                <w:b/>
                <w:bCs/>
              </w:rPr>
              <w:lastRenderedPageBreak/>
              <w:t>(08.01.2021. atzinums)</w:t>
            </w:r>
          </w:p>
          <w:p w14:paraId="28D00D88" w14:textId="77777777" w:rsidR="00BD3552" w:rsidRPr="001D7630" w:rsidRDefault="00BD3552" w:rsidP="001D7630">
            <w:r w:rsidRPr="001D7630">
              <w:rPr>
                <w:shd w:val="clear" w:color="auto" w:fill="FFFFFF"/>
              </w:rPr>
              <w:t xml:space="preserve">Likumprojekta anotācijas I. sadaļas 2. punktā pie pašreizējās situācijas apraksta minēta atsauce uz Ministru kabineta 2019. gada 30. aprīļa noteikumu Nr.187 “Zemkopības ministrijas nolikums” (turpmāk – Nolikums) 4.1.18. punktu, kas nosaka vienu no Zemkopības ministrijas (turpmāk – ZM) funkcijām - </w:t>
            </w:r>
            <w:r w:rsidRPr="001D7630">
              <w:rPr>
                <w:i/>
                <w:iCs/>
                <w:shd w:val="clear" w:color="auto" w:fill="FFFFFF"/>
              </w:rPr>
              <w:t xml:space="preserve">atjaunojamo enerģijas resursu – meža un lauksaimniecības biomasas – ilgtspējīga pieejamība, ieguve un izmantošana. </w:t>
            </w:r>
            <w:r w:rsidRPr="001D7630">
              <w:rPr>
                <w:shd w:val="clear" w:color="auto" w:fill="FFFFFF"/>
              </w:rPr>
              <w:t xml:space="preserve">Vēršam Ekonomikas ministrijas uzmanību, ka </w:t>
            </w:r>
            <w:r w:rsidRPr="001D7630">
              <w:t>ZM savas kompetences ietvaros, izstrādā nozares politiku, lai lauksaimnieki un mežsaimnieki ievērotu labas lauksaimniecības un vides stāvokļa nosacījumus, kā arī ZM kompetencē ietilpst izveidot atbalsta politiku, lai citām tautsaimniecības nozarēm būtu pieejams vietējas izcelsmes atjaunojamais resurss, tālākai pārstrādei produktos ar augstāku pievienoto vērtību.</w:t>
            </w:r>
          </w:p>
          <w:p w14:paraId="50A3E974" w14:textId="77777777" w:rsidR="00BD3552" w:rsidRPr="001D7630" w:rsidRDefault="00BD3552" w:rsidP="001D7630">
            <w:pPr>
              <w:rPr>
                <w:shd w:val="clear" w:color="auto" w:fill="FFFFFF"/>
              </w:rPr>
            </w:pPr>
            <w:r w:rsidRPr="001D7630">
              <w:t xml:space="preserve">Papildus norādām, ka </w:t>
            </w:r>
            <w:r w:rsidRPr="001D7630">
              <w:rPr>
                <w:shd w:val="clear" w:color="auto" w:fill="FFFFFF"/>
              </w:rPr>
              <w:t xml:space="preserve">atbilstoši Nolikuma 4.1.18. apakšpunktam ZM jau ir izstrādājusi virkni politikas plānošanas dokumentus, kas vērsti, lai nodrošinātu meža un lauksaimniecības biomasas – </w:t>
            </w:r>
            <w:r w:rsidRPr="001D7630">
              <w:rPr>
                <w:shd w:val="clear" w:color="auto" w:fill="FFFFFF"/>
              </w:rPr>
              <w:lastRenderedPageBreak/>
              <w:t>ilgtspējīgu pieejamību, ieguvi un izmantošanu:</w:t>
            </w:r>
          </w:p>
          <w:p w14:paraId="3B3FF92F" w14:textId="77777777" w:rsidR="00BD3552" w:rsidRPr="001D7630" w:rsidRDefault="00BD3552" w:rsidP="001D7630">
            <w:pPr>
              <w:pStyle w:val="ListParagraph"/>
              <w:widowControl w:val="0"/>
              <w:numPr>
                <w:ilvl w:val="0"/>
                <w:numId w:val="3"/>
              </w:numPr>
              <w:spacing w:after="0" w:line="240" w:lineRule="auto"/>
              <w:ind w:left="340" w:hanging="340"/>
              <w:contextualSpacing w:val="0"/>
              <w:jc w:val="both"/>
              <w:rPr>
                <w:rFonts w:ascii="Times New Roman" w:hAnsi="Times New Roman"/>
                <w:sz w:val="24"/>
                <w:szCs w:val="24"/>
                <w:shd w:val="clear" w:color="auto" w:fill="FFFFFF"/>
              </w:rPr>
            </w:pPr>
            <w:r w:rsidRPr="001D7630">
              <w:rPr>
                <w:rFonts w:ascii="Times New Roman" w:hAnsi="Times New Roman"/>
                <w:sz w:val="24"/>
                <w:szCs w:val="24"/>
                <w:shd w:val="clear" w:color="auto" w:fill="FFFFFF"/>
              </w:rPr>
              <w:t>Meža un saistīto nozaru attīstības pamatnostādnes 2015. – 2020. gadam.</w:t>
            </w:r>
          </w:p>
          <w:p w14:paraId="20474516" w14:textId="77777777" w:rsidR="00BD3552" w:rsidRPr="001D7630" w:rsidRDefault="00BD3552" w:rsidP="001D7630">
            <w:pPr>
              <w:pStyle w:val="ListParagraph"/>
              <w:widowControl w:val="0"/>
              <w:numPr>
                <w:ilvl w:val="0"/>
                <w:numId w:val="3"/>
              </w:numPr>
              <w:spacing w:after="0" w:line="240" w:lineRule="auto"/>
              <w:ind w:left="340" w:hanging="340"/>
              <w:contextualSpacing w:val="0"/>
              <w:jc w:val="both"/>
              <w:rPr>
                <w:rFonts w:ascii="Times New Roman" w:hAnsi="Times New Roman"/>
                <w:sz w:val="24"/>
                <w:szCs w:val="24"/>
                <w:shd w:val="clear" w:color="auto" w:fill="FFFFFF"/>
              </w:rPr>
            </w:pPr>
            <w:r w:rsidRPr="001D7630">
              <w:rPr>
                <w:rFonts w:ascii="Times New Roman" w:hAnsi="Times New Roman"/>
                <w:sz w:val="24"/>
                <w:szCs w:val="24"/>
                <w:shd w:val="clear" w:color="auto" w:fill="FFFFFF"/>
              </w:rPr>
              <w:t>Latvijas Bioekonomikas stratēģija 2030. gadam.</w:t>
            </w:r>
          </w:p>
          <w:p w14:paraId="69321BA1" w14:textId="77777777" w:rsidR="00BD3552" w:rsidRPr="001D7630" w:rsidRDefault="00BD3552" w:rsidP="001D7630">
            <w:r w:rsidRPr="001D7630">
              <w:t>Ņemot vērā, ka Ekonomikas ministrija anotācijas VII. sadaļas 1. punktā ir paredzējusi noteikt atbildību sadalījumu starp ministrijām, lūdzam:</w:t>
            </w:r>
          </w:p>
          <w:p w14:paraId="425AE9FF" w14:textId="77777777" w:rsidR="00BD3552" w:rsidRPr="001D7630" w:rsidRDefault="00BD3552" w:rsidP="001D7630">
            <w:pPr>
              <w:pStyle w:val="ListParagraph"/>
              <w:widowControl w:val="0"/>
              <w:numPr>
                <w:ilvl w:val="0"/>
                <w:numId w:val="2"/>
              </w:numPr>
              <w:spacing w:after="0" w:line="240" w:lineRule="auto"/>
              <w:ind w:left="317" w:hanging="317"/>
              <w:contextualSpacing w:val="0"/>
              <w:jc w:val="both"/>
              <w:rPr>
                <w:rFonts w:ascii="Times New Roman" w:hAnsi="Times New Roman"/>
                <w:sz w:val="24"/>
                <w:szCs w:val="24"/>
              </w:rPr>
            </w:pPr>
            <w:r w:rsidRPr="001D7630">
              <w:rPr>
                <w:rFonts w:ascii="Times New Roman" w:hAnsi="Times New Roman"/>
                <w:sz w:val="24"/>
                <w:szCs w:val="24"/>
              </w:rPr>
              <w:t>anotācijas VII. sadaļas 2. punktā sniegt skaidrojumu, kā Nolikuma 4.1.18. punkts ir saistāms ar Likumprojekta 10. panta 9. daļu un 11. panta 11. daļu;</w:t>
            </w:r>
          </w:p>
          <w:p w14:paraId="34CFB4CD" w14:textId="77777777" w:rsidR="00BD3552" w:rsidRPr="001D7630" w:rsidRDefault="00BD3552" w:rsidP="001D7630">
            <w:pPr>
              <w:pStyle w:val="ListParagraph"/>
              <w:widowControl w:val="0"/>
              <w:numPr>
                <w:ilvl w:val="0"/>
                <w:numId w:val="2"/>
              </w:numPr>
              <w:spacing w:after="0" w:line="240" w:lineRule="auto"/>
              <w:ind w:left="317" w:hanging="317"/>
              <w:contextualSpacing w:val="0"/>
              <w:jc w:val="both"/>
              <w:rPr>
                <w:rFonts w:ascii="Times New Roman" w:hAnsi="Times New Roman"/>
                <w:sz w:val="24"/>
                <w:szCs w:val="24"/>
              </w:rPr>
            </w:pPr>
            <w:r w:rsidRPr="001D7630">
              <w:rPr>
                <w:rFonts w:ascii="Times New Roman" w:hAnsi="Times New Roman"/>
                <w:sz w:val="24"/>
                <w:szCs w:val="24"/>
              </w:rPr>
              <w:t xml:space="preserve">precizēt anotācijā VII. sadaļas 2. punktā sniegto skaidrojumu, vai EM plānotais </w:t>
            </w:r>
            <w:r w:rsidRPr="001D7630">
              <w:rPr>
                <w:rFonts w:ascii="Times New Roman" w:hAnsi="Times New Roman"/>
                <w:sz w:val="24"/>
                <w:szCs w:val="24"/>
                <w:shd w:val="clear" w:color="auto" w:fill="FFFFFF"/>
              </w:rPr>
              <w:t>deleģējums (</w:t>
            </w:r>
            <w:r w:rsidRPr="001D7630">
              <w:rPr>
                <w:rFonts w:ascii="Times New Roman" w:hAnsi="Times New Roman"/>
                <w:sz w:val="24"/>
                <w:szCs w:val="24"/>
              </w:rPr>
              <w:t>10. panta 9. daļu un 11. panta 11. daļu)</w:t>
            </w:r>
            <w:r w:rsidRPr="001D7630">
              <w:rPr>
                <w:rFonts w:ascii="Times New Roman" w:hAnsi="Times New Roman"/>
                <w:sz w:val="24"/>
                <w:szCs w:val="24"/>
                <w:shd w:val="clear" w:color="auto" w:fill="FFFFFF"/>
              </w:rPr>
              <w:t xml:space="preserve">, uzdod ZM izstrādāt virkni jaunus politikas plānošanas un ziņošanas dokumentus par </w:t>
            </w:r>
            <w:r w:rsidRPr="001D7630">
              <w:rPr>
                <w:rFonts w:ascii="Times New Roman" w:hAnsi="Times New Roman"/>
                <w:sz w:val="24"/>
                <w:szCs w:val="24"/>
              </w:rPr>
              <w:t xml:space="preserve">siltumnīcefekta gāzu (turpmāk – SEG) </w:t>
            </w:r>
            <w:r w:rsidRPr="001D7630">
              <w:rPr>
                <w:rFonts w:ascii="Times New Roman" w:hAnsi="Times New Roman"/>
                <w:sz w:val="24"/>
                <w:szCs w:val="24"/>
                <w:shd w:val="clear" w:color="auto" w:fill="FFFFFF"/>
              </w:rPr>
              <w:t xml:space="preserve"> emisiju ietaupījumiem, kā deleģējums tiek sasaistīti ar </w:t>
            </w:r>
            <w:r w:rsidRPr="001D7630">
              <w:rPr>
                <w:rFonts w:ascii="Times New Roman" w:hAnsi="Times New Roman"/>
                <w:i/>
                <w:iCs/>
                <w:sz w:val="24"/>
                <w:szCs w:val="24"/>
                <w:shd w:val="clear" w:color="auto" w:fill="FFFFFF"/>
              </w:rPr>
              <w:t xml:space="preserve">Eiropas Parlamenta un Padomes 2018. gada 11. decembra direktīvas 2018/2001 Par no atjaunojamajiem energoresursiem iegūtas enerģijas izmantošanas veicināšanu </w:t>
            </w:r>
            <w:r w:rsidRPr="001D7630">
              <w:rPr>
                <w:rFonts w:ascii="Times New Roman" w:hAnsi="Times New Roman"/>
                <w:sz w:val="24"/>
                <w:szCs w:val="24"/>
                <w:shd w:val="clear" w:color="auto" w:fill="FFFFFF"/>
              </w:rPr>
              <w:t>(turpmāk – Direktīva 2018/2001)</w:t>
            </w:r>
            <w:r w:rsidRPr="001D7630">
              <w:rPr>
                <w:rFonts w:ascii="Times New Roman" w:hAnsi="Times New Roman"/>
                <w:i/>
                <w:iCs/>
                <w:sz w:val="24"/>
                <w:szCs w:val="24"/>
                <w:shd w:val="clear" w:color="auto" w:fill="FFFFFF"/>
              </w:rPr>
              <w:t xml:space="preserve"> </w:t>
            </w:r>
            <w:r w:rsidRPr="001D7630">
              <w:rPr>
                <w:rFonts w:ascii="Times New Roman" w:hAnsi="Times New Roman"/>
                <w:sz w:val="24"/>
                <w:szCs w:val="24"/>
                <w:shd w:val="clear" w:color="auto" w:fill="FFFFFF"/>
              </w:rPr>
              <w:t xml:space="preserve">punktiem (norādot konkrētu Direktīvas 2018/2001 pantu, punktu), tā </w:t>
            </w:r>
            <w:r w:rsidRPr="001D7630">
              <w:rPr>
                <w:rFonts w:ascii="Times New Roman" w:hAnsi="Times New Roman"/>
                <w:sz w:val="24"/>
                <w:szCs w:val="24"/>
                <w:shd w:val="clear" w:color="auto" w:fill="FFFFFF"/>
              </w:rPr>
              <w:lastRenderedPageBreak/>
              <w:t>skaidrojot konkrētu Direktīvas 2018/2001 prasību, normu, kritēriju un uzraudzību tvērumu, kas iekļaujams katrā Ministru kabineta deleģētajā normatīvajā aktā;</w:t>
            </w:r>
          </w:p>
          <w:p w14:paraId="1F57FC29" w14:textId="77777777" w:rsidR="00BD3552" w:rsidRPr="001D7630" w:rsidRDefault="00BD3552" w:rsidP="001D7630">
            <w:pPr>
              <w:pStyle w:val="ListParagraph"/>
              <w:widowControl w:val="0"/>
              <w:numPr>
                <w:ilvl w:val="0"/>
                <w:numId w:val="2"/>
              </w:numPr>
              <w:spacing w:after="0" w:line="240" w:lineRule="auto"/>
              <w:ind w:left="317" w:hanging="317"/>
              <w:contextualSpacing w:val="0"/>
              <w:jc w:val="both"/>
              <w:rPr>
                <w:rFonts w:ascii="Times New Roman" w:hAnsi="Times New Roman"/>
                <w:sz w:val="24"/>
                <w:szCs w:val="24"/>
              </w:rPr>
            </w:pPr>
            <w:r w:rsidRPr="001D7630">
              <w:rPr>
                <w:rFonts w:ascii="Times New Roman" w:hAnsi="Times New Roman"/>
                <w:sz w:val="24"/>
                <w:szCs w:val="24"/>
              </w:rPr>
              <w:t>likumprojekta 10. panta 9. daļa paredz deleģējumu Ministru kabinetam noteikt detalizētāk jautājumus saistībā ar no biomasas iegūtām degvielām. Vēršam uzmanību uz to, ka Direktīvas 2018/2001 29. pants nosaka prasības ne tikai biodegvielām un bioloģiskajiem šķidrajiem kurināmajiem, bet arī uz biomasas kurināmo. Par cik prasības attiecībā uz biodegvielām un biomasas kurināmo ir vienādas, nebūtu pieļaujams, ka nacionālajos normatīvajos aktos šīs prasības tiek sadalītas, radot risku, ka tās var atšķirties.</w:t>
            </w:r>
          </w:p>
          <w:p w14:paraId="0D7162A6" w14:textId="77777777" w:rsidR="00BD3552" w:rsidRPr="001D7630" w:rsidRDefault="00BD3552" w:rsidP="001D7630">
            <w:pPr>
              <w:rPr>
                <w:shd w:val="clear" w:color="auto" w:fill="FFFFFF"/>
              </w:rPr>
            </w:pPr>
          </w:p>
          <w:p w14:paraId="51E24528" w14:textId="77777777" w:rsidR="00BD3552" w:rsidRPr="001D7630" w:rsidRDefault="00BD3552" w:rsidP="001D7630">
            <w:pPr>
              <w:rPr>
                <w:shd w:val="clear" w:color="auto" w:fill="FFFFFF"/>
              </w:rPr>
            </w:pPr>
            <w:r w:rsidRPr="001D7630">
              <w:rPr>
                <w:shd w:val="clear" w:color="auto" w:fill="FFFFFF"/>
              </w:rPr>
              <w:t xml:space="preserve">Vienlaikus norādām, ka Nolikuma 4.1.18. apakšpunktā deleģētās funkcijas izpratnē nav paredzēta  </w:t>
            </w:r>
            <w:r w:rsidRPr="001D7630">
              <w:t xml:space="preserve">SEG emisiju </w:t>
            </w:r>
            <w:r w:rsidRPr="001D7630">
              <w:rPr>
                <w:shd w:val="clear" w:color="auto" w:fill="FFFFFF"/>
              </w:rPr>
              <w:t>ietaupījumu aprēķinu izpēte un horizontālu politiku monitoringa sistēmas izveidošana SEG emisiju ietaupījumu aprēķināšanai.</w:t>
            </w:r>
          </w:p>
          <w:p w14:paraId="7083FAFA" w14:textId="77777777" w:rsidR="00BD3552" w:rsidRPr="001D7630" w:rsidRDefault="00BD3552" w:rsidP="001D7630"/>
          <w:p w14:paraId="124034CC" w14:textId="77777777" w:rsidR="00BD3552" w:rsidRPr="001D7630" w:rsidRDefault="00BD3552" w:rsidP="001D7630">
            <w:r w:rsidRPr="001D7630">
              <w:t>Lūdzam skaidrot, vai pirmās paaudzes degvielas kvalitāte tiks vērtēta atbilstoši</w:t>
            </w:r>
            <w:r w:rsidRPr="001D7630">
              <w:rPr>
                <w:b/>
                <w:bCs/>
              </w:rPr>
              <w:t xml:space="preserve"> </w:t>
            </w:r>
            <w:r w:rsidRPr="001D7630">
              <w:t xml:space="preserve">Likumprojekta 10. panta 9. daļā </w:t>
            </w:r>
            <w:r w:rsidRPr="001D7630">
              <w:lastRenderedPageBreak/>
              <w:t xml:space="preserve">uzskaitītajam normatīvajam regulējumam, ja atbilstoši </w:t>
            </w:r>
            <w:r w:rsidRPr="001D7630">
              <w:rPr>
                <w:shd w:val="clear" w:color="auto" w:fill="FFFFFF"/>
              </w:rPr>
              <w:t xml:space="preserve">anotācijas 2. lpp norādītajam -  </w:t>
            </w:r>
            <w:r w:rsidRPr="001D7630">
              <w:rPr>
                <w:i/>
                <w:iCs/>
              </w:rPr>
              <w:t xml:space="preserve">atjaunojamās transporta enerģijas mērķos </w:t>
            </w:r>
            <w:r w:rsidRPr="001D7630">
              <w:rPr>
                <w:b/>
                <w:bCs/>
                <w:i/>
                <w:iCs/>
              </w:rPr>
              <w:t>netiks ņemts vērā Latvijā izmantotais 1.paaudzes biodegvielu apjoms</w:t>
            </w:r>
            <w:r w:rsidRPr="001D7630">
              <w:rPr>
                <w:i/>
                <w:iCs/>
              </w:rPr>
              <w:t xml:space="preserve">.  </w:t>
            </w:r>
            <w:r w:rsidRPr="001D7630">
              <w:t xml:space="preserve">Tāpat vēršam uzmanību, ka </w:t>
            </w:r>
            <w:hyperlink r:id="rId15" w:history="1">
              <w:r w:rsidRPr="001D7630">
                <w:rPr>
                  <w:rStyle w:val="Hyperlink"/>
                </w:rPr>
                <w:t>NAP 2027</w:t>
              </w:r>
            </w:hyperlink>
            <w:r w:rsidRPr="001D7630">
              <w:t xml:space="preserve"> rādītājs </w:t>
            </w:r>
            <w:r w:rsidRPr="001D7630">
              <w:rPr>
                <w:i/>
                <w:iCs/>
              </w:rPr>
              <w:t>“No AER saražotās enerģijas īpatsvars transportā”</w:t>
            </w:r>
            <w:r w:rsidRPr="001D7630">
              <w:t xml:space="preserve"> (304. paragrāfs ) tostarp neparedz pirmās paaudzes biodegvielu ieskaiti AER mērķvērtībās pēc 2026. gada, tādējādi aicinām anotācijā skaidrot par  degvielu veidiem un termiņiem, kuriem ir izstrādājams regulējums atbilstoši Likumprojekta 10. panta 9. daļas deleģējumam. </w:t>
            </w:r>
          </w:p>
          <w:p w14:paraId="44361FD8" w14:textId="77777777" w:rsidR="00BD3552" w:rsidRPr="001D7630" w:rsidRDefault="00BD3552" w:rsidP="001D7630">
            <w:pPr>
              <w:rPr>
                <w:shd w:val="clear" w:color="auto" w:fill="FFFFFF"/>
              </w:rPr>
            </w:pPr>
            <w:r w:rsidRPr="001D7630">
              <w:rPr>
                <w:shd w:val="clear" w:color="auto" w:fill="FFFFFF"/>
              </w:rPr>
              <w:t xml:space="preserve">Ekonomikas ministrijas atbildībā ir līdz 2021. gada 30. jūnijam nacionālajā likumdošanā pārņemt Direktīvas 2018/2001 normas. Par atbildību sadalījumu par Direktīvas 2018/2001 normu pārņemšanu notikušas augsta līmeņa starpministriju amatpersonu sanāksmes. Nevienprātības dēļ par atbildības sadali starp ministrijām, Ekonomikas ministrijas vadībā tika uzsākts darbs pie Valsts sekretāru sanāksmes protokola projekta izstrādes par konceptuālu atbildības un pienākumu sadali direktīvas pārņemšanā. Aicinām Ekonomikas ministriju pabeigt darbu pie konceptuālas vienošanās panākšanas par </w:t>
            </w:r>
            <w:r w:rsidRPr="001D7630">
              <w:rPr>
                <w:shd w:val="clear" w:color="auto" w:fill="FFFFFF"/>
              </w:rPr>
              <w:lastRenderedPageBreak/>
              <w:t>atbildību sadali starp Ekonomikas ministriju, Vides aizsardzības un reģionālās attīstības ministriju un Zemkopības ministriju. Uzskatām, ka nav pieņemami Likumprojektā iestrādāt normas, ar ko tiks pārņemta Direktīva 2018/2001 pirms nav panākta konceptuāla vienošanās par atbildības sadali starp ministrijām.</w:t>
            </w:r>
          </w:p>
        </w:tc>
        <w:tc>
          <w:tcPr>
            <w:tcW w:w="2976" w:type="dxa"/>
            <w:vMerge w:val="restart"/>
            <w:tcBorders>
              <w:top w:val="single" w:sz="6" w:space="0" w:color="000000"/>
              <w:left w:val="single" w:sz="6" w:space="0" w:color="000000"/>
              <w:right w:val="single" w:sz="6" w:space="0" w:color="000000"/>
            </w:tcBorders>
            <w:shd w:val="clear" w:color="auto" w:fill="auto"/>
          </w:tcPr>
          <w:p w14:paraId="6B7081F9" w14:textId="77777777" w:rsidR="00BD3552" w:rsidRPr="001D7630" w:rsidRDefault="00BD3552" w:rsidP="001D7630">
            <w:pPr>
              <w:jc w:val="center"/>
              <w:rPr>
                <w:iCs/>
              </w:rPr>
            </w:pPr>
            <w:r w:rsidRPr="001D7630">
              <w:rPr>
                <w:b/>
              </w:rPr>
              <w:lastRenderedPageBreak/>
              <w:t>Ņemts vērā</w:t>
            </w:r>
          </w:p>
          <w:p w14:paraId="56372BDC" w14:textId="77777777" w:rsidR="00BD3552" w:rsidRPr="001D7630" w:rsidRDefault="00BD3552" w:rsidP="001D7630">
            <w:pPr>
              <w:rPr>
                <w:iCs/>
              </w:rPr>
            </w:pPr>
          </w:p>
          <w:p w14:paraId="1D9A813F" w14:textId="77777777" w:rsidR="00BD3552" w:rsidRPr="001D7630" w:rsidRDefault="00BD3552" w:rsidP="001D7630">
            <w:pPr>
              <w:pStyle w:val="NormalWeb"/>
              <w:spacing w:before="0" w:beforeAutospacing="0" w:after="0" w:afterAutospacing="0"/>
              <w:ind w:right="79"/>
              <w:jc w:val="both"/>
              <w:rPr>
                <w:iCs/>
              </w:rPr>
            </w:pPr>
            <w:r w:rsidRPr="001D7630">
              <w:t>Likumprojekta anotācijas I sadaļas 2.punkta sadaļa “</w:t>
            </w:r>
            <w:r w:rsidRPr="001D7630">
              <w:rPr>
                <w:u w:val="single"/>
              </w:rPr>
              <w:t>Pašreizējā situācija</w:t>
            </w:r>
            <w:r w:rsidRPr="001D7630">
              <w:t>” ir papildināta ar skaidrojošu informāciju.</w:t>
            </w:r>
          </w:p>
          <w:p w14:paraId="4B5D1E0F" w14:textId="77777777" w:rsidR="00BD3552" w:rsidRPr="001D7630" w:rsidRDefault="00BD3552" w:rsidP="001D7630">
            <w:pPr>
              <w:rPr>
                <w:iCs/>
              </w:rPr>
            </w:pPr>
            <w:r w:rsidRPr="001D7630">
              <w:rPr>
                <w:iCs/>
              </w:rPr>
              <w:t>Norādām, ka direktīvas 2018/2001 29.-31.panta nosacījumi attiecībā uz biomasas kurināmo netiks iekļauti šajā likumprojektā, bet ir iekļauti likumprojektā “Grozījumi Enerģētikas likumā”</w:t>
            </w:r>
            <w:r w:rsidRPr="001D7630">
              <w:rPr>
                <w:rStyle w:val="FootnoteReference"/>
                <w:iCs/>
              </w:rPr>
              <w:footnoteReference w:id="6"/>
            </w:r>
            <w:r w:rsidRPr="001D7630">
              <w:rPr>
                <w:iCs/>
              </w:rPr>
              <w:t>, ņemot vērā, ka biomasas kurināmais neatbilst transporta enerģijas definīcijai, līdz ar to neiekļaujas likumprojekta aptvērumā. Tomēr šajā likumprojektā un uz tajā iekļautā deleģējuma pamata izdotajos MKN ir iekļauti nosacījumi attiecībā uz biodegvielas un bioloģiskā šķidrā kurināmā izejvielām</w:t>
            </w:r>
          </w:p>
          <w:p w14:paraId="4E570CED" w14:textId="77777777" w:rsidR="00BD3552" w:rsidRPr="001D7630" w:rsidRDefault="00BD3552" w:rsidP="001D7630">
            <w:pPr>
              <w:rPr>
                <w:iCs/>
              </w:rPr>
            </w:pPr>
          </w:p>
          <w:p w14:paraId="7C97B404" w14:textId="77777777" w:rsidR="00BD3552" w:rsidRPr="001D7630" w:rsidRDefault="00BD3552" w:rsidP="001D7630">
            <w:pPr>
              <w:rPr>
                <w:iCs/>
              </w:rPr>
            </w:pPr>
            <w:r w:rsidRPr="001D7630">
              <w:rPr>
                <w:iCs/>
              </w:rPr>
              <w:t xml:space="preserve">Norādām, ka MKN Nr.545 grozījumos ir jāiekļauj tie ilgtspējas kritēriji un SEG emisiju ietaupījuma kritēriji, </w:t>
            </w:r>
            <w:r w:rsidRPr="001D7630">
              <w:rPr>
                <w:iCs/>
              </w:rPr>
              <w:lastRenderedPageBreak/>
              <w:t>kas ir noteikti Direktīvā 2018/2001, t.sk. attiecībā uz 1.paaudzes biodegvielu.</w:t>
            </w:r>
          </w:p>
          <w:p w14:paraId="62E1E813" w14:textId="77777777" w:rsidR="00BD3552" w:rsidRPr="001D7630" w:rsidRDefault="00BD3552" w:rsidP="001D7630">
            <w:pPr>
              <w:rPr>
                <w:iCs/>
              </w:rPr>
            </w:pPr>
            <w:r w:rsidRPr="001D7630">
              <w:rPr>
                <w:iCs/>
              </w:rPr>
              <w:t>Norādām, ka 1.paaudzes biodegvielas izejvielu audzēšana un izmantošana Latvijā ar likumprojektu netiek ierobežota, lai tai skaitā šo biodegvielu varētu izmantot likumprojekta 9.pantā noteikto mērķu izpildē.</w:t>
            </w:r>
          </w:p>
          <w:p w14:paraId="0F910D07" w14:textId="77777777" w:rsidR="00BD3552" w:rsidRPr="001D7630" w:rsidRDefault="00BD3552" w:rsidP="001D7630">
            <w:pPr>
              <w:rPr>
                <w:iCs/>
              </w:rPr>
            </w:pPr>
          </w:p>
          <w:p w14:paraId="4AAD7D24" w14:textId="77777777" w:rsidR="00BD3552" w:rsidRPr="001D7630" w:rsidRDefault="00BD3552" w:rsidP="001D7630">
            <w:pPr>
              <w:tabs>
                <w:tab w:val="left" w:pos="1833"/>
              </w:tabs>
            </w:pPr>
          </w:p>
          <w:p w14:paraId="7CA69F5F" w14:textId="77777777" w:rsidR="00BD3552" w:rsidRPr="001D7630" w:rsidRDefault="00BD3552" w:rsidP="001D7630">
            <w:pPr>
              <w:tabs>
                <w:tab w:val="left" w:pos="1833"/>
              </w:tabs>
            </w:pPr>
          </w:p>
          <w:p w14:paraId="1F3D02CA" w14:textId="77777777" w:rsidR="00BD3552" w:rsidRPr="001D7630" w:rsidRDefault="00BD3552" w:rsidP="001D7630">
            <w:pPr>
              <w:tabs>
                <w:tab w:val="left" w:pos="1833"/>
              </w:tabs>
            </w:pPr>
          </w:p>
          <w:p w14:paraId="02A0BBDB" w14:textId="77777777" w:rsidR="00BD3552" w:rsidRPr="001D7630" w:rsidRDefault="00BD3552" w:rsidP="001D7630">
            <w:pPr>
              <w:tabs>
                <w:tab w:val="left" w:pos="1833"/>
              </w:tabs>
            </w:pPr>
          </w:p>
          <w:p w14:paraId="6B536413" w14:textId="77777777" w:rsidR="00BD3552" w:rsidRPr="001D7630" w:rsidRDefault="00BD3552" w:rsidP="001D7630">
            <w:pPr>
              <w:tabs>
                <w:tab w:val="left" w:pos="1833"/>
              </w:tabs>
            </w:pPr>
          </w:p>
          <w:p w14:paraId="79330A7D" w14:textId="77777777" w:rsidR="00BD3552" w:rsidRPr="001D7630" w:rsidRDefault="00BD3552" w:rsidP="001D7630">
            <w:pPr>
              <w:tabs>
                <w:tab w:val="left" w:pos="1833"/>
              </w:tabs>
            </w:pPr>
          </w:p>
          <w:p w14:paraId="3626493C" w14:textId="77777777" w:rsidR="00BD3552" w:rsidRPr="001D7630" w:rsidRDefault="00BD3552" w:rsidP="001D7630">
            <w:pPr>
              <w:tabs>
                <w:tab w:val="left" w:pos="1833"/>
              </w:tabs>
            </w:pPr>
          </w:p>
          <w:p w14:paraId="75D444F5" w14:textId="77777777" w:rsidR="00BD3552" w:rsidRPr="001D7630" w:rsidRDefault="00BD3552" w:rsidP="001D7630">
            <w:pPr>
              <w:tabs>
                <w:tab w:val="left" w:pos="1833"/>
              </w:tabs>
            </w:pPr>
          </w:p>
          <w:p w14:paraId="6B6653C0" w14:textId="77777777" w:rsidR="00BD3552" w:rsidRPr="001D7630" w:rsidRDefault="00BD3552" w:rsidP="001D7630">
            <w:pPr>
              <w:tabs>
                <w:tab w:val="left" w:pos="1833"/>
              </w:tabs>
            </w:pPr>
          </w:p>
          <w:p w14:paraId="4FA7EA8E" w14:textId="77777777" w:rsidR="00BD3552" w:rsidRPr="001D7630" w:rsidRDefault="00BD3552" w:rsidP="001D7630">
            <w:pPr>
              <w:tabs>
                <w:tab w:val="left" w:pos="1833"/>
              </w:tabs>
            </w:pPr>
          </w:p>
          <w:p w14:paraId="77DE2286" w14:textId="77777777" w:rsidR="00BD3552" w:rsidRPr="001D7630" w:rsidRDefault="00BD3552" w:rsidP="001D7630">
            <w:pPr>
              <w:tabs>
                <w:tab w:val="left" w:pos="1833"/>
              </w:tabs>
            </w:pPr>
          </w:p>
          <w:p w14:paraId="1FDF5FD3" w14:textId="77777777" w:rsidR="00BD3552" w:rsidRPr="001D7630" w:rsidRDefault="00BD3552" w:rsidP="001D7630">
            <w:pPr>
              <w:tabs>
                <w:tab w:val="left" w:pos="1833"/>
              </w:tabs>
            </w:pPr>
          </w:p>
          <w:p w14:paraId="576BDFEB" w14:textId="77777777" w:rsidR="00BD3552" w:rsidRPr="001D7630" w:rsidRDefault="00BD3552" w:rsidP="001D7630">
            <w:pPr>
              <w:tabs>
                <w:tab w:val="left" w:pos="1833"/>
              </w:tabs>
            </w:pPr>
          </w:p>
          <w:p w14:paraId="607A1209" w14:textId="77777777" w:rsidR="00BD3552" w:rsidRPr="001D7630" w:rsidRDefault="00BD3552" w:rsidP="001D7630">
            <w:pPr>
              <w:tabs>
                <w:tab w:val="left" w:pos="1833"/>
              </w:tabs>
            </w:pPr>
          </w:p>
          <w:p w14:paraId="4612D10A" w14:textId="77777777" w:rsidR="00BD3552" w:rsidRPr="001D7630" w:rsidRDefault="00BD3552" w:rsidP="001D7630">
            <w:pPr>
              <w:tabs>
                <w:tab w:val="left" w:pos="1833"/>
              </w:tabs>
            </w:pPr>
          </w:p>
          <w:p w14:paraId="5AEA4A71" w14:textId="77777777" w:rsidR="00BD3552" w:rsidRPr="001D7630" w:rsidRDefault="00BD3552" w:rsidP="001D7630">
            <w:pPr>
              <w:tabs>
                <w:tab w:val="left" w:pos="1833"/>
              </w:tabs>
            </w:pPr>
          </w:p>
          <w:p w14:paraId="6936BAC6" w14:textId="77777777" w:rsidR="00BD3552" w:rsidRPr="001D7630" w:rsidRDefault="00BD3552" w:rsidP="001D7630">
            <w:pPr>
              <w:tabs>
                <w:tab w:val="left" w:pos="1833"/>
              </w:tabs>
            </w:pPr>
          </w:p>
          <w:p w14:paraId="73A82314" w14:textId="77777777" w:rsidR="00BD3552" w:rsidRPr="001D7630" w:rsidRDefault="00BD3552" w:rsidP="001D7630">
            <w:pPr>
              <w:tabs>
                <w:tab w:val="left" w:pos="1833"/>
              </w:tabs>
            </w:pPr>
          </w:p>
          <w:p w14:paraId="1456BEB7" w14:textId="77777777" w:rsidR="00BD3552" w:rsidRPr="001D7630" w:rsidRDefault="00BD3552" w:rsidP="001D7630">
            <w:pPr>
              <w:tabs>
                <w:tab w:val="left" w:pos="1833"/>
              </w:tabs>
            </w:pPr>
          </w:p>
          <w:p w14:paraId="5EDF1D1D" w14:textId="77777777" w:rsidR="00BD3552" w:rsidRPr="001D7630" w:rsidRDefault="00BD3552" w:rsidP="001D7630">
            <w:pPr>
              <w:tabs>
                <w:tab w:val="left" w:pos="1833"/>
              </w:tabs>
            </w:pPr>
          </w:p>
          <w:p w14:paraId="306CC8F0" w14:textId="77777777" w:rsidR="00BD3552" w:rsidRPr="001D7630" w:rsidRDefault="00BD3552" w:rsidP="001D7630">
            <w:pPr>
              <w:tabs>
                <w:tab w:val="left" w:pos="1833"/>
              </w:tabs>
            </w:pPr>
          </w:p>
          <w:p w14:paraId="58656C23" w14:textId="77777777" w:rsidR="00BD3552" w:rsidRPr="001D7630" w:rsidRDefault="00BD3552" w:rsidP="001D7630">
            <w:pPr>
              <w:tabs>
                <w:tab w:val="left" w:pos="1833"/>
              </w:tabs>
            </w:pPr>
          </w:p>
          <w:p w14:paraId="45F26975" w14:textId="77777777" w:rsidR="00BD3552" w:rsidRPr="001D7630" w:rsidRDefault="00BD3552" w:rsidP="001D7630">
            <w:pPr>
              <w:tabs>
                <w:tab w:val="left" w:pos="1833"/>
              </w:tabs>
            </w:pPr>
          </w:p>
          <w:p w14:paraId="7FC4992C" w14:textId="77777777" w:rsidR="00BD3552" w:rsidRPr="001D7630" w:rsidRDefault="00BD3552" w:rsidP="001D7630">
            <w:pPr>
              <w:tabs>
                <w:tab w:val="left" w:pos="1833"/>
              </w:tabs>
            </w:pPr>
          </w:p>
          <w:p w14:paraId="34352DDD" w14:textId="77777777" w:rsidR="00BD3552" w:rsidRPr="001D7630" w:rsidRDefault="00BD3552" w:rsidP="001D7630">
            <w:pPr>
              <w:tabs>
                <w:tab w:val="left" w:pos="1833"/>
              </w:tabs>
            </w:pPr>
          </w:p>
          <w:p w14:paraId="772D3AF1" w14:textId="77777777" w:rsidR="00BD3552" w:rsidRPr="001D7630" w:rsidRDefault="00BD3552" w:rsidP="001D7630">
            <w:pPr>
              <w:tabs>
                <w:tab w:val="left" w:pos="1833"/>
              </w:tabs>
            </w:pPr>
          </w:p>
          <w:p w14:paraId="1D3B3094" w14:textId="77777777" w:rsidR="00BD3552" w:rsidRPr="001D7630" w:rsidRDefault="00BD3552" w:rsidP="001D7630">
            <w:pPr>
              <w:tabs>
                <w:tab w:val="left" w:pos="1833"/>
              </w:tabs>
            </w:pPr>
          </w:p>
          <w:p w14:paraId="02C36F84" w14:textId="77777777" w:rsidR="00BD3552" w:rsidRPr="001D7630" w:rsidRDefault="00BD3552" w:rsidP="001D7630">
            <w:pPr>
              <w:tabs>
                <w:tab w:val="left" w:pos="1833"/>
              </w:tabs>
            </w:pPr>
          </w:p>
          <w:p w14:paraId="1E99D4F3" w14:textId="77777777" w:rsidR="00BD3552" w:rsidRPr="001D7630" w:rsidRDefault="00BD3552" w:rsidP="001D7630">
            <w:pPr>
              <w:tabs>
                <w:tab w:val="left" w:pos="1833"/>
              </w:tabs>
            </w:pPr>
          </w:p>
          <w:p w14:paraId="0E8B3863" w14:textId="77777777" w:rsidR="00BD3552" w:rsidRPr="001D7630" w:rsidRDefault="00BD3552" w:rsidP="001D7630">
            <w:pPr>
              <w:tabs>
                <w:tab w:val="left" w:pos="1833"/>
              </w:tabs>
            </w:pPr>
          </w:p>
          <w:p w14:paraId="0DFEEABC" w14:textId="77777777" w:rsidR="00BD3552" w:rsidRPr="001D7630" w:rsidRDefault="00BD3552" w:rsidP="001D7630">
            <w:pPr>
              <w:tabs>
                <w:tab w:val="left" w:pos="1833"/>
              </w:tabs>
            </w:pPr>
          </w:p>
          <w:p w14:paraId="077FEDB1" w14:textId="77777777" w:rsidR="00BD3552" w:rsidRPr="001D7630" w:rsidRDefault="00BD3552" w:rsidP="001D7630">
            <w:pPr>
              <w:tabs>
                <w:tab w:val="left" w:pos="1833"/>
              </w:tabs>
            </w:pPr>
          </w:p>
          <w:p w14:paraId="51CE460A" w14:textId="77777777" w:rsidR="00BD3552" w:rsidRPr="001D7630" w:rsidRDefault="00BD3552" w:rsidP="001D7630">
            <w:pPr>
              <w:tabs>
                <w:tab w:val="left" w:pos="1833"/>
              </w:tabs>
            </w:pPr>
          </w:p>
          <w:p w14:paraId="7161C3F3" w14:textId="77777777" w:rsidR="00BD3552" w:rsidRPr="001D7630" w:rsidRDefault="00BD3552" w:rsidP="001D7630">
            <w:pPr>
              <w:tabs>
                <w:tab w:val="left" w:pos="1833"/>
              </w:tabs>
            </w:pPr>
          </w:p>
          <w:p w14:paraId="4EA724B5" w14:textId="77777777" w:rsidR="00BD3552" w:rsidRPr="001D7630" w:rsidRDefault="00BD3552" w:rsidP="001D7630">
            <w:pPr>
              <w:tabs>
                <w:tab w:val="left" w:pos="1833"/>
              </w:tabs>
            </w:pPr>
          </w:p>
          <w:p w14:paraId="7D380F17" w14:textId="77777777" w:rsidR="00BD3552" w:rsidRPr="001D7630" w:rsidRDefault="00BD3552" w:rsidP="001D7630">
            <w:pPr>
              <w:tabs>
                <w:tab w:val="left" w:pos="1833"/>
              </w:tabs>
            </w:pPr>
          </w:p>
          <w:p w14:paraId="6AA7CF4D" w14:textId="77777777" w:rsidR="00BD3552" w:rsidRPr="001D7630" w:rsidRDefault="00BD3552" w:rsidP="001D7630">
            <w:pPr>
              <w:tabs>
                <w:tab w:val="left" w:pos="1833"/>
              </w:tabs>
            </w:pPr>
          </w:p>
          <w:p w14:paraId="42C8B72E" w14:textId="77777777" w:rsidR="00BD3552" w:rsidRPr="001D7630" w:rsidRDefault="00BD3552" w:rsidP="001D7630">
            <w:pPr>
              <w:tabs>
                <w:tab w:val="left" w:pos="1833"/>
              </w:tabs>
            </w:pPr>
          </w:p>
          <w:p w14:paraId="2928435E" w14:textId="77777777" w:rsidR="00BD3552" w:rsidRPr="001D7630" w:rsidRDefault="00BD3552" w:rsidP="001D7630">
            <w:pPr>
              <w:tabs>
                <w:tab w:val="left" w:pos="1833"/>
              </w:tabs>
            </w:pPr>
          </w:p>
          <w:p w14:paraId="08AD36F5" w14:textId="77777777" w:rsidR="00BD3552" w:rsidRPr="001D7630" w:rsidRDefault="00BD3552" w:rsidP="001D7630">
            <w:pPr>
              <w:tabs>
                <w:tab w:val="left" w:pos="1833"/>
              </w:tabs>
            </w:pPr>
          </w:p>
          <w:p w14:paraId="78220541" w14:textId="77777777" w:rsidR="00BD3552" w:rsidRPr="001D7630" w:rsidRDefault="00BD3552" w:rsidP="001D7630">
            <w:pPr>
              <w:tabs>
                <w:tab w:val="left" w:pos="1833"/>
              </w:tabs>
            </w:pPr>
          </w:p>
          <w:p w14:paraId="4C308DEB" w14:textId="77777777" w:rsidR="00BD3552" w:rsidRPr="001D7630" w:rsidRDefault="00BD3552" w:rsidP="001D7630">
            <w:pPr>
              <w:tabs>
                <w:tab w:val="left" w:pos="1833"/>
              </w:tabs>
            </w:pPr>
          </w:p>
          <w:p w14:paraId="7DC13B39" w14:textId="77777777" w:rsidR="00BD3552" w:rsidRPr="001D7630" w:rsidRDefault="00BD3552" w:rsidP="001D7630">
            <w:pPr>
              <w:tabs>
                <w:tab w:val="left" w:pos="1833"/>
              </w:tabs>
              <w:rPr>
                <w:iCs/>
              </w:rPr>
            </w:pPr>
          </w:p>
        </w:tc>
        <w:tc>
          <w:tcPr>
            <w:tcW w:w="4291" w:type="dxa"/>
            <w:vMerge w:val="restart"/>
            <w:tcBorders>
              <w:top w:val="single" w:sz="4" w:space="0" w:color="auto"/>
              <w:left w:val="single" w:sz="4" w:space="0" w:color="auto"/>
            </w:tcBorders>
            <w:shd w:val="clear" w:color="auto" w:fill="auto"/>
          </w:tcPr>
          <w:p w14:paraId="7909E527" w14:textId="77777777" w:rsidR="00BD3552" w:rsidRPr="001D7630" w:rsidRDefault="00BD3552" w:rsidP="001D7630">
            <w:pPr>
              <w:pStyle w:val="NormalWeb"/>
              <w:spacing w:before="0" w:beforeAutospacing="0" w:after="0" w:afterAutospacing="0"/>
              <w:ind w:right="79"/>
              <w:jc w:val="both"/>
            </w:pPr>
            <w:r w:rsidRPr="001D7630">
              <w:lastRenderedPageBreak/>
              <w:t>Likumprojekta anotācijas I sadaļas 2.punkta sadaļa “</w:t>
            </w:r>
            <w:r w:rsidRPr="001D7630">
              <w:rPr>
                <w:u w:val="single"/>
              </w:rPr>
              <w:t>Pašreizējā situācija</w:t>
            </w:r>
            <w:r w:rsidRPr="001D7630">
              <w:t>” un V</w:t>
            </w:r>
            <w:r w:rsidR="00E31FF9" w:rsidRPr="001D7630">
              <w:t>I</w:t>
            </w:r>
            <w:r w:rsidRPr="001D7630">
              <w:t>I sadaļas 1.punkts ir precizēts.</w:t>
            </w:r>
          </w:p>
        </w:tc>
      </w:tr>
      <w:tr w:rsidR="00BD3552" w:rsidRPr="001D7630" w14:paraId="72DFDF1E" w14:textId="77777777" w:rsidTr="005D0902">
        <w:trPr>
          <w:jc w:val="center"/>
        </w:trPr>
        <w:tc>
          <w:tcPr>
            <w:tcW w:w="637" w:type="dxa"/>
            <w:vMerge/>
            <w:tcBorders>
              <w:left w:val="single" w:sz="4" w:space="0" w:color="auto"/>
              <w:bottom w:val="single" w:sz="4" w:space="0" w:color="auto"/>
              <w:right w:val="single" w:sz="4" w:space="0" w:color="auto"/>
            </w:tcBorders>
            <w:shd w:val="clear" w:color="auto" w:fill="auto"/>
          </w:tcPr>
          <w:p w14:paraId="6BD6F5EA" w14:textId="77777777" w:rsidR="00BD3552" w:rsidRPr="001D7630" w:rsidRDefault="00BD3552" w:rsidP="001D7630">
            <w:pPr>
              <w:pStyle w:val="naisc"/>
              <w:numPr>
                <w:ilvl w:val="0"/>
                <w:numId w:val="8"/>
              </w:numPr>
              <w:spacing w:before="0" w:after="0"/>
              <w:ind w:left="0" w:firstLine="0"/>
              <w:rPr>
                <w:b/>
              </w:rPr>
            </w:pPr>
          </w:p>
        </w:tc>
        <w:tc>
          <w:tcPr>
            <w:tcW w:w="3041" w:type="dxa"/>
            <w:vMerge/>
            <w:tcBorders>
              <w:left w:val="single" w:sz="4" w:space="0" w:color="auto"/>
              <w:bottom w:val="single" w:sz="6" w:space="0" w:color="000000"/>
              <w:right w:val="single" w:sz="6" w:space="0" w:color="000000"/>
            </w:tcBorders>
            <w:shd w:val="clear" w:color="auto" w:fill="auto"/>
          </w:tcPr>
          <w:p w14:paraId="30A510A3" w14:textId="77777777" w:rsidR="00BD3552" w:rsidRPr="001D7630" w:rsidRDefault="00BD3552" w:rsidP="001D763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477C1628" w14:textId="77777777" w:rsidR="00BD3552" w:rsidRPr="001D7630" w:rsidRDefault="00BD3552" w:rsidP="001D7630">
            <w:pPr>
              <w:jc w:val="center"/>
              <w:rPr>
                <w:b/>
                <w:bCs/>
              </w:rPr>
            </w:pPr>
            <w:r w:rsidRPr="001D7630">
              <w:rPr>
                <w:b/>
                <w:bCs/>
              </w:rPr>
              <w:t>Zemkopības ministrija</w:t>
            </w:r>
          </w:p>
          <w:p w14:paraId="7E6AC74E" w14:textId="77777777" w:rsidR="00BD3552" w:rsidRPr="001D7630" w:rsidRDefault="00BD3552" w:rsidP="001D7630">
            <w:pPr>
              <w:jc w:val="center"/>
              <w:rPr>
                <w:b/>
                <w:bCs/>
              </w:rPr>
            </w:pPr>
            <w:r w:rsidRPr="001D7630">
              <w:rPr>
                <w:b/>
                <w:bCs/>
              </w:rPr>
              <w:t>(25.03.2021.)</w:t>
            </w:r>
          </w:p>
          <w:p w14:paraId="616D062D" w14:textId="77777777" w:rsidR="00BD3552" w:rsidRPr="001D7630" w:rsidRDefault="00BD3552" w:rsidP="001D7630">
            <w:pPr>
              <w:rPr>
                <w:iCs/>
              </w:rPr>
            </w:pPr>
            <w:r w:rsidRPr="001D7630">
              <w:t>1) Ņ</w:t>
            </w:r>
            <w:r w:rsidRPr="001D7630">
              <w:rPr>
                <w:iCs/>
              </w:rPr>
              <w:t xml:space="preserve">emot vērā Ekonomikas ministrijas (turpmāk – EM) komentāru izziņā pie </w:t>
            </w:r>
            <w:r w:rsidRPr="001D7630">
              <w:t>Zemkopības ministrija 2021. gada 8. janvāra atzinuma Nr.</w:t>
            </w:r>
            <w:r w:rsidRPr="001D7630">
              <w:rPr>
                <w:noProof/>
              </w:rPr>
              <w:t xml:space="preserve"> 2.2-2e/53/2021</w:t>
            </w:r>
            <w:r w:rsidRPr="001D7630">
              <w:t>, “</w:t>
            </w:r>
            <w:r w:rsidRPr="001D7630">
              <w:rPr>
                <w:i/>
              </w:rPr>
              <w:t>3) Norādām, ka direktīvas 2018/2001 29.-31.panta nosacījumi attiecībā uz biomasas kurināmo netiks iekļauti šajā likumprojektā, bet ir iekļauti likumprojektā “Grozījumi Enerģētikas likumā”</w:t>
            </w:r>
            <w:r w:rsidRPr="001D7630">
              <w:rPr>
                <w:rStyle w:val="FootnoteReference"/>
                <w:i/>
              </w:rPr>
              <w:footnoteReference w:id="7"/>
            </w:r>
            <w:r w:rsidRPr="001D7630">
              <w:rPr>
                <w:i/>
              </w:rPr>
              <w:t>, ņemot vērā, ka biomasas kurināmais neatbilst transporta enerģijas definīcijai, līdz ar to neiekļaujas likumprojekta aptvērumā.</w:t>
            </w:r>
            <w:r w:rsidRPr="001D7630">
              <w:rPr>
                <w:iCs/>
              </w:rPr>
              <w:t xml:space="preserve">”, </w:t>
            </w:r>
            <w:r w:rsidRPr="001D7630">
              <w:t>s</w:t>
            </w:r>
            <w:r w:rsidRPr="001D7630">
              <w:rPr>
                <w:iCs/>
              </w:rPr>
              <w:t>ecinām, ka nav pamata anotācija likt atsauci uz ZM kompetenci, ja ar šī likumprojekta aptvērumu netiek skartas ZM kompetences jomas. Tādējādi l</w:t>
            </w:r>
            <w:r w:rsidRPr="001D7630">
              <w:rPr>
                <w:shd w:val="clear" w:color="auto" w:fill="FFFFFF"/>
              </w:rPr>
              <w:t xml:space="preserve">ūdzam </w:t>
            </w:r>
            <w:r w:rsidRPr="001D7630">
              <w:rPr>
                <w:b/>
                <w:bCs/>
                <w:shd w:val="clear" w:color="auto" w:fill="FFFFFF"/>
              </w:rPr>
              <w:t xml:space="preserve">dzēst Likumprojekta </w:t>
            </w:r>
            <w:r w:rsidRPr="001D7630">
              <w:rPr>
                <w:b/>
                <w:bCs/>
              </w:rPr>
              <w:t xml:space="preserve">anotācijas I. sadaļas 2.punktā iekļauto </w:t>
            </w:r>
            <w:r w:rsidRPr="001D7630">
              <w:rPr>
                <w:b/>
                <w:bCs/>
              </w:rPr>
              <w:lastRenderedPageBreak/>
              <w:t>aprakstu</w:t>
            </w:r>
            <w:r w:rsidRPr="001D7630">
              <w:t xml:space="preserve"> par ZM kompetenci vai to izteikt sekojošā redakcijā:</w:t>
            </w:r>
          </w:p>
          <w:p w14:paraId="2E92DC84" w14:textId="77777777" w:rsidR="00BD3552" w:rsidRPr="001D7630" w:rsidRDefault="00BD3552" w:rsidP="001D7630">
            <w:pPr>
              <w:rPr>
                <w:i/>
                <w:iCs/>
              </w:rPr>
            </w:pPr>
          </w:p>
          <w:p w14:paraId="53228A92" w14:textId="77777777" w:rsidR="00BD3552" w:rsidRPr="001D7630" w:rsidRDefault="00BD3552" w:rsidP="001D7630">
            <w:pPr>
              <w:rPr>
                <w:bCs/>
                <w:i/>
                <w:iCs/>
              </w:rPr>
            </w:pPr>
            <w:r w:rsidRPr="001D7630">
              <w:rPr>
                <w:i/>
                <w:iCs/>
              </w:rPr>
              <w:t>“Zemkopības ministrija (turpmāk – ZM) izstrādā lauksaimniecības, meža nozares un zivsaimniecības politiku šādās jomās: lauksaimniecības resursu ilgtspējīga apsaimniekošana; meža resursu ilgtspējīga apsaimniekošana; klimata pārmaiņu samazināšana, ierobežošana un pielāgošanās klimata pārmaiņām lauksaimniecības, meža un zivsaimniecības nozarē; atjaunojamo enerģijas resursu – meža un lauksaimniecības biomasas – ilgtspējīga pieejamība, ieguve un izmantošanas iespējām, nodrošinot</w:t>
            </w:r>
            <w:r w:rsidRPr="001D7630">
              <w:rPr>
                <w:bCs/>
                <w:i/>
                <w:iCs/>
              </w:rPr>
              <w:t xml:space="preserve">, lai bioenerģijas ražošanai būtu pieejama vietējā biomasa, paredzot un izstrādājot izejvielu audzētājiem atbalsta politiku. </w:t>
            </w:r>
          </w:p>
          <w:p w14:paraId="6F2ADBFA" w14:textId="77777777" w:rsidR="00BD3552" w:rsidRPr="001D7630" w:rsidRDefault="00BD3552" w:rsidP="001D7630">
            <w:pPr>
              <w:rPr>
                <w:i/>
                <w:iCs/>
              </w:rPr>
            </w:pPr>
            <w:r w:rsidRPr="001D7630">
              <w:rPr>
                <w:i/>
                <w:iCs/>
              </w:rPr>
              <w:t>ZM izstrādātā politika un paredzētais atbalsts, ir noteikts lauksaimniecības produktu primārai ražošanai saskaņā ar Līguma par Eiropas Savienības darbību 1. pielikumā minēto lauksaimniecības produktu primāro ražošanu.</w:t>
            </w:r>
          </w:p>
          <w:p w14:paraId="5A45F6F6" w14:textId="77777777" w:rsidR="00BD3552" w:rsidRPr="001D7630" w:rsidRDefault="00BD3552" w:rsidP="001D7630">
            <w:pPr>
              <w:rPr>
                <w:i/>
                <w:iCs/>
              </w:rPr>
            </w:pPr>
            <w:r w:rsidRPr="001D7630">
              <w:rPr>
                <w:i/>
                <w:iCs/>
              </w:rPr>
              <w:t xml:space="preserve">"Primārā ražošana" ir primāro produktu ražošana vai audzēšana, tostarp ražas novākšana, slaukšana un saimniecībā audzētu dzīvnieku ražošana pirms nokaušanas. Tā iekļauj arī </w:t>
            </w:r>
            <w:r w:rsidRPr="001D7630">
              <w:rPr>
                <w:i/>
                <w:iCs/>
              </w:rPr>
              <w:lastRenderedPageBreak/>
              <w:t>medības, zveju un savvaļas produktu vākšanu</w:t>
            </w:r>
          </w:p>
          <w:p w14:paraId="49201FFF" w14:textId="77777777" w:rsidR="00BD3552" w:rsidRPr="001D7630" w:rsidRDefault="00BD3552" w:rsidP="001D7630">
            <w:pPr>
              <w:rPr>
                <w:i/>
                <w:iCs/>
              </w:rPr>
            </w:pPr>
            <w:r w:rsidRPr="001D7630">
              <w:rPr>
                <w:i/>
                <w:iCs/>
              </w:rPr>
              <w:t>"Primārā ražošana" ir termins, ar kuru raksturo saimniecībā vai līdzīgā līmenī veiktās darbības, un tās ietver:</w:t>
            </w:r>
          </w:p>
          <w:p w14:paraId="7078514D" w14:textId="77777777" w:rsidR="00BD3552" w:rsidRPr="001D7630" w:rsidRDefault="00BD3552" w:rsidP="001D7630">
            <w:pPr>
              <w:numPr>
                <w:ilvl w:val="0"/>
                <w:numId w:val="10"/>
              </w:numPr>
              <w:ind w:left="316"/>
              <w:jc w:val="both"/>
              <w:rPr>
                <w:i/>
                <w:iCs/>
              </w:rPr>
            </w:pPr>
            <w:r w:rsidRPr="001D7630">
              <w:rPr>
                <w:i/>
                <w:iCs/>
              </w:rPr>
              <w:t>augu valsts produktu, tādu kā graudi, augļi, dārzeņi un garšaugi, ražošanu vai audzēšanu, kā arī minēto produktu pārvadāšanu, glabāšanu un apstrādi (ja produkti būtiski nemainās) saimniecībā un tālāku nogādāšanu uzņēmumā;</w:t>
            </w:r>
          </w:p>
          <w:p w14:paraId="52D3E4BE" w14:textId="77777777" w:rsidR="00BD3552" w:rsidRPr="001D7630" w:rsidRDefault="00BD3552" w:rsidP="001D7630">
            <w:pPr>
              <w:numPr>
                <w:ilvl w:val="0"/>
                <w:numId w:val="10"/>
              </w:numPr>
              <w:ind w:left="316"/>
              <w:jc w:val="both"/>
              <w:rPr>
                <w:i/>
                <w:iCs/>
              </w:rPr>
            </w:pPr>
            <w:r w:rsidRPr="001D7630">
              <w:rPr>
                <w:i/>
                <w:iCs/>
              </w:rPr>
              <w:t>pārtikas ražošanai paredzētu dzīvnieku ražošanu vai audzēšanu saimniecībā un jebkuras ar to saistītās darbības, kā arī gaļas ražošanai paredzētu dzīvnieku nogādāšanu tirgū, kautuvē vai dzīvnieku pārvadāšana no saimniecības uz saimniecību;</w:t>
            </w:r>
          </w:p>
          <w:p w14:paraId="25FB2AE9" w14:textId="77777777" w:rsidR="00BD3552" w:rsidRPr="001D7630" w:rsidRDefault="00BD3552" w:rsidP="001D7630">
            <w:pPr>
              <w:numPr>
                <w:ilvl w:val="0"/>
                <w:numId w:val="10"/>
              </w:numPr>
              <w:ind w:left="316"/>
              <w:jc w:val="both"/>
              <w:rPr>
                <w:i/>
                <w:iCs/>
              </w:rPr>
            </w:pPr>
            <w:r w:rsidRPr="001D7630">
              <w:rPr>
                <w:i/>
                <w:iCs/>
              </w:rPr>
              <w:t>gliemežu ražošanu vai audzēšanu saimniecībā un to iespējamo nogādi pārstrādes uzņēmumā vai tirgū;</w:t>
            </w:r>
          </w:p>
          <w:p w14:paraId="2FA9F6FA" w14:textId="77777777" w:rsidR="00BD3552" w:rsidRPr="001D7630" w:rsidRDefault="00BD3552" w:rsidP="001D7630">
            <w:pPr>
              <w:numPr>
                <w:ilvl w:val="0"/>
                <w:numId w:val="10"/>
              </w:numPr>
              <w:ind w:left="316"/>
              <w:jc w:val="both"/>
              <w:rPr>
                <w:i/>
                <w:iCs/>
              </w:rPr>
            </w:pPr>
            <w:r w:rsidRPr="001D7630">
              <w:rPr>
                <w:i/>
                <w:iCs/>
              </w:rPr>
              <w:t>slaukšanu un piena uzglabāšanu saimniecībā;</w:t>
            </w:r>
          </w:p>
          <w:p w14:paraId="26748F7E" w14:textId="77777777" w:rsidR="00BD3552" w:rsidRPr="001D7630" w:rsidRDefault="00BD3552" w:rsidP="001D7630">
            <w:pPr>
              <w:numPr>
                <w:ilvl w:val="0"/>
                <w:numId w:val="10"/>
              </w:numPr>
              <w:ind w:left="316"/>
              <w:jc w:val="both"/>
              <w:rPr>
                <w:i/>
                <w:iCs/>
              </w:rPr>
            </w:pPr>
            <w:r w:rsidRPr="001D7630">
              <w:rPr>
                <w:i/>
                <w:iCs/>
              </w:rPr>
              <w:t>olu ražošanu un savākšanu ražotāja telpās, bet ne darbības, kas saistītas ar olu iesaiņošanu;</w:t>
            </w:r>
          </w:p>
          <w:p w14:paraId="60B190DD" w14:textId="77777777" w:rsidR="00BD3552" w:rsidRPr="001D7630" w:rsidRDefault="00BD3552" w:rsidP="001D7630">
            <w:pPr>
              <w:numPr>
                <w:ilvl w:val="0"/>
                <w:numId w:val="10"/>
              </w:numPr>
              <w:ind w:left="316"/>
              <w:jc w:val="both"/>
              <w:rPr>
                <w:i/>
                <w:iCs/>
              </w:rPr>
            </w:pPr>
            <w:r w:rsidRPr="001D7630">
              <w:rPr>
                <w:i/>
                <w:iCs/>
              </w:rPr>
              <w:t xml:space="preserve">zveju, zvejniecības produktu pārvietošanu (tos būtiski neizmainot) uz kuģa (izņemot saldētavas vai zivju pārstrādes kuģus) un to nogādāšanu pirmajā cietzemes uzņēmumā </w:t>
            </w:r>
            <w:r w:rsidRPr="001D7630">
              <w:rPr>
                <w:i/>
                <w:iCs/>
              </w:rPr>
              <w:lastRenderedPageBreak/>
              <w:t>(ieskaitot izsoles telpās). Tas ietver saldūdens zveju (upēs, ezeros) un saldūdens zivju apstrādi un pārvadāšanu;</w:t>
            </w:r>
          </w:p>
          <w:p w14:paraId="170F620D" w14:textId="77777777" w:rsidR="00BD3552" w:rsidRPr="001D7630" w:rsidRDefault="00BD3552" w:rsidP="001D7630">
            <w:pPr>
              <w:numPr>
                <w:ilvl w:val="0"/>
                <w:numId w:val="10"/>
              </w:numPr>
              <w:ind w:left="316"/>
              <w:jc w:val="both"/>
              <w:rPr>
                <w:i/>
                <w:iCs/>
              </w:rPr>
            </w:pPr>
            <w:r w:rsidRPr="001D7630">
              <w:rPr>
                <w:i/>
                <w:iCs/>
              </w:rPr>
              <w:t>zivju ražošanu un audzēšanu akvakultūras saimniecībās un to nogādi uzņēmumā;</w:t>
            </w:r>
          </w:p>
          <w:p w14:paraId="4431588D" w14:textId="77777777" w:rsidR="00BD3552" w:rsidRPr="001D7630" w:rsidRDefault="00BD3552" w:rsidP="001D7630">
            <w:pPr>
              <w:numPr>
                <w:ilvl w:val="0"/>
                <w:numId w:val="10"/>
              </w:numPr>
              <w:ind w:left="316"/>
              <w:rPr>
                <w:i/>
                <w:iCs/>
              </w:rPr>
            </w:pPr>
            <w:r w:rsidRPr="001D7630">
              <w:rPr>
                <w:i/>
                <w:iCs/>
              </w:rPr>
              <w:t>dzīvu gliemeņu ražošanu un audzēšanu un to nogādi izplatīšanas centrā, attīrīšanas vai apstrādes uzņēmumā;</w:t>
            </w:r>
          </w:p>
          <w:p w14:paraId="341EEC2B" w14:textId="77777777" w:rsidR="00BD3552" w:rsidRPr="001D7630" w:rsidRDefault="00BD3552" w:rsidP="001D7630">
            <w:pPr>
              <w:numPr>
                <w:ilvl w:val="0"/>
                <w:numId w:val="10"/>
              </w:numPr>
              <w:ind w:left="316"/>
              <w:jc w:val="both"/>
              <w:rPr>
                <w:i/>
                <w:iCs/>
              </w:rPr>
            </w:pPr>
            <w:r w:rsidRPr="001D7630">
              <w:rPr>
                <w:i/>
                <w:iCs/>
              </w:rPr>
              <w:t>sēņu, ogu, gliemežu utt., vākšanu savvaļas apstākļos un to nogādi uzņēmumā.</w:t>
            </w:r>
          </w:p>
          <w:p w14:paraId="21570A62" w14:textId="77777777" w:rsidR="00BD3552" w:rsidRPr="001D7630" w:rsidRDefault="00BD3552" w:rsidP="001D7630">
            <w:pPr>
              <w:rPr>
                <w:rFonts w:eastAsia="Calibri"/>
                <w:i/>
                <w:iCs/>
                <w:lang w:eastAsia="en-US"/>
              </w:rPr>
            </w:pPr>
          </w:p>
          <w:p w14:paraId="2336267F" w14:textId="77777777" w:rsidR="00BD3552" w:rsidRPr="001D7630" w:rsidRDefault="00BD3552" w:rsidP="001D7630">
            <w:r w:rsidRPr="001D7630">
              <w:rPr>
                <w:i/>
                <w:iCs/>
              </w:rPr>
              <w:t>ZM savas kompetences ietvaros, izstrādā nozares politiku, lai lauksaimnieki un mežsaimnieki sniegtu ieguldījumu vidrūpē, kā arī, lai mazinātu klimata pārmaiņas un pielāgotos tām. ZM kompetencē ietilpst izveidot atbalsta politiku lauksaimniecības produktu primāras ražošanas un mežsaimniecības nozarēs ar mērķi, lai citām ne-pārtikas tautsaimniecības nozarēm būtu pieejama vietējas izcelsmes biomasa, tālākai pārstrādei produktos ar augstāku pievienoto vērtību.”</w:t>
            </w:r>
            <w:r w:rsidRPr="001D7630">
              <w:t>.</w:t>
            </w:r>
          </w:p>
          <w:p w14:paraId="6F6FA841" w14:textId="77777777" w:rsidR="00BD3552" w:rsidRPr="001D7630" w:rsidRDefault="00BD3552" w:rsidP="001D7630">
            <w:pPr>
              <w:rPr>
                <w:b/>
                <w:bCs/>
                <w:shd w:val="clear" w:color="auto" w:fill="FFFFFF"/>
              </w:rPr>
            </w:pPr>
          </w:p>
          <w:p w14:paraId="2996C8D0" w14:textId="77777777" w:rsidR="00BD3552" w:rsidRPr="001D7630" w:rsidRDefault="00BD3552" w:rsidP="001D7630">
            <w:r w:rsidRPr="001D7630">
              <w:rPr>
                <w:bCs/>
                <w:shd w:val="clear" w:color="auto" w:fill="FFFFFF"/>
              </w:rPr>
              <w:t>2)</w:t>
            </w:r>
            <w:r w:rsidRPr="001D7630">
              <w:rPr>
                <w:b/>
                <w:bCs/>
                <w:shd w:val="clear" w:color="auto" w:fill="FFFFFF"/>
              </w:rPr>
              <w:t xml:space="preserve"> Likumprojekta </w:t>
            </w:r>
            <w:r w:rsidRPr="001D7630">
              <w:rPr>
                <w:b/>
                <w:bCs/>
              </w:rPr>
              <w:t>anotācijas VII. sadaļas 1. punkta trešo rindkopu</w:t>
            </w:r>
            <w:r w:rsidRPr="001D7630">
              <w:t xml:space="preserve"> par plānoto atbildību sadalījumu starp </w:t>
            </w:r>
            <w:r w:rsidRPr="001D7630">
              <w:lastRenderedPageBreak/>
              <w:t xml:space="preserve">ministrijām, </w:t>
            </w:r>
            <w:r w:rsidRPr="001D7630">
              <w:rPr>
                <w:u w:val="single"/>
              </w:rPr>
              <w:t>lūdzam izteikt jaunā redakcijā</w:t>
            </w:r>
            <w:r w:rsidRPr="001D7630">
              <w:t>:</w:t>
            </w:r>
          </w:p>
          <w:p w14:paraId="18A2AF81" w14:textId="77777777" w:rsidR="00BD3552" w:rsidRPr="001D7630" w:rsidRDefault="00BD3552" w:rsidP="001D7630">
            <w:pPr>
              <w:rPr>
                <w:color w:val="000000"/>
              </w:rPr>
            </w:pPr>
            <w:r w:rsidRPr="001D7630">
              <w:rPr>
                <w:color w:val="000000"/>
                <w:u w:val="single"/>
              </w:rPr>
              <w:t>“</w:t>
            </w:r>
            <w:r w:rsidRPr="001D7630">
              <w:rPr>
                <w:i/>
                <w:iCs/>
                <w:color w:val="000000"/>
                <w:u w:val="single"/>
              </w:rPr>
              <w:t xml:space="preserve">EM sadarbībā ar VARAM </w:t>
            </w:r>
            <w:r w:rsidRPr="001D7630">
              <w:rPr>
                <w:i/>
                <w:iCs/>
                <w:color w:val="000000"/>
              </w:rPr>
              <w:t>– normatīvās bāzes pilnveide, t.sk., attiecībā uz MK noteikumu projektu izstrādi, kuriem sniegts deleģējums likumprojektā – likumprojekta 10.panta 9.daļa un 11.panta 11. daļa (ja nepieciešams).”</w:t>
            </w:r>
            <w:r w:rsidRPr="001D7630">
              <w:rPr>
                <w:color w:val="000000"/>
              </w:rPr>
              <w:t>.</w:t>
            </w:r>
          </w:p>
          <w:p w14:paraId="34339678" w14:textId="77777777" w:rsidR="00BD3552" w:rsidRPr="001D7630" w:rsidRDefault="00BD3552" w:rsidP="001D7630">
            <w:pPr>
              <w:rPr>
                <w:b/>
                <w:bCs/>
              </w:rPr>
            </w:pPr>
            <w:r w:rsidRPr="001D7630">
              <w:rPr>
                <w:iCs/>
              </w:rPr>
              <w:t xml:space="preserve">Ņemot vērā EM komentāru izziņā pie </w:t>
            </w:r>
            <w:r w:rsidRPr="001D7630">
              <w:t>Zemkopības ministrija 2021. gada 8. janvāra atzinuma Nr.</w:t>
            </w:r>
            <w:r w:rsidRPr="001D7630">
              <w:rPr>
                <w:noProof/>
              </w:rPr>
              <w:t xml:space="preserve"> 2.2-2e/53/2021</w:t>
            </w:r>
            <w:r w:rsidRPr="001D7630">
              <w:t>, “</w:t>
            </w:r>
            <w:r w:rsidRPr="001D7630">
              <w:rPr>
                <w:i/>
              </w:rPr>
              <w:t>3) Norādām, ka direktīvas 2018/2001 29.-31.panta nosacījumi attiecībā uz biomasas kurināmo netiks iekļauti šajā likumprojektā, bet ir iekļauti likumprojektā “Grozījumi Enerģētikas likumā”</w:t>
            </w:r>
            <w:r w:rsidRPr="001D7630">
              <w:rPr>
                <w:rStyle w:val="FootnoteReference"/>
                <w:i/>
              </w:rPr>
              <w:footnoteReference w:id="8"/>
            </w:r>
            <w:r w:rsidRPr="001D7630">
              <w:rPr>
                <w:i/>
              </w:rPr>
              <w:t>, ņemot vērā, ka biomasas kurināmais neatbilst transporta enerģijas definīcijai, līdz ar to neiekļaujas likumprojekta aptvērumā.</w:t>
            </w:r>
            <w:r w:rsidRPr="001D7630">
              <w:rPr>
                <w:iCs/>
              </w:rPr>
              <w:t>”, ZM nebūtu iekļaujama kā līdzatbildīgā ministrija šī likumprojekta aptvērumā.</w:t>
            </w:r>
          </w:p>
        </w:tc>
        <w:tc>
          <w:tcPr>
            <w:tcW w:w="2976" w:type="dxa"/>
            <w:vMerge/>
            <w:tcBorders>
              <w:left w:val="single" w:sz="6" w:space="0" w:color="000000"/>
              <w:bottom w:val="single" w:sz="6" w:space="0" w:color="000000"/>
              <w:right w:val="single" w:sz="6" w:space="0" w:color="000000"/>
            </w:tcBorders>
            <w:shd w:val="clear" w:color="auto" w:fill="auto"/>
          </w:tcPr>
          <w:p w14:paraId="3A2052AF" w14:textId="77777777" w:rsidR="00BD3552" w:rsidRPr="001D7630" w:rsidRDefault="00BD3552" w:rsidP="001D7630">
            <w:pPr>
              <w:tabs>
                <w:tab w:val="left" w:pos="1833"/>
              </w:tabs>
            </w:pPr>
          </w:p>
        </w:tc>
        <w:tc>
          <w:tcPr>
            <w:tcW w:w="4291" w:type="dxa"/>
            <w:vMerge/>
            <w:tcBorders>
              <w:left w:val="single" w:sz="4" w:space="0" w:color="auto"/>
              <w:bottom w:val="single" w:sz="4" w:space="0" w:color="auto"/>
            </w:tcBorders>
            <w:shd w:val="clear" w:color="auto" w:fill="auto"/>
          </w:tcPr>
          <w:p w14:paraId="0510DC4B" w14:textId="77777777" w:rsidR="00BD3552" w:rsidRPr="001D7630" w:rsidRDefault="00BD3552" w:rsidP="001D7630">
            <w:pPr>
              <w:pStyle w:val="NormalWeb"/>
              <w:spacing w:before="0" w:beforeAutospacing="0" w:after="0" w:afterAutospacing="0"/>
              <w:ind w:right="79"/>
              <w:jc w:val="both"/>
            </w:pPr>
          </w:p>
        </w:tc>
      </w:tr>
      <w:tr w:rsidR="00450BAD" w:rsidRPr="001D7630" w14:paraId="1374D025" w14:textId="77777777" w:rsidTr="005D0902">
        <w:trPr>
          <w:jc w:val="center"/>
        </w:trPr>
        <w:tc>
          <w:tcPr>
            <w:tcW w:w="637" w:type="dxa"/>
            <w:tcBorders>
              <w:top w:val="single" w:sz="4" w:space="0" w:color="auto"/>
              <w:left w:val="single" w:sz="6" w:space="0" w:color="000000"/>
              <w:bottom w:val="single" w:sz="6" w:space="0" w:color="000000"/>
              <w:right w:val="single" w:sz="6" w:space="0" w:color="000000"/>
            </w:tcBorders>
            <w:shd w:val="clear" w:color="auto" w:fill="auto"/>
          </w:tcPr>
          <w:p w14:paraId="117F72BE" w14:textId="77777777" w:rsidR="00450BAD" w:rsidRPr="001D7630" w:rsidRDefault="00450BAD" w:rsidP="001D763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6161ABC7" w14:textId="77777777" w:rsidR="00450BAD" w:rsidRPr="001D7630" w:rsidRDefault="00450BAD" w:rsidP="001D763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7B07D971" w14:textId="77777777" w:rsidR="00450BAD" w:rsidRPr="001D7630" w:rsidRDefault="00450BAD" w:rsidP="001D7630">
            <w:pPr>
              <w:jc w:val="center"/>
              <w:rPr>
                <w:b/>
                <w:bCs/>
              </w:rPr>
            </w:pPr>
            <w:r w:rsidRPr="001D7630">
              <w:rPr>
                <w:b/>
                <w:bCs/>
              </w:rPr>
              <w:t>Latvijas biogāzes asociācija</w:t>
            </w:r>
          </w:p>
          <w:p w14:paraId="772DB052" w14:textId="77777777" w:rsidR="00450BAD" w:rsidRPr="001D7630" w:rsidRDefault="00450BAD" w:rsidP="001D7630">
            <w:pPr>
              <w:jc w:val="center"/>
              <w:rPr>
                <w:b/>
                <w:bCs/>
              </w:rPr>
            </w:pPr>
            <w:r w:rsidRPr="001D7630">
              <w:rPr>
                <w:b/>
                <w:bCs/>
              </w:rPr>
              <w:t>(22.01.2021.)</w:t>
            </w:r>
          </w:p>
          <w:p w14:paraId="2ED225C3" w14:textId="77777777" w:rsidR="00450BAD" w:rsidRPr="001D7630" w:rsidRDefault="00450BAD" w:rsidP="001D7630">
            <w:pPr>
              <w:autoSpaceDE w:val="0"/>
              <w:autoSpaceDN w:val="0"/>
              <w:adjustRightInd w:val="0"/>
              <w:rPr>
                <w:color w:val="000000"/>
              </w:rPr>
            </w:pPr>
            <w:r w:rsidRPr="001D7630">
              <w:rPr>
                <w:b/>
                <w:bCs/>
                <w:color w:val="000000"/>
              </w:rPr>
              <w:t xml:space="preserve">I. </w:t>
            </w:r>
            <w:r w:rsidRPr="001D7630">
              <w:rPr>
                <w:color w:val="000000"/>
              </w:rPr>
              <w:t xml:space="preserve">Transporta enerģijas likuma projekta redakcijā nav skaidri norādīts, kāda ir paredzētā stratēģija biodegvielu attīstībā, kā arī nav skaidra biodegvielu attīstības perspektīva Latvijas likumdošanas kontekstā līdz 2030. gadam. Tāpēc </w:t>
            </w:r>
            <w:r w:rsidRPr="001D7630">
              <w:rPr>
                <w:color w:val="000000"/>
              </w:rPr>
              <w:lastRenderedPageBreak/>
              <w:t xml:space="preserve">vēlamies sniegt savu redzējumu biodegvielu attīstības perspektīvā: </w:t>
            </w:r>
          </w:p>
          <w:p w14:paraId="4EFF79F0" w14:textId="77777777" w:rsidR="00450BAD" w:rsidRPr="001D7630" w:rsidRDefault="00450BAD" w:rsidP="001D7630">
            <w:pPr>
              <w:autoSpaceDE w:val="0"/>
              <w:autoSpaceDN w:val="0"/>
              <w:adjustRightInd w:val="0"/>
              <w:rPr>
                <w:color w:val="000000"/>
              </w:rPr>
            </w:pPr>
            <w:r w:rsidRPr="001D7630">
              <w:rPr>
                <w:color w:val="000000"/>
              </w:rPr>
              <w:t xml:space="preserve">1. Atjaunojamo enerģiju Direktīva II nosaka, ka uzliekot pienākumu degvielu piegādātājiem nodrošināt noteiktu biodegvielu īpatsvaru, jāņem vērā dažādu tehnoloģiju atšķirīgās gatavības pakāpes un izmaksas. </w:t>
            </w:r>
          </w:p>
          <w:p w14:paraId="39F5CCB2" w14:textId="77777777" w:rsidR="00450BAD" w:rsidRPr="001D7630" w:rsidRDefault="00450BAD" w:rsidP="001D7630">
            <w:pPr>
              <w:autoSpaceDE w:val="0"/>
              <w:autoSpaceDN w:val="0"/>
              <w:adjustRightInd w:val="0"/>
              <w:rPr>
                <w:color w:val="000000"/>
              </w:rPr>
            </w:pPr>
            <w:r w:rsidRPr="001D7630">
              <w:rPr>
                <w:color w:val="000000"/>
              </w:rPr>
              <w:t xml:space="preserve">2. Latvijas Biogāzes asociācija, veicot ekonomisko pētījumu par dažādu biodegvielu izmaksām, ir secinājusi, ka pirmās paaudzes bioetanola un biodīzeļdegvielas izmaksas ir pielīdzināmas modernā biometāna izmaksām. </w:t>
            </w:r>
          </w:p>
          <w:p w14:paraId="25BAA0B5" w14:textId="77777777" w:rsidR="00450BAD" w:rsidRPr="001D7630" w:rsidRDefault="00450BAD" w:rsidP="001D7630">
            <w:pPr>
              <w:autoSpaceDE w:val="0"/>
              <w:autoSpaceDN w:val="0"/>
              <w:adjustRightInd w:val="0"/>
              <w:rPr>
                <w:color w:val="000000"/>
              </w:rPr>
            </w:pPr>
            <w:r w:rsidRPr="001D7630">
              <w:rPr>
                <w:color w:val="000000"/>
              </w:rPr>
              <w:t xml:space="preserve">3. SEG emisiju ietaupījums biometāna gadījumā ir iespējams līdz pat 150% lielāks uz vienu aizvietoto fosilās dīzeļdegvielas enerģijas vienību, salīdzinot ar citām biodegvielām. </w:t>
            </w:r>
          </w:p>
          <w:p w14:paraId="03B403A5" w14:textId="77777777" w:rsidR="00450BAD" w:rsidRPr="001D7630" w:rsidRDefault="00450BAD" w:rsidP="001D7630">
            <w:pPr>
              <w:autoSpaceDE w:val="0"/>
              <w:autoSpaceDN w:val="0"/>
              <w:adjustRightInd w:val="0"/>
              <w:rPr>
                <w:color w:val="000000"/>
              </w:rPr>
            </w:pPr>
            <w:r w:rsidRPr="001D7630">
              <w:rPr>
                <w:color w:val="000000"/>
              </w:rPr>
              <w:t xml:space="preserve">4. Pašreiz tirgū pieejamās šķidrās biodegvielas nāk pārsvarā no ārpus Eiropas Savienības, savukārt, potenciālā modernā biometāna piegādātāja izcelsmes valsts ir Latvija. </w:t>
            </w:r>
          </w:p>
          <w:p w14:paraId="2BFC73C9" w14:textId="77777777" w:rsidR="00450BAD" w:rsidRPr="001D7630" w:rsidRDefault="00450BAD" w:rsidP="001D7630">
            <w:pPr>
              <w:autoSpaceDE w:val="0"/>
              <w:autoSpaceDN w:val="0"/>
              <w:adjustRightInd w:val="0"/>
              <w:rPr>
                <w:color w:val="000000"/>
              </w:rPr>
            </w:pPr>
            <w:r w:rsidRPr="001D7630">
              <w:rPr>
                <w:color w:val="000000"/>
              </w:rPr>
              <w:t xml:space="preserve">5. Ir jāņem vērā arī tas, ka modernā biometāna ražošanas attīstīšana Latvijā, ļaujot degvielu piegādātājiem izvērtēt biometāna izmantošanu biodegvielu mērķu sasniegšanā, ļauj ne tikai būtiski vairāk ietaupīt SEG emisijas, iegādāties biodegvielu no vietējiem ražotājiem, bet arī veicināt atkritumu sektora un </w:t>
            </w:r>
            <w:r w:rsidRPr="001D7630">
              <w:rPr>
                <w:color w:val="000000"/>
              </w:rPr>
              <w:lastRenderedPageBreak/>
              <w:t xml:space="preserve">reģionālo attīstību, radot jaunas darba vietas. </w:t>
            </w:r>
          </w:p>
          <w:p w14:paraId="0EF2AB42" w14:textId="77777777" w:rsidR="00450BAD" w:rsidRPr="001D7630" w:rsidRDefault="00450BAD" w:rsidP="001D7630">
            <w:pPr>
              <w:autoSpaceDE w:val="0"/>
              <w:autoSpaceDN w:val="0"/>
              <w:adjustRightInd w:val="0"/>
              <w:rPr>
                <w:color w:val="000000"/>
              </w:rPr>
            </w:pPr>
            <w:r w:rsidRPr="001D7630">
              <w:rPr>
                <w:color w:val="000000"/>
              </w:rPr>
              <w:t xml:space="preserve">6. Vēlamies uzsvērt, ka attīstot Latvijā CNG uzpildes infrastruktūru un palielinot CNG izmantošanu transporta sektorā, ir būtiski vismaz daļēji aizvietot fosilo dabasgāzi ar biometānu, ļaujot daudz aktīvāk virzīties moderno biodegvielu mērķu sasniegšanas virzienā un panākt daudz straujāku SEG emisiju samazinājumu, ko nav iespējams izdarīt ar citām biodegvielām. </w:t>
            </w:r>
          </w:p>
          <w:p w14:paraId="0EA0B029" w14:textId="77777777" w:rsidR="00450BAD" w:rsidRPr="001D7630" w:rsidRDefault="00450BAD" w:rsidP="001D7630">
            <w:pPr>
              <w:autoSpaceDE w:val="0"/>
              <w:autoSpaceDN w:val="0"/>
              <w:adjustRightInd w:val="0"/>
              <w:rPr>
                <w:color w:val="000000"/>
              </w:rPr>
            </w:pPr>
            <w:r w:rsidRPr="001D7630">
              <w:rPr>
                <w:color w:val="000000"/>
              </w:rPr>
              <w:t xml:space="preserve">7. Jāņem vērā, ka biometāna ilgtspējas apliecināšana un statistikas veikšana notiek tāpat kā ar šķidrajām biodegvielām līdz šim - izmantojot sertificēšanas iestādes izdoto PoS (Proof of Sustainability), kā tas pašlaik ir iespējams citās valstīs. </w:t>
            </w:r>
          </w:p>
          <w:p w14:paraId="4592DCAD" w14:textId="77777777" w:rsidR="00450BAD" w:rsidRPr="001D7630" w:rsidRDefault="00450BAD" w:rsidP="001D7630">
            <w:pPr>
              <w:autoSpaceDE w:val="0"/>
              <w:autoSpaceDN w:val="0"/>
              <w:adjustRightInd w:val="0"/>
              <w:rPr>
                <w:b/>
                <w:bCs/>
              </w:rPr>
            </w:pPr>
            <w:r w:rsidRPr="001D7630">
              <w:rPr>
                <w:b/>
                <w:bCs/>
                <w:color w:val="000000"/>
              </w:rPr>
              <w:t xml:space="preserve">Lūdzam precizēt Transporta enerģijas likumprojektu </w:t>
            </w:r>
            <w:r w:rsidRPr="001D7630">
              <w:rPr>
                <w:color w:val="000000"/>
              </w:rPr>
              <w:t xml:space="preserve">un jau no 2022. gada 1. janvāra paredzēt iespēju degvielu tirgotājiem kopējo biodegvielas mērķi un SEG emisiju ietaupījumu </w:t>
            </w:r>
            <w:r w:rsidRPr="001D7630">
              <w:rPr>
                <w:b/>
                <w:bCs/>
                <w:color w:val="000000"/>
              </w:rPr>
              <w:t xml:space="preserve">pilnā apjomā </w:t>
            </w:r>
            <w:r w:rsidRPr="001D7630">
              <w:rPr>
                <w:color w:val="000000"/>
              </w:rPr>
              <w:t xml:space="preserve">nodrošināt ar moderno, vietējās izcelsmes biogāzi (biometānu), </w:t>
            </w:r>
            <w:r w:rsidRPr="001D7630">
              <w:rPr>
                <w:b/>
                <w:bCs/>
                <w:color w:val="000000"/>
              </w:rPr>
              <w:t>kas ražota no likuma 1. pielikumā minētajām izejvielām</w:t>
            </w:r>
            <w:r w:rsidRPr="001D7630">
              <w:rPr>
                <w:color w:val="000000"/>
              </w:rPr>
              <w:t>.</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2E28B323" w14:textId="77777777" w:rsidR="00450BAD" w:rsidRPr="001D7630" w:rsidRDefault="00BE4653" w:rsidP="001D7630">
            <w:pPr>
              <w:jc w:val="center"/>
              <w:rPr>
                <w:b/>
              </w:rPr>
            </w:pPr>
            <w:r w:rsidRPr="001D7630">
              <w:rPr>
                <w:b/>
              </w:rPr>
              <w:lastRenderedPageBreak/>
              <w:t>Ņemts vērā</w:t>
            </w:r>
          </w:p>
          <w:p w14:paraId="6A6D1AD5" w14:textId="77777777" w:rsidR="00E31FF9" w:rsidRPr="001D7630" w:rsidRDefault="00E31FF9" w:rsidP="001D7630">
            <w:pPr>
              <w:rPr>
                <w:bCs/>
              </w:rPr>
            </w:pPr>
          </w:p>
          <w:p w14:paraId="76AB4467" w14:textId="77777777" w:rsidR="0036347F" w:rsidRPr="001D7630" w:rsidRDefault="0036347F" w:rsidP="001D7630">
            <w:pPr>
              <w:rPr>
                <w:bCs/>
              </w:rPr>
            </w:pPr>
            <w:r w:rsidRPr="001D7630">
              <w:rPr>
                <w:bCs/>
              </w:rPr>
              <w:t xml:space="preserve">Skaidrojam, ka jau šobrīd likumprojektā sākot no 2024.gada līdzdalības mehānisma ietvaros degvielas piegādātājiem pašiem ir jāplāno ar kādiem pasākumiem un ar kādiem </w:t>
            </w:r>
            <w:r w:rsidRPr="001D7630">
              <w:rPr>
                <w:bCs/>
              </w:rPr>
              <w:lastRenderedPageBreak/>
              <w:t>transporta enerģijas veidiem tie nodrošinās tiem noteiktos mērķus.</w:t>
            </w:r>
          </w:p>
          <w:p w14:paraId="236C1A42" w14:textId="77777777" w:rsidR="0036347F" w:rsidRPr="001D7630" w:rsidRDefault="0036347F" w:rsidP="001D7630">
            <w:pPr>
              <w:rPr>
                <w:bCs/>
              </w:rPr>
            </w:pPr>
            <w:r w:rsidRPr="001D7630">
              <w:rPr>
                <w:bCs/>
              </w:rPr>
              <w:t>Līdz tam laikam tiek saglabāta obligātā biodegvielas piejaukuma prasība gan lai ievērotu tiesiskās paļāvības nosacījumus gan, lai nodrošinātu Latvijas atjaunojamās transporta enerģijas īpatsvara tuvināšanos noteiktajam 2020.gada mērķim, lai tādējādi demonstrētu, ka 2020.gada mērķu sasniegšana vai tuvināšanās šai sasniegšanai turpinās</w:t>
            </w:r>
            <w:r w:rsidR="00DE095E" w:rsidRPr="001D7630">
              <w:rPr>
                <w:bCs/>
              </w:rPr>
              <w:t>.</w:t>
            </w:r>
          </w:p>
          <w:p w14:paraId="05380CC1" w14:textId="77777777" w:rsidR="00DE095E" w:rsidRPr="001D7630" w:rsidRDefault="00DE095E" w:rsidP="001D7630">
            <w:pPr>
              <w:rPr>
                <w:b/>
              </w:rPr>
            </w:pPr>
            <w:r w:rsidRPr="001D7630">
              <w:rPr>
                <w:bCs/>
              </w:rPr>
              <w:t>Tāpat norādām, ka nav prognozēta būtiska biometāna ražošanas un izmantošanas attīstība 2021.gadā, līdz ar to noteikt prasību, ka degvielas piegādātājiem noteiktie mērķi tiek sasniegti ar biometānu nav pamatoti</w:t>
            </w:r>
            <w:r w:rsidR="000E0DA6" w:rsidRPr="001D7630">
              <w:rPr>
                <w:bCs/>
              </w:rPr>
              <w:t xml:space="preserve">, vienlaikus likumprojekts nekādā veidā nebremzē degvielas piegādātājiem jau pirms 2023.gada beigām savā atjaunojamās enerģijas portfelī iekļaut biometānu, </w:t>
            </w:r>
            <w:r w:rsidR="000E0DA6" w:rsidRPr="001D7630">
              <w:rPr>
                <w:bCs/>
              </w:rPr>
              <w:lastRenderedPageBreak/>
              <w:t>īpaši ņemot vērā to, ka moderno biodegvielu vai biogāzes mērķis attiecas jau uz 2022.gadu.</w:t>
            </w:r>
          </w:p>
        </w:tc>
        <w:tc>
          <w:tcPr>
            <w:tcW w:w="4291" w:type="dxa"/>
            <w:tcBorders>
              <w:top w:val="single" w:sz="4" w:space="0" w:color="auto"/>
              <w:left w:val="single" w:sz="4" w:space="0" w:color="auto"/>
              <w:bottom w:val="single" w:sz="4" w:space="0" w:color="auto"/>
            </w:tcBorders>
            <w:shd w:val="clear" w:color="auto" w:fill="auto"/>
          </w:tcPr>
          <w:p w14:paraId="524DF31F" w14:textId="77777777" w:rsidR="00450BAD" w:rsidRPr="001D7630" w:rsidRDefault="00450BAD" w:rsidP="001D7630">
            <w:pPr>
              <w:pStyle w:val="NormalWeb"/>
              <w:spacing w:before="0" w:beforeAutospacing="0" w:after="0" w:afterAutospacing="0"/>
              <w:ind w:right="79"/>
              <w:jc w:val="both"/>
            </w:pPr>
          </w:p>
        </w:tc>
      </w:tr>
      <w:tr w:rsidR="00D822CC" w:rsidRPr="001D7630" w14:paraId="4039F9C3"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0361D3CB" w14:textId="77777777" w:rsidR="00D822CC" w:rsidRPr="001D7630" w:rsidRDefault="00D822CC" w:rsidP="001D763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5B06B6A3" w14:textId="77777777" w:rsidR="00D822CC" w:rsidRPr="001D7630" w:rsidRDefault="00D822CC" w:rsidP="001D763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2B996548" w14:textId="77777777" w:rsidR="00D822CC" w:rsidRPr="001D7630" w:rsidRDefault="00D822CC" w:rsidP="001D7630">
            <w:pPr>
              <w:jc w:val="center"/>
              <w:rPr>
                <w:b/>
                <w:bCs/>
              </w:rPr>
            </w:pPr>
            <w:r w:rsidRPr="001D7630">
              <w:rPr>
                <w:b/>
                <w:bCs/>
              </w:rPr>
              <w:t>SIA “Latvijas propāna gāze”</w:t>
            </w:r>
          </w:p>
          <w:p w14:paraId="36CF3B5F" w14:textId="77777777" w:rsidR="00D822CC" w:rsidRPr="001D7630" w:rsidRDefault="00D822CC" w:rsidP="001D7630">
            <w:pPr>
              <w:jc w:val="center"/>
              <w:rPr>
                <w:b/>
                <w:bCs/>
              </w:rPr>
            </w:pPr>
            <w:r w:rsidRPr="001D7630">
              <w:rPr>
                <w:b/>
                <w:bCs/>
              </w:rPr>
              <w:t>(26.01.2021.)</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4725788A" w14:textId="77777777" w:rsidR="00D822CC" w:rsidRPr="001D7630" w:rsidRDefault="00D822CC" w:rsidP="001D7630">
            <w:pPr>
              <w:jc w:val="center"/>
              <w:rPr>
                <w:b/>
              </w:rPr>
            </w:pPr>
            <w:r w:rsidRPr="001D7630">
              <w:rPr>
                <w:b/>
              </w:rPr>
              <w:t>Ņemts vērā</w:t>
            </w:r>
          </w:p>
          <w:p w14:paraId="038E157C" w14:textId="77777777" w:rsidR="00D822CC" w:rsidRPr="001D7630" w:rsidRDefault="00D822CC" w:rsidP="001D7630">
            <w:pPr>
              <w:rPr>
                <w:bCs/>
              </w:rPr>
            </w:pPr>
            <w:r w:rsidRPr="001D7630">
              <w:rPr>
                <w:bCs/>
              </w:rPr>
              <w:t>Atbildot uz vēstulē uzdotajiem jautājumiem:</w:t>
            </w:r>
          </w:p>
          <w:p w14:paraId="7CDAF73B" w14:textId="77777777" w:rsidR="00D822CC" w:rsidRPr="001D7630" w:rsidRDefault="00D822CC" w:rsidP="001D7630">
            <w:pPr>
              <w:rPr>
                <w:bCs/>
              </w:rPr>
            </w:pPr>
            <w:r w:rsidRPr="001D7630">
              <w:rPr>
                <w:bCs/>
              </w:rPr>
              <w:t xml:space="preserve">1) </w:t>
            </w:r>
            <w:r w:rsidR="009F6E6D" w:rsidRPr="001D7630">
              <w:rPr>
                <w:bCs/>
              </w:rPr>
              <w:t xml:space="preserve">informējam, ka šobrīd EM neplāno šādas atbalsta </w:t>
            </w:r>
            <w:r w:rsidR="009F6E6D" w:rsidRPr="001D7630">
              <w:rPr>
                <w:bCs/>
              </w:rPr>
              <w:lastRenderedPageBreak/>
              <w:t>programmas. Likumprojektā ir iekļauts pienākums SM nodrošināt CNG infrastruktūras attīstību</w:t>
            </w:r>
            <w:r w:rsidR="000E0DA6" w:rsidRPr="001D7630">
              <w:rPr>
                <w:bCs/>
              </w:rPr>
              <w:t>.</w:t>
            </w:r>
          </w:p>
          <w:p w14:paraId="774B93AF" w14:textId="77777777" w:rsidR="009F6E6D" w:rsidRPr="001D7630" w:rsidRDefault="009F6E6D" w:rsidP="001D7630">
            <w:pPr>
              <w:rPr>
                <w:bCs/>
              </w:rPr>
            </w:pPr>
            <w:r w:rsidRPr="001D7630">
              <w:rPr>
                <w:bCs/>
              </w:rPr>
              <w:t>2) transporta enerģijas aprites cikla SEG emisiju intensitātes samazināšanas noteikšanā tiek ņemti vērā visi degvielas piegādātāja galapatēriņam transportā realizētie transporta enerģijas veidi, t.sk., LPG, LNG, CNG;</w:t>
            </w:r>
          </w:p>
          <w:p w14:paraId="296D8727" w14:textId="77777777" w:rsidR="009F6E6D" w:rsidRPr="001D7630" w:rsidRDefault="009F6E6D" w:rsidP="001D7630">
            <w:pPr>
              <w:rPr>
                <w:bCs/>
              </w:rPr>
            </w:pPr>
            <w:r w:rsidRPr="001D7630">
              <w:rPr>
                <w:bCs/>
              </w:rPr>
              <w:t>3) likumā “Par piesārņojumu” un arī likumprojektā ir definēts “degvielas piegādātājs” termins – komersants, kas maksā akcīzes nodokli par degvielu. Tātad, ja akcīzes nodoklis ir noteikts konkrētam naftas produktam, kuru izmanto par degvielu, tātad šīs akcīzes nodokļa maksātājs ir klasificējams kā “degvielas piegādātājs”.</w:t>
            </w:r>
            <w:r w:rsidR="00321100" w:rsidRPr="001D7630">
              <w:rPr>
                <w:bCs/>
              </w:rPr>
              <w:t xml:space="preserve"> Vienlaikus likumprojektā ir nosacījums, ka degvielas piegādātājs ir tas, kas degvielu realizē galapatēriņam transportā, tas nozīmē, ka, ja kāds degvielas piegādātājs realizē degvielu </w:t>
            </w:r>
            <w:r w:rsidR="00321100" w:rsidRPr="001D7630">
              <w:rPr>
                <w:bCs/>
              </w:rPr>
              <w:lastRenderedPageBreak/>
              <w:t xml:space="preserve">citam degvielas piegādātājam, kurš pēc tam to realizē galapatēriņam transportā, tad pirmais degvielas piegādātājs neatbilst likumprojektā noteiktajai definīcijai. </w:t>
            </w:r>
          </w:p>
          <w:p w14:paraId="69E6B044" w14:textId="77777777" w:rsidR="009F6E6D" w:rsidRPr="001D7630" w:rsidRDefault="009F6E6D" w:rsidP="001D7630">
            <w:pPr>
              <w:rPr>
                <w:bCs/>
              </w:rPr>
            </w:pPr>
            <w:r w:rsidRPr="001D7630">
              <w:rPr>
                <w:bCs/>
              </w:rPr>
              <w:t>Vienlaikus likumprojekta ir definēts, kas ir degviela – kas ir arī šķidra vai gāzveida viela, ko var izmantot par transporta enerģiju.</w:t>
            </w:r>
          </w:p>
          <w:p w14:paraId="52051D62" w14:textId="77777777" w:rsidR="009F6E6D" w:rsidRPr="001D7630" w:rsidRDefault="009F6E6D" w:rsidP="001D7630">
            <w:pPr>
              <w:rPr>
                <w:bCs/>
              </w:rPr>
            </w:pPr>
            <w:r w:rsidRPr="001D7630">
              <w:rPr>
                <w:bCs/>
              </w:rPr>
              <w:t>4) EM ir jāievēro Latvijas oficiālās pozīcijas klimata ambīciju kāpināšanā un arī ES tiesību akti minētajā jomā.</w:t>
            </w:r>
          </w:p>
          <w:p w14:paraId="29451C08" w14:textId="77777777" w:rsidR="009F6E6D" w:rsidRPr="001D7630" w:rsidRDefault="009F6E6D" w:rsidP="001D7630">
            <w:pPr>
              <w:rPr>
                <w:bCs/>
              </w:rPr>
            </w:pPr>
            <w:r w:rsidRPr="001D7630">
              <w:rPr>
                <w:bCs/>
              </w:rPr>
              <w:t xml:space="preserve">5) nav saprotams, par kādu kvotu ir norādīts vēstulē. Ja ir domāts </w:t>
            </w:r>
            <w:r w:rsidR="0064429C" w:rsidRPr="001D7630">
              <w:rPr>
                <w:bCs/>
              </w:rPr>
              <w:t>transporta enerģijas aprites cikla SEG emisiju intensitātes mērķa pārsniegums (piemēram, nodrošinātais samazinājums ir 8%, bet mērķis ir 6%), tad likumprojektā ir paredzēta minētā pārsnieguma pārdošanas iespēja citam degvielas piegādātājam.</w:t>
            </w:r>
          </w:p>
          <w:p w14:paraId="5B513A2B" w14:textId="77777777" w:rsidR="0064429C" w:rsidRPr="001D7630" w:rsidRDefault="00321100" w:rsidP="001D7630">
            <w:pPr>
              <w:rPr>
                <w:b/>
              </w:rPr>
            </w:pPr>
            <w:r w:rsidRPr="001D7630">
              <w:rPr>
                <w:bCs/>
              </w:rPr>
              <w:t xml:space="preserve">Ir arī </w:t>
            </w:r>
            <w:r w:rsidR="0064429C" w:rsidRPr="001D7630">
              <w:rPr>
                <w:bCs/>
              </w:rPr>
              <w:t xml:space="preserve">iespēja, izveidojot degvielas piegādātāju grupu ar savu mērķa pārsniegumu “palīdzēt” citam degvielas </w:t>
            </w:r>
            <w:r w:rsidR="0064429C" w:rsidRPr="001D7630">
              <w:rPr>
                <w:bCs/>
              </w:rPr>
              <w:lastRenderedPageBreak/>
              <w:t>piegādātājam un kopīgi sasniegt noteikto 6% samazinājumu.</w:t>
            </w:r>
          </w:p>
        </w:tc>
        <w:tc>
          <w:tcPr>
            <w:tcW w:w="4291" w:type="dxa"/>
            <w:tcBorders>
              <w:top w:val="single" w:sz="4" w:space="0" w:color="auto"/>
              <w:left w:val="single" w:sz="4" w:space="0" w:color="auto"/>
              <w:bottom w:val="single" w:sz="4" w:space="0" w:color="auto"/>
            </w:tcBorders>
            <w:shd w:val="clear" w:color="auto" w:fill="auto"/>
          </w:tcPr>
          <w:p w14:paraId="5631669A" w14:textId="77777777" w:rsidR="00D822CC" w:rsidRPr="001D7630" w:rsidRDefault="00D822CC" w:rsidP="001D7630">
            <w:pPr>
              <w:pStyle w:val="NormalWeb"/>
              <w:spacing w:before="0" w:beforeAutospacing="0" w:after="0" w:afterAutospacing="0"/>
              <w:ind w:right="79"/>
              <w:jc w:val="both"/>
            </w:pPr>
          </w:p>
        </w:tc>
      </w:tr>
      <w:tr w:rsidR="003A40FF" w:rsidRPr="001D7630" w14:paraId="5F74ED92"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0B2F8330" w14:textId="77777777" w:rsidR="003A40FF" w:rsidRPr="001D7630" w:rsidRDefault="003A40FF" w:rsidP="001D763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38C877A5" w14:textId="77777777" w:rsidR="003A40FF" w:rsidRPr="001D7630" w:rsidRDefault="003A40FF" w:rsidP="001D763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7DA2B90C" w14:textId="77777777" w:rsidR="003A40FF" w:rsidRPr="001D7630" w:rsidRDefault="003A40FF" w:rsidP="001D7630">
            <w:pPr>
              <w:jc w:val="center"/>
              <w:rPr>
                <w:b/>
                <w:bCs/>
              </w:rPr>
            </w:pPr>
            <w:r w:rsidRPr="001D7630">
              <w:rPr>
                <w:b/>
                <w:bCs/>
              </w:rPr>
              <w:t>Latvijas Lielo pilsētu asociācija</w:t>
            </w:r>
          </w:p>
          <w:p w14:paraId="66A205D5" w14:textId="77777777" w:rsidR="003A40FF" w:rsidRPr="001D7630" w:rsidRDefault="003A40FF" w:rsidP="001D7630">
            <w:pPr>
              <w:jc w:val="center"/>
              <w:rPr>
                <w:b/>
                <w:bCs/>
              </w:rPr>
            </w:pPr>
            <w:r w:rsidRPr="001D7630">
              <w:rPr>
                <w:b/>
                <w:bCs/>
              </w:rPr>
              <w:t>(26.03.2021.)</w:t>
            </w:r>
          </w:p>
          <w:p w14:paraId="70C69B9C" w14:textId="77777777" w:rsidR="003A40FF" w:rsidRPr="001D7630" w:rsidRDefault="003A40FF" w:rsidP="001D7630">
            <w:pPr>
              <w:jc w:val="both"/>
              <w:rPr>
                <w:bCs/>
              </w:rPr>
            </w:pPr>
            <w:r w:rsidRPr="001D7630">
              <w:rPr>
                <w:bCs/>
              </w:rPr>
              <w:t xml:space="preserve">Par ūdeņraža ražošanas procesu – likumprojektā </w:t>
            </w:r>
            <w:r w:rsidRPr="001D7630">
              <w:t>tiek minēti ražošanas procesi biogāzes iegūšanai, bet netiek aprakstīti procesi, kas saistīti ar ūdeņraža ražošanu. Piemēram, ar elektrību vai ar dabasgāzi un elektrību.</w:t>
            </w:r>
          </w:p>
          <w:p w14:paraId="0E4CAAB5" w14:textId="77777777" w:rsidR="003A40FF" w:rsidRPr="001D7630" w:rsidRDefault="003A40FF" w:rsidP="001D7630">
            <w:pPr>
              <w:rPr>
                <w:b/>
                <w:bCs/>
              </w:rPr>
            </w:pPr>
            <w:r w:rsidRPr="001D7630">
              <w:rPr>
                <w:iCs/>
              </w:rPr>
              <w:t>Lūgums veikt nepieciešamos papildinājumus.</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2E3D9F1F" w14:textId="77777777" w:rsidR="003A40FF" w:rsidRPr="001D7630" w:rsidRDefault="0051573E" w:rsidP="001D7630">
            <w:pPr>
              <w:jc w:val="center"/>
              <w:rPr>
                <w:b/>
              </w:rPr>
            </w:pPr>
            <w:r w:rsidRPr="001D7630">
              <w:rPr>
                <w:b/>
              </w:rPr>
              <w:t>Ņemts vērā</w:t>
            </w:r>
          </w:p>
          <w:p w14:paraId="0D0E390A" w14:textId="77777777" w:rsidR="003A40FF" w:rsidRPr="001D7630" w:rsidRDefault="003A40FF" w:rsidP="001D7630">
            <w:pPr>
              <w:rPr>
                <w:bCs/>
              </w:rPr>
            </w:pPr>
            <w:r w:rsidRPr="001D7630">
              <w:rPr>
                <w:bCs/>
              </w:rPr>
              <w:t>Skaidrojam, ka ūdeņradis ietilpst “no atjaunojamiem energoresursiem ražota nebioloģiskas izcelsmes šķidrā vai gāzveida degviela” definīcijā, kura parāda ūdeņraža ražošanas procesu, ja minētais ūdeņradis ir no atjaunojamiem resursiem ražots ūdeņradis.</w:t>
            </w:r>
          </w:p>
          <w:p w14:paraId="75AEE0C3" w14:textId="77777777" w:rsidR="003A40FF" w:rsidRPr="001D7630" w:rsidRDefault="003A40FF" w:rsidP="001D7630">
            <w:pPr>
              <w:rPr>
                <w:bCs/>
              </w:rPr>
            </w:pPr>
            <w:r w:rsidRPr="001D7630">
              <w:rPr>
                <w:bCs/>
              </w:rPr>
              <w:t xml:space="preserve">Likumprojektā ūdeņraža ražošanas process netiks aprakstīts, jo </w:t>
            </w:r>
            <w:r w:rsidR="002F351E" w:rsidRPr="001D7630">
              <w:rPr>
                <w:bCs/>
              </w:rPr>
              <w:t>tas nav likumprojekta ietvars.</w:t>
            </w:r>
          </w:p>
        </w:tc>
        <w:tc>
          <w:tcPr>
            <w:tcW w:w="4291" w:type="dxa"/>
            <w:tcBorders>
              <w:top w:val="single" w:sz="4" w:space="0" w:color="auto"/>
              <w:left w:val="single" w:sz="4" w:space="0" w:color="auto"/>
              <w:bottom w:val="single" w:sz="4" w:space="0" w:color="auto"/>
            </w:tcBorders>
            <w:shd w:val="clear" w:color="auto" w:fill="auto"/>
          </w:tcPr>
          <w:p w14:paraId="50F19884" w14:textId="77777777" w:rsidR="003A40FF" w:rsidRPr="001D7630" w:rsidRDefault="007E1B7F" w:rsidP="001D7630">
            <w:pPr>
              <w:pStyle w:val="NormalWeb"/>
              <w:spacing w:before="0" w:beforeAutospacing="0" w:after="0" w:afterAutospacing="0"/>
              <w:ind w:right="79"/>
              <w:jc w:val="both"/>
            </w:pPr>
            <w:r w:rsidRPr="001D7630">
              <w:t>Likumprojekta anotācijas I sadaļas 2.punkts ir papildināts</w:t>
            </w:r>
          </w:p>
        </w:tc>
      </w:tr>
      <w:tr w:rsidR="00520610" w:rsidRPr="001D7630" w14:paraId="449E9520"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1089FD42" w14:textId="77777777" w:rsidR="00520610" w:rsidRPr="001D7630" w:rsidRDefault="00520610" w:rsidP="001D763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8C5888C" w14:textId="77777777" w:rsidR="00520610" w:rsidRPr="001D7630" w:rsidRDefault="00520610" w:rsidP="001D763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1D304DC9" w14:textId="77777777" w:rsidR="00520610" w:rsidRPr="001D7630" w:rsidRDefault="00520610" w:rsidP="001D7630">
            <w:pPr>
              <w:jc w:val="center"/>
              <w:rPr>
                <w:b/>
                <w:bCs/>
              </w:rPr>
            </w:pPr>
            <w:r w:rsidRPr="001D7630">
              <w:rPr>
                <w:b/>
                <w:bCs/>
              </w:rPr>
              <w:t>Būvniecības valsts kontroles birojs</w:t>
            </w:r>
          </w:p>
          <w:p w14:paraId="34B6251C" w14:textId="77777777" w:rsidR="00520610" w:rsidRPr="001D7630" w:rsidRDefault="00520610" w:rsidP="001D7630">
            <w:pPr>
              <w:jc w:val="center"/>
              <w:rPr>
                <w:b/>
                <w:bCs/>
              </w:rPr>
            </w:pPr>
            <w:r w:rsidRPr="001D7630">
              <w:rPr>
                <w:b/>
                <w:bCs/>
              </w:rPr>
              <w:t>(16.06.2021.)</w:t>
            </w:r>
          </w:p>
          <w:p w14:paraId="6D1425D8" w14:textId="49EED7D7" w:rsidR="00520610" w:rsidRPr="001D7630" w:rsidRDefault="00520610" w:rsidP="001D7630">
            <w:pPr>
              <w:jc w:val="both"/>
            </w:pPr>
            <w:r w:rsidRPr="001D7630">
              <w:t xml:space="preserve">[9] Vienlaikus Birojs vērš Ministrijas uzmanību, ka, lai nodrošinātu nepārprotamu normatīvā regulējuma piemērošanu, Birojs aicina Likumprojektā konsekventi </w:t>
            </w:r>
            <w:r w:rsidRPr="001D7630">
              <w:rPr>
                <w:u w:val="single"/>
              </w:rPr>
              <w:t>lietot terminu “transporta enerģijas tirgus”, nevis</w:t>
            </w:r>
            <w:r w:rsidRPr="001D7630">
              <w:t xml:space="preserve"> vienlaicīgi terminus “transporta enerģijas tirgus” un </w:t>
            </w:r>
            <w:r w:rsidRPr="001D7630">
              <w:rPr>
                <w:u w:val="single"/>
              </w:rPr>
              <w:t>“degvielas tirgus”</w:t>
            </w:r>
            <w:r w:rsidRPr="001D7630">
              <w:t>. Birojs norāda, ka abu terminu vienlaicīga lietošana par vienu un to pašu rada normatīvā regulējuma nepareizu interpretāciju.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00FBB026" w14:textId="77777777" w:rsidR="00520610" w:rsidRPr="001D7630" w:rsidRDefault="00C25B0F" w:rsidP="001D7630">
            <w:pPr>
              <w:jc w:val="center"/>
              <w:rPr>
                <w:b/>
              </w:rPr>
            </w:pPr>
            <w:r w:rsidRPr="001D7630">
              <w:rPr>
                <w:b/>
              </w:rPr>
              <w:t>Ņemts vērā</w:t>
            </w:r>
          </w:p>
          <w:p w14:paraId="49F42866" w14:textId="77777777" w:rsidR="00D13A0B" w:rsidRPr="001D7630" w:rsidRDefault="00D13A0B" w:rsidP="001D7630">
            <w:pPr>
              <w:rPr>
                <w:bCs/>
              </w:rPr>
            </w:pPr>
          </w:p>
          <w:p w14:paraId="38FCB825" w14:textId="4DEAEB20" w:rsidR="00C25B0F" w:rsidRPr="001D7630" w:rsidRDefault="00D13A0B" w:rsidP="001D7630">
            <w:pPr>
              <w:rPr>
                <w:bCs/>
              </w:rPr>
            </w:pPr>
            <w:r w:rsidRPr="001D7630">
              <w:rPr>
                <w:bCs/>
              </w:rPr>
              <w:t>L</w:t>
            </w:r>
            <w:r w:rsidR="00C25B0F" w:rsidRPr="001D7630">
              <w:rPr>
                <w:bCs/>
              </w:rPr>
              <w:t>ikumprojektā netiek lietots termins “degvielas tirgus”</w:t>
            </w:r>
          </w:p>
        </w:tc>
        <w:tc>
          <w:tcPr>
            <w:tcW w:w="4291" w:type="dxa"/>
            <w:tcBorders>
              <w:top w:val="single" w:sz="4" w:space="0" w:color="auto"/>
              <w:left w:val="single" w:sz="4" w:space="0" w:color="auto"/>
              <w:bottom w:val="single" w:sz="4" w:space="0" w:color="auto"/>
            </w:tcBorders>
            <w:shd w:val="clear" w:color="auto" w:fill="auto"/>
          </w:tcPr>
          <w:p w14:paraId="523133D7" w14:textId="121F7E31" w:rsidR="00520610" w:rsidRPr="001D7630" w:rsidRDefault="003C266A" w:rsidP="001D7630">
            <w:pPr>
              <w:pStyle w:val="NormalWeb"/>
              <w:spacing w:before="0" w:beforeAutospacing="0" w:after="0" w:afterAutospacing="0"/>
              <w:ind w:right="79"/>
              <w:jc w:val="both"/>
            </w:pPr>
            <w:r w:rsidRPr="001D7630">
              <w:t>Likumprojekta anotācija ir precizēta</w:t>
            </w:r>
          </w:p>
        </w:tc>
      </w:tr>
      <w:tr w:rsidR="00D7796E" w:rsidRPr="001D7630" w14:paraId="4AB4C56F"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296BD1E4" w14:textId="77777777" w:rsidR="00D7796E" w:rsidRPr="001D7630" w:rsidRDefault="00D7796E" w:rsidP="001D763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285FCDB5" w14:textId="77777777" w:rsidR="00D7796E" w:rsidRPr="001D7630" w:rsidRDefault="00D7796E" w:rsidP="001D763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0DA99ED9" w14:textId="77777777" w:rsidR="00D7796E" w:rsidRPr="001D7630" w:rsidRDefault="00D7796E" w:rsidP="001D7630">
            <w:pPr>
              <w:jc w:val="center"/>
              <w:rPr>
                <w:b/>
                <w:bCs/>
              </w:rPr>
            </w:pPr>
            <w:r w:rsidRPr="001D7630">
              <w:rPr>
                <w:b/>
                <w:bCs/>
              </w:rPr>
              <w:t>Būvniecības valsts kontroles birojs</w:t>
            </w:r>
          </w:p>
          <w:p w14:paraId="278077DE" w14:textId="08B9F694" w:rsidR="00D7796E" w:rsidRPr="001D7630" w:rsidRDefault="00D7796E" w:rsidP="001D7630">
            <w:pPr>
              <w:jc w:val="center"/>
              <w:rPr>
                <w:b/>
                <w:bCs/>
              </w:rPr>
            </w:pPr>
            <w:r w:rsidRPr="001D7630">
              <w:rPr>
                <w:b/>
                <w:bCs/>
              </w:rPr>
              <w:t>(16.06.2021.)</w:t>
            </w:r>
          </w:p>
          <w:p w14:paraId="7E6353DE" w14:textId="0D58ECC8" w:rsidR="00D7796E" w:rsidRPr="001D7630" w:rsidRDefault="00D7796E" w:rsidP="001D7630">
            <w:pPr>
              <w:jc w:val="both"/>
            </w:pPr>
            <w:r w:rsidRPr="001D7630">
              <w:t xml:space="preserve">[10] Tāpat </w:t>
            </w:r>
            <w:r w:rsidRPr="001D7630">
              <w:rPr>
                <w:b/>
                <w:bCs/>
                <w:u w:val="single"/>
              </w:rPr>
              <w:t>Birojs iebilst</w:t>
            </w:r>
            <w:r w:rsidRPr="001D7630">
              <w:rPr>
                <w:u w:val="single"/>
              </w:rPr>
              <w:t>, ka</w:t>
            </w:r>
            <w:r w:rsidRPr="001D7630">
              <w:t xml:space="preserve">, ja ar Likumprojektu tiek Birojam tiek noteiktas papildu funkcijas (no degvielas tirgus uzraudzības, tai skaitā, nodrošinot degvielas kvalitātes atbilstību normatīvo aktu un attiecīgo standartu prasībām, uz transporta enerģijas uzraudzību, t.sk., nodrošinot transporta enerģijas atbilstību normatīvo aktu un attiecīgo standartu prasībām), </w:t>
            </w:r>
            <w:r w:rsidRPr="001D7630">
              <w:rPr>
                <w:u w:val="single"/>
              </w:rPr>
              <w:t>Anotācijā nav paredzēts finansējums šīs funkcijas īstenošanai</w:t>
            </w:r>
            <w:r w:rsidRPr="001D7630">
              <w:t>. Attiecīgi Birojam būs nepieciešami papildu valsts budžeta līdzekļi uzlikto papildu pienākumu īstenošanai.</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5793939F" w14:textId="5CB6519E" w:rsidR="00D7796E" w:rsidRPr="001D7630" w:rsidRDefault="00BD52E2" w:rsidP="001D7630">
            <w:pPr>
              <w:jc w:val="center"/>
              <w:rPr>
                <w:b/>
              </w:rPr>
            </w:pPr>
            <w:r w:rsidRPr="001D7630">
              <w:rPr>
                <w:b/>
              </w:rPr>
              <w:t>Ņemts vērā</w:t>
            </w:r>
          </w:p>
          <w:p w14:paraId="3751141D" w14:textId="77777777" w:rsidR="00D13A0B" w:rsidRPr="001D7630" w:rsidRDefault="00D13A0B" w:rsidP="001D7630">
            <w:pPr>
              <w:rPr>
                <w:bCs/>
              </w:rPr>
            </w:pPr>
          </w:p>
          <w:p w14:paraId="439577EA" w14:textId="2078047E" w:rsidR="004654CA" w:rsidRPr="001D7630" w:rsidRDefault="00D13A0B" w:rsidP="001D7630">
            <w:pPr>
              <w:rPr>
                <w:b/>
              </w:rPr>
            </w:pPr>
            <w:r w:rsidRPr="001D7630">
              <w:rPr>
                <w:bCs/>
              </w:rPr>
              <w:t>N</w:t>
            </w:r>
            <w:r w:rsidR="004654CA" w:rsidRPr="001D7630">
              <w:rPr>
                <w:bCs/>
              </w:rPr>
              <w:t>orādām, ka likumprojekta 15.pantā minētais finansējums arī būs izmantojams arī likumprojektā noteikto kontroles, uzraudzības un ziņošanas funkciju un pienākumu finansēšanai. Tā kā ir paredzēts, ka šis finansējums ir uzkrājošs finansējums, kur katru gadu kopējais finansējuma apjoms varētu palielināties par vairākiem miljoniem eiro, tad nepieciešamo papildus finansējums BVKB, ja tāds būs nepieciešams transporta enerģijas kvalitātes uzraudzības pasākumiem, varētu piešķirt arī no šī finansējuma</w:t>
            </w:r>
            <w:r w:rsidR="0023012E" w:rsidRPr="001D7630">
              <w:rPr>
                <w:bCs/>
              </w:rPr>
              <w:t>.</w:t>
            </w:r>
          </w:p>
        </w:tc>
        <w:tc>
          <w:tcPr>
            <w:tcW w:w="4291" w:type="dxa"/>
            <w:tcBorders>
              <w:top w:val="single" w:sz="4" w:space="0" w:color="auto"/>
              <w:left w:val="single" w:sz="4" w:space="0" w:color="auto"/>
              <w:bottom w:val="single" w:sz="4" w:space="0" w:color="auto"/>
            </w:tcBorders>
            <w:shd w:val="clear" w:color="auto" w:fill="auto"/>
          </w:tcPr>
          <w:p w14:paraId="5826270B" w14:textId="2B3FAFF4" w:rsidR="00D7796E" w:rsidRPr="001D7630" w:rsidRDefault="00BD52E2" w:rsidP="001D7630">
            <w:pPr>
              <w:pStyle w:val="NormalWeb"/>
              <w:spacing w:before="0" w:beforeAutospacing="0" w:after="0" w:afterAutospacing="0"/>
              <w:ind w:right="79"/>
              <w:jc w:val="both"/>
            </w:pPr>
            <w:r w:rsidRPr="001D7630">
              <w:t>Likumprojekta anotācijas III sadaļas 6.punkts ir papildināts</w:t>
            </w:r>
          </w:p>
        </w:tc>
      </w:tr>
      <w:tr w:rsidR="00BA19C3" w:rsidRPr="001D7630" w14:paraId="3B709F65" w14:textId="77777777" w:rsidTr="005D0902">
        <w:trPr>
          <w:jc w:val="center"/>
        </w:trPr>
        <w:tc>
          <w:tcPr>
            <w:tcW w:w="14992" w:type="dxa"/>
            <w:gridSpan w:val="5"/>
            <w:tcBorders>
              <w:top w:val="single" w:sz="6" w:space="0" w:color="000000"/>
              <w:left w:val="single" w:sz="6" w:space="0" w:color="000000"/>
            </w:tcBorders>
          </w:tcPr>
          <w:p w14:paraId="23CAF047" w14:textId="77777777" w:rsidR="00BA19C3" w:rsidRPr="001D7630" w:rsidRDefault="00BA19C3" w:rsidP="001D7630">
            <w:pPr>
              <w:pStyle w:val="ListParagraph"/>
              <w:spacing w:after="0" w:line="240" w:lineRule="auto"/>
              <w:ind w:left="0"/>
              <w:contextualSpacing w:val="0"/>
              <w:jc w:val="center"/>
              <w:rPr>
                <w:rFonts w:ascii="Times New Roman" w:hAnsi="Times New Roman"/>
                <w:b/>
                <w:bCs/>
                <w:sz w:val="24"/>
                <w:szCs w:val="24"/>
              </w:rPr>
            </w:pPr>
            <w:r w:rsidRPr="001D7630">
              <w:rPr>
                <w:rFonts w:ascii="Times New Roman" w:hAnsi="Times New Roman"/>
                <w:b/>
                <w:bCs/>
                <w:sz w:val="24"/>
                <w:szCs w:val="24"/>
              </w:rPr>
              <w:t>1.PANTS</w:t>
            </w:r>
          </w:p>
        </w:tc>
      </w:tr>
      <w:tr w:rsidR="00DF2F24" w:rsidRPr="001D7630" w14:paraId="74CEBA8C" w14:textId="77777777" w:rsidTr="005D0902">
        <w:trPr>
          <w:jc w:val="center"/>
        </w:trPr>
        <w:tc>
          <w:tcPr>
            <w:tcW w:w="637" w:type="dxa"/>
            <w:tcBorders>
              <w:top w:val="single" w:sz="6" w:space="0" w:color="000000"/>
              <w:left w:val="single" w:sz="6" w:space="0" w:color="000000"/>
              <w:right w:val="single" w:sz="6" w:space="0" w:color="000000"/>
            </w:tcBorders>
          </w:tcPr>
          <w:p w14:paraId="6A9FCA18" w14:textId="77777777" w:rsidR="00DF2F24" w:rsidRPr="001D7630" w:rsidRDefault="00DF2F24" w:rsidP="001D7630">
            <w:pPr>
              <w:pStyle w:val="naisc"/>
              <w:numPr>
                <w:ilvl w:val="0"/>
                <w:numId w:val="8"/>
              </w:numPr>
              <w:spacing w:before="0" w:after="0"/>
              <w:ind w:left="0" w:firstLine="0"/>
              <w:rPr>
                <w:b/>
              </w:rPr>
            </w:pPr>
          </w:p>
        </w:tc>
        <w:tc>
          <w:tcPr>
            <w:tcW w:w="3041" w:type="dxa"/>
            <w:tcBorders>
              <w:top w:val="single" w:sz="6" w:space="0" w:color="000000"/>
              <w:left w:val="single" w:sz="6" w:space="0" w:color="000000"/>
              <w:right w:val="single" w:sz="6" w:space="0" w:color="000000"/>
            </w:tcBorders>
          </w:tcPr>
          <w:p w14:paraId="0F18E3D9" w14:textId="77777777" w:rsidR="00DF2F24" w:rsidRPr="001D7630" w:rsidRDefault="00DF2F24" w:rsidP="001D7630"/>
        </w:tc>
        <w:tc>
          <w:tcPr>
            <w:tcW w:w="4047" w:type="dxa"/>
            <w:tcBorders>
              <w:top w:val="single" w:sz="6" w:space="0" w:color="000000"/>
              <w:left w:val="single" w:sz="6" w:space="0" w:color="000000"/>
              <w:bottom w:val="single" w:sz="6" w:space="0" w:color="000000"/>
              <w:right w:val="single" w:sz="6" w:space="0" w:color="000000"/>
            </w:tcBorders>
          </w:tcPr>
          <w:p w14:paraId="48E9A93D" w14:textId="77777777" w:rsidR="00DF2F24" w:rsidRPr="001D7630" w:rsidRDefault="00BA19C3" w:rsidP="001D7630">
            <w:pPr>
              <w:autoSpaceDE w:val="0"/>
              <w:autoSpaceDN w:val="0"/>
              <w:adjustRightInd w:val="0"/>
              <w:jc w:val="center"/>
              <w:rPr>
                <w:b/>
                <w:bCs/>
              </w:rPr>
            </w:pPr>
            <w:r w:rsidRPr="001D7630">
              <w:rPr>
                <w:b/>
                <w:bCs/>
              </w:rPr>
              <w:t>Vides aizsardzības un reģionālās attīstības ministrija</w:t>
            </w:r>
          </w:p>
          <w:p w14:paraId="470E65D9" w14:textId="77777777" w:rsidR="00BA19C3" w:rsidRPr="001D7630" w:rsidRDefault="00BA19C3" w:rsidP="001D7630">
            <w:pPr>
              <w:autoSpaceDE w:val="0"/>
              <w:autoSpaceDN w:val="0"/>
              <w:adjustRightInd w:val="0"/>
              <w:jc w:val="center"/>
              <w:rPr>
                <w:b/>
                <w:bCs/>
              </w:rPr>
            </w:pPr>
            <w:r w:rsidRPr="001D7630">
              <w:rPr>
                <w:b/>
                <w:bCs/>
              </w:rPr>
              <w:t>(08.01.2021. atzinums)</w:t>
            </w:r>
          </w:p>
          <w:p w14:paraId="0E6603C3" w14:textId="77777777" w:rsidR="00BA19C3" w:rsidRPr="001D7630" w:rsidRDefault="00BA19C3" w:rsidP="001D7630">
            <w:pPr>
              <w:ind w:firstLine="709"/>
              <w:jc w:val="both"/>
            </w:pPr>
            <w:r w:rsidRPr="001D7630">
              <w:t xml:space="preserve">1. Attiecībā uz likumprojekta 1. pantu: </w:t>
            </w:r>
          </w:p>
          <w:p w14:paraId="7AAAFFB7" w14:textId="77777777" w:rsidR="00BA19C3" w:rsidRPr="001D7630" w:rsidRDefault="00BA19C3" w:rsidP="001D7630">
            <w:pPr>
              <w:pStyle w:val="ListParagraph"/>
              <w:spacing w:after="0" w:line="240" w:lineRule="auto"/>
              <w:ind w:left="0" w:firstLine="709"/>
              <w:contextualSpacing w:val="0"/>
              <w:jc w:val="both"/>
              <w:rPr>
                <w:rFonts w:ascii="Times New Roman" w:hAnsi="Times New Roman"/>
                <w:sz w:val="24"/>
                <w:szCs w:val="24"/>
              </w:rPr>
            </w:pPr>
            <w:r w:rsidRPr="001D7630">
              <w:rPr>
                <w:rFonts w:ascii="Times New Roman" w:hAnsi="Times New Roman"/>
                <w:sz w:val="24"/>
                <w:szCs w:val="24"/>
              </w:rPr>
              <w:t>1.1. precizēt 5. punktā, ko nozīmē “fotoelementu enerģija”;</w:t>
            </w:r>
          </w:p>
          <w:p w14:paraId="0D21124F" w14:textId="77777777" w:rsidR="00BA19C3" w:rsidRPr="001D7630" w:rsidRDefault="00BA19C3" w:rsidP="001D7630">
            <w:pPr>
              <w:ind w:firstLine="709"/>
              <w:jc w:val="both"/>
            </w:pPr>
            <w:r w:rsidRPr="001D7630">
              <w:t xml:space="preserve">1.2. izteikt 7. punktu līdzīgi kā Eiropas Parlamenta un Padomes 2018. </w:t>
            </w:r>
            <w:r w:rsidRPr="001D7630">
              <w:lastRenderedPageBreak/>
              <w:t>gada 11. decembra Direktīvas (ES) 2018/2001 par no atjaunojamajiem energoresursiem iegūtas enerģijas izmantošanas veicināšanu (turpmāk – Direktīva 2018/2001) 2. panta 43. punktā, lai nodrošinātu minētās Direktīvas 2018/2001 normas pareizu transponēšanu;</w:t>
            </w:r>
          </w:p>
          <w:p w14:paraId="48C819DF" w14:textId="77777777" w:rsidR="00BA19C3" w:rsidRPr="001D7630" w:rsidRDefault="00BA19C3" w:rsidP="001D7630">
            <w:pPr>
              <w:ind w:firstLine="709"/>
              <w:jc w:val="both"/>
            </w:pPr>
            <w:r w:rsidRPr="001D7630">
              <w:t>1.3. precizēt 12. punktā termina “biomasa” skaidrojumu. Vēršam uzmanību, ka normatīvajos aktos, kas attiecas uz gaisu piesārņojošu vielu emisiju no stacionārām sadedzināšana iekārtām</w:t>
            </w:r>
            <w:r w:rsidRPr="001D7630">
              <w:rPr>
                <w:rStyle w:val="FootnoteReference"/>
              </w:rPr>
              <w:footnoteReference w:id="9"/>
            </w:r>
            <w:r w:rsidRPr="001D7630">
              <w:t xml:space="preserve"> terminam “biomasa” ir cita nozīme, tādēļ, lai novērstu iespējamās interpretācijas iespējas, lūdzam precizēt, ka šis termins tiek lietots tikai šī likumprojekta darbības tvēruma ietvaros;</w:t>
            </w:r>
          </w:p>
          <w:p w14:paraId="3F954A31" w14:textId="77777777" w:rsidR="00BA19C3" w:rsidRPr="001D7630" w:rsidRDefault="00BA19C3" w:rsidP="001D7630">
            <w:pPr>
              <w:ind w:firstLine="709"/>
              <w:jc w:val="both"/>
            </w:pPr>
            <w:r w:rsidRPr="001D7630">
              <w:t>1.4. svītrot 16. punktā degvielas definīcijā vārdu “fosilā”, jo ir vispārpieņemts, ka nafta ir fosilās izcelsmes energoresurss;</w:t>
            </w:r>
          </w:p>
          <w:p w14:paraId="5D4C0CE5" w14:textId="77777777" w:rsidR="00BA19C3" w:rsidRPr="001D7630" w:rsidRDefault="00BA19C3" w:rsidP="001D7630">
            <w:pPr>
              <w:ind w:firstLine="709"/>
              <w:jc w:val="both"/>
            </w:pPr>
            <w:r w:rsidRPr="001D7630">
              <w:t>1.5. skaidrot kādēļ 20. punktā tiek definēts tikai viens konkrēts tranportlīdzekļa veids (elektrotransportlīdzeklis), bet nav definēts, piemēram, ūdeņraža transportlīdzeklis, ar biometānu darbināms transportlīdzeklis u.tml;</w:t>
            </w:r>
          </w:p>
          <w:p w14:paraId="499797E4" w14:textId="77777777" w:rsidR="00BA19C3" w:rsidRPr="001D7630" w:rsidRDefault="00BA19C3" w:rsidP="001D7630">
            <w:pPr>
              <w:ind w:firstLine="709"/>
              <w:jc w:val="both"/>
            </w:pPr>
            <w:r w:rsidRPr="001D7630">
              <w:t xml:space="preserve">1.6. aizstāt 27. punktā vārdus “saskaņā ar aktuālajā atkritumu </w:t>
            </w:r>
            <w:r w:rsidRPr="001D7630">
              <w:lastRenderedPageBreak/>
              <w:t xml:space="preserve">apsaimniekošanas politikas plānošanas dokumentā noteikto atkritumu apsaimniekošanas hierarhiju”  ar vārdiem “saskaņā ar </w:t>
            </w:r>
            <w:bookmarkStart w:id="6" w:name="_Hlk61352985"/>
            <w:r w:rsidRPr="001D7630">
              <w:t>atkritumu apsaimniekošanas normatīvajos aktos noteikto atkritumu apsaimniekošanas darbību prioritāro secību</w:t>
            </w:r>
            <w:bookmarkEnd w:id="6"/>
            <w:r w:rsidRPr="001D7630">
              <w:t xml:space="preserve">”. Lūdzam attiecīgi papildināt likumprojekta anotāciju, ka </w:t>
            </w:r>
            <w:bookmarkStart w:id="7" w:name="_Hlk61353363"/>
            <w:r w:rsidRPr="001D7630">
              <w:t xml:space="preserve">Atkritumu apsaimniekošanas likuma 5.panta pirmajā daļā ir noteikta atkritumu apsaimniekošanas darbību prioritārā secība, kas atbilst Eiropas Parlamenta un Padomes 2008. gada 19. novembra Direktīvas 2008/98/EK par atkritumiem un dažu direktīvu atcelšanu 4. pantā noteiktajai atkritumu apsaimniekošanas hierarhijai; </w:t>
            </w:r>
            <w:bookmarkEnd w:id="7"/>
          </w:p>
          <w:p w14:paraId="57AAD27B" w14:textId="77777777" w:rsidR="00BA19C3" w:rsidRPr="001D7630" w:rsidRDefault="00BA19C3" w:rsidP="001D7630">
            <w:pPr>
              <w:ind w:firstLine="709"/>
              <w:jc w:val="both"/>
            </w:pPr>
            <w:r w:rsidRPr="001D7630">
              <w:t xml:space="preserve">1.7. precizēt 27. punktā vārdu salikumu “no neatjaunojamas izcelsmes atkritumu apstrādes gāzes un atgāzes”, jo no Direktīvas 2018/2001 2. panta 35. panta redakcijas angļu valodā izriet, ka vārdi “neatjaunojamas izcelsmes” attiecas uz gāzēm un atgāzēm, nevis atkritumiem. Vienlaikus vēršam uzmanību uz to, ka ne Eiropas Savienības, ne Latvijas normatīvajos aktos nav norādīts, kuri atkritumi ir uzskatāmi par neatjaunojamas izcelsmes atkritumiem, tāpēc uzskatām, ka minēto tiesību normu nebūs iespējams piemērot. </w:t>
            </w:r>
          </w:p>
        </w:tc>
        <w:tc>
          <w:tcPr>
            <w:tcW w:w="2976" w:type="dxa"/>
            <w:tcBorders>
              <w:top w:val="single" w:sz="6" w:space="0" w:color="000000"/>
              <w:left w:val="single" w:sz="6" w:space="0" w:color="000000"/>
              <w:right w:val="single" w:sz="6" w:space="0" w:color="000000"/>
            </w:tcBorders>
          </w:tcPr>
          <w:p w14:paraId="4F598B8E" w14:textId="77777777" w:rsidR="00DF2F24" w:rsidRPr="001D7630" w:rsidRDefault="005F1BA0" w:rsidP="001D7630">
            <w:pPr>
              <w:jc w:val="center"/>
              <w:rPr>
                <w:b/>
                <w:iCs/>
              </w:rPr>
            </w:pPr>
            <w:r w:rsidRPr="001D7630">
              <w:rPr>
                <w:b/>
                <w:iCs/>
              </w:rPr>
              <w:lastRenderedPageBreak/>
              <w:t>Ņemts vērā</w:t>
            </w:r>
          </w:p>
          <w:p w14:paraId="394B9C61" w14:textId="77777777" w:rsidR="005F1BA0" w:rsidRPr="001D7630" w:rsidRDefault="005F1BA0" w:rsidP="001D7630">
            <w:pPr>
              <w:rPr>
                <w:bCs/>
                <w:iCs/>
              </w:rPr>
            </w:pPr>
            <w:r w:rsidRPr="001D7630">
              <w:rPr>
                <w:bCs/>
                <w:iCs/>
              </w:rPr>
              <w:t>1.2.: 1.panta 7.punkts pēc būtības atbilst Direktīvas 2.panta 43.punktā iekļautajiem nosacījumiem, tos pielāgojot latviešu valodas lietojumam.</w:t>
            </w:r>
          </w:p>
          <w:p w14:paraId="24BB0E41" w14:textId="77777777" w:rsidR="005F1BA0" w:rsidRPr="001D7630" w:rsidRDefault="005F1BA0" w:rsidP="001D7630">
            <w:pPr>
              <w:rPr>
                <w:bCs/>
                <w:iCs/>
              </w:rPr>
            </w:pPr>
          </w:p>
          <w:p w14:paraId="371EA55C" w14:textId="77777777" w:rsidR="005F1BA0" w:rsidRPr="001D7630" w:rsidRDefault="005F1BA0" w:rsidP="001D7630">
            <w:pPr>
              <w:rPr>
                <w:bCs/>
                <w:iCs/>
              </w:rPr>
            </w:pPr>
            <w:r w:rsidRPr="001D7630">
              <w:rPr>
                <w:bCs/>
                <w:iCs/>
              </w:rPr>
              <w:lastRenderedPageBreak/>
              <w:t>1.5.:</w:t>
            </w:r>
            <w:r w:rsidR="007C1EAD" w:rsidRPr="001D7630">
              <w:rPr>
                <w:bCs/>
                <w:iCs/>
              </w:rPr>
              <w:t xml:space="preserve"> </w:t>
            </w:r>
            <w:r w:rsidRPr="001D7630">
              <w:rPr>
                <w:bCs/>
                <w:iCs/>
              </w:rPr>
              <w:t>elektrotransportlīdzekļa definīcija ir iekļauta, jo tā ir direktīvas 2014/94/EK 2.panta 2.punktā iekļautās definīcijas transponēšana. Ūdeņraža transportlīdzeklis un biometāna transportlīdzeklis, kas pēc uzbūves ir gāzveida degvielas transportlīdzeklis (CNG/LNG auto). Ja ir nepieciešama šādu transportlīdzeklu definēšana, tad lūgums VARAM vai SM iesniegt šādu definīciju tās iekļaušanai likumprojektā.</w:t>
            </w:r>
          </w:p>
          <w:p w14:paraId="2DBA9AC8" w14:textId="77777777" w:rsidR="00CB6289" w:rsidRPr="001D7630" w:rsidRDefault="00CB6289" w:rsidP="001D7630">
            <w:pPr>
              <w:rPr>
                <w:bCs/>
                <w:iCs/>
              </w:rPr>
            </w:pPr>
          </w:p>
          <w:p w14:paraId="6AD0B4C2" w14:textId="77777777" w:rsidR="00CB6289" w:rsidRPr="001D7630" w:rsidRDefault="00CB6289" w:rsidP="001D7630">
            <w:pPr>
              <w:rPr>
                <w:b/>
                <w:iCs/>
              </w:rPr>
            </w:pPr>
            <w:r w:rsidRPr="001D7630">
              <w:rPr>
                <w:bCs/>
                <w:iCs/>
              </w:rPr>
              <w:t>1.7. norādām, ka jau šobrīd Centrālā statistikas pārvalde sadzīves un rūpnieciskos atkritumus sadala – AER un ne-AER daļās.</w:t>
            </w:r>
          </w:p>
        </w:tc>
        <w:tc>
          <w:tcPr>
            <w:tcW w:w="4291" w:type="dxa"/>
            <w:tcBorders>
              <w:top w:val="single" w:sz="4" w:space="0" w:color="auto"/>
              <w:left w:val="single" w:sz="4" w:space="0" w:color="auto"/>
            </w:tcBorders>
          </w:tcPr>
          <w:p w14:paraId="63B368F7" w14:textId="77777777" w:rsidR="00DF2F24" w:rsidRPr="001D7630" w:rsidRDefault="00CB6289" w:rsidP="001D7630">
            <w:r w:rsidRPr="001D7630">
              <w:lastRenderedPageBreak/>
              <w:t>Likumprojekta 1.pants</w:t>
            </w:r>
            <w:r w:rsidR="006D55F5" w:rsidRPr="001D7630">
              <w:t xml:space="preserve"> ir precizēts</w:t>
            </w:r>
          </w:p>
        </w:tc>
      </w:tr>
      <w:tr w:rsidR="00DF2F24" w:rsidRPr="001D7630" w14:paraId="486AC3C2" w14:textId="77777777" w:rsidTr="005D0902">
        <w:trPr>
          <w:jc w:val="center"/>
        </w:trPr>
        <w:tc>
          <w:tcPr>
            <w:tcW w:w="637" w:type="dxa"/>
            <w:tcBorders>
              <w:top w:val="single" w:sz="6" w:space="0" w:color="000000"/>
              <w:left w:val="single" w:sz="6" w:space="0" w:color="000000"/>
              <w:right w:val="single" w:sz="6" w:space="0" w:color="000000"/>
            </w:tcBorders>
          </w:tcPr>
          <w:p w14:paraId="39D77F80" w14:textId="77777777" w:rsidR="00DF2F24" w:rsidRPr="001D7630" w:rsidRDefault="00DF2F24" w:rsidP="001D7630">
            <w:pPr>
              <w:pStyle w:val="naisc"/>
              <w:numPr>
                <w:ilvl w:val="0"/>
                <w:numId w:val="8"/>
              </w:numPr>
              <w:spacing w:before="0" w:after="0"/>
              <w:ind w:left="0" w:firstLine="0"/>
              <w:rPr>
                <w:b/>
              </w:rPr>
            </w:pPr>
          </w:p>
        </w:tc>
        <w:tc>
          <w:tcPr>
            <w:tcW w:w="3041" w:type="dxa"/>
            <w:tcBorders>
              <w:top w:val="single" w:sz="6" w:space="0" w:color="000000"/>
              <w:left w:val="single" w:sz="6" w:space="0" w:color="000000"/>
              <w:right w:val="single" w:sz="6" w:space="0" w:color="000000"/>
            </w:tcBorders>
          </w:tcPr>
          <w:p w14:paraId="1B43280B" w14:textId="77777777" w:rsidR="00DF2F24" w:rsidRPr="001D7630" w:rsidRDefault="00DF2F24" w:rsidP="001D7630"/>
        </w:tc>
        <w:tc>
          <w:tcPr>
            <w:tcW w:w="4047" w:type="dxa"/>
            <w:tcBorders>
              <w:top w:val="single" w:sz="6" w:space="0" w:color="000000"/>
              <w:left w:val="single" w:sz="6" w:space="0" w:color="000000"/>
              <w:bottom w:val="single" w:sz="6" w:space="0" w:color="000000"/>
              <w:right w:val="single" w:sz="6" w:space="0" w:color="000000"/>
            </w:tcBorders>
          </w:tcPr>
          <w:p w14:paraId="7A63FFF7" w14:textId="77777777" w:rsidR="00DF2F24" w:rsidRPr="001D7630" w:rsidRDefault="005440CB" w:rsidP="001D7630">
            <w:pPr>
              <w:autoSpaceDE w:val="0"/>
              <w:autoSpaceDN w:val="0"/>
              <w:adjustRightInd w:val="0"/>
              <w:jc w:val="center"/>
              <w:rPr>
                <w:b/>
                <w:bCs/>
              </w:rPr>
            </w:pPr>
            <w:r w:rsidRPr="001D7630">
              <w:rPr>
                <w:b/>
                <w:bCs/>
              </w:rPr>
              <w:t>Bezizmešu mobilitātes atbalsta biedrība</w:t>
            </w:r>
          </w:p>
          <w:p w14:paraId="695F9BFE" w14:textId="77777777" w:rsidR="00DC482B" w:rsidRPr="001D7630" w:rsidRDefault="00DC482B" w:rsidP="001D7630">
            <w:pPr>
              <w:autoSpaceDE w:val="0"/>
              <w:autoSpaceDN w:val="0"/>
              <w:adjustRightInd w:val="0"/>
              <w:jc w:val="center"/>
              <w:rPr>
                <w:b/>
                <w:bCs/>
              </w:rPr>
            </w:pPr>
            <w:r w:rsidRPr="001D7630">
              <w:rPr>
                <w:b/>
                <w:bCs/>
              </w:rPr>
              <w:t>(08.01.2021.)</w:t>
            </w:r>
          </w:p>
          <w:p w14:paraId="13F04375" w14:textId="77777777" w:rsidR="005440CB" w:rsidRPr="001D7630" w:rsidRDefault="005233C0" w:rsidP="001D7630">
            <w:pPr>
              <w:jc w:val="both"/>
            </w:pPr>
            <w:r w:rsidRPr="001D7630">
              <w:t xml:space="preserve">1) </w:t>
            </w:r>
            <w:r w:rsidR="005440CB" w:rsidRPr="001D7630">
              <w:t>Likumprojekta 1.panta 39.punktu precizēt atbilstoši šādiem apsvērumiem:</w:t>
            </w:r>
          </w:p>
          <w:p w14:paraId="03588D5D" w14:textId="77777777" w:rsidR="005440CB" w:rsidRPr="001D7630" w:rsidRDefault="005440CB" w:rsidP="001D7630">
            <w:pPr>
              <w:jc w:val="both"/>
            </w:pPr>
            <w:r w:rsidRPr="001D7630">
              <w:t xml:space="preserve">1.1. tā kā Likumprojektā, atbilstoši uzlādes punktu darbības organizēšanas kritērijiem, ir definēts tikai </w:t>
            </w:r>
            <w:bookmarkStart w:id="8" w:name="_Hlk53587710"/>
            <w:r w:rsidRPr="001D7630">
              <w:t>"</w:t>
            </w:r>
            <w:r w:rsidRPr="001D7630">
              <w:rPr>
                <w:bCs/>
              </w:rPr>
              <w:t>publiski pieejams uzlādes punkts</w:t>
            </w:r>
            <w:bookmarkEnd w:id="8"/>
            <w:r w:rsidRPr="001D7630">
              <w:rPr>
                <w:bCs/>
              </w:rPr>
              <w:t>"</w:t>
            </w:r>
            <w:r w:rsidRPr="001D7630">
              <w:rPr>
                <w:b/>
                <w:bCs/>
              </w:rPr>
              <w:t xml:space="preserve"> </w:t>
            </w:r>
            <w:r w:rsidRPr="001D7630">
              <w:t>(1.panta 29.punkts),</w:t>
            </w:r>
            <w:r w:rsidRPr="001D7630">
              <w:rPr>
                <w:b/>
              </w:rPr>
              <w:t xml:space="preserve"> </w:t>
            </w:r>
            <w:r w:rsidRPr="001D7630">
              <w:t xml:space="preserve">1.panta 39.punktu </w:t>
            </w:r>
            <w:r w:rsidRPr="001D7630">
              <w:rPr>
                <w:b/>
              </w:rPr>
              <w:t>papildināt ar "</w:t>
            </w:r>
            <w:r w:rsidRPr="001D7630">
              <w:rPr>
                <w:b/>
                <w:bCs/>
              </w:rPr>
              <w:t>publiski pieejamu"</w:t>
            </w:r>
            <w:r w:rsidRPr="001D7630">
              <w:t>;</w:t>
            </w:r>
          </w:p>
          <w:p w14:paraId="7733E28D" w14:textId="77777777" w:rsidR="005440CB" w:rsidRPr="001D7630" w:rsidRDefault="005440CB" w:rsidP="001D7630">
            <w:pPr>
              <w:jc w:val="both"/>
              <w:rPr>
                <w:rFonts w:eastAsia="Calibri"/>
                <w:i/>
                <w:lang w:eastAsia="en-US"/>
              </w:rPr>
            </w:pPr>
            <w:r w:rsidRPr="001D7630">
              <w:rPr>
                <w:i/>
              </w:rPr>
              <w:t xml:space="preserve">Attīstot attiecīgo tiesību aktu sistēmu, ieteicams paredzēt arī puspublisku jeb </w:t>
            </w:r>
            <w:r w:rsidRPr="001D7630">
              <w:rPr>
                <w:bCs/>
                <w:i/>
              </w:rPr>
              <w:t>daļēji publiski pieejamu</w:t>
            </w:r>
            <w:r w:rsidRPr="001D7630">
              <w:rPr>
                <w:i/>
              </w:rPr>
              <w:t xml:space="preserve"> uzlādes punktu, kā arī individuālu jeb privātu uzlādes punktu regulējumu., </w:t>
            </w:r>
          </w:p>
          <w:p w14:paraId="1C873D27" w14:textId="77777777" w:rsidR="005440CB" w:rsidRPr="001D7630" w:rsidRDefault="005440CB" w:rsidP="001D7630">
            <w:pPr>
              <w:jc w:val="both"/>
              <w:rPr>
                <w:b/>
                <w:bCs/>
              </w:rPr>
            </w:pPr>
            <w:r w:rsidRPr="001D7630">
              <w:rPr>
                <w:i/>
              </w:rPr>
              <w:t xml:space="preserve">1.2. </w:t>
            </w:r>
            <w:r w:rsidRPr="001D7630">
              <w:t>tā kā</w:t>
            </w:r>
            <w:r w:rsidRPr="001D7630">
              <w:rPr>
                <w:i/>
              </w:rPr>
              <w:t xml:space="preserve"> </w:t>
            </w:r>
            <w:r w:rsidRPr="001D7630">
              <w:t xml:space="preserve">nav skaidri noteikts fiziskas personas statuss uzlādes pakalpojuma sniegšanā, tad no 1.panta 39.punkts </w:t>
            </w:r>
            <w:r w:rsidRPr="001D7630">
              <w:rPr>
                <w:b/>
                <w:bCs/>
              </w:rPr>
              <w:t>izslēgt "fiziska";</w:t>
            </w:r>
          </w:p>
          <w:p w14:paraId="0B41B373" w14:textId="77777777" w:rsidR="005440CB" w:rsidRPr="001D7630" w:rsidRDefault="005440CB" w:rsidP="001D7630">
            <w:pPr>
              <w:jc w:val="both"/>
              <w:rPr>
                <w:i/>
              </w:rPr>
            </w:pPr>
            <w:r w:rsidRPr="001D7630">
              <w:rPr>
                <w:bCs/>
              </w:rPr>
              <w:t>1.3. lai novērstu pārlieku administratīvo slogu, kā arī nemazinātu vēlmi izveidot uzlādes punktus,</w:t>
            </w:r>
            <w:r w:rsidRPr="001D7630">
              <w:rPr>
                <w:b/>
                <w:bCs/>
              </w:rPr>
              <w:t xml:space="preserve"> </w:t>
            </w:r>
            <w:r w:rsidRPr="001D7630">
              <w:t xml:space="preserve">1.panta 39.punktu </w:t>
            </w:r>
            <w:r w:rsidRPr="001D7630">
              <w:rPr>
                <w:b/>
              </w:rPr>
              <w:t>papildināt ar uzlādes punktu skaita nosacījumu "</w:t>
            </w:r>
            <w:bookmarkStart w:id="9" w:name="_Hlk61353576"/>
            <w:r w:rsidRPr="001D7630">
              <w:rPr>
                <w:b/>
              </w:rPr>
              <w:t>divos vai vairākos uzlādes punktos, kas neatrodas vienā adresē</w:t>
            </w:r>
            <w:bookmarkEnd w:id="9"/>
            <w:r w:rsidRPr="001D7630">
              <w:t>".</w:t>
            </w:r>
          </w:p>
          <w:p w14:paraId="728DF1AE" w14:textId="77777777" w:rsidR="005440CB" w:rsidRPr="001D7630" w:rsidRDefault="005440CB" w:rsidP="001D7630">
            <w:pPr>
              <w:jc w:val="both"/>
              <w:rPr>
                <w:b/>
              </w:rPr>
            </w:pPr>
            <w:r w:rsidRPr="001D7630">
              <w:t xml:space="preserve">Apkopojot vēstules 1.1., 1.2. un 1.3.punktā izteiktos ieteikumus, Likumprojekta 1.panta 39.punktu </w:t>
            </w:r>
            <w:r w:rsidRPr="001D7630">
              <w:rPr>
                <w:b/>
              </w:rPr>
              <w:t>izteikt šādā redakcijā:</w:t>
            </w:r>
          </w:p>
          <w:p w14:paraId="4A7D952C" w14:textId="77777777" w:rsidR="005440CB" w:rsidRPr="001D7630" w:rsidRDefault="005440CB" w:rsidP="001D7630">
            <w:pPr>
              <w:jc w:val="both"/>
              <w:rPr>
                <w:u w:val="single"/>
              </w:rPr>
            </w:pPr>
            <w:r w:rsidRPr="001D7630">
              <w:t xml:space="preserve">"39) </w:t>
            </w:r>
            <w:r w:rsidRPr="001D7630">
              <w:rPr>
                <w:b/>
                <w:bCs/>
                <w:u w:val="single"/>
              </w:rPr>
              <w:t>publiski pieejamu</w:t>
            </w:r>
            <w:r w:rsidRPr="001D7630">
              <w:rPr>
                <w:b/>
                <w:bCs/>
              </w:rPr>
              <w:t xml:space="preserve"> uzlādes punktu operators</w:t>
            </w:r>
            <w:r w:rsidRPr="001D7630">
              <w:t xml:space="preserve"> – juridiska persona, kas sniedz </w:t>
            </w:r>
            <w:r w:rsidRPr="001D7630">
              <w:lastRenderedPageBreak/>
              <w:t xml:space="preserve">elektrotransportlīdzekļu uzlādes pakalpojumu uz līgumiska pamata, tostarp citu pakalpojumu sniedzēju vārdā, </w:t>
            </w:r>
            <w:r w:rsidRPr="001D7630">
              <w:rPr>
                <w:u w:val="single"/>
              </w:rPr>
              <w:t>divos vai vairākos uzlādes punktos, kas neatrodas vienā adresē."</w:t>
            </w:r>
          </w:p>
          <w:p w14:paraId="4ED0A7A7" w14:textId="77777777" w:rsidR="005233C0" w:rsidRPr="001D7630" w:rsidRDefault="005233C0" w:rsidP="001D7630">
            <w:pPr>
              <w:jc w:val="both"/>
            </w:pPr>
            <w:r w:rsidRPr="001D7630">
              <w:t>8)</w:t>
            </w:r>
            <w:r w:rsidR="00CB6289" w:rsidRPr="001D7630">
              <w:t xml:space="preserve"> </w:t>
            </w:r>
            <w:r w:rsidRPr="001D7630">
              <w:t>tā kā Likumprojektā lietotajam jēdzienam</w:t>
            </w:r>
            <w:r w:rsidR="00CB6289" w:rsidRPr="001D7630">
              <w:t xml:space="preserve"> </w:t>
            </w:r>
            <w:r w:rsidRPr="001D7630">
              <w:t>"atjaunojamā elektroenerģija" (piem., Likumprojekta 6.panta 2.daļa, 8.panta 1.daļas 3.punkts, 8.panta 9.daļa) nav fizikāla pamatojuma, kā arī minētais jēdziens nav definēts Likumprojektā, precizēt minētā jēdziena lietojumu Likumprojektā, un ieteicamā definīcija:</w:t>
            </w:r>
          </w:p>
          <w:p w14:paraId="35BC965F" w14:textId="77777777" w:rsidR="005440CB" w:rsidRPr="001D7630" w:rsidRDefault="005233C0" w:rsidP="001D7630">
            <w:pPr>
              <w:jc w:val="both"/>
            </w:pPr>
            <w:r w:rsidRPr="001D7630">
              <w:t>"</w:t>
            </w:r>
            <w:bookmarkStart w:id="10" w:name="_Hlk61353693"/>
            <w:r w:rsidRPr="001D7630">
              <w:rPr>
                <w:b/>
                <w:bCs/>
              </w:rPr>
              <w:t>atjaunojamā elektroenerģija</w:t>
            </w:r>
            <w:r w:rsidRPr="001D7630">
              <w:t xml:space="preserve"> – no atjaunojamiem energoresursiem ražota elektroenerģija".</w:t>
            </w:r>
            <w:bookmarkEnd w:id="10"/>
          </w:p>
          <w:p w14:paraId="1EE19926" w14:textId="77777777" w:rsidR="00DC482B" w:rsidRPr="001D7630" w:rsidRDefault="00DC482B" w:rsidP="001D7630">
            <w:pPr>
              <w:jc w:val="both"/>
            </w:pPr>
            <w:r w:rsidRPr="001D7630">
              <w:t>2) izvērtēt termina "uzlādes stacija" lietojuma lietderību Likumprojektā vai citos tiesību aktos;</w:t>
            </w:r>
          </w:p>
          <w:p w14:paraId="4FBD0A17" w14:textId="77777777" w:rsidR="00DC482B" w:rsidRPr="001D7630" w:rsidRDefault="00DC482B" w:rsidP="001D7630">
            <w:pPr>
              <w:ind w:left="720"/>
              <w:jc w:val="both"/>
            </w:pPr>
          </w:p>
          <w:p w14:paraId="2238F28B" w14:textId="77777777" w:rsidR="00DC482B" w:rsidRPr="001D7630" w:rsidRDefault="00DC482B" w:rsidP="001D7630">
            <w:pPr>
              <w:jc w:val="both"/>
            </w:pPr>
            <w:r w:rsidRPr="001D7630">
              <w:rPr>
                <w:i/>
              </w:rPr>
              <w:t xml:space="preserve">Ar MK </w:t>
            </w:r>
            <w:r w:rsidRPr="001D7630">
              <w:rPr>
                <w:i/>
                <w:color w:val="000000"/>
              </w:rPr>
              <w:t>2017.gada 22.aprīļa rīkojumu Nr.202 apstiprinātajā "</w:t>
            </w:r>
            <w:r w:rsidRPr="001D7630">
              <w:rPr>
                <w:bCs/>
                <w:i/>
                <w:color w:val="000000"/>
                <w:shd w:val="clear" w:color="auto" w:fill="FFFFFF"/>
              </w:rPr>
              <w:t>Alternatīvo degvielu attīstības plāns 2017.–2020. gadam</w:t>
            </w:r>
            <w:r w:rsidRPr="001D7630">
              <w:rPr>
                <w:i/>
                <w:color w:val="000000"/>
              </w:rPr>
              <w:t xml:space="preserve">" ietverta definīcija: "Uzlādes stacija ir infrastruktūras objekts, kurā ir uzstādīti viens vai vairāki ETL uzlādes punkti". </w:t>
            </w:r>
            <w:r w:rsidRPr="001D7630">
              <w:rPr>
                <w:i/>
              </w:rPr>
              <w:t>Piem., šobrīd CSDD izveidotajā uzlādes infrastruktūrā katrā uzlādes stacijā ir pieejami trīs uzlādes punkti.</w:t>
            </w:r>
          </w:p>
        </w:tc>
        <w:tc>
          <w:tcPr>
            <w:tcW w:w="2976" w:type="dxa"/>
            <w:tcBorders>
              <w:top w:val="single" w:sz="6" w:space="0" w:color="000000"/>
              <w:left w:val="single" w:sz="6" w:space="0" w:color="000000"/>
              <w:right w:val="single" w:sz="6" w:space="0" w:color="000000"/>
            </w:tcBorders>
          </w:tcPr>
          <w:p w14:paraId="7DBD7E55" w14:textId="77777777" w:rsidR="00DF2F24" w:rsidRPr="001D7630" w:rsidRDefault="00CB6289" w:rsidP="001D7630">
            <w:pPr>
              <w:jc w:val="center"/>
              <w:rPr>
                <w:b/>
                <w:iCs/>
              </w:rPr>
            </w:pPr>
            <w:r w:rsidRPr="001D7630">
              <w:rPr>
                <w:b/>
                <w:iCs/>
              </w:rPr>
              <w:lastRenderedPageBreak/>
              <w:t>Ņemts vērā</w:t>
            </w:r>
          </w:p>
          <w:p w14:paraId="69A479CA" w14:textId="77777777" w:rsidR="00CB6289" w:rsidRPr="001D7630" w:rsidRDefault="00CB6289" w:rsidP="001D7630">
            <w:pPr>
              <w:jc w:val="center"/>
              <w:rPr>
                <w:b/>
                <w:iCs/>
              </w:rPr>
            </w:pPr>
          </w:p>
          <w:p w14:paraId="65E11E69" w14:textId="77777777" w:rsidR="00CB6289" w:rsidRPr="001D7630" w:rsidRDefault="00DC482B" w:rsidP="001D7630">
            <w:pPr>
              <w:rPr>
                <w:bCs/>
                <w:iCs/>
              </w:rPr>
            </w:pPr>
            <w:r w:rsidRPr="001D7630">
              <w:rPr>
                <w:bCs/>
                <w:iCs/>
              </w:rPr>
              <w:t xml:space="preserve">2) </w:t>
            </w:r>
            <w:r w:rsidRPr="001D7630">
              <w:rPr>
                <w:bCs/>
              </w:rPr>
              <w:t>Likumprojektā tiek lietots termiņš uzlādes punkts, kas var būt daļa no uzlādes stacijas, lai noteiktu nosacījumus tieši uzlādes punktiem, kas var atrasties ne tikai uzlādes stacijās</w:t>
            </w:r>
          </w:p>
        </w:tc>
        <w:tc>
          <w:tcPr>
            <w:tcW w:w="4291" w:type="dxa"/>
            <w:tcBorders>
              <w:top w:val="single" w:sz="4" w:space="0" w:color="auto"/>
              <w:left w:val="single" w:sz="4" w:space="0" w:color="auto"/>
            </w:tcBorders>
          </w:tcPr>
          <w:p w14:paraId="08588ECB" w14:textId="77777777" w:rsidR="00DF2F24" w:rsidRPr="001D7630" w:rsidRDefault="00CB6289" w:rsidP="001D7630">
            <w:r w:rsidRPr="001D7630">
              <w:t>Likumprojekta 1.pant</w:t>
            </w:r>
            <w:r w:rsidR="00BD3552" w:rsidRPr="001D7630">
              <w:t>s ir precizēts</w:t>
            </w:r>
          </w:p>
        </w:tc>
      </w:tr>
      <w:tr w:rsidR="00787EBC" w:rsidRPr="001D7630" w14:paraId="0AF3740D"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2E4C44A" w14:textId="77777777" w:rsidR="00787EBC" w:rsidRPr="001D7630" w:rsidRDefault="00787EBC" w:rsidP="001D763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5D4B2A6A" w14:textId="77777777" w:rsidR="00787EBC" w:rsidRPr="001D7630" w:rsidRDefault="00787EBC" w:rsidP="001D763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27A7150D" w14:textId="77777777" w:rsidR="00787EBC" w:rsidRPr="001D7630" w:rsidRDefault="00787EBC" w:rsidP="001D7630">
            <w:pPr>
              <w:jc w:val="center"/>
              <w:rPr>
                <w:b/>
                <w:bCs/>
              </w:rPr>
            </w:pPr>
            <w:r w:rsidRPr="001D7630">
              <w:rPr>
                <w:b/>
                <w:bCs/>
              </w:rPr>
              <w:t>Satiksmes ministrija</w:t>
            </w:r>
          </w:p>
          <w:p w14:paraId="4FDF66D1" w14:textId="77777777" w:rsidR="00787EBC" w:rsidRPr="001D7630" w:rsidRDefault="00787EBC" w:rsidP="001D7630">
            <w:pPr>
              <w:jc w:val="center"/>
              <w:rPr>
                <w:b/>
                <w:bCs/>
              </w:rPr>
            </w:pPr>
            <w:r w:rsidRPr="001D7630">
              <w:rPr>
                <w:b/>
                <w:bCs/>
              </w:rPr>
              <w:t>(08.01.2021.</w:t>
            </w:r>
            <w:r w:rsidR="00DC482B" w:rsidRPr="001D7630">
              <w:rPr>
                <w:b/>
                <w:bCs/>
              </w:rPr>
              <w:t xml:space="preserve"> </w:t>
            </w:r>
            <w:r w:rsidRPr="001D7630">
              <w:rPr>
                <w:b/>
                <w:bCs/>
              </w:rPr>
              <w:t>atzinums)</w:t>
            </w:r>
          </w:p>
          <w:p w14:paraId="48784AA0" w14:textId="77777777" w:rsidR="00787EBC" w:rsidRPr="001D7630" w:rsidRDefault="00787EBC" w:rsidP="001D7630">
            <w:pPr>
              <w:jc w:val="both"/>
            </w:pPr>
            <w:r w:rsidRPr="001D7630">
              <w:t xml:space="preserve">4. Likumprojekta Informatīvās atsauces uz Eiropas Savienības direktīvām </w:t>
            </w:r>
            <w:r w:rsidRPr="001D7630">
              <w:lastRenderedPageBreak/>
              <w:t xml:space="preserve">3.punktā norādīts, ka likumā iekļautas tiesību normas, kas izriet no Eiropas Parlamenta un Padomes 2014.gada 22.oktobra direktīvas 2014/94/ES par alternatīvo degvielu infrastruktūras ieviešanu (turpmāk – Direktīva 2014/94/ES). </w:t>
            </w:r>
          </w:p>
          <w:p w14:paraId="49D3A8C7" w14:textId="77777777" w:rsidR="00787EBC" w:rsidRPr="001D7630" w:rsidRDefault="00787EBC" w:rsidP="001D7630">
            <w:pPr>
              <w:ind w:firstLine="720"/>
              <w:jc w:val="both"/>
            </w:pPr>
            <w:r w:rsidRPr="001D7630">
              <w:t xml:space="preserve">Likumprojekta anotācijas V sadaļas 1. tabulā “Tiesību akta projekta atbilstība ES tiesību aktiem” sniegta informācija, ka ar likumprojekta 1. panta 40.punktu pārņemts pilnībā Direktīvas 2014/94/ES 2.panta 8.punkts. Likumprojekts nesatur stingrākas prasības, nekā attiecīgais ES tiesību akts. </w:t>
            </w:r>
          </w:p>
          <w:p w14:paraId="57FEAD2A" w14:textId="77777777" w:rsidR="00787EBC" w:rsidRPr="001D7630" w:rsidRDefault="00787EBC" w:rsidP="001D7630">
            <w:pPr>
              <w:ind w:firstLine="720"/>
              <w:jc w:val="both"/>
            </w:pPr>
            <w:r w:rsidRPr="001D7630">
              <w:t xml:space="preserve">Vēršam uzmanību, ka Direktīvas 2014/94/ES 2.panta 8.punktā sniegta termina “uzpildes punkts” definīcija, proti, uzpildes punkts ir uzpildes iekārta jebkādas degvielas, izņemot LNG, nodrošināšanai, izmantojot fiksētu vai pārvietojamu aprīkojumu. </w:t>
            </w:r>
          </w:p>
          <w:p w14:paraId="6045FA0D" w14:textId="77777777" w:rsidR="00787EBC" w:rsidRPr="001D7630" w:rsidRDefault="00787EBC" w:rsidP="001D7630">
            <w:pPr>
              <w:ind w:firstLine="720"/>
              <w:jc w:val="both"/>
            </w:pPr>
            <w:r w:rsidRPr="001D7630">
              <w:t xml:space="preserve">Minētā Direktīvas 2014/94/ES norma satur izņēmumu, proti, LNG jeb sašķidrinātās dabasgāzes uzpildes punktus, kuru definīcija sniegta Direktīvas 2014/94/ES 2.panta 9.punktā, proti, LNG uzpildes punkts ir uzpildes iekārta LNG nodrošināšanai, kas sastāv vai nu no fiksēta, vai pārvietojama aprīkojuma, iekārtas atklātos ūdeņos vai citas sistēmas. Atbilstoši likumprojekta anotācijas V sadaļas 1.tabulā sniegtajai </w:t>
            </w:r>
            <w:r w:rsidRPr="001D7630">
              <w:lastRenderedPageBreak/>
              <w:t xml:space="preserve">informācijai Direktīvas 2014/94/ES 2.panta 9.punkta norma tiek pārņemta pilnībā ar likumprojekta 1. panta 34.punktu. Taču minētajā likumprojekta punktā lietots termins “sašķidrinātās gāzes uzpildes punkts”, nevis termins “sašķidrinātās dabasgāzes uzpildes punkts”, kā to nosaka Direktīvas 2014/94/ES attiecīgā norma.  </w:t>
            </w:r>
          </w:p>
          <w:p w14:paraId="77969DBC" w14:textId="77777777" w:rsidR="00787EBC" w:rsidRPr="001D7630" w:rsidRDefault="00787EBC" w:rsidP="001D7630">
            <w:pPr>
              <w:ind w:firstLine="720"/>
              <w:jc w:val="both"/>
            </w:pPr>
            <w:r w:rsidRPr="001D7630">
              <w:t xml:space="preserve">Saskaņā ar likumprojekta 1.panta 40.punktu uzpildes punkts ir uzpildes iekārta jebkādas gāzveida degvielas (izņemot sašķidrināto dabasgāzi) uzpildei transportlīdzeklī, izmantojot fiksētu vai pārvietojamu aprīkojumu.  </w:t>
            </w:r>
          </w:p>
          <w:p w14:paraId="682E2D68" w14:textId="77777777" w:rsidR="00787EBC" w:rsidRPr="001D7630" w:rsidRDefault="00787EBC" w:rsidP="001D7630">
            <w:pPr>
              <w:ind w:firstLine="720"/>
              <w:jc w:val="both"/>
            </w:pPr>
            <w:r w:rsidRPr="001D7630">
              <w:t xml:space="preserve">Satiksmes ministrijas ieskatā likumprojekta 1.panta 40.punktā lietotais termins būtiski sašaurina </w:t>
            </w:r>
            <w:bookmarkStart w:id="11" w:name="_Hlk60915879"/>
            <w:r w:rsidRPr="001D7630">
              <w:t xml:space="preserve">Direktīvā 2014/94/ES </w:t>
            </w:r>
            <w:bookmarkEnd w:id="11"/>
            <w:r w:rsidRPr="001D7630">
              <w:t xml:space="preserve">piemēroto definīciju “uzpildes punkts”, ņemot vērā, ka likumprojektā lietotais termins tiek attiecināts uz uzpildes iekārtām jebkādai gāzveida degvielas uzpildei (izņemot sašķidrināto dabasgāzi), nevis uz uzpildes iekārtām jebkādas degvielas, izņemot LNG, nodrošināšanai. </w:t>
            </w:r>
          </w:p>
          <w:p w14:paraId="4E90CF37" w14:textId="77777777" w:rsidR="00787EBC" w:rsidRPr="001D7630" w:rsidRDefault="00787EBC" w:rsidP="001D7630">
            <w:pPr>
              <w:ind w:firstLine="720"/>
              <w:jc w:val="both"/>
            </w:pPr>
            <w:r w:rsidRPr="001D7630">
              <w:t xml:space="preserve">Ņemot vērā minēto, lūdzam sniegt papildu skaidrojumu par Direktīvas 2014/94/ES attiecīgās normas pārņemšanu.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246A420E" w14:textId="77777777" w:rsidR="00787EBC" w:rsidRPr="001D7630" w:rsidRDefault="00787EBC" w:rsidP="001D7630">
            <w:pPr>
              <w:jc w:val="center"/>
              <w:rPr>
                <w:b/>
                <w:bCs/>
                <w:iCs/>
              </w:rPr>
            </w:pPr>
            <w:r w:rsidRPr="001D7630">
              <w:rPr>
                <w:b/>
                <w:bCs/>
                <w:iCs/>
              </w:rPr>
              <w:lastRenderedPageBreak/>
              <w:t>Ņemts vērā</w:t>
            </w:r>
          </w:p>
          <w:p w14:paraId="1B74DB18" w14:textId="77777777" w:rsidR="00787EBC" w:rsidRPr="001D7630" w:rsidRDefault="00787EBC" w:rsidP="001D7630">
            <w:pPr>
              <w:jc w:val="center"/>
              <w:rPr>
                <w:iCs/>
              </w:rPr>
            </w:pPr>
          </w:p>
          <w:p w14:paraId="6D05F08C" w14:textId="77777777" w:rsidR="00787EBC" w:rsidRPr="001D7630" w:rsidRDefault="00787EBC" w:rsidP="001D7630">
            <w:pPr>
              <w:rPr>
                <w:iCs/>
              </w:rPr>
            </w:pPr>
          </w:p>
        </w:tc>
        <w:tc>
          <w:tcPr>
            <w:tcW w:w="4291" w:type="dxa"/>
            <w:tcBorders>
              <w:top w:val="single" w:sz="4" w:space="0" w:color="auto"/>
              <w:left w:val="single" w:sz="4" w:space="0" w:color="auto"/>
              <w:bottom w:val="single" w:sz="4" w:space="0" w:color="auto"/>
            </w:tcBorders>
            <w:shd w:val="clear" w:color="auto" w:fill="auto"/>
          </w:tcPr>
          <w:p w14:paraId="17EA19FB" w14:textId="77777777" w:rsidR="00787EBC" w:rsidRPr="001D7630" w:rsidRDefault="00787EBC" w:rsidP="001D763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1.pant</w:t>
            </w:r>
            <w:r w:rsidR="00BD3552" w:rsidRPr="001D7630">
              <w:rPr>
                <w:rFonts w:ascii="Times New Roman" w:hAnsi="Times New Roman"/>
                <w:sz w:val="24"/>
                <w:szCs w:val="24"/>
                <w:lang w:eastAsia="lv-LV"/>
              </w:rPr>
              <w:t>s ir precizēts</w:t>
            </w:r>
          </w:p>
        </w:tc>
      </w:tr>
      <w:tr w:rsidR="007F0CBC" w:rsidRPr="001D7630" w14:paraId="4351A4E5"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38B7BD3D" w14:textId="77777777" w:rsidR="007F0CBC" w:rsidRPr="001D7630" w:rsidRDefault="007F0CBC" w:rsidP="001D763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7BE38E92" w14:textId="77777777" w:rsidR="007F0CBC" w:rsidRPr="001D7630" w:rsidRDefault="007F0CBC" w:rsidP="001D763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3E166D5" w14:textId="77777777" w:rsidR="007F0CBC" w:rsidRPr="001D7630" w:rsidRDefault="007F0CBC" w:rsidP="001D7630">
            <w:pPr>
              <w:jc w:val="center"/>
              <w:rPr>
                <w:b/>
                <w:bCs/>
              </w:rPr>
            </w:pPr>
            <w:r w:rsidRPr="001D7630">
              <w:rPr>
                <w:b/>
                <w:bCs/>
              </w:rPr>
              <w:t>Finanšu nozares asociācija</w:t>
            </w:r>
          </w:p>
          <w:p w14:paraId="5932D384" w14:textId="77777777" w:rsidR="007F0CBC" w:rsidRPr="001D7630" w:rsidRDefault="007F0CBC" w:rsidP="001D7630">
            <w:pPr>
              <w:jc w:val="center"/>
              <w:rPr>
                <w:b/>
                <w:bCs/>
              </w:rPr>
            </w:pPr>
            <w:r w:rsidRPr="001D7630">
              <w:rPr>
                <w:b/>
                <w:bCs/>
              </w:rPr>
              <w:t>(18.01.2021.)</w:t>
            </w:r>
          </w:p>
          <w:p w14:paraId="0DE95C80" w14:textId="77777777" w:rsidR="007F0CBC" w:rsidRPr="001D7630" w:rsidRDefault="007F0CBC" w:rsidP="001D7630">
            <w:r w:rsidRPr="001D7630">
              <w:lastRenderedPageBreak/>
              <w:t>1. Likumprojekta 1.panta 39) apakšpunkts nosaka, ka uzlādes punktu operators ir “fiziska vai juridiska persona, kas sniedz elektrotransportlīdzekļu uzlādes pakalpojumu uz līgumiska pamata, tostarp citu pakalpojumu sniedzēju vārdā”. Lūgums skaidrot, starp kurām pusēm būs pieminētās līgumiskās attiecībās un kā noteiks uzlādes punktu operatorus.</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4C8E6368" w14:textId="77777777" w:rsidR="007F0CBC" w:rsidRPr="001D7630" w:rsidRDefault="007F0CBC" w:rsidP="001D763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0D885C82" w14:textId="77777777" w:rsidR="007F0CBC" w:rsidRPr="001D7630" w:rsidRDefault="007F0CBC" w:rsidP="001D763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1.panta 39.punkts (4</w:t>
            </w:r>
            <w:r w:rsidR="003A40FF" w:rsidRPr="001D7630">
              <w:rPr>
                <w:rFonts w:ascii="Times New Roman" w:hAnsi="Times New Roman"/>
                <w:sz w:val="24"/>
                <w:szCs w:val="24"/>
                <w:lang w:eastAsia="lv-LV"/>
              </w:rPr>
              <w:t>4</w:t>
            </w:r>
            <w:r w:rsidRPr="001D7630">
              <w:rPr>
                <w:rFonts w:ascii="Times New Roman" w:hAnsi="Times New Roman"/>
                <w:sz w:val="24"/>
                <w:szCs w:val="24"/>
                <w:lang w:eastAsia="lv-LV"/>
              </w:rPr>
              <w:t>.punkts jaunā redakcijā) ir precizēts</w:t>
            </w:r>
          </w:p>
        </w:tc>
      </w:tr>
      <w:tr w:rsidR="000D3FCD" w:rsidRPr="001D7630" w14:paraId="26909017"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2E2FAB7A" w14:textId="77777777" w:rsidR="000D3FCD" w:rsidRPr="001D7630" w:rsidRDefault="000D3FCD" w:rsidP="001D763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75D22954" w14:textId="77777777" w:rsidR="000D3FCD" w:rsidRPr="001D7630" w:rsidRDefault="000D3FCD" w:rsidP="001D763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1A887CB2" w14:textId="77777777" w:rsidR="000D3FCD" w:rsidRPr="001D7630" w:rsidRDefault="000D3FCD" w:rsidP="001D7630">
            <w:pPr>
              <w:jc w:val="center"/>
              <w:rPr>
                <w:b/>
                <w:bCs/>
              </w:rPr>
            </w:pPr>
            <w:r w:rsidRPr="001D7630">
              <w:rPr>
                <w:b/>
                <w:bCs/>
              </w:rPr>
              <w:t>Latvijas Lielo pilsētu asociācija</w:t>
            </w:r>
          </w:p>
          <w:p w14:paraId="012471D7" w14:textId="77777777" w:rsidR="000D3FCD" w:rsidRPr="001D7630" w:rsidRDefault="000D3FCD" w:rsidP="001D7630">
            <w:pPr>
              <w:jc w:val="center"/>
              <w:rPr>
                <w:b/>
                <w:bCs/>
              </w:rPr>
            </w:pPr>
            <w:r w:rsidRPr="001D7630">
              <w:rPr>
                <w:b/>
                <w:bCs/>
              </w:rPr>
              <w:t>(26.03.2021.)</w:t>
            </w:r>
          </w:p>
          <w:p w14:paraId="6E2FE8EB" w14:textId="77777777" w:rsidR="000D3FCD" w:rsidRPr="001D7630" w:rsidRDefault="00DC482B" w:rsidP="001D7630">
            <w:pPr>
              <w:rPr>
                <w:b/>
                <w:bCs/>
              </w:rPr>
            </w:pPr>
            <w:r w:rsidRPr="001D7630">
              <w:rPr>
                <w:bCs/>
              </w:rPr>
              <w:t>1. Lūgums papildināt ar informāciju par ūdeņradi.</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3F0778D5" w14:textId="77777777" w:rsidR="000D3FCD" w:rsidRPr="001D7630" w:rsidRDefault="003A40FF" w:rsidP="001D763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shd w:val="clear" w:color="auto" w:fill="auto"/>
          </w:tcPr>
          <w:p w14:paraId="1CB35354" w14:textId="77777777" w:rsidR="000D3FCD" w:rsidRPr="001D7630" w:rsidRDefault="003A40FF" w:rsidP="001D763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1.panta 43.punkts</w:t>
            </w:r>
          </w:p>
        </w:tc>
      </w:tr>
      <w:tr w:rsidR="00D13A0B" w:rsidRPr="001D7630" w14:paraId="171EAA58"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12F47C47" w14:textId="77777777" w:rsidR="00D13A0B" w:rsidRPr="001D7630" w:rsidRDefault="00D13A0B" w:rsidP="001D7630">
            <w:pPr>
              <w:pStyle w:val="naisc"/>
              <w:numPr>
                <w:ilvl w:val="0"/>
                <w:numId w:val="8"/>
              </w:numPr>
              <w:spacing w:before="0" w:after="0"/>
              <w:ind w:left="0" w:firstLine="0"/>
              <w:rPr>
                <w:b/>
              </w:rPr>
            </w:pPr>
          </w:p>
        </w:tc>
        <w:tc>
          <w:tcPr>
            <w:tcW w:w="3041" w:type="dxa"/>
            <w:vMerge w:val="restart"/>
            <w:tcBorders>
              <w:top w:val="single" w:sz="6" w:space="0" w:color="000000"/>
              <w:left w:val="single" w:sz="6" w:space="0" w:color="000000"/>
              <w:right w:val="single" w:sz="6" w:space="0" w:color="000000"/>
            </w:tcBorders>
            <w:shd w:val="clear" w:color="auto" w:fill="auto"/>
          </w:tcPr>
          <w:p w14:paraId="485072EE" w14:textId="358DD93F" w:rsidR="00D13A0B" w:rsidRPr="001D7630" w:rsidRDefault="00D13A0B" w:rsidP="001D7630">
            <w:pPr>
              <w:pStyle w:val="ListParagraph"/>
              <w:spacing w:after="0" w:line="240" w:lineRule="auto"/>
              <w:ind w:left="0"/>
              <w:rPr>
                <w:rFonts w:ascii="Times New Roman" w:hAnsi="Times New Roman"/>
                <w:color w:val="000000" w:themeColor="text1"/>
                <w:sz w:val="24"/>
                <w:szCs w:val="24"/>
                <w:lang w:eastAsia="lv-LV"/>
              </w:rPr>
            </w:pPr>
            <w:r w:rsidRPr="001D7630">
              <w:rPr>
                <w:rFonts w:ascii="Times New Roman" w:hAnsi="Times New Roman"/>
                <w:color w:val="000000" w:themeColor="text1"/>
                <w:sz w:val="24"/>
                <w:szCs w:val="24"/>
                <w:lang w:eastAsia="lv-LV"/>
              </w:rPr>
              <w:t>Likumprojekta 1.panta 20.punkts</w:t>
            </w: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5155E4B5" w14:textId="77777777" w:rsidR="00D13A0B" w:rsidRPr="001D7630" w:rsidRDefault="00D13A0B" w:rsidP="001D7630">
            <w:pPr>
              <w:jc w:val="center"/>
              <w:rPr>
                <w:b/>
                <w:bCs/>
              </w:rPr>
            </w:pPr>
            <w:r w:rsidRPr="001D7630">
              <w:rPr>
                <w:b/>
                <w:bCs/>
              </w:rPr>
              <w:t>Latvijas Degvielas tirgotāju asociācija</w:t>
            </w:r>
          </w:p>
          <w:p w14:paraId="6733E232" w14:textId="5D57C5A7" w:rsidR="00D13A0B" w:rsidRPr="001D7630" w:rsidRDefault="00D13A0B" w:rsidP="001D7630">
            <w:pPr>
              <w:jc w:val="center"/>
              <w:rPr>
                <w:b/>
                <w:bCs/>
              </w:rPr>
            </w:pPr>
            <w:r w:rsidRPr="001D7630">
              <w:rPr>
                <w:b/>
                <w:bCs/>
              </w:rPr>
              <w:t>(14.06.2021. atzinums)</w:t>
            </w:r>
          </w:p>
          <w:p w14:paraId="4C798E53" w14:textId="77777777" w:rsidR="00D13A0B" w:rsidRPr="001D7630" w:rsidRDefault="00D13A0B" w:rsidP="001D7630">
            <w:pPr>
              <w:jc w:val="both"/>
            </w:pPr>
            <w:r w:rsidRPr="001D7630">
              <w:t>[1.] Aicinām precizēt 1.panta 20.punkta degvielas piegādātāja definīciju, svītrojot vārdus “degvielas mazumtirgotājs, kas realizē importēto vai no Eiropas Savienības dalībvalsts ievesto degvielu”, ņemot vērā atsauci uz likumu “Par akcīzes nodokli”, kur jau ir noteikts, kam ir pienākums maksāt akcīzes nodokli par naftas produktiem.</w:t>
            </w:r>
          </w:p>
        </w:tc>
        <w:tc>
          <w:tcPr>
            <w:tcW w:w="2976" w:type="dxa"/>
            <w:vMerge w:val="restart"/>
            <w:tcBorders>
              <w:top w:val="single" w:sz="6" w:space="0" w:color="000000"/>
              <w:left w:val="single" w:sz="6" w:space="0" w:color="000000"/>
              <w:right w:val="single" w:sz="6" w:space="0" w:color="000000"/>
            </w:tcBorders>
            <w:shd w:val="clear" w:color="auto" w:fill="auto"/>
          </w:tcPr>
          <w:p w14:paraId="1677D47F" w14:textId="77777777" w:rsidR="00D13A0B" w:rsidRPr="001D7630" w:rsidRDefault="00D13A0B" w:rsidP="001D7630">
            <w:pPr>
              <w:jc w:val="center"/>
              <w:rPr>
                <w:b/>
                <w:bCs/>
                <w:iCs/>
              </w:rPr>
            </w:pPr>
            <w:r w:rsidRPr="001D7630">
              <w:rPr>
                <w:b/>
                <w:bCs/>
                <w:iCs/>
              </w:rPr>
              <w:t>Ņemts vērā</w:t>
            </w:r>
          </w:p>
          <w:p w14:paraId="0E1FC05D" w14:textId="77777777" w:rsidR="00D13A0B" w:rsidRPr="001D7630" w:rsidRDefault="00D13A0B" w:rsidP="001D7630">
            <w:pPr>
              <w:rPr>
                <w:iCs/>
              </w:rPr>
            </w:pPr>
            <w:r w:rsidRPr="001D7630">
              <w:rPr>
                <w:iCs/>
              </w:rPr>
              <w:t xml:space="preserve">Norādām, ka degvielas piegādātājs pēc būtības ir tas, kas ir pēdējais transporta enerģijas aprites posms, kas piegādā transporta enerģiju galapatērētājam. Šis nosacījums ir svarīgs, jo tieši šāds komersants zina, ka minētā transporta enerģijas tiek patērēta tieši tajās transporta darbībās, uz kurām attiecas direktīvas 98/70/EK un direktīvas 2018/2001 nosacījumi un pienākumi, un nevis citās darbībās, piemēram, noliktavu tehnikā, celtniecības tehniskā vai </w:t>
            </w:r>
            <w:r w:rsidRPr="001D7630">
              <w:rPr>
                <w:iCs/>
              </w:rPr>
              <w:lastRenderedPageBreak/>
              <w:t>sadedzināšanas iekārtās. Jāmin, ka šādi komersanti ne vienmēr ir akcīzes nodokļa maksātāji un ne vienmēr tiem ir speciāla licence darbībām ar degvielas tirdzniecību.</w:t>
            </w:r>
          </w:p>
          <w:p w14:paraId="6E55F126" w14:textId="73237A69" w:rsidR="00D13A0B" w:rsidRPr="001D7630" w:rsidRDefault="00D13A0B" w:rsidP="001D7630">
            <w:pPr>
              <w:rPr>
                <w:b/>
                <w:bCs/>
                <w:iCs/>
              </w:rPr>
            </w:pPr>
            <w:r w:rsidRPr="001D7630">
              <w:rPr>
                <w:iCs/>
              </w:rPr>
              <w:t>Vienlaikus norādām, ka degvielas piegādātājs ir ne tikai degvielas, bet arī transporta enerģijas piegādātājs, piemēram, tas būtu arī dabasgāzes, kas tiek izmantota kā transporta degviela, vai ar laiku tas būtu, piemēram, ūdeņraža piegādātājs izmantošanai transportā vai biometāna piegādātājs izmantošanai transportā (šobrīd par biometānu akcīzes nodoklis nav jāmaksā)</w:t>
            </w:r>
          </w:p>
        </w:tc>
        <w:tc>
          <w:tcPr>
            <w:tcW w:w="4291" w:type="dxa"/>
            <w:vMerge w:val="restart"/>
            <w:tcBorders>
              <w:top w:val="single" w:sz="4" w:space="0" w:color="auto"/>
              <w:left w:val="single" w:sz="4" w:space="0" w:color="auto"/>
            </w:tcBorders>
            <w:shd w:val="clear" w:color="auto" w:fill="auto"/>
          </w:tcPr>
          <w:p w14:paraId="7A04AA16" w14:textId="77777777" w:rsidR="00D13A0B" w:rsidRPr="001D7630" w:rsidRDefault="00D13A0B" w:rsidP="001D763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lastRenderedPageBreak/>
              <w:t>Likumprojekta 1.panta 1.punkts:</w:t>
            </w:r>
          </w:p>
          <w:p w14:paraId="1FFDFA57" w14:textId="77777777" w:rsidR="00D13A0B" w:rsidRPr="001D7630" w:rsidRDefault="00D13A0B" w:rsidP="001D7630">
            <w:pPr>
              <w:jc w:val="both"/>
            </w:pPr>
            <w:r w:rsidRPr="001D7630">
              <w:rPr>
                <w:bCs/>
              </w:rPr>
              <w:t>20)</w:t>
            </w:r>
            <w:r w:rsidRPr="001D7630">
              <w:rPr>
                <w:b/>
              </w:rPr>
              <w:t xml:space="preserve"> degvielas piegādātājs – </w:t>
            </w:r>
            <w:r w:rsidRPr="001D7630">
              <w:t>komersants, kas:</w:t>
            </w:r>
          </w:p>
          <w:p w14:paraId="6D79A841" w14:textId="77777777" w:rsidR="00D13A0B" w:rsidRPr="001D7630" w:rsidRDefault="00D13A0B" w:rsidP="001D7630">
            <w:pPr>
              <w:jc w:val="both"/>
            </w:pPr>
            <w:r w:rsidRPr="001D7630">
              <w:t>a) realizē transporta enerģiju galapatēriņam transportā</w:t>
            </w:r>
          </w:p>
          <w:p w14:paraId="72112754" w14:textId="6F38BED8" w:rsidR="00D13A0B" w:rsidRPr="001D7630" w:rsidRDefault="00D13A0B" w:rsidP="001D7630">
            <w:pPr>
              <w:jc w:val="both"/>
            </w:pPr>
            <w:r w:rsidRPr="001D7630">
              <w:t>b) likumā “Par akcīzes nodokli” noteiktajos gadījumos maksā akcīzes nodokli par transporta enerģiju, tai skaitā ir degvielas mazumtirgotājs, kas realizē importēto vai no Eiropas Savienības dalībvalsts ievesto degvielu vai degvielas vairumtirgotājs, kas realizē degvielu un kuram ir speciāla atļauja (licence);”</w:t>
            </w:r>
          </w:p>
        </w:tc>
      </w:tr>
      <w:tr w:rsidR="00D13A0B" w:rsidRPr="001D7630" w14:paraId="78C2AF4B"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393C1934" w14:textId="77777777" w:rsidR="00D13A0B" w:rsidRPr="001D7630" w:rsidRDefault="00D13A0B" w:rsidP="001D7630">
            <w:pPr>
              <w:pStyle w:val="naisc"/>
              <w:numPr>
                <w:ilvl w:val="0"/>
                <w:numId w:val="8"/>
              </w:numPr>
              <w:spacing w:before="0" w:after="0"/>
              <w:ind w:left="0" w:firstLine="0"/>
              <w:rPr>
                <w:b/>
              </w:rPr>
            </w:pPr>
          </w:p>
        </w:tc>
        <w:tc>
          <w:tcPr>
            <w:tcW w:w="3041" w:type="dxa"/>
            <w:vMerge/>
            <w:tcBorders>
              <w:left w:val="single" w:sz="6" w:space="0" w:color="000000"/>
              <w:right w:val="single" w:sz="6" w:space="0" w:color="000000"/>
            </w:tcBorders>
            <w:shd w:val="clear" w:color="auto" w:fill="auto"/>
          </w:tcPr>
          <w:p w14:paraId="519FA952" w14:textId="764AFB0B" w:rsidR="00D13A0B" w:rsidRPr="001D7630" w:rsidRDefault="00D13A0B" w:rsidP="001D763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08BB1266" w14:textId="77777777" w:rsidR="00D13A0B" w:rsidRPr="001D7630" w:rsidRDefault="00D13A0B" w:rsidP="001D7630">
            <w:pPr>
              <w:jc w:val="center"/>
              <w:rPr>
                <w:b/>
                <w:bCs/>
              </w:rPr>
            </w:pPr>
            <w:r w:rsidRPr="001D7630">
              <w:rPr>
                <w:b/>
                <w:bCs/>
              </w:rPr>
              <w:t>Degvielas tirgotāju un ražotāju savienība</w:t>
            </w:r>
          </w:p>
          <w:p w14:paraId="752F88ED" w14:textId="038585EC" w:rsidR="00D13A0B" w:rsidRPr="001D7630" w:rsidRDefault="00D13A0B" w:rsidP="001D7630">
            <w:pPr>
              <w:rPr>
                <w:rFonts w:eastAsia="Calibri"/>
              </w:rPr>
            </w:pPr>
            <w:r w:rsidRPr="001D7630">
              <w:rPr>
                <w:rFonts w:eastAsia="Calibri"/>
              </w:rPr>
              <w:t xml:space="preserve">2) Aicinām precizēt 1.panta 20.punkta degvielas piegādātāja definīciju, svītrojot vārdus “degvielas mazumtirgotājs, kas realizē importēto vai no Eiropas Savienības dalībvalsts </w:t>
            </w:r>
            <w:r w:rsidRPr="001D7630">
              <w:rPr>
                <w:rFonts w:eastAsia="Calibri"/>
              </w:rPr>
              <w:lastRenderedPageBreak/>
              <w:t>ievesto degvielu”, ņemot vērā atsauci uz likumu “Par akcīzes nodokli”, kur jau ir noteikts, kam ir pienākums maksāt akcīzes nodokli par naftas produktiem.</w:t>
            </w:r>
          </w:p>
        </w:tc>
        <w:tc>
          <w:tcPr>
            <w:tcW w:w="2976" w:type="dxa"/>
            <w:vMerge/>
            <w:tcBorders>
              <w:left w:val="single" w:sz="6" w:space="0" w:color="000000"/>
              <w:right w:val="single" w:sz="6" w:space="0" w:color="000000"/>
            </w:tcBorders>
            <w:shd w:val="clear" w:color="auto" w:fill="auto"/>
          </w:tcPr>
          <w:p w14:paraId="3BA4D9A5" w14:textId="420A0BE9" w:rsidR="00D13A0B" w:rsidRPr="001D7630" w:rsidRDefault="00D13A0B" w:rsidP="001D7630">
            <w:pPr>
              <w:rPr>
                <w:b/>
                <w:bCs/>
                <w:iCs/>
              </w:rPr>
            </w:pPr>
          </w:p>
        </w:tc>
        <w:tc>
          <w:tcPr>
            <w:tcW w:w="4291" w:type="dxa"/>
            <w:vMerge/>
            <w:tcBorders>
              <w:left w:val="single" w:sz="4" w:space="0" w:color="auto"/>
            </w:tcBorders>
            <w:shd w:val="clear" w:color="auto" w:fill="auto"/>
          </w:tcPr>
          <w:p w14:paraId="3E3E57FF" w14:textId="2CA2BBA0" w:rsidR="00D13A0B" w:rsidRPr="001D7630" w:rsidRDefault="00D13A0B" w:rsidP="001D7630">
            <w:pPr>
              <w:jc w:val="both"/>
            </w:pPr>
          </w:p>
        </w:tc>
      </w:tr>
      <w:tr w:rsidR="00D13A0B" w:rsidRPr="001D7630" w14:paraId="3B0260E2"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748D3F80" w14:textId="77777777" w:rsidR="00D13A0B" w:rsidRPr="001D7630" w:rsidRDefault="00D13A0B" w:rsidP="001D7630">
            <w:pPr>
              <w:pStyle w:val="naisc"/>
              <w:numPr>
                <w:ilvl w:val="0"/>
                <w:numId w:val="8"/>
              </w:numPr>
              <w:spacing w:before="0" w:after="0"/>
              <w:ind w:left="0" w:firstLine="0"/>
              <w:rPr>
                <w:b/>
              </w:rPr>
            </w:pPr>
          </w:p>
        </w:tc>
        <w:tc>
          <w:tcPr>
            <w:tcW w:w="3041" w:type="dxa"/>
            <w:vMerge/>
            <w:tcBorders>
              <w:left w:val="single" w:sz="6" w:space="0" w:color="000000"/>
              <w:bottom w:val="single" w:sz="6" w:space="0" w:color="000000"/>
              <w:right w:val="single" w:sz="6" w:space="0" w:color="000000"/>
            </w:tcBorders>
            <w:shd w:val="clear" w:color="auto" w:fill="auto"/>
          </w:tcPr>
          <w:p w14:paraId="69CA08EF" w14:textId="77777777" w:rsidR="00D13A0B" w:rsidRPr="001D7630" w:rsidRDefault="00D13A0B" w:rsidP="001D763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DF29DB7" w14:textId="77777777" w:rsidR="00D13A0B" w:rsidRPr="001D7630" w:rsidRDefault="00D13A0B" w:rsidP="001D7630">
            <w:pPr>
              <w:jc w:val="center"/>
              <w:rPr>
                <w:b/>
                <w:bCs/>
              </w:rPr>
            </w:pPr>
            <w:r w:rsidRPr="001D7630">
              <w:rPr>
                <w:b/>
                <w:bCs/>
              </w:rPr>
              <w:t>Būvniecības valsts kontroles birojs</w:t>
            </w:r>
          </w:p>
          <w:p w14:paraId="4475CFA5" w14:textId="77777777" w:rsidR="00D13A0B" w:rsidRPr="001D7630" w:rsidRDefault="00D13A0B" w:rsidP="001D7630">
            <w:pPr>
              <w:jc w:val="center"/>
              <w:rPr>
                <w:b/>
                <w:bCs/>
              </w:rPr>
            </w:pPr>
            <w:r w:rsidRPr="001D7630">
              <w:rPr>
                <w:b/>
                <w:bCs/>
              </w:rPr>
              <w:t>(16.06.2021.)</w:t>
            </w:r>
          </w:p>
          <w:p w14:paraId="388B0618" w14:textId="452C9688" w:rsidR="00D13A0B" w:rsidRPr="001D7630" w:rsidRDefault="00D13A0B" w:rsidP="001D7630">
            <w:pPr>
              <w:tabs>
                <w:tab w:val="left" w:pos="0"/>
              </w:tabs>
              <w:jc w:val="both"/>
            </w:pPr>
            <w:r w:rsidRPr="001D7630">
              <w:t>[1] Likumprojekta 1.panta 20.punkta definīcijā norādīti trīs degvielas piegādātāju subjekti. Lai minētā definīcija būtu uztveramāka un pārskatāmāka, Birojs aicina minēto normas punktu izteikt šādā redakcijā:</w:t>
            </w:r>
          </w:p>
          <w:p w14:paraId="48759A90" w14:textId="77777777" w:rsidR="00D13A0B" w:rsidRPr="001D7630" w:rsidRDefault="00D13A0B" w:rsidP="001D7630">
            <w:pPr>
              <w:tabs>
                <w:tab w:val="left" w:pos="0"/>
              </w:tabs>
              <w:jc w:val="both"/>
            </w:pPr>
            <w:r w:rsidRPr="001D7630">
              <w:t>“20) degvielas piegādātājs –</w:t>
            </w:r>
          </w:p>
          <w:p w14:paraId="62B769F7" w14:textId="77777777" w:rsidR="00D13A0B" w:rsidRPr="001D7630" w:rsidRDefault="00D13A0B" w:rsidP="001D7630">
            <w:pPr>
              <w:pStyle w:val="ListParagraph"/>
              <w:numPr>
                <w:ilvl w:val="0"/>
                <w:numId w:val="17"/>
              </w:numPr>
              <w:tabs>
                <w:tab w:val="left" w:pos="1418"/>
              </w:tabs>
              <w:spacing w:after="0" w:line="240" w:lineRule="auto"/>
              <w:ind w:left="227" w:hanging="227"/>
              <w:contextualSpacing w:val="0"/>
              <w:jc w:val="both"/>
              <w:rPr>
                <w:rFonts w:ascii="Times New Roman" w:hAnsi="Times New Roman"/>
                <w:sz w:val="24"/>
                <w:szCs w:val="24"/>
              </w:rPr>
            </w:pPr>
            <w:r w:rsidRPr="001D7630">
              <w:rPr>
                <w:rFonts w:ascii="Times New Roman" w:hAnsi="Times New Roman"/>
                <w:sz w:val="24"/>
                <w:szCs w:val="24"/>
              </w:rPr>
              <w:t>komersants, kas realizē degvielu galapatēriņam transportā un kuram ir pienākums samaksāt akcīzes nodokli par transporta enerģiju;</w:t>
            </w:r>
          </w:p>
          <w:p w14:paraId="316918E6" w14:textId="77777777" w:rsidR="00D13A0B" w:rsidRPr="001D7630" w:rsidRDefault="00D13A0B" w:rsidP="001D7630">
            <w:pPr>
              <w:pStyle w:val="ListParagraph"/>
              <w:numPr>
                <w:ilvl w:val="0"/>
                <w:numId w:val="17"/>
              </w:numPr>
              <w:tabs>
                <w:tab w:val="left" w:pos="1418"/>
              </w:tabs>
              <w:spacing w:after="0" w:line="240" w:lineRule="auto"/>
              <w:ind w:left="227" w:hanging="227"/>
              <w:contextualSpacing w:val="0"/>
              <w:jc w:val="both"/>
              <w:rPr>
                <w:rFonts w:ascii="Times New Roman" w:hAnsi="Times New Roman"/>
                <w:sz w:val="24"/>
                <w:szCs w:val="24"/>
              </w:rPr>
            </w:pPr>
            <w:r w:rsidRPr="001D7630">
              <w:rPr>
                <w:rFonts w:ascii="Times New Roman" w:hAnsi="Times New Roman"/>
                <w:sz w:val="24"/>
                <w:szCs w:val="24"/>
              </w:rPr>
              <w:t>degvielas mazumtirgotājs, kas realizē importēto vai no Eiropas Savienības dalībvalsts ievesto degvielu;</w:t>
            </w:r>
          </w:p>
          <w:p w14:paraId="27ED062C" w14:textId="77777777" w:rsidR="00D13A0B" w:rsidRPr="001D7630" w:rsidRDefault="00D13A0B" w:rsidP="001D7630">
            <w:pPr>
              <w:pStyle w:val="ListParagraph"/>
              <w:numPr>
                <w:ilvl w:val="0"/>
                <w:numId w:val="17"/>
              </w:numPr>
              <w:tabs>
                <w:tab w:val="left" w:pos="1418"/>
              </w:tabs>
              <w:spacing w:after="0" w:line="240" w:lineRule="auto"/>
              <w:ind w:left="227" w:hanging="227"/>
              <w:contextualSpacing w:val="0"/>
              <w:jc w:val="both"/>
              <w:rPr>
                <w:rFonts w:ascii="Times New Roman" w:hAnsi="Times New Roman"/>
                <w:sz w:val="24"/>
                <w:szCs w:val="24"/>
              </w:rPr>
            </w:pPr>
            <w:r w:rsidRPr="001D7630">
              <w:rPr>
                <w:rFonts w:ascii="Times New Roman" w:hAnsi="Times New Roman"/>
                <w:sz w:val="24"/>
                <w:szCs w:val="24"/>
              </w:rPr>
              <w:t>degvielas vairumtirgotājs, kas realizē degvielu un kuram ir attiecīgā speciāla atļauja (licence);”.</w:t>
            </w:r>
          </w:p>
          <w:p w14:paraId="06C5A759" w14:textId="5A97BC77" w:rsidR="00D13A0B" w:rsidRPr="001D7630" w:rsidRDefault="00D13A0B" w:rsidP="001D7630">
            <w:pPr>
              <w:pStyle w:val="ListParagraph"/>
              <w:spacing w:after="0" w:line="240" w:lineRule="auto"/>
              <w:ind w:left="0"/>
              <w:contextualSpacing w:val="0"/>
              <w:jc w:val="both"/>
              <w:rPr>
                <w:rFonts w:ascii="Times New Roman" w:hAnsi="Times New Roman"/>
                <w:sz w:val="24"/>
                <w:szCs w:val="24"/>
              </w:rPr>
            </w:pPr>
            <w:r w:rsidRPr="001D7630">
              <w:rPr>
                <w:rFonts w:ascii="Times New Roman" w:hAnsi="Times New Roman"/>
                <w:sz w:val="24"/>
                <w:szCs w:val="24"/>
              </w:rPr>
              <w:t>Vienlaikus Birojs vērš uzmanību, ka</w:t>
            </w:r>
            <w:r w:rsidRPr="001D7630">
              <w:rPr>
                <w:sz w:val="24"/>
                <w:szCs w:val="24"/>
              </w:rPr>
              <w:t xml:space="preserve"> </w:t>
            </w:r>
            <w:r w:rsidRPr="001D7630">
              <w:rPr>
                <w:rFonts w:ascii="Times New Roman" w:hAnsi="Times New Roman"/>
                <w:sz w:val="24"/>
                <w:szCs w:val="24"/>
              </w:rPr>
              <w:t xml:space="preserve">jebkuram komersantam, kas nodarbojas ar degvielas realizāciju, ir nepieciešama licence, tāpēc </w:t>
            </w:r>
            <w:r w:rsidRPr="001D7630">
              <w:rPr>
                <w:rFonts w:ascii="Times New Roman" w:hAnsi="Times New Roman"/>
                <w:sz w:val="24"/>
                <w:szCs w:val="24"/>
                <w:u w:val="single"/>
              </w:rPr>
              <w:t>termins “degvielas piegādātājs”</w:t>
            </w:r>
            <w:r w:rsidRPr="001D7630">
              <w:rPr>
                <w:rFonts w:ascii="Times New Roman" w:hAnsi="Times New Roman"/>
                <w:sz w:val="24"/>
                <w:szCs w:val="24"/>
              </w:rPr>
              <w:t xml:space="preserve"> būtu </w:t>
            </w:r>
            <w:r w:rsidRPr="001D7630">
              <w:rPr>
                <w:rFonts w:ascii="Times New Roman" w:hAnsi="Times New Roman"/>
                <w:sz w:val="24"/>
                <w:szCs w:val="24"/>
                <w:u w:val="single"/>
              </w:rPr>
              <w:t>jāprecizē atbilstoši likumam “Par akcīzes nodokli”</w:t>
            </w:r>
            <w:r w:rsidRPr="001D7630">
              <w:rPr>
                <w:rFonts w:ascii="Times New Roman" w:hAnsi="Times New Roman"/>
                <w:sz w:val="24"/>
                <w:szCs w:val="24"/>
              </w:rPr>
              <w:t xml:space="preserve"> un tam pakārtotajiem Ministru kabineta noteikumiem, kur noteikts, ka </w:t>
            </w:r>
            <w:r w:rsidRPr="001D7630">
              <w:rPr>
                <w:rFonts w:ascii="Times New Roman" w:hAnsi="Times New Roman"/>
                <w:sz w:val="24"/>
                <w:szCs w:val="24"/>
                <w:u w:val="single"/>
              </w:rPr>
              <w:t xml:space="preserve">ikvienam komersantam, kas nodarbojas ar </w:t>
            </w:r>
            <w:r w:rsidRPr="001D7630">
              <w:rPr>
                <w:rFonts w:ascii="Times New Roman" w:hAnsi="Times New Roman"/>
                <w:sz w:val="24"/>
                <w:szCs w:val="24"/>
                <w:u w:val="single"/>
              </w:rPr>
              <w:lastRenderedPageBreak/>
              <w:t>degvielas tirdzniecību, ir jābūt speciālajām licencēm</w:t>
            </w:r>
            <w:r w:rsidRPr="001D7630">
              <w:rPr>
                <w:rFonts w:ascii="Times New Roman" w:hAnsi="Times New Roman"/>
                <w:sz w:val="24"/>
                <w:szCs w:val="24"/>
              </w:rPr>
              <w:t>.</w:t>
            </w:r>
          </w:p>
        </w:tc>
        <w:tc>
          <w:tcPr>
            <w:tcW w:w="2976" w:type="dxa"/>
            <w:vMerge/>
            <w:tcBorders>
              <w:left w:val="single" w:sz="6" w:space="0" w:color="000000"/>
              <w:bottom w:val="single" w:sz="6" w:space="0" w:color="000000"/>
              <w:right w:val="single" w:sz="6" w:space="0" w:color="000000"/>
            </w:tcBorders>
            <w:shd w:val="clear" w:color="auto" w:fill="auto"/>
          </w:tcPr>
          <w:p w14:paraId="67B1B1BC" w14:textId="6C79FC29" w:rsidR="00D13A0B" w:rsidRPr="001D7630" w:rsidRDefault="00D13A0B" w:rsidP="001D7630">
            <w:pPr>
              <w:rPr>
                <w:b/>
                <w:bCs/>
                <w:iCs/>
              </w:rPr>
            </w:pPr>
          </w:p>
        </w:tc>
        <w:tc>
          <w:tcPr>
            <w:tcW w:w="4291" w:type="dxa"/>
            <w:vMerge/>
            <w:tcBorders>
              <w:left w:val="single" w:sz="4" w:space="0" w:color="auto"/>
              <w:bottom w:val="single" w:sz="4" w:space="0" w:color="auto"/>
            </w:tcBorders>
            <w:shd w:val="clear" w:color="auto" w:fill="auto"/>
          </w:tcPr>
          <w:p w14:paraId="26FC602D" w14:textId="7827A71A" w:rsidR="00D13A0B" w:rsidRPr="001D7630" w:rsidRDefault="00D13A0B" w:rsidP="001D7630">
            <w:pPr>
              <w:pStyle w:val="ListParagraph"/>
              <w:spacing w:after="0" w:line="240" w:lineRule="auto"/>
              <w:ind w:left="0"/>
              <w:contextualSpacing w:val="0"/>
              <w:rPr>
                <w:rFonts w:ascii="Times New Roman" w:hAnsi="Times New Roman"/>
                <w:sz w:val="24"/>
                <w:szCs w:val="24"/>
                <w:lang w:eastAsia="lv-LV"/>
              </w:rPr>
            </w:pPr>
          </w:p>
        </w:tc>
      </w:tr>
      <w:tr w:rsidR="00BA19C3" w:rsidRPr="001D7630" w14:paraId="6C795053" w14:textId="77777777" w:rsidTr="005D0902">
        <w:trPr>
          <w:jc w:val="center"/>
        </w:trPr>
        <w:tc>
          <w:tcPr>
            <w:tcW w:w="14992" w:type="dxa"/>
            <w:gridSpan w:val="5"/>
            <w:tcBorders>
              <w:top w:val="single" w:sz="6" w:space="0" w:color="000000"/>
              <w:left w:val="single" w:sz="6" w:space="0" w:color="000000"/>
            </w:tcBorders>
          </w:tcPr>
          <w:p w14:paraId="0E79A9F2" w14:textId="77777777" w:rsidR="00BA19C3" w:rsidRPr="001D7630" w:rsidRDefault="00BA19C3" w:rsidP="001D7630">
            <w:pPr>
              <w:pStyle w:val="ListParagraph"/>
              <w:spacing w:after="0" w:line="240" w:lineRule="auto"/>
              <w:ind w:left="0"/>
              <w:contextualSpacing w:val="0"/>
              <w:jc w:val="center"/>
              <w:rPr>
                <w:rFonts w:ascii="Times New Roman" w:hAnsi="Times New Roman"/>
                <w:b/>
                <w:bCs/>
                <w:sz w:val="24"/>
                <w:szCs w:val="24"/>
              </w:rPr>
            </w:pPr>
            <w:r w:rsidRPr="001D7630">
              <w:rPr>
                <w:rFonts w:ascii="Times New Roman" w:hAnsi="Times New Roman"/>
                <w:b/>
                <w:bCs/>
                <w:sz w:val="24"/>
                <w:szCs w:val="24"/>
              </w:rPr>
              <w:t>4.PANTS</w:t>
            </w:r>
          </w:p>
        </w:tc>
      </w:tr>
      <w:tr w:rsidR="00DF2F24" w:rsidRPr="001D7630" w14:paraId="142D903C" w14:textId="77777777" w:rsidTr="005D0902">
        <w:trPr>
          <w:jc w:val="center"/>
        </w:trPr>
        <w:tc>
          <w:tcPr>
            <w:tcW w:w="637" w:type="dxa"/>
            <w:tcBorders>
              <w:top w:val="single" w:sz="6" w:space="0" w:color="000000"/>
              <w:left w:val="single" w:sz="6" w:space="0" w:color="000000"/>
              <w:right w:val="single" w:sz="6" w:space="0" w:color="000000"/>
            </w:tcBorders>
          </w:tcPr>
          <w:p w14:paraId="050B6ED3" w14:textId="77777777" w:rsidR="00DF2F24" w:rsidRPr="001D7630" w:rsidRDefault="00DF2F24" w:rsidP="001D7630">
            <w:pPr>
              <w:pStyle w:val="naisc"/>
              <w:numPr>
                <w:ilvl w:val="0"/>
                <w:numId w:val="8"/>
              </w:numPr>
              <w:spacing w:before="0" w:after="0"/>
              <w:ind w:left="0" w:firstLine="0"/>
              <w:rPr>
                <w:b/>
              </w:rPr>
            </w:pPr>
          </w:p>
        </w:tc>
        <w:tc>
          <w:tcPr>
            <w:tcW w:w="3041" w:type="dxa"/>
            <w:tcBorders>
              <w:top w:val="single" w:sz="6" w:space="0" w:color="000000"/>
              <w:left w:val="single" w:sz="6" w:space="0" w:color="000000"/>
              <w:right w:val="single" w:sz="6" w:space="0" w:color="000000"/>
            </w:tcBorders>
          </w:tcPr>
          <w:p w14:paraId="22A75312" w14:textId="77777777" w:rsidR="00DF2F24" w:rsidRPr="001D7630" w:rsidRDefault="00DF2F24" w:rsidP="001D7630"/>
        </w:tc>
        <w:tc>
          <w:tcPr>
            <w:tcW w:w="4047" w:type="dxa"/>
            <w:tcBorders>
              <w:top w:val="single" w:sz="6" w:space="0" w:color="000000"/>
              <w:left w:val="single" w:sz="6" w:space="0" w:color="000000"/>
              <w:bottom w:val="single" w:sz="6" w:space="0" w:color="000000"/>
              <w:right w:val="single" w:sz="6" w:space="0" w:color="000000"/>
            </w:tcBorders>
          </w:tcPr>
          <w:p w14:paraId="082A98C8" w14:textId="77777777" w:rsidR="00BA19C3" w:rsidRPr="001D7630" w:rsidRDefault="00BA19C3" w:rsidP="001D7630">
            <w:pPr>
              <w:autoSpaceDE w:val="0"/>
              <w:autoSpaceDN w:val="0"/>
              <w:adjustRightInd w:val="0"/>
              <w:jc w:val="center"/>
              <w:rPr>
                <w:b/>
                <w:bCs/>
              </w:rPr>
            </w:pPr>
            <w:r w:rsidRPr="001D7630">
              <w:rPr>
                <w:b/>
                <w:bCs/>
              </w:rPr>
              <w:t>Vides aizsardzības un reģionālās attīstības ministrija</w:t>
            </w:r>
          </w:p>
          <w:p w14:paraId="6533EFD2" w14:textId="77777777" w:rsidR="00BA19C3" w:rsidRPr="001D7630" w:rsidRDefault="00BA19C3" w:rsidP="001D7630">
            <w:pPr>
              <w:autoSpaceDE w:val="0"/>
              <w:autoSpaceDN w:val="0"/>
              <w:adjustRightInd w:val="0"/>
              <w:jc w:val="center"/>
              <w:rPr>
                <w:b/>
                <w:bCs/>
              </w:rPr>
            </w:pPr>
            <w:r w:rsidRPr="001D7630">
              <w:rPr>
                <w:b/>
                <w:bCs/>
              </w:rPr>
              <w:t>(08.01.2021. atzinums)</w:t>
            </w:r>
          </w:p>
          <w:p w14:paraId="148429DA" w14:textId="77777777" w:rsidR="00DF2F24" w:rsidRPr="001D7630" w:rsidRDefault="00BA19C3" w:rsidP="001D7630">
            <w:pPr>
              <w:pStyle w:val="CommentText"/>
              <w:jc w:val="both"/>
              <w:rPr>
                <w:sz w:val="24"/>
                <w:szCs w:val="24"/>
              </w:rPr>
            </w:pPr>
            <w:r w:rsidRPr="001D7630">
              <w:rPr>
                <w:sz w:val="24"/>
                <w:szCs w:val="24"/>
              </w:rPr>
              <w:t>2. Precizēt likumprojekta 4. panta pirmajā daļā, kādu normatīvo aktu prasībām jāatbilst Latvijā realizējamai transporta enerģijai. Izvērtēt, vai būtu nepieciešams kā izņēmumu līdzās elektrotransportam norādīt arī ūdeņraža transportlīdzekļus;</w:t>
            </w:r>
          </w:p>
        </w:tc>
        <w:tc>
          <w:tcPr>
            <w:tcW w:w="2976" w:type="dxa"/>
            <w:tcBorders>
              <w:top w:val="single" w:sz="6" w:space="0" w:color="000000"/>
              <w:left w:val="single" w:sz="6" w:space="0" w:color="000000"/>
              <w:right w:val="single" w:sz="6" w:space="0" w:color="000000"/>
            </w:tcBorders>
          </w:tcPr>
          <w:p w14:paraId="2D464C84" w14:textId="77777777" w:rsidR="00DF2F24" w:rsidRPr="001D7630" w:rsidRDefault="00A3634B" w:rsidP="001D7630">
            <w:pPr>
              <w:jc w:val="center"/>
              <w:rPr>
                <w:b/>
                <w:iCs/>
              </w:rPr>
            </w:pPr>
            <w:r w:rsidRPr="001D7630">
              <w:rPr>
                <w:b/>
                <w:iCs/>
              </w:rPr>
              <w:t>Ņemts vērā</w:t>
            </w:r>
          </w:p>
          <w:p w14:paraId="7CF21FE4" w14:textId="77777777" w:rsidR="00A3634B" w:rsidRPr="001D7630" w:rsidRDefault="00A3634B" w:rsidP="001D7630">
            <w:pPr>
              <w:rPr>
                <w:b/>
                <w:iCs/>
              </w:rPr>
            </w:pPr>
          </w:p>
          <w:p w14:paraId="6FBE7A04" w14:textId="77777777" w:rsidR="00A3634B" w:rsidRPr="001D7630" w:rsidRDefault="00A3634B" w:rsidP="001D7630">
            <w:pPr>
              <w:rPr>
                <w:bCs/>
                <w:iCs/>
              </w:rPr>
            </w:pPr>
            <w:r w:rsidRPr="001D7630">
              <w:rPr>
                <w:bCs/>
                <w:iCs/>
              </w:rPr>
              <w:t>Ūdeņradis netiks noteikts kā izņēmums.</w:t>
            </w:r>
          </w:p>
          <w:p w14:paraId="795BE5F5" w14:textId="77777777" w:rsidR="00A3634B" w:rsidRPr="001D7630" w:rsidRDefault="00A3634B" w:rsidP="001D7630">
            <w:pPr>
              <w:rPr>
                <w:b/>
                <w:iCs/>
              </w:rPr>
            </w:pPr>
            <w:r w:rsidRPr="001D7630">
              <w:rPr>
                <w:bCs/>
                <w:iCs/>
              </w:rPr>
              <w:t>Norādām, ka jau šobrīd ūdeņradim ir noteiktas prasības, piemēram MKN Nr.78 (06.02.2018.) 20.punkts</w:t>
            </w:r>
          </w:p>
        </w:tc>
        <w:tc>
          <w:tcPr>
            <w:tcW w:w="4291" w:type="dxa"/>
            <w:tcBorders>
              <w:top w:val="single" w:sz="4" w:space="0" w:color="auto"/>
              <w:left w:val="single" w:sz="4" w:space="0" w:color="auto"/>
            </w:tcBorders>
          </w:tcPr>
          <w:p w14:paraId="5591E79B" w14:textId="77777777" w:rsidR="00DF2F24" w:rsidRPr="001D7630" w:rsidRDefault="00A3634B" w:rsidP="001D7630">
            <w:r w:rsidRPr="001D7630">
              <w:t>Likumprojekta 4.panta 1.daļa:</w:t>
            </w:r>
          </w:p>
          <w:p w14:paraId="596F0C09" w14:textId="77777777" w:rsidR="00A3634B" w:rsidRPr="001D7630" w:rsidRDefault="00A3634B" w:rsidP="001D7630">
            <w:pPr>
              <w:jc w:val="both"/>
              <w:rPr>
                <w:shd w:val="clear" w:color="auto" w:fill="FFFFFF"/>
              </w:rPr>
            </w:pPr>
            <w:r w:rsidRPr="001D7630">
              <w:rPr>
                <w:shd w:val="clear" w:color="auto" w:fill="FFFFFF"/>
              </w:rPr>
              <w:t>(1) Latvijas Republikas teritorijā atļauts realizēt tikai tādu transporta enerģiju, kas atbilst uz šā likuma pamata izdotajos normatīvajos aktos noteiktajām transporta enerģijas kvalitātes prasībām un rādītājiem. Šī prasība neattiecas uz galapatēriņā transportā izmantoto elektroenerģiju.</w:t>
            </w:r>
          </w:p>
        </w:tc>
      </w:tr>
      <w:tr w:rsidR="00A618F7" w:rsidRPr="001D7630" w14:paraId="0996C45E" w14:textId="77777777" w:rsidTr="005D0902">
        <w:trPr>
          <w:jc w:val="center"/>
        </w:trPr>
        <w:tc>
          <w:tcPr>
            <w:tcW w:w="637" w:type="dxa"/>
            <w:tcBorders>
              <w:top w:val="single" w:sz="6" w:space="0" w:color="000000"/>
              <w:left w:val="single" w:sz="6" w:space="0" w:color="000000"/>
              <w:right w:val="single" w:sz="6" w:space="0" w:color="000000"/>
            </w:tcBorders>
          </w:tcPr>
          <w:p w14:paraId="330314E8" w14:textId="77777777" w:rsidR="00A618F7" w:rsidRPr="001D7630" w:rsidRDefault="00A618F7" w:rsidP="001D7630">
            <w:pPr>
              <w:pStyle w:val="naisc"/>
              <w:numPr>
                <w:ilvl w:val="0"/>
                <w:numId w:val="8"/>
              </w:numPr>
              <w:spacing w:before="0" w:after="0"/>
              <w:ind w:left="0" w:firstLine="0"/>
              <w:rPr>
                <w:b/>
              </w:rPr>
            </w:pPr>
          </w:p>
        </w:tc>
        <w:tc>
          <w:tcPr>
            <w:tcW w:w="3041" w:type="dxa"/>
            <w:tcBorders>
              <w:top w:val="single" w:sz="6" w:space="0" w:color="000000"/>
              <w:left w:val="single" w:sz="6" w:space="0" w:color="000000"/>
              <w:right w:val="single" w:sz="6" w:space="0" w:color="000000"/>
            </w:tcBorders>
          </w:tcPr>
          <w:p w14:paraId="1845CA39" w14:textId="77777777" w:rsidR="00A618F7" w:rsidRPr="001D7630" w:rsidRDefault="00A618F7" w:rsidP="001D7630"/>
        </w:tc>
        <w:tc>
          <w:tcPr>
            <w:tcW w:w="4047" w:type="dxa"/>
            <w:tcBorders>
              <w:top w:val="single" w:sz="6" w:space="0" w:color="000000"/>
              <w:left w:val="single" w:sz="6" w:space="0" w:color="000000"/>
              <w:bottom w:val="single" w:sz="6" w:space="0" w:color="000000"/>
              <w:right w:val="single" w:sz="6" w:space="0" w:color="000000"/>
            </w:tcBorders>
          </w:tcPr>
          <w:p w14:paraId="486B9A30" w14:textId="77777777" w:rsidR="00A618F7" w:rsidRPr="001D7630" w:rsidRDefault="00A618F7" w:rsidP="001D7630">
            <w:pPr>
              <w:autoSpaceDE w:val="0"/>
              <w:autoSpaceDN w:val="0"/>
              <w:adjustRightInd w:val="0"/>
              <w:jc w:val="center"/>
              <w:rPr>
                <w:b/>
                <w:bCs/>
              </w:rPr>
            </w:pPr>
            <w:r w:rsidRPr="001D7630">
              <w:rPr>
                <w:b/>
                <w:bCs/>
              </w:rPr>
              <w:t>Latvijas Degvielas tirgotāju asociācija</w:t>
            </w:r>
          </w:p>
          <w:p w14:paraId="63070717" w14:textId="77777777" w:rsidR="00A618F7" w:rsidRPr="001D7630" w:rsidRDefault="00A618F7" w:rsidP="001D7630">
            <w:pPr>
              <w:autoSpaceDE w:val="0"/>
              <w:autoSpaceDN w:val="0"/>
              <w:adjustRightInd w:val="0"/>
              <w:jc w:val="center"/>
              <w:rPr>
                <w:b/>
                <w:bCs/>
              </w:rPr>
            </w:pPr>
            <w:r w:rsidRPr="001D7630">
              <w:rPr>
                <w:b/>
                <w:bCs/>
              </w:rPr>
              <w:t>(13.01.2021. atzinums)</w:t>
            </w:r>
          </w:p>
          <w:p w14:paraId="1FA7ED87" w14:textId="77777777" w:rsidR="00A618F7" w:rsidRPr="001D7630" w:rsidRDefault="00A618F7" w:rsidP="001D7630">
            <w:pPr>
              <w:jc w:val="both"/>
            </w:pPr>
            <w:r w:rsidRPr="001D7630">
              <w:t>[1.] Likumprojekta 4.pants:</w:t>
            </w:r>
          </w:p>
          <w:p w14:paraId="0850044D" w14:textId="77777777" w:rsidR="00A618F7" w:rsidRPr="001D7630" w:rsidRDefault="00A618F7" w:rsidP="001D7630">
            <w:pPr>
              <w:jc w:val="both"/>
            </w:pPr>
            <w:r w:rsidRPr="001D7630">
              <w:t>[1.1.] lūdzam svītrot likumprojekta 4.panta piekto daļu, kas ievieš līdz šim nebijušu prasību un paredz transporta enerģijas kvalitātes atbilstību apliecināt atkārtoti, ja ir pagājuši vairāk nekā seši mēneši kopš šā panta trešajā daļā minētā sertifikāta vai apliecinājuma izdošanas.</w:t>
            </w:r>
          </w:p>
          <w:p w14:paraId="00C1B08E" w14:textId="77777777" w:rsidR="00A618F7" w:rsidRPr="001D7630" w:rsidRDefault="00A618F7" w:rsidP="001D7630">
            <w:pPr>
              <w:ind w:firstLine="567"/>
              <w:jc w:val="both"/>
            </w:pPr>
            <w:r w:rsidRPr="001D7630">
              <w:t xml:space="preserve">Vēršam uzmanību, ka tā paša panta pirmā daļa noteic, ka </w:t>
            </w:r>
            <w:r w:rsidRPr="001D7630">
              <w:rPr>
                <w:shd w:val="clear" w:color="auto" w:fill="FFFFFF"/>
              </w:rPr>
              <w:t xml:space="preserve">Latvijas Republikas teritorijā atļauts realizēt tikai tādu transporta enerģiju, kas atbilst normatīvajos aktos noteiktajām transporta enerģijas kvalitātes prasībām un rādītājiem. Savukārt otrā daļa noteic, ka </w:t>
            </w:r>
            <w:r w:rsidRPr="001D7630">
              <w:t xml:space="preserve">persona, kas galapatēriņam transportā realizē transporta enerģiju, ir atbildīga par šā panta pirmajā daļā minēto rādītāju </w:t>
            </w:r>
            <w:r w:rsidRPr="001D7630">
              <w:lastRenderedPageBreak/>
              <w:t xml:space="preserve">un prasību ievērošanu. Kvalitāti apliecina ar vienreizēju atbilstības sertifikātu vai atbilstības apliecinājumu. Tāpat likumprojekts paredz degvielas kvalitātes kontroli dabā, degvielas kvalitāti uzraugošajai institūcijai ņemot degvielas paraugus un tos testējot. </w:t>
            </w:r>
          </w:p>
          <w:p w14:paraId="219EDC01" w14:textId="77777777" w:rsidR="00A618F7" w:rsidRPr="001D7630" w:rsidRDefault="00A618F7" w:rsidP="001D7630">
            <w:pPr>
              <w:ind w:firstLine="567"/>
              <w:jc w:val="both"/>
            </w:pPr>
            <w:r w:rsidRPr="001D7630">
              <w:t>Kvalitātes prasībām atbilstošas degvielas realizācija ir katra paša degvielas piegādātāja atbildība un katrs degvielas piegādātājs atbilstoši savai iekšējai kontroles kārtībai uzrauga un nodrošina kvalitātes prasībām atbilstošas degvielas realizāciju. Prasība par testēšanas institūciju degvielas kvalitātes atbilstības apliecināšanu ik pēc sešiem mēnešiem, izsniedzot jaunus kvalitātes apliecinošus dokumentus, nav pamatota un lietderīga. Turklāt šādas jaunas prasības ieviešana ievērojami palielinās degvielas piegādātājam administratīvo slogu, t.sk. administratīvās izmaksas par jauna atbilstības sertifikāta vai atbilstības apliecinājuma saņemšanu.</w:t>
            </w:r>
          </w:p>
          <w:p w14:paraId="666AD07A" w14:textId="77777777" w:rsidR="00A618F7" w:rsidRPr="001D7630" w:rsidRDefault="00A618F7" w:rsidP="001D7630">
            <w:pPr>
              <w:ind w:firstLine="567"/>
              <w:jc w:val="both"/>
              <w:rPr>
                <w:rFonts w:eastAsiaTheme="minorHAnsi"/>
                <w:shd w:val="clear" w:color="auto" w:fill="FFFFFF"/>
                <w:lang w:eastAsia="en-US"/>
              </w:rPr>
            </w:pPr>
            <w:r w:rsidRPr="001D7630">
              <w:rPr>
                <w:shd w:val="clear" w:color="auto" w:fill="FFFFFF"/>
              </w:rPr>
              <w:t xml:space="preserve">Norādām, ka Ministru kabineta 2019. gada 20.augusta sēdē tika izskatīts Informatīvais ziņojums "Par "nulles birokrātijas" pieejas ieviešanu tiesību aktu izstrādes procesā" un nolemts visām ministrijām ar 2019.gada 1.novembri tiesību aktu projektu izstrādes procesā nodrošināt informatīvajā ziņojumā </w:t>
            </w:r>
            <w:r w:rsidRPr="001D7630">
              <w:rPr>
                <w:shd w:val="clear" w:color="auto" w:fill="FFFFFF"/>
              </w:rPr>
              <w:lastRenderedPageBreak/>
              <w:t xml:space="preserve">paredzētās "nulles birokrātijas" pieejas ievērošanu. </w:t>
            </w:r>
          </w:p>
          <w:p w14:paraId="2ACCD3EB" w14:textId="77777777" w:rsidR="00A618F7" w:rsidRPr="001D7630" w:rsidRDefault="00A618F7" w:rsidP="001D7630">
            <w:pPr>
              <w:ind w:firstLine="567"/>
              <w:jc w:val="both"/>
              <w:rPr>
                <w:spacing w:val="6"/>
                <w:shd w:val="clear" w:color="auto" w:fill="FFFFFF"/>
              </w:rPr>
            </w:pPr>
            <w:r w:rsidRPr="001D7630">
              <w:rPr>
                <w:rStyle w:val="Emphasis"/>
                <w:spacing w:val="6"/>
                <w:shd w:val="clear" w:color="auto" w:fill="FFFFFF"/>
              </w:rPr>
              <w:t>Nulles birokrātijas</w:t>
            </w:r>
            <w:r w:rsidRPr="001D7630">
              <w:rPr>
                <w:spacing w:val="6"/>
                <w:shd w:val="clear" w:color="auto" w:fill="FFFFFF"/>
              </w:rPr>
              <w:t> pieeja balstās </w:t>
            </w:r>
            <w:r w:rsidRPr="001D7630">
              <w:rPr>
                <w:rStyle w:val="Emphasis"/>
                <w:spacing w:val="6"/>
                <w:shd w:val="clear" w:color="auto" w:fill="FFFFFF"/>
              </w:rPr>
              <w:t>net–zero</w:t>
            </w:r>
            <w:r w:rsidRPr="001D7630">
              <w:rPr>
                <w:spacing w:val="6"/>
                <w:shd w:val="clear" w:color="auto" w:fill="FFFFFF"/>
              </w:rPr>
              <w:t> principā jeb balansa nodrošināšanā – nepalielināt administratīvās izmaksas uzņēmējiem.  Iesniedzot Ministru kabinetam tiesību akta projektu, kas palielina administratīvo slogu, iesniedzējam vienlaikus jāiesniedz tiesību akta projekts, kas tai pašai mērķa grupai slogu samazina līdzvērtīgā apjomā. Ja jaunizstrādātais tiesību akta projekts paredz jaunas izmaksas, tad tās ir jālīdzsvaro, samazinot esošā regulējuma noteiktās administratīvās un atbilstības izmaksas tajā pašā apjomā – lai izmaiņu rezultātā sasniegtu </w:t>
            </w:r>
            <w:r w:rsidRPr="001D7630">
              <w:rPr>
                <w:rStyle w:val="Emphasis"/>
                <w:spacing w:val="6"/>
                <w:shd w:val="clear" w:color="auto" w:fill="FFFFFF"/>
              </w:rPr>
              <w:t>nulles bilanci</w:t>
            </w:r>
            <w:r w:rsidRPr="001D7630">
              <w:rPr>
                <w:spacing w:val="6"/>
                <w:shd w:val="clear" w:color="auto" w:fill="FFFFFF"/>
              </w:rPr>
              <w:t xml:space="preserve">. </w:t>
            </w:r>
          </w:p>
          <w:p w14:paraId="0EEA9645" w14:textId="77777777" w:rsidR="00A618F7" w:rsidRPr="001D7630" w:rsidRDefault="00A618F7" w:rsidP="001D7630">
            <w:pPr>
              <w:ind w:firstLine="567"/>
              <w:jc w:val="both"/>
            </w:pPr>
            <w:r w:rsidRPr="001D7630">
              <w:rPr>
                <w:spacing w:val="6"/>
                <w:shd w:val="clear" w:color="auto" w:fill="FFFFFF"/>
              </w:rPr>
              <w:t xml:space="preserve">Paredzot Transporta enerģijas likumprojektā prasību par </w:t>
            </w:r>
            <w:r w:rsidRPr="001D7630">
              <w:t>transporta enerģijas kvalitātes atbilstības atkārtotu apliecināšanu ik pēc 6 mēnešiem, netiek ievērota “nulles birokrātijas” pieeja.</w:t>
            </w:r>
          </w:p>
          <w:p w14:paraId="58939BDF" w14:textId="77777777" w:rsidR="00A618F7" w:rsidRPr="001D7630" w:rsidRDefault="00A618F7" w:rsidP="001D7630">
            <w:pPr>
              <w:ind w:firstLine="567"/>
              <w:jc w:val="both"/>
              <w:rPr>
                <w:rFonts w:eastAsiaTheme="minorHAnsi"/>
                <w:shd w:val="clear" w:color="auto" w:fill="FFFFFF"/>
                <w:lang w:eastAsia="en-US"/>
              </w:rPr>
            </w:pPr>
            <w:r w:rsidRPr="001D7630">
              <w:t>[1.2.] Lūdzam precizēt panta astoto daļu un devītās daļas 2.punktu, paredzot iespēju kvalitātes prasībām neatbilstošu degvielu atgriezt attiecīgajam degvielas piegādātājam.</w:t>
            </w:r>
          </w:p>
        </w:tc>
        <w:tc>
          <w:tcPr>
            <w:tcW w:w="2976" w:type="dxa"/>
            <w:tcBorders>
              <w:top w:val="single" w:sz="6" w:space="0" w:color="000000"/>
              <w:left w:val="single" w:sz="6" w:space="0" w:color="000000"/>
              <w:right w:val="single" w:sz="6" w:space="0" w:color="000000"/>
            </w:tcBorders>
          </w:tcPr>
          <w:p w14:paraId="31CFACCE" w14:textId="77777777" w:rsidR="00A618F7" w:rsidRPr="001D7630" w:rsidRDefault="004F626B" w:rsidP="001D7630">
            <w:pPr>
              <w:jc w:val="center"/>
              <w:rPr>
                <w:b/>
                <w:iCs/>
              </w:rPr>
            </w:pPr>
            <w:r w:rsidRPr="001D7630">
              <w:rPr>
                <w:b/>
                <w:iCs/>
              </w:rPr>
              <w:lastRenderedPageBreak/>
              <w:t>Ņemts vērā</w:t>
            </w:r>
          </w:p>
          <w:p w14:paraId="072518CE" w14:textId="77777777" w:rsidR="00E47971" w:rsidRPr="001D7630" w:rsidRDefault="00E47971" w:rsidP="001D7630">
            <w:pPr>
              <w:rPr>
                <w:b/>
                <w:iCs/>
              </w:rPr>
            </w:pPr>
          </w:p>
          <w:p w14:paraId="353552A1" w14:textId="77777777" w:rsidR="00E47971" w:rsidRPr="001D7630" w:rsidRDefault="00E47971" w:rsidP="001D7630">
            <w:pPr>
              <w:rPr>
                <w:bCs/>
                <w:iCs/>
              </w:rPr>
            </w:pPr>
            <w:r w:rsidRPr="001D7630">
              <w:rPr>
                <w:bCs/>
                <w:iCs/>
              </w:rPr>
              <w:t>[1.2] likumprojekta 4.panta 8.daļas 2.punkts netiks precizēts, jo tas regulē tikai BVKB darbības neatbilstošas transporta enerģijas iznīcināšanai. Atgriešanas un pārstrādes darbības, ko veiktu degvielas piegādātājs,</w:t>
            </w:r>
            <w:r w:rsidR="00321100" w:rsidRPr="001D7630">
              <w:rPr>
                <w:bCs/>
                <w:iCs/>
              </w:rPr>
              <w:t xml:space="preserve"> tiktu regulētas MK noteikumos, balstoties uz likumprojekta 4.panta 8.daļas 1.punkta deleģējumu</w:t>
            </w:r>
          </w:p>
        </w:tc>
        <w:tc>
          <w:tcPr>
            <w:tcW w:w="4291" w:type="dxa"/>
            <w:tcBorders>
              <w:top w:val="single" w:sz="4" w:space="0" w:color="auto"/>
              <w:left w:val="single" w:sz="4" w:space="0" w:color="auto"/>
            </w:tcBorders>
          </w:tcPr>
          <w:p w14:paraId="59AFC261" w14:textId="77777777" w:rsidR="00A618F7" w:rsidRPr="001D7630" w:rsidRDefault="004F626B" w:rsidP="001D7630">
            <w:r w:rsidRPr="001D7630">
              <w:t>Likumprojekta 4.panta 5.daļa ir svītrota</w:t>
            </w:r>
            <w:r w:rsidR="00E47971" w:rsidRPr="001D7630">
              <w:t>.</w:t>
            </w:r>
          </w:p>
          <w:p w14:paraId="46C0DF8D" w14:textId="77777777" w:rsidR="00E47971" w:rsidRPr="001D7630" w:rsidRDefault="00E47971" w:rsidP="001D7630"/>
          <w:p w14:paraId="704CF5AB" w14:textId="77777777" w:rsidR="00E47971" w:rsidRPr="001D7630" w:rsidRDefault="00E47971" w:rsidP="001D7630">
            <w:r w:rsidRPr="001D7630">
              <w:t>Likumprojekta 4.panta 7.</w:t>
            </w:r>
            <w:r w:rsidR="00321100" w:rsidRPr="001D7630">
              <w:t xml:space="preserve"> un 8.</w:t>
            </w:r>
            <w:r w:rsidRPr="001D7630">
              <w:t>daļa ir precizēta.</w:t>
            </w:r>
          </w:p>
          <w:p w14:paraId="53798BF8" w14:textId="77777777" w:rsidR="00E47971" w:rsidRPr="001D7630" w:rsidRDefault="00E47971" w:rsidP="001D7630"/>
          <w:p w14:paraId="78FB83D4" w14:textId="77777777" w:rsidR="00E47971" w:rsidRPr="001D7630" w:rsidRDefault="00E47971" w:rsidP="001D7630"/>
          <w:p w14:paraId="63FD5AF1" w14:textId="77777777" w:rsidR="00E47971" w:rsidRPr="001D7630" w:rsidRDefault="00E47971" w:rsidP="001D7630"/>
        </w:tc>
      </w:tr>
      <w:tr w:rsidR="001A52A0" w:rsidRPr="001D7630" w14:paraId="286A9AE4" w14:textId="77777777" w:rsidTr="00D13A0B">
        <w:trPr>
          <w:jc w:val="center"/>
        </w:trPr>
        <w:tc>
          <w:tcPr>
            <w:tcW w:w="637" w:type="dxa"/>
            <w:tcBorders>
              <w:top w:val="single" w:sz="6" w:space="0" w:color="000000"/>
              <w:left w:val="single" w:sz="6" w:space="0" w:color="000000"/>
              <w:right w:val="single" w:sz="6" w:space="0" w:color="000000"/>
            </w:tcBorders>
            <w:shd w:val="clear" w:color="auto" w:fill="auto"/>
          </w:tcPr>
          <w:p w14:paraId="1749CFDF" w14:textId="77777777" w:rsidR="001A52A0" w:rsidRPr="001D7630" w:rsidRDefault="001A52A0" w:rsidP="001D7630">
            <w:pPr>
              <w:pStyle w:val="naisc"/>
              <w:numPr>
                <w:ilvl w:val="0"/>
                <w:numId w:val="8"/>
              </w:numPr>
              <w:spacing w:before="0" w:after="0"/>
              <w:ind w:left="0" w:firstLine="0"/>
              <w:rPr>
                <w:b/>
              </w:rPr>
            </w:pPr>
          </w:p>
        </w:tc>
        <w:tc>
          <w:tcPr>
            <w:tcW w:w="3041" w:type="dxa"/>
            <w:tcBorders>
              <w:top w:val="single" w:sz="6" w:space="0" w:color="000000"/>
              <w:left w:val="single" w:sz="6" w:space="0" w:color="000000"/>
              <w:right w:val="single" w:sz="6" w:space="0" w:color="000000"/>
            </w:tcBorders>
            <w:shd w:val="clear" w:color="auto" w:fill="auto"/>
          </w:tcPr>
          <w:p w14:paraId="05B855FD" w14:textId="77777777" w:rsidR="001A52A0" w:rsidRPr="001D7630" w:rsidRDefault="001A52A0" w:rsidP="001D7630"/>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325D2B86" w14:textId="77777777" w:rsidR="001A52A0" w:rsidRPr="001D7630" w:rsidRDefault="001A52A0" w:rsidP="001D7630">
            <w:pPr>
              <w:autoSpaceDE w:val="0"/>
              <w:autoSpaceDN w:val="0"/>
              <w:adjustRightInd w:val="0"/>
              <w:jc w:val="center"/>
              <w:rPr>
                <w:b/>
                <w:bCs/>
              </w:rPr>
            </w:pPr>
            <w:r w:rsidRPr="001D7630">
              <w:rPr>
                <w:b/>
                <w:bCs/>
              </w:rPr>
              <w:t>Būvniecības valsts kontroles birojs</w:t>
            </w:r>
          </w:p>
          <w:p w14:paraId="006AF753" w14:textId="77777777" w:rsidR="001A52A0" w:rsidRPr="001D7630" w:rsidRDefault="001A52A0" w:rsidP="001D7630">
            <w:pPr>
              <w:autoSpaceDE w:val="0"/>
              <w:autoSpaceDN w:val="0"/>
              <w:adjustRightInd w:val="0"/>
              <w:jc w:val="center"/>
              <w:rPr>
                <w:b/>
                <w:bCs/>
              </w:rPr>
            </w:pPr>
            <w:r w:rsidRPr="001D7630">
              <w:rPr>
                <w:b/>
                <w:bCs/>
              </w:rPr>
              <w:t>(16.06.2021.)</w:t>
            </w:r>
          </w:p>
          <w:p w14:paraId="5E45925D" w14:textId="77777777" w:rsidR="003C138A" w:rsidRPr="001D7630" w:rsidRDefault="001A52A0" w:rsidP="001D7630">
            <w:pPr>
              <w:pStyle w:val="ListParagraph"/>
              <w:spacing w:after="0" w:line="240" w:lineRule="auto"/>
              <w:ind w:left="0"/>
              <w:contextualSpacing w:val="0"/>
              <w:jc w:val="both"/>
              <w:rPr>
                <w:rFonts w:ascii="Times New Roman" w:hAnsi="Times New Roman"/>
                <w:sz w:val="24"/>
                <w:szCs w:val="24"/>
              </w:rPr>
            </w:pPr>
            <w:r w:rsidRPr="001D7630">
              <w:rPr>
                <w:rFonts w:ascii="Times New Roman" w:hAnsi="Times New Roman"/>
                <w:sz w:val="24"/>
                <w:szCs w:val="24"/>
              </w:rPr>
              <w:t xml:space="preserve">[2]  Lai nodrošinātu konsekventu terminoloģijas lietošanu visā </w:t>
            </w:r>
            <w:r w:rsidRPr="001D7630">
              <w:rPr>
                <w:rFonts w:ascii="Times New Roman" w:hAnsi="Times New Roman"/>
                <w:sz w:val="24"/>
                <w:szCs w:val="24"/>
              </w:rPr>
              <w:lastRenderedPageBreak/>
              <w:t xml:space="preserve">Likumprojektā, Birojs aicina </w:t>
            </w:r>
            <w:r w:rsidRPr="001D7630">
              <w:rPr>
                <w:rFonts w:ascii="Times New Roman" w:hAnsi="Times New Roman"/>
                <w:i/>
                <w:iCs/>
                <w:sz w:val="24"/>
                <w:szCs w:val="24"/>
              </w:rPr>
              <w:t>Likumprojekta 4.panta otrajā daļā</w:t>
            </w:r>
            <w:r w:rsidRPr="001D7630">
              <w:rPr>
                <w:rFonts w:ascii="Times New Roman" w:hAnsi="Times New Roman"/>
                <w:sz w:val="24"/>
                <w:szCs w:val="24"/>
              </w:rPr>
              <w:t xml:space="preserve"> vārdu “persona” aizstāt ar terminu “komersants”.</w:t>
            </w:r>
          </w:p>
          <w:p w14:paraId="0BC77253" w14:textId="2F175CF9" w:rsidR="003C138A" w:rsidRPr="001D7630" w:rsidRDefault="003C138A" w:rsidP="001D7630">
            <w:pPr>
              <w:pStyle w:val="ListParagraph"/>
              <w:spacing w:after="0" w:line="240" w:lineRule="auto"/>
              <w:ind w:left="0" w:firstLine="709"/>
              <w:contextualSpacing w:val="0"/>
              <w:jc w:val="both"/>
              <w:rPr>
                <w:rFonts w:ascii="Times New Roman" w:hAnsi="Times New Roman"/>
                <w:sz w:val="24"/>
                <w:szCs w:val="24"/>
              </w:rPr>
            </w:pPr>
            <w:r w:rsidRPr="001D7630">
              <w:rPr>
                <w:rFonts w:ascii="Times New Roman" w:hAnsi="Times New Roman"/>
                <w:sz w:val="24"/>
                <w:szCs w:val="24"/>
              </w:rPr>
              <w:t xml:space="preserve">Birojs lūdz skaidrot </w:t>
            </w:r>
            <w:r w:rsidRPr="001D7630">
              <w:rPr>
                <w:rFonts w:ascii="Times New Roman" w:hAnsi="Times New Roman"/>
                <w:i/>
                <w:iCs/>
                <w:sz w:val="24"/>
                <w:szCs w:val="24"/>
              </w:rPr>
              <w:t xml:space="preserve">Likumprojekta 4.panta septīto daļu, </w:t>
            </w:r>
            <w:r w:rsidRPr="001D7630">
              <w:rPr>
                <w:rFonts w:ascii="Times New Roman" w:hAnsi="Times New Roman"/>
                <w:sz w:val="24"/>
                <w:szCs w:val="24"/>
              </w:rPr>
              <w:t>t.i., nekavējoties pieņem lēmumu. Iesaistītajām pusēm būtu jābūt skaidram normas tvērumam, tai skaitā, apstrīdēšanas iespējas.</w:t>
            </w:r>
          </w:p>
        </w:tc>
        <w:tc>
          <w:tcPr>
            <w:tcW w:w="2976" w:type="dxa"/>
            <w:tcBorders>
              <w:top w:val="single" w:sz="6" w:space="0" w:color="000000"/>
              <w:left w:val="single" w:sz="6" w:space="0" w:color="000000"/>
              <w:right w:val="single" w:sz="6" w:space="0" w:color="000000"/>
            </w:tcBorders>
            <w:shd w:val="clear" w:color="auto" w:fill="auto"/>
          </w:tcPr>
          <w:p w14:paraId="7D79A274" w14:textId="78C724CC" w:rsidR="001A52A0" w:rsidRPr="001D7630" w:rsidRDefault="001A52A0" w:rsidP="001D7630">
            <w:pPr>
              <w:jc w:val="center"/>
              <w:rPr>
                <w:b/>
                <w:iCs/>
              </w:rPr>
            </w:pPr>
            <w:r w:rsidRPr="001D7630">
              <w:rPr>
                <w:b/>
                <w:iCs/>
              </w:rPr>
              <w:lastRenderedPageBreak/>
              <w:t>Ņemts vērā</w:t>
            </w:r>
          </w:p>
        </w:tc>
        <w:tc>
          <w:tcPr>
            <w:tcW w:w="4291" w:type="dxa"/>
            <w:tcBorders>
              <w:top w:val="single" w:sz="4" w:space="0" w:color="auto"/>
              <w:left w:val="single" w:sz="4" w:space="0" w:color="auto"/>
            </w:tcBorders>
            <w:shd w:val="clear" w:color="auto" w:fill="auto"/>
          </w:tcPr>
          <w:p w14:paraId="3E5A4735" w14:textId="53036326" w:rsidR="001A52A0" w:rsidRPr="001D7630" w:rsidRDefault="001A52A0" w:rsidP="001D7630">
            <w:r w:rsidRPr="001D7630">
              <w:t>Likumprojekta 4.pant</w:t>
            </w:r>
            <w:r w:rsidR="00F06E87" w:rsidRPr="001D7630">
              <w:t>s</w:t>
            </w:r>
            <w:r w:rsidRPr="001D7630">
              <w:t xml:space="preserve"> ir precizēt</w:t>
            </w:r>
            <w:r w:rsidR="003C138A" w:rsidRPr="001D7630">
              <w:t>s</w:t>
            </w:r>
          </w:p>
        </w:tc>
      </w:tr>
      <w:tr w:rsidR="00780010" w:rsidRPr="001D7630" w14:paraId="0630A01B" w14:textId="77777777" w:rsidTr="00D13A0B">
        <w:trPr>
          <w:jc w:val="center"/>
        </w:trPr>
        <w:tc>
          <w:tcPr>
            <w:tcW w:w="637" w:type="dxa"/>
            <w:tcBorders>
              <w:top w:val="single" w:sz="6" w:space="0" w:color="000000"/>
              <w:left w:val="single" w:sz="6" w:space="0" w:color="000000"/>
              <w:right w:val="single" w:sz="6" w:space="0" w:color="000000"/>
            </w:tcBorders>
            <w:shd w:val="clear" w:color="auto" w:fill="auto"/>
          </w:tcPr>
          <w:p w14:paraId="798EF794" w14:textId="77777777" w:rsidR="00780010" w:rsidRPr="001D7630" w:rsidRDefault="00780010" w:rsidP="00780010">
            <w:pPr>
              <w:pStyle w:val="naisc"/>
              <w:numPr>
                <w:ilvl w:val="0"/>
                <w:numId w:val="8"/>
              </w:numPr>
              <w:spacing w:before="0" w:after="0"/>
              <w:ind w:left="0" w:firstLine="0"/>
              <w:rPr>
                <w:b/>
              </w:rPr>
            </w:pPr>
          </w:p>
        </w:tc>
        <w:tc>
          <w:tcPr>
            <w:tcW w:w="3041" w:type="dxa"/>
            <w:vMerge w:val="restart"/>
            <w:tcBorders>
              <w:top w:val="single" w:sz="6" w:space="0" w:color="000000"/>
              <w:left w:val="single" w:sz="6" w:space="0" w:color="000000"/>
              <w:right w:val="single" w:sz="6" w:space="0" w:color="000000"/>
            </w:tcBorders>
            <w:shd w:val="clear" w:color="auto" w:fill="auto"/>
          </w:tcPr>
          <w:p w14:paraId="3719AEB8" w14:textId="77777777" w:rsidR="00780010" w:rsidRPr="001D7630" w:rsidRDefault="00780010" w:rsidP="00780010">
            <w:pPr>
              <w:pStyle w:val="naisf"/>
              <w:spacing w:before="0" w:after="0"/>
              <w:ind w:firstLine="0"/>
            </w:pPr>
            <w:r w:rsidRPr="001D7630">
              <w:t>Likumprojekta 4.panta 6.daļa:</w:t>
            </w:r>
          </w:p>
          <w:p w14:paraId="7CBCD569" w14:textId="6F508CA7" w:rsidR="00780010" w:rsidRPr="001D7630" w:rsidRDefault="00780010" w:rsidP="00780010">
            <w:r w:rsidRPr="001D7630">
              <w:t>“(6) Ministru kabineta noteiktai institūcijai, kas nodrošina enerģētikas politikas administrēšanu (turpmāk – Ministru kabineta noteikta institūcija) ir tiesības noņemt transporta degvielas paraugus bez maksas.”</w:t>
            </w: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0030CB46" w14:textId="77777777" w:rsidR="00780010" w:rsidRPr="001D7630" w:rsidRDefault="00780010" w:rsidP="00780010">
            <w:pPr>
              <w:autoSpaceDE w:val="0"/>
              <w:autoSpaceDN w:val="0"/>
              <w:adjustRightInd w:val="0"/>
              <w:jc w:val="center"/>
              <w:rPr>
                <w:b/>
                <w:bCs/>
              </w:rPr>
            </w:pPr>
            <w:r w:rsidRPr="001D7630">
              <w:rPr>
                <w:b/>
                <w:bCs/>
              </w:rPr>
              <w:t>Latvijas Degvielas tirgotāju asociācija</w:t>
            </w:r>
          </w:p>
          <w:p w14:paraId="6AF2DF6B" w14:textId="77777777" w:rsidR="00780010" w:rsidRPr="001D7630" w:rsidRDefault="00780010" w:rsidP="00780010">
            <w:pPr>
              <w:autoSpaceDE w:val="0"/>
              <w:autoSpaceDN w:val="0"/>
              <w:adjustRightInd w:val="0"/>
              <w:jc w:val="center"/>
              <w:rPr>
                <w:b/>
                <w:bCs/>
              </w:rPr>
            </w:pPr>
            <w:r w:rsidRPr="001D7630">
              <w:rPr>
                <w:b/>
                <w:bCs/>
              </w:rPr>
              <w:t>(14.06.2021. atzinums)</w:t>
            </w:r>
          </w:p>
          <w:p w14:paraId="735405AB" w14:textId="02720569" w:rsidR="00780010" w:rsidRPr="001D7630" w:rsidRDefault="00780010" w:rsidP="009A5411">
            <w:pPr>
              <w:autoSpaceDE w:val="0"/>
              <w:autoSpaceDN w:val="0"/>
              <w:adjustRightInd w:val="0"/>
              <w:jc w:val="both"/>
              <w:rPr>
                <w:b/>
                <w:bCs/>
              </w:rPr>
            </w:pPr>
            <w:r w:rsidRPr="001D7630">
              <w:t>[2.] Lūdzam precizēt likumprojekta 4.panta sesto un septīto daļu, to saskaņot ar likumprojekta 12.panta otro daļu. Vēršam uzmanību, ka normatīvajā regulējumā ir nepieciešams regulēt degvielas paraugu ņemšanas procedūru bez maksas, ņemot vērā, ka degviela ir akcīzes prece un pakļauta akcīzes preču aprites noteikumiem. Degvielas paraugu ņemšanas un ar to saistīto izmaksu regulēšanā aicinām pieturēties pie spēkā esošā regulējuma.</w:t>
            </w:r>
          </w:p>
        </w:tc>
        <w:tc>
          <w:tcPr>
            <w:tcW w:w="2976" w:type="dxa"/>
            <w:vMerge w:val="restart"/>
            <w:tcBorders>
              <w:top w:val="single" w:sz="6" w:space="0" w:color="000000"/>
              <w:left w:val="single" w:sz="6" w:space="0" w:color="000000"/>
              <w:right w:val="single" w:sz="6" w:space="0" w:color="000000"/>
            </w:tcBorders>
            <w:shd w:val="clear" w:color="auto" w:fill="auto"/>
          </w:tcPr>
          <w:p w14:paraId="6B464078" w14:textId="37249A3C" w:rsidR="00780010" w:rsidRDefault="00780010" w:rsidP="00780010">
            <w:pPr>
              <w:jc w:val="center"/>
              <w:rPr>
                <w:b/>
                <w:iCs/>
              </w:rPr>
            </w:pPr>
            <w:r w:rsidRPr="001D7630">
              <w:rPr>
                <w:b/>
                <w:iCs/>
              </w:rPr>
              <w:t>Nav ņemts vērā</w:t>
            </w:r>
          </w:p>
          <w:p w14:paraId="123DC24C" w14:textId="21859C5C" w:rsidR="00780010" w:rsidRPr="001D7630" w:rsidRDefault="00780010" w:rsidP="00780010">
            <w:pPr>
              <w:jc w:val="center"/>
              <w:rPr>
                <w:b/>
                <w:iCs/>
              </w:rPr>
            </w:pPr>
            <w:r>
              <w:rPr>
                <w:b/>
                <w:iCs/>
              </w:rPr>
              <w:t>Iebildums netiek uzturēts</w:t>
            </w:r>
          </w:p>
          <w:p w14:paraId="012425B3" w14:textId="77777777" w:rsidR="00780010" w:rsidRPr="001D7630" w:rsidRDefault="00780010" w:rsidP="00780010">
            <w:pPr>
              <w:jc w:val="both"/>
              <w:rPr>
                <w:bCs/>
                <w:iCs/>
              </w:rPr>
            </w:pPr>
            <w:r w:rsidRPr="001D7630">
              <w:rPr>
                <w:bCs/>
                <w:iCs/>
              </w:rPr>
              <w:t>Norādām, ka likumprojekta 4.panta 6. un 7.daļa ir saskanīga ar 12.panta 2.daļu – pat, ja degvielas paraugi tiek noņemti bez maksas, tad Ministru kabineta noteiktai institūcijai rodas arī izdevumi par akreditēto laboratoriju izmantošanu, paraugu transportēšanu uc.</w:t>
            </w:r>
          </w:p>
          <w:p w14:paraId="62C6F002" w14:textId="77777777" w:rsidR="00780010" w:rsidRPr="001D7630" w:rsidRDefault="00780010" w:rsidP="00780010">
            <w:pPr>
              <w:jc w:val="both"/>
              <w:rPr>
                <w:bCs/>
                <w:iCs/>
              </w:rPr>
            </w:pPr>
            <w:r w:rsidRPr="001D7630">
              <w:rPr>
                <w:bCs/>
                <w:iCs/>
              </w:rPr>
              <w:t>Likumprojekta 4.panta 7.daļa noteic darbības jau pēc tam, kad tiek konstatēts, ka transporta enerģija neatbilst noteiktajām kvalitātes prasībām.</w:t>
            </w:r>
          </w:p>
          <w:p w14:paraId="04F26E79" w14:textId="77777777" w:rsidR="00780010" w:rsidRPr="001D7630" w:rsidRDefault="00780010" w:rsidP="00780010">
            <w:pPr>
              <w:jc w:val="both"/>
              <w:rPr>
                <w:bCs/>
                <w:iCs/>
              </w:rPr>
            </w:pPr>
          </w:p>
          <w:p w14:paraId="6384CC8E" w14:textId="77777777" w:rsidR="00780010" w:rsidRPr="001D7630" w:rsidRDefault="00780010" w:rsidP="00780010">
            <w:r w:rsidRPr="001D7630">
              <w:t xml:space="preserve">BVKB, veicot transporta enerģijas tirgus uzraudzību, pārbauda transporta enerģijas (degvielas) atbilstību </w:t>
            </w:r>
            <w:r w:rsidRPr="001D7630">
              <w:lastRenderedPageBreak/>
              <w:t>prasībām, kas attiecīgajai transporta enerģijai (degvielai) izvirzītas normatīvajos aktos. Šobrīd šī uzraudzība un pārbaude tiek veikta saskaņā ar direktīvu 98/70/EK un saskaņā ar direktīvu 2009/28/EK un tajās iekļautajiem nosacījumiem un standartiem.</w:t>
            </w:r>
          </w:p>
          <w:p w14:paraId="78A8510E" w14:textId="77777777" w:rsidR="00780010" w:rsidRPr="001D7630" w:rsidRDefault="00780010" w:rsidP="00780010">
            <w:r w:rsidRPr="001D7630">
              <w:t xml:space="preserve">Līdz ar to, lai realizētu transporta enerģijas (degvielas) uzraudzību BVKB ir tiesiskas pilnvaras, lai pieprasītu un bez maksas izņemtu transporta enerģijas (degvielas) paraugus. </w:t>
            </w:r>
          </w:p>
          <w:p w14:paraId="6C3A6E62" w14:textId="77777777" w:rsidR="00780010" w:rsidRPr="001D7630" w:rsidRDefault="00780010" w:rsidP="00780010">
            <w:r w:rsidRPr="001D7630">
              <w:t xml:space="preserve">Norādām, ka laika periodā, kurā Valsts ieņēmumu dienests realizēja degvielas tirgus uzraudzības pasākumus un citas tirgus uzraudzības iestādes kontroles nodrošināšanas ietvaros paraugus ņemšanu līdz šim organizēja un veica bez maksas.  </w:t>
            </w:r>
          </w:p>
          <w:p w14:paraId="18A99FD0" w14:textId="77777777" w:rsidR="00780010" w:rsidRPr="001D7630" w:rsidRDefault="00780010" w:rsidP="00780010">
            <w:r w:rsidRPr="001D7630">
              <w:t xml:space="preserve">Papildus norādām, ka degvielas paraugu ņemšana bez maksas būtiski neietekmē degvielas kā akcīzes preces uzskaiti, kā arī nerada </w:t>
            </w:r>
            <w:r w:rsidRPr="001D7630">
              <w:lastRenderedPageBreak/>
              <w:t xml:space="preserve">sarežģījumus komersantu grāmatvedības uzskaitei, jo izņemto paraugu skaits un tilpums ir aptuveni 3,6 l X 300 paraugi= 1080 litri gadā. </w:t>
            </w:r>
          </w:p>
          <w:p w14:paraId="796A59F1" w14:textId="3E64ABEE" w:rsidR="00780010" w:rsidRPr="001D7630" w:rsidRDefault="00780010" w:rsidP="009A5411">
            <w:pPr>
              <w:rPr>
                <w:b/>
                <w:iCs/>
              </w:rPr>
            </w:pPr>
            <w:r w:rsidRPr="001D7630">
              <w:t>Saskaņā ar BVKB noslēgto līgumu ar akreditētu un sertificētu laboratoriju viena degvielas parauga testēšanas izdevumi (parauga noņemšana un parauga testēšana) sastāda 465 EUR (benzīns) un 405 EUR (dīzeļdegviela).</w:t>
            </w:r>
            <w:r w:rsidRPr="001D7630">
              <w:rPr>
                <w:i/>
                <w:iCs/>
              </w:rPr>
              <w:t xml:space="preserve"> </w:t>
            </w:r>
          </w:p>
        </w:tc>
        <w:tc>
          <w:tcPr>
            <w:tcW w:w="4291" w:type="dxa"/>
            <w:vMerge w:val="restart"/>
            <w:tcBorders>
              <w:top w:val="single" w:sz="4" w:space="0" w:color="auto"/>
              <w:left w:val="single" w:sz="4" w:space="0" w:color="auto"/>
            </w:tcBorders>
            <w:shd w:val="clear" w:color="auto" w:fill="auto"/>
          </w:tcPr>
          <w:p w14:paraId="00097741" w14:textId="07F6FE2B" w:rsidR="00780010" w:rsidRPr="001D7630" w:rsidRDefault="00780010" w:rsidP="00780010">
            <w:r>
              <w:lastRenderedPageBreak/>
              <w:t>Likumprojekta 4.panta 6.daļa nav mainīta</w:t>
            </w:r>
          </w:p>
        </w:tc>
      </w:tr>
      <w:tr w:rsidR="00780010" w:rsidRPr="001D7630" w14:paraId="06804685" w14:textId="77777777" w:rsidTr="000C7339">
        <w:trPr>
          <w:jc w:val="center"/>
        </w:trPr>
        <w:tc>
          <w:tcPr>
            <w:tcW w:w="637" w:type="dxa"/>
            <w:tcBorders>
              <w:top w:val="single" w:sz="6" w:space="0" w:color="000000"/>
              <w:left w:val="single" w:sz="6" w:space="0" w:color="000000"/>
              <w:right w:val="single" w:sz="6" w:space="0" w:color="000000"/>
            </w:tcBorders>
            <w:shd w:val="clear" w:color="auto" w:fill="auto"/>
          </w:tcPr>
          <w:p w14:paraId="196208D0" w14:textId="77777777" w:rsidR="00780010" w:rsidRPr="001D7630" w:rsidRDefault="00780010" w:rsidP="00780010">
            <w:pPr>
              <w:pStyle w:val="naisc"/>
              <w:numPr>
                <w:ilvl w:val="0"/>
                <w:numId w:val="8"/>
              </w:numPr>
              <w:spacing w:before="0" w:after="0"/>
              <w:ind w:left="0" w:firstLine="0"/>
              <w:rPr>
                <w:b/>
              </w:rPr>
            </w:pPr>
          </w:p>
        </w:tc>
        <w:tc>
          <w:tcPr>
            <w:tcW w:w="3041" w:type="dxa"/>
            <w:vMerge/>
            <w:tcBorders>
              <w:left w:val="single" w:sz="6" w:space="0" w:color="000000"/>
              <w:right w:val="single" w:sz="6" w:space="0" w:color="000000"/>
            </w:tcBorders>
            <w:shd w:val="clear" w:color="auto" w:fill="auto"/>
          </w:tcPr>
          <w:p w14:paraId="60F8D7D2" w14:textId="77777777" w:rsidR="00780010" w:rsidRPr="001D7630" w:rsidRDefault="00780010" w:rsidP="00780010"/>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4B13C328" w14:textId="77777777" w:rsidR="00780010" w:rsidRPr="001D7630" w:rsidRDefault="00780010" w:rsidP="00780010">
            <w:pPr>
              <w:jc w:val="center"/>
              <w:rPr>
                <w:rFonts w:eastAsia="Calibri"/>
                <w:b/>
                <w:bCs/>
              </w:rPr>
            </w:pPr>
            <w:r w:rsidRPr="001D7630">
              <w:rPr>
                <w:rFonts w:eastAsia="Calibri"/>
                <w:b/>
                <w:bCs/>
              </w:rPr>
              <w:t>Degvielas tirgotāju un ražotāju savienība</w:t>
            </w:r>
          </w:p>
          <w:p w14:paraId="5032C0D4" w14:textId="77777777" w:rsidR="00780010" w:rsidRPr="001D7630" w:rsidRDefault="00780010" w:rsidP="00780010">
            <w:pPr>
              <w:jc w:val="center"/>
              <w:rPr>
                <w:rFonts w:eastAsia="Calibri"/>
                <w:b/>
                <w:bCs/>
              </w:rPr>
            </w:pPr>
            <w:r w:rsidRPr="001D7630">
              <w:rPr>
                <w:rFonts w:eastAsia="Calibri"/>
                <w:b/>
                <w:bCs/>
              </w:rPr>
              <w:t>(17.06.2021. atzinums)</w:t>
            </w:r>
          </w:p>
          <w:p w14:paraId="457C7F56" w14:textId="461C630D" w:rsidR="00780010" w:rsidRPr="001D7630" w:rsidRDefault="00780010" w:rsidP="009A5411">
            <w:pPr>
              <w:autoSpaceDE w:val="0"/>
              <w:autoSpaceDN w:val="0"/>
              <w:adjustRightInd w:val="0"/>
              <w:jc w:val="both"/>
              <w:rPr>
                <w:b/>
                <w:bCs/>
              </w:rPr>
            </w:pPr>
            <w:r w:rsidRPr="001D7630">
              <w:rPr>
                <w:rFonts w:eastAsia="Calibri"/>
              </w:rPr>
              <w:t xml:space="preserve">3) Lūdzam precizēt likumprojekta 4.panta sesto un septīto daļu, to saskaņot ar likumprojekta 12.panta otro daļu. Vēršam uzmanību, ka normatīvajā regulējumā ir nepieciešams regulēt degvielas paraugu ņemšanas procedūru </w:t>
            </w:r>
            <w:r w:rsidRPr="001D7630">
              <w:rPr>
                <w:rFonts w:eastAsia="Calibri"/>
              </w:rPr>
              <w:lastRenderedPageBreak/>
              <w:t>bez maksas, ņemot vērā, ka degviela ir akcīzes prece un pakļauta akcīzes preču aprites noteikumiem. Degvielas paraugu ņemšanas un ar to saistīto izmaksu regulēšanā aicinām pieturēties pie spēkā esošā regulējuma.</w:t>
            </w:r>
          </w:p>
        </w:tc>
        <w:tc>
          <w:tcPr>
            <w:tcW w:w="2976" w:type="dxa"/>
            <w:vMerge/>
            <w:tcBorders>
              <w:left w:val="single" w:sz="6" w:space="0" w:color="000000"/>
              <w:right w:val="single" w:sz="6" w:space="0" w:color="000000"/>
            </w:tcBorders>
            <w:shd w:val="clear" w:color="auto" w:fill="auto"/>
          </w:tcPr>
          <w:p w14:paraId="542DDD3C" w14:textId="77777777" w:rsidR="00780010" w:rsidRPr="001D7630" w:rsidRDefault="00780010" w:rsidP="00780010">
            <w:pPr>
              <w:jc w:val="center"/>
              <w:rPr>
                <w:b/>
                <w:iCs/>
              </w:rPr>
            </w:pPr>
          </w:p>
        </w:tc>
        <w:tc>
          <w:tcPr>
            <w:tcW w:w="4291" w:type="dxa"/>
            <w:vMerge/>
            <w:tcBorders>
              <w:left w:val="single" w:sz="4" w:space="0" w:color="auto"/>
            </w:tcBorders>
            <w:shd w:val="clear" w:color="auto" w:fill="auto"/>
          </w:tcPr>
          <w:p w14:paraId="7E8D1C36" w14:textId="77777777" w:rsidR="00780010" w:rsidRPr="001D7630" w:rsidRDefault="00780010" w:rsidP="00780010"/>
        </w:tc>
      </w:tr>
      <w:tr w:rsidR="00780010" w:rsidRPr="001D7630" w14:paraId="43606B34" w14:textId="77777777" w:rsidTr="005D0902">
        <w:trPr>
          <w:jc w:val="center"/>
        </w:trPr>
        <w:tc>
          <w:tcPr>
            <w:tcW w:w="14992" w:type="dxa"/>
            <w:gridSpan w:val="5"/>
            <w:tcBorders>
              <w:top w:val="single" w:sz="6" w:space="0" w:color="000000"/>
              <w:left w:val="single" w:sz="6" w:space="0" w:color="000000"/>
              <w:bottom w:val="single" w:sz="6" w:space="0" w:color="000000"/>
            </w:tcBorders>
          </w:tcPr>
          <w:p w14:paraId="044E1AA2" w14:textId="77777777" w:rsidR="00780010" w:rsidRPr="001D7630" w:rsidRDefault="00780010" w:rsidP="00780010">
            <w:pPr>
              <w:pStyle w:val="ListParagraph"/>
              <w:tabs>
                <w:tab w:val="left" w:pos="3195"/>
              </w:tabs>
              <w:spacing w:after="0" w:line="240" w:lineRule="auto"/>
              <w:ind w:left="0"/>
              <w:contextualSpacing w:val="0"/>
              <w:jc w:val="center"/>
              <w:rPr>
                <w:rFonts w:ascii="Times New Roman" w:hAnsi="Times New Roman"/>
                <w:b/>
                <w:bCs/>
                <w:sz w:val="24"/>
                <w:szCs w:val="24"/>
              </w:rPr>
            </w:pPr>
            <w:r w:rsidRPr="001D7630">
              <w:rPr>
                <w:rFonts w:ascii="Times New Roman" w:hAnsi="Times New Roman"/>
                <w:b/>
                <w:bCs/>
                <w:sz w:val="24"/>
                <w:szCs w:val="24"/>
              </w:rPr>
              <w:lastRenderedPageBreak/>
              <w:t>5. PANTS</w:t>
            </w:r>
          </w:p>
        </w:tc>
      </w:tr>
      <w:tr w:rsidR="00780010" w:rsidRPr="001D7630" w14:paraId="28C469BE"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64FD8620"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6D0F6A77"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03744634" w14:textId="77777777" w:rsidR="00780010" w:rsidRPr="001D7630" w:rsidRDefault="00780010" w:rsidP="00780010">
            <w:pPr>
              <w:autoSpaceDE w:val="0"/>
              <w:autoSpaceDN w:val="0"/>
              <w:adjustRightInd w:val="0"/>
              <w:jc w:val="center"/>
              <w:rPr>
                <w:b/>
                <w:bCs/>
              </w:rPr>
            </w:pPr>
            <w:r w:rsidRPr="001D7630">
              <w:rPr>
                <w:b/>
                <w:bCs/>
              </w:rPr>
              <w:t>Vides aizsardzības un reģionālās attīstības ministrija</w:t>
            </w:r>
          </w:p>
          <w:p w14:paraId="1EB5ECD1" w14:textId="77777777" w:rsidR="00780010" w:rsidRPr="001D7630" w:rsidRDefault="00780010" w:rsidP="00780010">
            <w:pPr>
              <w:autoSpaceDE w:val="0"/>
              <w:autoSpaceDN w:val="0"/>
              <w:adjustRightInd w:val="0"/>
              <w:jc w:val="center"/>
              <w:rPr>
                <w:b/>
                <w:bCs/>
              </w:rPr>
            </w:pPr>
            <w:r w:rsidRPr="001D7630">
              <w:rPr>
                <w:b/>
                <w:bCs/>
              </w:rPr>
              <w:t>(08.01.2021. atzinums)</w:t>
            </w:r>
          </w:p>
          <w:p w14:paraId="444AE30B" w14:textId="77777777" w:rsidR="00780010" w:rsidRPr="001D7630" w:rsidRDefault="00780010" w:rsidP="00780010">
            <w:pPr>
              <w:pStyle w:val="CommentText"/>
              <w:ind w:firstLine="709"/>
              <w:jc w:val="both"/>
              <w:rPr>
                <w:sz w:val="24"/>
                <w:szCs w:val="24"/>
              </w:rPr>
            </w:pPr>
            <w:r w:rsidRPr="001D7630">
              <w:rPr>
                <w:sz w:val="24"/>
                <w:szCs w:val="24"/>
              </w:rPr>
              <w:t>3. Attiecībā uz likumprojekta 5. pantu:</w:t>
            </w:r>
          </w:p>
          <w:p w14:paraId="07F50407" w14:textId="77777777" w:rsidR="00780010" w:rsidRPr="001D7630" w:rsidRDefault="00780010" w:rsidP="00780010">
            <w:pPr>
              <w:pStyle w:val="CommentText"/>
              <w:ind w:firstLine="709"/>
              <w:jc w:val="both"/>
              <w:rPr>
                <w:sz w:val="24"/>
                <w:szCs w:val="24"/>
              </w:rPr>
            </w:pPr>
            <w:r w:rsidRPr="001D7630">
              <w:rPr>
                <w:sz w:val="24"/>
                <w:szCs w:val="24"/>
              </w:rPr>
              <w:t>3.1. skaidrot panta pirmajā daļā, kas tiek saprasts ar “cita blīvi apdzīvota teritorija”;</w:t>
            </w:r>
          </w:p>
          <w:p w14:paraId="5DA82AA7" w14:textId="77777777" w:rsidR="00780010" w:rsidRPr="001D7630" w:rsidRDefault="00780010" w:rsidP="00780010">
            <w:pPr>
              <w:pStyle w:val="CommentText"/>
              <w:ind w:firstLine="709"/>
              <w:jc w:val="both"/>
              <w:rPr>
                <w:sz w:val="24"/>
                <w:szCs w:val="24"/>
              </w:rPr>
            </w:pPr>
            <w:r w:rsidRPr="001D7630">
              <w:rPr>
                <w:sz w:val="24"/>
                <w:szCs w:val="24"/>
              </w:rPr>
              <w:t xml:space="preserve">3.2. pirmajā daļā ir lietots termins “lielās pilsētas”. Norādām, ka Administratīvo teritoriju un apdzīvoto vietu likuma iepriekšējā redakcija neparedzēja un spēkā esošā redakcija neparedz tādu terminu kā “lielās pilsētas”. Ievērojot minēto, lūdzu precizēt likumprojekta 5. panta pirmo daļu, ievērojot Administratīvo teritoriju un apdzīvoto vietu likumā lietotos </w:t>
            </w:r>
            <w:r w:rsidRPr="001D7630">
              <w:rPr>
                <w:sz w:val="24"/>
                <w:szCs w:val="24"/>
              </w:rPr>
              <w:lastRenderedPageBreak/>
              <w:t>terminus. Vienlaikus lūdzu pārskatīt likumprojekta 5. panta pirmo daļu, jo novada pilsēta ir administratīvās teritorijas vienība, nevis administratīvā teritorija (Administratīvo teritoriju un apdzīvoto vietu likuma 5. panta pirmās daļas 1. punkts);</w:t>
            </w:r>
          </w:p>
          <w:p w14:paraId="177925A8" w14:textId="77777777" w:rsidR="00780010" w:rsidRPr="001D7630" w:rsidRDefault="00780010" w:rsidP="00780010">
            <w:pPr>
              <w:pStyle w:val="CommentText"/>
              <w:ind w:firstLine="709"/>
              <w:jc w:val="both"/>
              <w:rPr>
                <w:sz w:val="24"/>
                <w:szCs w:val="24"/>
              </w:rPr>
            </w:pPr>
            <w:r w:rsidRPr="001D7630">
              <w:rPr>
                <w:sz w:val="24"/>
                <w:szCs w:val="24"/>
              </w:rPr>
              <w:t>3.3. otrajā daļā noteiktas alternatīvo degvielu izplatības veicināšanas prasības degvielas uzpildes stacijām, tās no jauna izveidojot vai pārbūvējot (būvniecības procesa ietvaros). Attiecībā uz elektroenerģijas uzlādes punktiem norādām, ka jau šobrīd daļa no uzpildes stacijām ir aprīkotas ar elektrotransportlīdzekļu uzlādes iekārtām. Izvērtēt, vai nav nepieciešams paplašināt prasības tvērumu arī uz jau esošām degvielas uzpildes stacijām (ne tikai tām, kas plāno būvniecības procesus), izvērtējot samērīgu pārejas termiņu attiecīgo prasību ieviešanai;</w:t>
            </w:r>
          </w:p>
          <w:p w14:paraId="1DA66178" w14:textId="77777777" w:rsidR="00780010" w:rsidRPr="001D7630" w:rsidRDefault="00780010" w:rsidP="00780010">
            <w:pPr>
              <w:pStyle w:val="CommentText"/>
              <w:ind w:firstLine="709"/>
              <w:jc w:val="both"/>
              <w:rPr>
                <w:rFonts w:eastAsia="Calibri"/>
                <w:sz w:val="24"/>
                <w:szCs w:val="24"/>
                <w:lang w:eastAsia="en-US"/>
              </w:rPr>
            </w:pPr>
            <w:r w:rsidRPr="001D7630">
              <w:rPr>
                <w:sz w:val="24"/>
                <w:szCs w:val="24"/>
              </w:rPr>
              <w:t>3.4. definēt, ko nozīmē “atjaunojamā elektroenerģija” (jēdziens pirmo reizi minēts 5. panta ceturtajā daļā);</w:t>
            </w:r>
          </w:p>
          <w:p w14:paraId="12F5FE5B" w14:textId="77777777" w:rsidR="00780010" w:rsidRPr="001D7630" w:rsidRDefault="00780010" w:rsidP="00780010">
            <w:pPr>
              <w:pStyle w:val="CommentText"/>
              <w:ind w:firstLine="709"/>
              <w:jc w:val="both"/>
              <w:rPr>
                <w:sz w:val="24"/>
                <w:szCs w:val="24"/>
              </w:rPr>
            </w:pPr>
            <w:r w:rsidRPr="001D7630">
              <w:rPr>
                <w:sz w:val="24"/>
                <w:szCs w:val="24"/>
              </w:rPr>
              <w:t>3.5. definēt astotās daļas 2. punktā minēto terminu “krasta elektroapgādes punkts”;</w:t>
            </w:r>
          </w:p>
          <w:p w14:paraId="022BA0A9" w14:textId="77777777" w:rsidR="00780010" w:rsidRPr="001D7630" w:rsidRDefault="00780010" w:rsidP="00780010">
            <w:pPr>
              <w:pStyle w:val="CommentText"/>
              <w:ind w:firstLine="709"/>
              <w:jc w:val="both"/>
              <w:rPr>
                <w:sz w:val="24"/>
                <w:szCs w:val="24"/>
              </w:rPr>
            </w:pPr>
            <w:r w:rsidRPr="001D7630">
              <w:rPr>
                <w:sz w:val="24"/>
                <w:szCs w:val="24"/>
              </w:rPr>
              <w:t>3.6. precizēt astotās daļas 4. punktā, uz kādu ziņošanas kārtību tas attiecas;</w:t>
            </w:r>
          </w:p>
        </w:tc>
        <w:tc>
          <w:tcPr>
            <w:tcW w:w="2976" w:type="dxa"/>
            <w:tcBorders>
              <w:top w:val="single" w:sz="6" w:space="0" w:color="000000"/>
              <w:left w:val="single" w:sz="6" w:space="0" w:color="000000"/>
              <w:bottom w:val="single" w:sz="6" w:space="0" w:color="000000"/>
              <w:right w:val="single" w:sz="6" w:space="0" w:color="000000"/>
            </w:tcBorders>
          </w:tcPr>
          <w:p w14:paraId="5EBF1E54" w14:textId="77777777" w:rsidR="00780010" w:rsidRPr="001D7630" w:rsidRDefault="00780010" w:rsidP="00780010">
            <w:pPr>
              <w:jc w:val="center"/>
              <w:rPr>
                <w:b/>
                <w:iCs/>
              </w:rPr>
            </w:pPr>
            <w:r w:rsidRPr="001D7630">
              <w:rPr>
                <w:b/>
                <w:iCs/>
              </w:rPr>
              <w:lastRenderedPageBreak/>
              <w:t>Ņemts vērā</w:t>
            </w:r>
          </w:p>
          <w:p w14:paraId="64FB596D" w14:textId="77777777" w:rsidR="00780010" w:rsidRPr="001D7630" w:rsidRDefault="00780010" w:rsidP="00780010">
            <w:pPr>
              <w:jc w:val="center"/>
              <w:rPr>
                <w:b/>
                <w:iCs/>
              </w:rPr>
            </w:pPr>
          </w:p>
          <w:p w14:paraId="19A2A46F" w14:textId="77777777" w:rsidR="00780010" w:rsidRPr="001D7630" w:rsidRDefault="00780010" w:rsidP="00780010">
            <w:pPr>
              <w:rPr>
                <w:bCs/>
                <w:iCs/>
              </w:rPr>
            </w:pPr>
          </w:p>
        </w:tc>
        <w:tc>
          <w:tcPr>
            <w:tcW w:w="4291" w:type="dxa"/>
            <w:tcBorders>
              <w:top w:val="single" w:sz="4" w:space="0" w:color="auto"/>
              <w:left w:val="single" w:sz="4" w:space="0" w:color="auto"/>
              <w:bottom w:val="single" w:sz="4" w:space="0" w:color="auto"/>
            </w:tcBorders>
          </w:tcPr>
          <w:p w14:paraId="0F8AF724" w14:textId="77777777" w:rsidR="00780010" w:rsidRPr="001D7630" w:rsidRDefault="00780010" w:rsidP="00780010">
            <w:pPr>
              <w:tabs>
                <w:tab w:val="left" w:pos="3195"/>
              </w:tabs>
            </w:pPr>
            <w:r w:rsidRPr="001D7630">
              <w:t>Likumprojekta 1. un 5.pants ir precizēts.</w:t>
            </w:r>
          </w:p>
          <w:p w14:paraId="6137D81F" w14:textId="77777777" w:rsidR="00780010" w:rsidRPr="001D7630" w:rsidRDefault="00780010" w:rsidP="00780010">
            <w:pPr>
              <w:tabs>
                <w:tab w:val="left" w:pos="3195"/>
              </w:tabs>
            </w:pPr>
          </w:p>
          <w:p w14:paraId="366B185F" w14:textId="77777777" w:rsidR="00780010" w:rsidRPr="001D7630" w:rsidRDefault="00780010" w:rsidP="00780010">
            <w:pPr>
              <w:ind w:right="80"/>
              <w:jc w:val="both"/>
            </w:pPr>
            <w:r w:rsidRPr="001D7630">
              <w:t>Likumprojekta anotācijas I sadaļas 2.punkta sadaļa “</w:t>
            </w:r>
            <w:r w:rsidRPr="001D7630">
              <w:rPr>
                <w:u w:val="single"/>
              </w:rPr>
              <w:t>Likumprojekta 5.pants</w:t>
            </w:r>
            <w:r w:rsidRPr="001D7630">
              <w:t>” ir precizēta.</w:t>
            </w:r>
          </w:p>
          <w:p w14:paraId="4592B8B2" w14:textId="77777777" w:rsidR="00780010" w:rsidRPr="001D7630" w:rsidRDefault="00780010" w:rsidP="00780010">
            <w:pPr>
              <w:tabs>
                <w:tab w:val="left" w:pos="3195"/>
              </w:tabs>
            </w:pPr>
          </w:p>
        </w:tc>
      </w:tr>
      <w:tr w:rsidR="00780010" w:rsidRPr="001D7630" w14:paraId="72FA6365"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12197924"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764908C1" w14:textId="77777777" w:rsidR="00780010" w:rsidRPr="001D7630" w:rsidRDefault="00780010" w:rsidP="00780010">
            <w:pPr>
              <w:pStyle w:val="naisf"/>
              <w:spacing w:before="0" w:after="0"/>
              <w:ind w:firstLine="0"/>
            </w:pPr>
            <w:r w:rsidRPr="001D7630">
              <w:t>5.panta 8.daļas 2.punkts</w:t>
            </w:r>
          </w:p>
        </w:tc>
        <w:tc>
          <w:tcPr>
            <w:tcW w:w="4047" w:type="dxa"/>
            <w:tcBorders>
              <w:top w:val="single" w:sz="6" w:space="0" w:color="000000"/>
              <w:left w:val="single" w:sz="6" w:space="0" w:color="000000"/>
              <w:bottom w:val="single" w:sz="6" w:space="0" w:color="000000"/>
              <w:right w:val="single" w:sz="6" w:space="0" w:color="000000"/>
            </w:tcBorders>
          </w:tcPr>
          <w:p w14:paraId="6AE1DA88" w14:textId="77777777" w:rsidR="00780010" w:rsidRPr="001D7630" w:rsidRDefault="00780010" w:rsidP="00780010">
            <w:pPr>
              <w:jc w:val="center"/>
              <w:rPr>
                <w:b/>
                <w:bCs/>
              </w:rPr>
            </w:pPr>
            <w:r w:rsidRPr="001D7630">
              <w:rPr>
                <w:b/>
                <w:bCs/>
              </w:rPr>
              <w:t>Satiksmes ministrija</w:t>
            </w:r>
          </w:p>
          <w:p w14:paraId="75898E83" w14:textId="77777777" w:rsidR="00780010" w:rsidRPr="001D7630" w:rsidRDefault="00780010" w:rsidP="00780010">
            <w:pPr>
              <w:jc w:val="center"/>
              <w:rPr>
                <w:b/>
                <w:bCs/>
              </w:rPr>
            </w:pPr>
            <w:r w:rsidRPr="001D7630">
              <w:rPr>
                <w:b/>
                <w:bCs/>
              </w:rPr>
              <w:lastRenderedPageBreak/>
              <w:t>(08.01.2021. atzinums)</w:t>
            </w:r>
          </w:p>
          <w:p w14:paraId="392D2237" w14:textId="77777777" w:rsidR="00780010" w:rsidRPr="001D7630" w:rsidRDefault="00780010" w:rsidP="00780010">
            <w:pPr>
              <w:jc w:val="both"/>
            </w:pPr>
            <w:r w:rsidRPr="001D7630">
              <w:t xml:space="preserve">5. Likumprojekta 5.panta astotās daļas 2.punkts ietver pilnvarojumu Ministru kabinetam izdot noteikumus par prasībām attiecībā uz uzpildes punktiem. Pilnvarojuma redakcijā, ņemot vērā likumprojekta 1.panta 40.punkta definīciju, no tiesiskā regulējuma tiek izslēgti sašķidrinātās dabasgāzes jeb LNG uzpildes punkti. Komisijas 2017.gada 17.novembra Deleģētās regulas (ES) 2018/674, ar ko Eiropas Parlamenta un Padomes Direktīvu 2014/94/ES papildina attiecībā uz L kategorijas mehānisko transportlīdzekļu uzlādes punktiem, krasta elektropadevi iekšzemes ūdensceļu kuģiem un ūdens transporta LNG uzpildes punktiem un groza minēto direktīvu attiecībā uz savienojumiem mehānisko transportlīdzekļu uzpildei ar gāzveida ūdeņradi, 3.pantā ir paredzēts, ka LNG uzpildes punkti, kuri paredzēti (...) jūras kuģiem, uz ko neattiecas Starptautiskais kodekss par kuģu konstrukciju  un aprīkojumu, kuri pārvadā sašķidrinātas gāzes kā lejamkravas (IGC kodekss), atbilst standartam EN ISO 20519. Latvijas standarta tīmekļa vietnē ir standarts LVS EN ISO 20519:2017 “Kuģošanas līdzekļi un jūras tehnoloģijas. Specifikācija bunkurēšanai </w:t>
            </w:r>
            <w:r w:rsidRPr="001D7630">
              <w:lastRenderedPageBreak/>
              <w:t xml:space="preserve">ar sašķidrināto dabasgāzi darbināmiem kuģiem”. </w:t>
            </w:r>
          </w:p>
          <w:p w14:paraId="13865DBE" w14:textId="77777777" w:rsidR="00780010" w:rsidRPr="001D7630" w:rsidRDefault="00780010" w:rsidP="00780010">
            <w:pPr>
              <w:ind w:firstLine="720"/>
              <w:jc w:val="both"/>
            </w:pPr>
            <w:r w:rsidRPr="001D7630">
              <w:t>Lai nacionālajos normatīvajos aktos iekļautu atsauci uz standartu LVS EN ISO 20519:2017, lūdzam precizēt likumprojekta 5.panta astotās daļas 2.punktā ietverto normu.</w:t>
            </w:r>
          </w:p>
        </w:tc>
        <w:tc>
          <w:tcPr>
            <w:tcW w:w="2976" w:type="dxa"/>
            <w:tcBorders>
              <w:top w:val="single" w:sz="6" w:space="0" w:color="000000"/>
              <w:left w:val="single" w:sz="6" w:space="0" w:color="000000"/>
              <w:bottom w:val="single" w:sz="6" w:space="0" w:color="000000"/>
              <w:right w:val="single" w:sz="6" w:space="0" w:color="000000"/>
            </w:tcBorders>
          </w:tcPr>
          <w:p w14:paraId="24C6F99F" w14:textId="77777777" w:rsidR="00780010" w:rsidRPr="001D7630" w:rsidRDefault="00780010" w:rsidP="00780010">
            <w:pPr>
              <w:jc w:val="center"/>
              <w:rPr>
                <w:b/>
                <w:iCs/>
              </w:rPr>
            </w:pPr>
            <w:r w:rsidRPr="001D7630">
              <w:rPr>
                <w:b/>
                <w:iCs/>
              </w:rPr>
              <w:lastRenderedPageBreak/>
              <w:t>Ņemts vērā</w:t>
            </w:r>
          </w:p>
          <w:p w14:paraId="00631A10" w14:textId="77777777" w:rsidR="00780010" w:rsidRPr="001D7630" w:rsidRDefault="00780010" w:rsidP="00780010">
            <w:pPr>
              <w:rPr>
                <w:b/>
                <w:iCs/>
              </w:rPr>
            </w:pPr>
          </w:p>
          <w:p w14:paraId="74EB8E5B" w14:textId="77777777" w:rsidR="00780010" w:rsidRPr="001D7630" w:rsidRDefault="00780010" w:rsidP="00780010">
            <w:pPr>
              <w:rPr>
                <w:bCs/>
                <w:iCs/>
              </w:rPr>
            </w:pPr>
            <w:r w:rsidRPr="001D7630">
              <w:rPr>
                <w:bCs/>
                <w:iCs/>
              </w:rPr>
              <w:t>Norādām, ka sašķidrinātās dabasgāzes uzpildes punkta definīcija ir izteikta likumprojekta 1.panta 39.punktā.</w:t>
            </w:r>
          </w:p>
          <w:p w14:paraId="0BC14242" w14:textId="77777777" w:rsidR="00780010" w:rsidRPr="001D7630" w:rsidRDefault="00780010" w:rsidP="00780010">
            <w:pPr>
              <w:rPr>
                <w:bCs/>
                <w:iCs/>
              </w:rPr>
            </w:pPr>
            <w:r w:rsidRPr="001D7630">
              <w:t>Lai ievērotu Ministru kabineta 2016.gada 21.septembrī ar rīkojumu Nr.534 apstiprinātā konceptuālajā ziņojumā “Par Latvijas nacionālās standartizācijas sistēmas pilnveidošanu” noteiktos principus attiecībā uz netiešo atsauču izmantošanu, likumprojektā netiks iekļautas atsauces uz minēto standartu, bet šī atsauce ir iekļauta anotācijā</w:t>
            </w:r>
          </w:p>
        </w:tc>
        <w:tc>
          <w:tcPr>
            <w:tcW w:w="4291" w:type="dxa"/>
            <w:tcBorders>
              <w:top w:val="single" w:sz="4" w:space="0" w:color="auto"/>
              <w:left w:val="single" w:sz="4" w:space="0" w:color="auto"/>
              <w:bottom w:val="single" w:sz="4" w:space="0" w:color="auto"/>
            </w:tcBorders>
          </w:tcPr>
          <w:p w14:paraId="10178FF5" w14:textId="77777777" w:rsidR="00780010" w:rsidRPr="001D7630" w:rsidRDefault="00780010" w:rsidP="00780010">
            <w:pPr>
              <w:tabs>
                <w:tab w:val="left" w:pos="3195"/>
              </w:tabs>
            </w:pPr>
            <w:r w:rsidRPr="001D7630">
              <w:lastRenderedPageBreak/>
              <w:t>5.panta sestās daļas 2.punkts ir precizēts</w:t>
            </w:r>
          </w:p>
        </w:tc>
      </w:tr>
      <w:tr w:rsidR="00780010" w:rsidRPr="001D7630" w14:paraId="4DCFF69D"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0AC41F24" w14:textId="77777777" w:rsidR="00780010" w:rsidRPr="001D7630" w:rsidRDefault="00780010" w:rsidP="00780010">
            <w:pPr>
              <w:pStyle w:val="naisc"/>
              <w:numPr>
                <w:ilvl w:val="0"/>
                <w:numId w:val="8"/>
              </w:numPr>
              <w:spacing w:before="0" w:after="0"/>
              <w:ind w:left="0" w:firstLine="0"/>
              <w:rPr>
                <w:b/>
                <w:color w:val="000000" w:themeColor="text1"/>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20EB6EE3" w14:textId="77777777" w:rsidR="00780010" w:rsidRPr="001D7630" w:rsidRDefault="00780010" w:rsidP="00780010">
            <w:pPr>
              <w:pStyle w:val="naisf"/>
              <w:spacing w:before="0" w:after="0"/>
              <w:ind w:firstLine="0"/>
              <w:rPr>
                <w:color w:val="000000" w:themeColor="text1"/>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0309C6E5" w14:textId="77777777" w:rsidR="00780010" w:rsidRPr="001D7630" w:rsidRDefault="00780010" w:rsidP="00780010">
            <w:pPr>
              <w:jc w:val="center"/>
              <w:rPr>
                <w:b/>
                <w:bCs/>
                <w:color w:val="000000" w:themeColor="text1"/>
              </w:rPr>
            </w:pPr>
            <w:r w:rsidRPr="001D7630">
              <w:rPr>
                <w:b/>
                <w:bCs/>
                <w:color w:val="000000" w:themeColor="text1"/>
              </w:rPr>
              <w:t>Satiksmes ministrija</w:t>
            </w:r>
          </w:p>
          <w:p w14:paraId="291FFD29" w14:textId="77777777" w:rsidR="00780010" w:rsidRPr="001D7630" w:rsidRDefault="00780010" w:rsidP="00780010">
            <w:pPr>
              <w:jc w:val="center"/>
              <w:rPr>
                <w:b/>
                <w:bCs/>
                <w:color w:val="000000" w:themeColor="text1"/>
              </w:rPr>
            </w:pPr>
            <w:r w:rsidRPr="001D7630">
              <w:rPr>
                <w:b/>
                <w:bCs/>
                <w:color w:val="000000" w:themeColor="text1"/>
              </w:rPr>
              <w:t>(14.06.2021. atzinums)</w:t>
            </w:r>
          </w:p>
          <w:p w14:paraId="4B3FC9B0" w14:textId="77777777" w:rsidR="00780010" w:rsidRPr="001D7630" w:rsidRDefault="00780010" w:rsidP="00780010">
            <w:pPr>
              <w:rPr>
                <w:color w:val="000000" w:themeColor="text1"/>
              </w:rPr>
            </w:pPr>
            <w:r w:rsidRPr="001D7630">
              <w:rPr>
                <w:color w:val="000000" w:themeColor="text1"/>
              </w:rPr>
              <w:t xml:space="preserve">1. Lūdzam precizēt likumprojekta izziņas 16. punkta (50. lpp.) 4. ailes pirmo teikumu, izsakot to šādā redakcijā “Norādām, ka sašķidrinātās dabasgāzes uzpildes punkta definīcija ir izteikta likumprojekta </w:t>
            </w:r>
            <w:r w:rsidRPr="001D7630">
              <w:rPr>
                <w:b/>
                <w:bCs/>
                <w:color w:val="000000" w:themeColor="text1"/>
              </w:rPr>
              <w:t>1. panta 39. punktā</w:t>
            </w:r>
            <w:r w:rsidRPr="001D7630">
              <w:rPr>
                <w:color w:val="000000" w:themeColor="text1"/>
              </w:rPr>
              <w:t>”.  </w:t>
            </w:r>
          </w:p>
          <w:p w14:paraId="692953D4" w14:textId="77777777" w:rsidR="00780010" w:rsidRPr="001D7630" w:rsidRDefault="00780010" w:rsidP="00780010">
            <w:pPr>
              <w:rPr>
                <w:color w:val="000000" w:themeColor="text1"/>
              </w:rPr>
            </w:pPr>
            <w:r w:rsidRPr="001D7630">
              <w:rPr>
                <w:color w:val="000000" w:themeColor="text1"/>
              </w:rPr>
              <w:t xml:space="preserve">2. Lūdzam likumprojekta izziņas 16. punkta (50. lpp.) 5.ailes tekstu izteikt šādā redakcijā: “Likumprojekta 5. panta </w:t>
            </w:r>
            <w:r w:rsidRPr="001D7630">
              <w:rPr>
                <w:b/>
                <w:bCs/>
                <w:color w:val="000000" w:themeColor="text1"/>
                <w:u w:val="single"/>
              </w:rPr>
              <w:t>sestās daļas</w:t>
            </w:r>
            <w:r w:rsidRPr="001D7630">
              <w:rPr>
                <w:color w:val="000000" w:themeColor="text1"/>
              </w:rPr>
              <w:t xml:space="preserve"> 2. punkts ir precizēts”.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181E59F" w14:textId="77777777" w:rsidR="00780010" w:rsidRPr="001D7630" w:rsidRDefault="00780010" w:rsidP="00780010">
            <w:pPr>
              <w:jc w:val="center"/>
              <w:rPr>
                <w:b/>
                <w:iCs/>
                <w:color w:val="000000" w:themeColor="text1"/>
              </w:rPr>
            </w:pPr>
            <w:r w:rsidRPr="001D7630">
              <w:rPr>
                <w:b/>
                <w:iCs/>
                <w:color w:val="000000" w:themeColor="text1"/>
              </w:rPr>
              <w:t>Ņemts vērā</w:t>
            </w:r>
          </w:p>
        </w:tc>
        <w:tc>
          <w:tcPr>
            <w:tcW w:w="4291" w:type="dxa"/>
            <w:tcBorders>
              <w:top w:val="single" w:sz="4" w:space="0" w:color="auto"/>
              <w:left w:val="single" w:sz="4" w:space="0" w:color="auto"/>
              <w:bottom w:val="single" w:sz="4" w:space="0" w:color="auto"/>
            </w:tcBorders>
            <w:shd w:val="clear" w:color="auto" w:fill="auto"/>
          </w:tcPr>
          <w:p w14:paraId="1F52FD66" w14:textId="77777777" w:rsidR="00780010" w:rsidRPr="001D7630" w:rsidRDefault="00780010" w:rsidP="00780010">
            <w:pPr>
              <w:tabs>
                <w:tab w:val="left" w:pos="3195"/>
              </w:tabs>
              <w:rPr>
                <w:color w:val="000000" w:themeColor="text1"/>
              </w:rPr>
            </w:pPr>
            <w:r w:rsidRPr="001D7630">
              <w:rPr>
                <w:color w:val="000000" w:themeColor="text1"/>
              </w:rPr>
              <w:t>Teksts izziņas 16.punkta 4. un 5.kolonnā ir labots</w:t>
            </w:r>
          </w:p>
        </w:tc>
      </w:tr>
      <w:tr w:rsidR="00780010" w:rsidRPr="001D7630" w14:paraId="6C9253CC"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3E34C698"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09B37BBB" w14:textId="77777777" w:rsidR="00780010" w:rsidRPr="001D7630" w:rsidRDefault="00780010" w:rsidP="00780010">
            <w:pPr>
              <w:tabs>
                <w:tab w:val="left" w:pos="3195"/>
              </w:tabs>
            </w:pPr>
          </w:p>
        </w:tc>
        <w:tc>
          <w:tcPr>
            <w:tcW w:w="4047" w:type="dxa"/>
            <w:tcBorders>
              <w:top w:val="single" w:sz="6" w:space="0" w:color="000000"/>
              <w:left w:val="single" w:sz="6" w:space="0" w:color="000000"/>
              <w:bottom w:val="single" w:sz="6" w:space="0" w:color="000000"/>
              <w:right w:val="single" w:sz="6" w:space="0" w:color="000000"/>
            </w:tcBorders>
          </w:tcPr>
          <w:p w14:paraId="459E657D" w14:textId="77777777" w:rsidR="00780010" w:rsidRPr="001D7630" w:rsidRDefault="00780010" w:rsidP="00780010">
            <w:pPr>
              <w:autoSpaceDE w:val="0"/>
              <w:autoSpaceDN w:val="0"/>
              <w:adjustRightInd w:val="0"/>
              <w:jc w:val="center"/>
              <w:rPr>
                <w:b/>
                <w:bCs/>
              </w:rPr>
            </w:pPr>
            <w:r w:rsidRPr="001D7630">
              <w:rPr>
                <w:b/>
                <w:bCs/>
              </w:rPr>
              <w:t>Bezizmešu mobilitātes atbalsta biedrība</w:t>
            </w:r>
          </w:p>
          <w:p w14:paraId="68A83ADC" w14:textId="77777777" w:rsidR="00780010" w:rsidRPr="001D7630" w:rsidRDefault="00780010" w:rsidP="00780010">
            <w:pPr>
              <w:jc w:val="both"/>
            </w:pPr>
            <w:r w:rsidRPr="001D7630">
              <w:t xml:space="preserve">3) lai kritēriji uzlādes punktu uzstādīšanai degvielas uzpildes stacijās tiktu noteikti  viennozīmīgi, piem., kādā attālumā "... pie valsts nozīmes autoceļiem ...", kā arī saskaņā ar Likumprojekta 5.panta 8.daļas 3.punktā paredzēto Ministru kabineta tiesību aktu (''Ministru kabinets nosaka ... alternatīvo degvielu uzlādes vai uzpildes punktu izveides degvielas uzpildes stacijās kritērijus"), </w:t>
            </w:r>
            <w:r w:rsidRPr="001D7630">
              <w:rPr>
                <w:b/>
              </w:rPr>
              <w:t>no Likumprojekta svītrot 5.panta 2.daļu</w:t>
            </w:r>
            <w:r w:rsidRPr="001D7630">
              <w:t>;</w:t>
            </w:r>
          </w:p>
          <w:p w14:paraId="18E6EA95" w14:textId="77777777" w:rsidR="00780010" w:rsidRPr="001D7630" w:rsidRDefault="00780010" w:rsidP="00780010">
            <w:pPr>
              <w:jc w:val="both"/>
              <w:rPr>
                <w:i/>
              </w:rPr>
            </w:pPr>
            <w:r w:rsidRPr="001D7630">
              <w:rPr>
                <w:i/>
              </w:rPr>
              <w:lastRenderedPageBreak/>
              <w:t>Ieteicams veikt detalizētu izpēti par kritērijiem uzlādes punktu uzstādīšanai degvielas uzpildes stacijās, jo, piem., pasažieru un kravu pārvadājumu pārnese uz elektrotransportlīdzekļiem pilsētās sniedz vislielāko sabiedrisko labumu – maksimālo energoefektivitāti un gaisa piesārņojuma samazināšanu:</w:t>
            </w:r>
          </w:p>
          <w:p w14:paraId="6DC215BE" w14:textId="77777777" w:rsidR="00780010" w:rsidRPr="001D7630" w:rsidRDefault="00780010" w:rsidP="00780010">
            <w:pPr>
              <w:jc w:val="both"/>
              <w:rPr>
                <w:i/>
              </w:rPr>
            </w:pPr>
            <w:r w:rsidRPr="001D7630">
              <w:rPr>
                <w:i/>
              </w:rPr>
              <w:t>"</w:t>
            </w:r>
            <w:r w:rsidRPr="001D7630">
              <w:rPr>
                <w:i/>
                <w:noProof/>
              </w:rPr>
              <w:t xml:space="preserve">Līdz 2030. gadam uz pusi samazināt "tradicionālās degvielas" automobiļu izmantošanu pilsētas transportā; līdz 2050. gadam pakāpeniski pārtraukt to izmantošanu pilsētās; </w:t>
            </w:r>
            <w:r w:rsidRPr="001D7630">
              <w:rPr>
                <w:b/>
                <w:i/>
                <w:noProof/>
              </w:rPr>
              <w:t>līdz 2030. gadam lielākajos apdzīvotajos centros panākt pilsētu loģistiku praktiski bez CO</w:t>
            </w:r>
            <w:r w:rsidRPr="001D7630">
              <w:rPr>
                <w:b/>
                <w:i/>
                <w:noProof/>
                <w:vertAlign w:val="subscript"/>
              </w:rPr>
              <w:t>2</w:t>
            </w:r>
            <w:r w:rsidRPr="001D7630">
              <w:rPr>
                <w:b/>
                <w:i/>
                <w:noProof/>
              </w:rPr>
              <w:t xml:space="preserve"> emisijām</w:t>
            </w:r>
            <w:r w:rsidRPr="001D7630">
              <w:rPr>
                <w:i/>
              </w:rPr>
              <w:t>".</w:t>
            </w:r>
            <w:r w:rsidRPr="001D7630">
              <w:rPr>
                <w:rStyle w:val="FootnoteReference"/>
                <w:i/>
              </w:rPr>
              <w:footnoteReference w:id="10"/>
            </w:r>
          </w:p>
          <w:p w14:paraId="49C8FC08" w14:textId="77777777" w:rsidR="00780010" w:rsidRPr="001D7630" w:rsidRDefault="00780010" w:rsidP="00780010">
            <w:pPr>
              <w:jc w:val="both"/>
            </w:pPr>
            <w:r w:rsidRPr="001D7630">
              <w:t>4) atbilstoši vēstules 1.1.punktā izteiktajam apsvērumam, Likumprojekta 5.panta 4.daļu papildināt ar "</w:t>
            </w:r>
            <w:r w:rsidRPr="001D7630">
              <w:rPr>
                <w:bCs/>
              </w:rPr>
              <w:t>publiski pieejamu", un</w:t>
            </w:r>
            <w:r w:rsidRPr="001D7630">
              <w:t xml:space="preserve"> </w:t>
            </w:r>
            <w:r w:rsidRPr="001D7630">
              <w:rPr>
                <w:b/>
              </w:rPr>
              <w:t>izteikt šādā redakcijā</w:t>
            </w:r>
            <w:r w:rsidRPr="001D7630">
              <w:t>:</w:t>
            </w:r>
          </w:p>
          <w:p w14:paraId="3E7988DC" w14:textId="77777777" w:rsidR="00780010" w:rsidRPr="001D7630" w:rsidRDefault="00780010" w:rsidP="00780010">
            <w:pPr>
              <w:jc w:val="both"/>
              <w:rPr>
                <w:rFonts w:eastAsia="Calibri"/>
                <w:lang w:eastAsia="en-US"/>
              </w:rPr>
            </w:pPr>
            <w:r w:rsidRPr="001D7630">
              <w:t xml:space="preserve">"(4) </w:t>
            </w:r>
            <w:r w:rsidRPr="001D7630">
              <w:rPr>
                <w:bCs/>
                <w:u w:val="single"/>
              </w:rPr>
              <w:t>publiski pieejamu</w:t>
            </w:r>
            <w:r w:rsidRPr="001D7630">
              <w:rPr>
                <w:b/>
                <w:bCs/>
              </w:rPr>
              <w:t xml:space="preserve"> </w:t>
            </w:r>
            <w:r w:rsidRPr="001D7630">
              <w:t>uzlādes punktu operatori katru gadu ziņo Centrālajai statistikas pārvaldei par tās uzlādes punktā elektrotransportlīdzekļos uzlādēto elektroenerģijas apjomu un uzlādes punkta pieslēguma veidu, tai skaitā, vai uzlādes punkts ir tiešā pieslēgumā pieslēgts iekārtai, kura ražo atjaunojamo elektroenerģiju."</w:t>
            </w:r>
          </w:p>
          <w:p w14:paraId="57844479" w14:textId="77777777" w:rsidR="00780010" w:rsidRPr="001D7630" w:rsidRDefault="00780010" w:rsidP="00780010">
            <w:pPr>
              <w:jc w:val="both"/>
            </w:pPr>
            <w:r w:rsidRPr="001D7630">
              <w:t>5) lai neierobežotu Ministru kabineta prasību aptvērumu strauji mainīgajā  e-</w:t>
            </w:r>
            <w:r w:rsidRPr="001D7630">
              <w:lastRenderedPageBreak/>
              <w:t xml:space="preserve">mobilitātes jomā, 5.panta 8.daļas 1.punktu </w:t>
            </w:r>
            <w:r w:rsidRPr="001D7630">
              <w:rPr>
                <w:b/>
              </w:rPr>
              <w:t>izteikt šādā redakcijā</w:t>
            </w:r>
            <w:r w:rsidRPr="001D7630">
              <w:t>:</w:t>
            </w:r>
          </w:p>
          <w:p w14:paraId="0843CD06" w14:textId="77777777" w:rsidR="00780010" w:rsidRPr="001D7630" w:rsidRDefault="00780010" w:rsidP="00780010">
            <w:pPr>
              <w:jc w:val="both"/>
            </w:pPr>
            <w:r w:rsidRPr="001D7630">
              <w:t>"(8) Ministru kabinets nosaka:</w:t>
            </w:r>
          </w:p>
          <w:p w14:paraId="2C1D0458" w14:textId="77777777" w:rsidR="00780010" w:rsidRPr="001D7630" w:rsidRDefault="00780010" w:rsidP="00780010">
            <w:pPr>
              <w:jc w:val="both"/>
              <w:rPr>
                <w:u w:val="single"/>
              </w:rPr>
            </w:pPr>
            <w:r w:rsidRPr="001D7630">
              <w:t xml:space="preserve">1) prasības attiecībā uz elektrotransportlīdzekļu uzlādes punktiem, to uzstādīšanu un ekspluatāciju, nosakot dalījumu un prasības </w:t>
            </w:r>
            <w:r w:rsidRPr="001D7630">
              <w:rPr>
                <w:u w:val="single"/>
              </w:rPr>
              <w:t>atkarībā no tehniskajiem un organizatoriskajiem kritērijiem,"</w:t>
            </w:r>
          </w:p>
          <w:p w14:paraId="703C8167" w14:textId="77777777" w:rsidR="00780010" w:rsidRPr="001D7630" w:rsidRDefault="00780010" w:rsidP="00780010">
            <w:pPr>
              <w:jc w:val="both"/>
              <w:rPr>
                <w:b/>
              </w:rPr>
            </w:pPr>
            <w:r w:rsidRPr="001D7630">
              <w:rPr>
                <w:b/>
              </w:rPr>
              <w:t>Kritēriju piemēri.</w:t>
            </w:r>
          </w:p>
          <w:p w14:paraId="5C3D39A9" w14:textId="77777777" w:rsidR="00780010" w:rsidRPr="001D7630" w:rsidRDefault="00780010" w:rsidP="00780010">
            <w:pPr>
              <w:jc w:val="both"/>
              <w:rPr>
                <w:u w:val="single"/>
              </w:rPr>
            </w:pPr>
            <w:r w:rsidRPr="001D7630">
              <w:rPr>
                <w:u w:val="single"/>
              </w:rPr>
              <w:t>Tehniskie kritēriji:</w:t>
            </w:r>
          </w:p>
          <w:p w14:paraId="33DA024E" w14:textId="77777777" w:rsidR="00780010" w:rsidRPr="001D7630" w:rsidRDefault="00780010" w:rsidP="00780010">
            <w:pPr>
              <w:numPr>
                <w:ilvl w:val="0"/>
                <w:numId w:val="4"/>
              </w:numPr>
              <w:jc w:val="both"/>
            </w:pPr>
            <w:r w:rsidRPr="001D7630">
              <w:t>uzlādes punkta jauda;</w:t>
            </w:r>
          </w:p>
          <w:p w14:paraId="4D97321E" w14:textId="77777777" w:rsidR="00780010" w:rsidRPr="001D7630" w:rsidRDefault="00780010" w:rsidP="00780010">
            <w:pPr>
              <w:rPr>
                <w:rFonts w:eastAsia="Calibri"/>
                <w:lang w:eastAsia="en-US"/>
              </w:rPr>
            </w:pPr>
            <w:r w:rsidRPr="001D7630">
              <w:t>Piemēram, Lietuvā atbalsta apjoms ir plānots atkarībā no jaudas:</w:t>
            </w:r>
          </w:p>
          <w:p w14:paraId="3C6A8330" w14:textId="77777777" w:rsidR="00780010" w:rsidRPr="001D7630" w:rsidRDefault="00780010" w:rsidP="00780010">
            <w:r w:rsidRPr="001D7630">
              <w:t xml:space="preserve">"Allowance for the purchase/installation of public high power recharging points for electric vehicles in problematic or commercially unattractive locations by national roads and in the cities (up to 50 kW – EUR 5 000; up to 100 kW – EUR 10 000)" </w:t>
            </w:r>
          </w:p>
          <w:p w14:paraId="5D379D8E" w14:textId="77777777" w:rsidR="00780010" w:rsidRPr="001D7630" w:rsidRDefault="00780010" w:rsidP="00780010">
            <w:r w:rsidRPr="001D7630">
              <w:t>(</w:t>
            </w:r>
            <w:r w:rsidRPr="001D7630">
              <w:rPr>
                <w:bCs/>
              </w:rPr>
              <w:t>NATIONAL ENERGY AND CLIMATE ACTION PLAN OF THE REPUBLIC OF LITHUANIA FOR 2021-2030;</w:t>
            </w:r>
            <w:r w:rsidRPr="001D7630">
              <w:rPr>
                <w:rStyle w:val="fontstyle01"/>
                <w:rFonts w:ascii="Times New Roman" w:hAnsi="Times New Roman"/>
                <w:sz w:val="24"/>
                <w:szCs w:val="24"/>
              </w:rPr>
              <w:t xml:space="preserve"> T13.</w:t>
            </w:r>
            <w:r w:rsidRPr="001D7630">
              <w:rPr>
                <w:rStyle w:val="fontstyle21"/>
                <w:rFonts w:ascii="Times New Roman" w:hAnsi="Times New Roman"/>
                <w:sz w:val="24"/>
                <w:szCs w:val="24"/>
              </w:rPr>
              <w:t>Promoting the use of electric vehicles and developing the recharging infrastructure.</w:t>
            </w:r>
            <w:r w:rsidRPr="001D7630">
              <w:rPr>
                <w:rStyle w:val="fontstyle21"/>
                <w:rFonts w:ascii="Times New Roman" w:hAnsi="Times New Roman"/>
                <w:i w:val="0"/>
                <w:sz w:val="24"/>
                <w:szCs w:val="24"/>
              </w:rPr>
              <w:t xml:space="preserve"> , 64.lp.; turpmāk – Lietuvas NEKP 2030</w:t>
            </w:r>
            <w:r w:rsidRPr="001D7630">
              <w:t>).</w:t>
            </w:r>
          </w:p>
          <w:p w14:paraId="39A4379D" w14:textId="77777777" w:rsidR="00780010" w:rsidRPr="001D7630" w:rsidRDefault="00780010" w:rsidP="00780010">
            <w:r w:rsidRPr="001D7630">
              <w:t>Piezīme: labota šķietamā drukas kļūda</w:t>
            </w:r>
            <w:r w:rsidRPr="001D7630">
              <w:rPr>
                <w:rStyle w:val="fontstyle21"/>
                <w:rFonts w:ascii="Times New Roman" w:hAnsi="Times New Roman"/>
                <w:i w:val="0"/>
                <w:sz w:val="24"/>
                <w:szCs w:val="24"/>
              </w:rPr>
              <w:t xml:space="preserve"> Lietuvas NEKP 2030</w:t>
            </w:r>
            <w:r w:rsidRPr="001D7630">
              <w:t>:  no "5 000 000" uz  "5 000".</w:t>
            </w:r>
          </w:p>
          <w:p w14:paraId="6BF65281" w14:textId="77777777" w:rsidR="00780010" w:rsidRPr="001D7630" w:rsidRDefault="00780010" w:rsidP="00780010">
            <w:pPr>
              <w:numPr>
                <w:ilvl w:val="0"/>
                <w:numId w:val="4"/>
              </w:numPr>
              <w:jc w:val="both"/>
            </w:pPr>
            <w:r w:rsidRPr="001D7630">
              <w:t xml:space="preserve">uzlādes punkta savienojuma veids: </w:t>
            </w:r>
          </w:p>
          <w:p w14:paraId="63C82236" w14:textId="77777777" w:rsidR="00780010" w:rsidRPr="001D7630" w:rsidRDefault="00780010" w:rsidP="00780010">
            <w:pPr>
              <w:numPr>
                <w:ilvl w:val="0"/>
                <w:numId w:val="5"/>
              </w:numPr>
              <w:jc w:val="both"/>
            </w:pPr>
            <w:r w:rsidRPr="001D7630">
              <w:t>ar spraudņa savienojumu;</w:t>
            </w:r>
          </w:p>
          <w:p w14:paraId="0FD55B7E" w14:textId="77777777" w:rsidR="00780010" w:rsidRPr="001D7630" w:rsidRDefault="00780010" w:rsidP="00780010">
            <w:pPr>
              <w:numPr>
                <w:ilvl w:val="0"/>
                <w:numId w:val="5"/>
              </w:numPr>
              <w:jc w:val="both"/>
            </w:pPr>
            <w:r w:rsidRPr="001D7630">
              <w:lastRenderedPageBreak/>
              <w:t>pantogrāfs: piem., ar pantogrāfa pieslēgumu aprīkoti Latvijā izstrādātie un ražotie e-autobusi</w:t>
            </w:r>
            <w:r w:rsidRPr="001D7630">
              <w:rPr>
                <w:rStyle w:val="FootnoteReference"/>
              </w:rPr>
              <w:footnoteReference w:id="11"/>
            </w:r>
            <w:r w:rsidRPr="001D7630">
              <w:t>, kuru ekspluatācijas uzsākšana plānota 2021.gadā;</w:t>
            </w:r>
          </w:p>
          <w:p w14:paraId="0723BD81" w14:textId="77777777" w:rsidR="00780010" w:rsidRPr="001D7630" w:rsidRDefault="00780010" w:rsidP="00780010">
            <w:pPr>
              <w:numPr>
                <w:ilvl w:val="0"/>
                <w:numId w:val="5"/>
              </w:numPr>
            </w:pPr>
            <w:r w:rsidRPr="001D7630">
              <w:t>bezvadu (induktīvais) statiskais vai dinamiskais (uzlāde elektrotransportlīdzeklim esot kustībā): tehniskie standarti ir izstrādāti un ražotāji izgatavojuši prototipus sērijveida elektromobiļiem;</w:t>
            </w:r>
          </w:p>
          <w:p w14:paraId="0129B158" w14:textId="77777777" w:rsidR="00780010" w:rsidRPr="001D7630" w:rsidRDefault="00780010" w:rsidP="00780010">
            <w:pPr>
              <w:numPr>
                <w:ilvl w:val="0"/>
                <w:numId w:val="4"/>
              </w:numPr>
            </w:pPr>
            <w:r w:rsidRPr="001D7630">
              <w:t>uzlādes punkta strāvas veids:</w:t>
            </w:r>
          </w:p>
          <w:p w14:paraId="37852847" w14:textId="77777777" w:rsidR="00780010" w:rsidRPr="001D7630" w:rsidRDefault="00780010" w:rsidP="00780010">
            <w:pPr>
              <w:numPr>
                <w:ilvl w:val="0"/>
                <w:numId w:val="6"/>
              </w:numPr>
              <w:ind w:left="360"/>
            </w:pPr>
            <w:r w:rsidRPr="001D7630">
              <w:t>maiņstrāvas;</w:t>
            </w:r>
          </w:p>
          <w:p w14:paraId="0A670530" w14:textId="77777777" w:rsidR="00780010" w:rsidRPr="001D7630" w:rsidRDefault="00780010" w:rsidP="00780010">
            <w:pPr>
              <w:numPr>
                <w:ilvl w:val="0"/>
                <w:numId w:val="6"/>
              </w:numPr>
              <w:ind w:left="360"/>
            </w:pPr>
            <w:r w:rsidRPr="001D7630">
              <w:t>līdzstrāvas.</w:t>
            </w:r>
          </w:p>
          <w:p w14:paraId="2D3EB5C4" w14:textId="77777777" w:rsidR="00780010" w:rsidRPr="001D7630" w:rsidRDefault="00780010" w:rsidP="00780010">
            <w:pPr>
              <w:jc w:val="both"/>
              <w:rPr>
                <w:u w:val="single"/>
              </w:rPr>
            </w:pPr>
            <w:r w:rsidRPr="001D7630">
              <w:rPr>
                <w:u w:val="single"/>
              </w:rPr>
              <w:t>Organizatoriskie kritēriji:</w:t>
            </w:r>
          </w:p>
          <w:p w14:paraId="59CFE3F0" w14:textId="77777777" w:rsidR="00780010" w:rsidRPr="001D7630" w:rsidRDefault="00780010" w:rsidP="00780010">
            <w:pPr>
              <w:numPr>
                <w:ilvl w:val="0"/>
                <w:numId w:val="7"/>
              </w:numPr>
              <w:jc w:val="both"/>
            </w:pPr>
            <w:r w:rsidRPr="001D7630">
              <w:rPr>
                <w:bCs/>
              </w:rPr>
              <w:t xml:space="preserve">publiski pieejams </w:t>
            </w:r>
            <w:r w:rsidRPr="001D7630">
              <w:t>uzlādes punkts;</w:t>
            </w:r>
          </w:p>
          <w:p w14:paraId="17684FD2" w14:textId="77777777" w:rsidR="00780010" w:rsidRPr="001D7630" w:rsidRDefault="00780010" w:rsidP="00780010">
            <w:pPr>
              <w:numPr>
                <w:ilvl w:val="0"/>
                <w:numId w:val="7"/>
              </w:numPr>
              <w:jc w:val="both"/>
            </w:pPr>
            <w:r w:rsidRPr="001D7630">
              <w:t xml:space="preserve">puspublisks jeb </w:t>
            </w:r>
            <w:r w:rsidRPr="001D7630">
              <w:rPr>
                <w:bCs/>
              </w:rPr>
              <w:t>daļēji publiski pieejams</w:t>
            </w:r>
            <w:r w:rsidRPr="001D7630">
              <w:t xml:space="preserve"> uzlādes punkts;</w:t>
            </w:r>
          </w:p>
          <w:p w14:paraId="17CAF8C5" w14:textId="77777777" w:rsidR="00780010" w:rsidRPr="001D7630" w:rsidRDefault="00780010" w:rsidP="00780010">
            <w:pPr>
              <w:numPr>
                <w:ilvl w:val="0"/>
                <w:numId w:val="7"/>
              </w:numPr>
              <w:jc w:val="both"/>
            </w:pPr>
            <w:r w:rsidRPr="001D7630">
              <w:t xml:space="preserve">privāts jeb individuāls uzlādes punkts. </w:t>
            </w:r>
          </w:p>
          <w:p w14:paraId="60B649FF" w14:textId="77777777" w:rsidR="00780010" w:rsidRPr="001D7630" w:rsidRDefault="00780010" w:rsidP="00780010">
            <w:r w:rsidRPr="001D7630">
              <w:rPr>
                <w:rStyle w:val="fontstyle21"/>
                <w:rFonts w:ascii="Times New Roman" w:hAnsi="Times New Roman"/>
                <w:i w:val="0"/>
                <w:sz w:val="24"/>
                <w:szCs w:val="24"/>
              </w:rPr>
              <w:t xml:space="preserve">Piemēri </w:t>
            </w:r>
            <w:r w:rsidRPr="001D7630">
              <w:t>uzlādes punkta</w:t>
            </w:r>
            <w:r w:rsidRPr="001D7630">
              <w:rPr>
                <w:rStyle w:val="fontstyle21"/>
                <w:rFonts w:ascii="Times New Roman" w:hAnsi="Times New Roman"/>
                <w:i w:val="0"/>
                <w:sz w:val="24"/>
                <w:szCs w:val="24"/>
              </w:rPr>
              <w:t xml:space="preserve"> kategorijas "</w:t>
            </w:r>
            <w:r w:rsidRPr="001D7630">
              <w:rPr>
                <w:bCs/>
              </w:rPr>
              <w:t>daļēji publiski pieejams</w:t>
            </w:r>
            <w:r w:rsidRPr="001D7630">
              <w:t xml:space="preserve"> " un "privāts" lietojumam:</w:t>
            </w:r>
            <w:r w:rsidRPr="001D7630">
              <w:br/>
            </w:r>
            <w:r w:rsidRPr="001D7630">
              <w:rPr>
                <w:rStyle w:val="fontstyle21"/>
                <w:rFonts w:ascii="Times New Roman" w:hAnsi="Times New Roman"/>
                <w:i w:val="0"/>
                <w:sz w:val="24"/>
                <w:szCs w:val="24"/>
              </w:rPr>
              <w:t xml:space="preserve">Lietuvas NEKP 2030: </w:t>
            </w:r>
            <w:r w:rsidRPr="001D7630">
              <w:t>"Allowance for the purchase/installation of semi-public and private normal power recharging points for electric vehicles (up to 22 kW and up to EUR250)";</w:t>
            </w:r>
          </w:p>
          <w:p w14:paraId="4C41B0D3" w14:textId="77777777" w:rsidR="00780010" w:rsidRPr="001D7630" w:rsidRDefault="00780010" w:rsidP="00780010">
            <w:pPr>
              <w:jc w:val="both"/>
              <w:rPr>
                <w:b/>
              </w:rPr>
            </w:pPr>
            <w:r w:rsidRPr="001D7630">
              <w:rPr>
                <w:rStyle w:val="Strong"/>
                <w:b w:val="0"/>
                <w:color w:val="1B1D1F"/>
                <w:shd w:val="clear" w:color="auto" w:fill="FFFFFF"/>
              </w:rPr>
              <w:t>Nīderlandē</w:t>
            </w:r>
            <w:r w:rsidRPr="001D7630">
              <w:rPr>
                <w:b/>
              </w:rPr>
              <w:t xml:space="preserve">: </w:t>
            </w:r>
          </w:p>
          <w:p w14:paraId="0F296BCB" w14:textId="77777777" w:rsidR="00780010" w:rsidRPr="001D7630" w:rsidRDefault="00780010" w:rsidP="00780010">
            <w:pPr>
              <w:jc w:val="both"/>
            </w:pPr>
            <w:r w:rsidRPr="001D7630">
              <w:rPr>
                <w:shd w:val="clear" w:color="auto" w:fill="FFFFFF"/>
              </w:rPr>
              <w:lastRenderedPageBreak/>
              <w:t>"Categorizing the </w:t>
            </w:r>
            <w:hyperlink r:id="rId16" w:tgtFrame="_blank" w:history="1">
              <w:r w:rsidRPr="001D7630">
                <w:rPr>
                  <w:rStyle w:val="Hyperlink"/>
                  <w:bdr w:val="none" w:sz="0" w:space="0" w:color="auto" w:frame="1"/>
                  <w:shd w:val="clear" w:color="auto" w:fill="FFFFFF"/>
                </w:rPr>
                <w:t>number of charging stations by type</w:t>
              </w:r>
            </w:hyperlink>
            <w:r w:rsidRPr="001D7630">
              <w:rPr>
                <w:shd w:val="clear" w:color="auto" w:fill="FFFFFF"/>
              </w:rPr>
              <w:t>, both regular public as well as semi-public charging stations saw a steady increase between 2010 and 2019. Regular public chargers are available 24/7 and increased from 400 stations in 2010 to 21,049 as of February 2019. Semi-public charging points are interoperable (reported as accessible by their owners) and can be found at shopping malls, office buildings, parking garages etc. This type of charging station grew from 0 in 2010 to 17,059 in 2019".</w:t>
            </w:r>
            <w:r w:rsidRPr="001D7630">
              <w:rPr>
                <w:rStyle w:val="FootnoteReference"/>
                <w:shd w:val="clear" w:color="auto" w:fill="FFFFFF"/>
              </w:rPr>
              <w:footnoteReference w:id="12"/>
            </w:r>
          </w:p>
        </w:tc>
        <w:tc>
          <w:tcPr>
            <w:tcW w:w="2976" w:type="dxa"/>
            <w:tcBorders>
              <w:top w:val="single" w:sz="6" w:space="0" w:color="000000"/>
              <w:left w:val="single" w:sz="6" w:space="0" w:color="000000"/>
              <w:bottom w:val="single" w:sz="6" w:space="0" w:color="000000"/>
              <w:right w:val="single" w:sz="6" w:space="0" w:color="000000"/>
            </w:tcBorders>
          </w:tcPr>
          <w:p w14:paraId="4318F5C1" w14:textId="77777777" w:rsidR="00780010" w:rsidRPr="001D7630" w:rsidRDefault="00780010" w:rsidP="00780010">
            <w:pPr>
              <w:jc w:val="center"/>
              <w:rPr>
                <w:b/>
                <w:iCs/>
              </w:rPr>
            </w:pPr>
            <w:r w:rsidRPr="001D7630">
              <w:rPr>
                <w:b/>
                <w:iCs/>
              </w:rPr>
              <w:lastRenderedPageBreak/>
              <w:t>Ņemts vērā</w:t>
            </w:r>
          </w:p>
          <w:p w14:paraId="2F98D0FE" w14:textId="77777777" w:rsidR="00780010" w:rsidRPr="001D7630" w:rsidRDefault="00780010" w:rsidP="00780010">
            <w:pPr>
              <w:rPr>
                <w:bCs/>
                <w:iCs/>
                <w:u w:val="single"/>
              </w:rPr>
            </w:pPr>
          </w:p>
        </w:tc>
        <w:tc>
          <w:tcPr>
            <w:tcW w:w="4291" w:type="dxa"/>
            <w:tcBorders>
              <w:top w:val="single" w:sz="4" w:space="0" w:color="auto"/>
              <w:left w:val="single" w:sz="4" w:space="0" w:color="auto"/>
              <w:bottom w:val="single" w:sz="4" w:space="0" w:color="auto"/>
            </w:tcBorders>
          </w:tcPr>
          <w:p w14:paraId="14967EFC" w14:textId="77777777" w:rsidR="00780010" w:rsidRPr="001D7630" w:rsidRDefault="00780010" w:rsidP="00780010">
            <w:pPr>
              <w:pStyle w:val="naisf"/>
              <w:spacing w:before="0" w:after="0"/>
              <w:ind w:firstLine="0"/>
            </w:pPr>
            <w:r w:rsidRPr="001D7630">
              <w:t>Likumprojekta 5.pants ir precizēts</w:t>
            </w:r>
          </w:p>
        </w:tc>
      </w:tr>
      <w:tr w:rsidR="00780010" w:rsidRPr="001D7630" w14:paraId="4854E09E"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44A5B989"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24CBA380" w14:textId="77777777" w:rsidR="00780010" w:rsidRPr="001D7630" w:rsidRDefault="00780010" w:rsidP="00780010">
            <w:pPr>
              <w:tabs>
                <w:tab w:val="left" w:pos="3195"/>
              </w:tabs>
            </w:pPr>
          </w:p>
        </w:tc>
        <w:tc>
          <w:tcPr>
            <w:tcW w:w="4047" w:type="dxa"/>
            <w:tcBorders>
              <w:top w:val="single" w:sz="6" w:space="0" w:color="000000"/>
              <w:left w:val="single" w:sz="6" w:space="0" w:color="000000"/>
              <w:bottom w:val="single" w:sz="6" w:space="0" w:color="000000"/>
              <w:right w:val="single" w:sz="6" w:space="0" w:color="000000"/>
            </w:tcBorders>
          </w:tcPr>
          <w:p w14:paraId="334C1A1A" w14:textId="77777777" w:rsidR="00780010" w:rsidRPr="001D7630" w:rsidRDefault="00780010" w:rsidP="00780010">
            <w:pPr>
              <w:autoSpaceDE w:val="0"/>
              <w:autoSpaceDN w:val="0"/>
              <w:adjustRightInd w:val="0"/>
              <w:jc w:val="center"/>
              <w:rPr>
                <w:b/>
                <w:bCs/>
              </w:rPr>
            </w:pPr>
            <w:r w:rsidRPr="001D7630">
              <w:rPr>
                <w:b/>
                <w:bCs/>
              </w:rPr>
              <w:t>Latvijas Degvielas tirgotāju asociācija</w:t>
            </w:r>
          </w:p>
          <w:p w14:paraId="09921E8E" w14:textId="77777777" w:rsidR="00780010" w:rsidRPr="001D7630" w:rsidRDefault="00780010" w:rsidP="00780010">
            <w:pPr>
              <w:autoSpaceDE w:val="0"/>
              <w:autoSpaceDN w:val="0"/>
              <w:adjustRightInd w:val="0"/>
              <w:jc w:val="center"/>
              <w:rPr>
                <w:b/>
                <w:bCs/>
              </w:rPr>
            </w:pPr>
            <w:r w:rsidRPr="001D7630">
              <w:rPr>
                <w:b/>
                <w:bCs/>
              </w:rPr>
              <w:t>(13.01.2021. atzinums)</w:t>
            </w:r>
          </w:p>
          <w:p w14:paraId="45AAEF86" w14:textId="77777777" w:rsidR="00780010" w:rsidRPr="001D7630" w:rsidRDefault="00780010" w:rsidP="00780010">
            <w:pPr>
              <w:pStyle w:val="CommentText"/>
              <w:ind w:firstLine="567"/>
              <w:jc w:val="both"/>
              <w:rPr>
                <w:rFonts w:eastAsiaTheme="minorHAnsi"/>
                <w:sz w:val="24"/>
                <w:szCs w:val="24"/>
              </w:rPr>
            </w:pPr>
            <w:r w:rsidRPr="001D7630">
              <w:rPr>
                <w:rFonts w:eastAsiaTheme="minorHAnsi"/>
                <w:sz w:val="24"/>
                <w:szCs w:val="24"/>
              </w:rPr>
              <w:t>[2.] Lūdzam svītrot 5.panta otro daļu un astotās daļas 3.punktu.</w:t>
            </w:r>
          </w:p>
          <w:p w14:paraId="49B3BB86" w14:textId="77777777" w:rsidR="00780010" w:rsidRPr="001D7630" w:rsidRDefault="00780010" w:rsidP="00780010">
            <w:pPr>
              <w:pStyle w:val="CommentText"/>
              <w:ind w:firstLine="567"/>
              <w:jc w:val="both"/>
              <w:rPr>
                <w:rFonts w:eastAsiaTheme="minorHAnsi"/>
                <w:sz w:val="24"/>
                <w:szCs w:val="24"/>
              </w:rPr>
            </w:pPr>
            <w:r w:rsidRPr="001D7630">
              <w:rPr>
                <w:rFonts w:eastAsiaTheme="minorHAnsi"/>
                <w:sz w:val="24"/>
                <w:szCs w:val="24"/>
              </w:rPr>
              <w:t xml:space="preserve">Kā jau esam norādījuši iepriekš, šāda pienākuma uzlikšana degvielas tirgotājiem pārkāpj to tiesības uz īpašumu (Satversmes 105. pants), kā arī varētu būt pretrunā ar ES Pamattiesību Hartas 16. pantā ietverto darījumdarbības brīvību. Ir būtiskas šaubas, ka šāda pienākuma uzlikšana degvielas tirgotājiem būtu uzskatāma par samērīgu līdzekli attiecīgā mērķa sasniegšanai. </w:t>
            </w:r>
            <w:r w:rsidRPr="001D7630">
              <w:rPr>
                <w:sz w:val="24"/>
                <w:szCs w:val="24"/>
              </w:rPr>
              <w:t xml:space="preserve">Nav veikts samērīguma izvērtējums starp uzlikto pienākumu, nepieciešamajām investīcijām pienākuma izpildē, </w:t>
            </w:r>
            <w:r w:rsidRPr="001D7630">
              <w:rPr>
                <w:sz w:val="24"/>
                <w:szCs w:val="24"/>
              </w:rPr>
              <w:lastRenderedPageBreak/>
              <w:t xml:space="preserve">pieprasījumu un ieguvumu šāda pakalpojuma sniegšanā. Līdz ar to trūkst pamatojuma degvielas tirgotājiem šobrīd uzlikt par pienākumu bez finanšu atbalsta ierīkot elektrotransportlīdzekļu uzlādes iespējas degvielas uzpildes stacijās. </w:t>
            </w:r>
          </w:p>
        </w:tc>
        <w:tc>
          <w:tcPr>
            <w:tcW w:w="2976" w:type="dxa"/>
            <w:tcBorders>
              <w:top w:val="single" w:sz="6" w:space="0" w:color="000000"/>
              <w:left w:val="single" w:sz="6" w:space="0" w:color="000000"/>
              <w:bottom w:val="single" w:sz="6" w:space="0" w:color="000000"/>
              <w:right w:val="single" w:sz="6" w:space="0" w:color="000000"/>
            </w:tcBorders>
          </w:tcPr>
          <w:p w14:paraId="0F2DE756" w14:textId="77777777" w:rsidR="00780010" w:rsidRPr="001D7630" w:rsidRDefault="00780010" w:rsidP="00780010">
            <w:pPr>
              <w:jc w:val="center"/>
              <w:rPr>
                <w:b/>
              </w:rPr>
            </w:pPr>
            <w:r w:rsidRPr="001D7630">
              <w:rPr>
                <w:b/>
              </w:rPr>
              <w:lastRenderedPageBreak/>
              <w:t>Ņemts vērā</w:t>
            </w:r>
          </w:p>
          <w:p w14:paraId="6F10980B" w14:textId="77777777" w:rsidR="00780010" w:rsidRPr="001D7630" w:rsidRDefault="00780010" w:rsidP="00780010">
            <w:pPr>
              <w:rPr>
                <w:b/>
              </w:rPr>
            </w:pPr>
          </w:p>
          <w:p w14:paraId="6AA5DAF9" w14:textId="77777777" w:rsidR="00780010" w:rsidRPr="001D7630" w:rsidRDefault="00780010" w:rsidP="00780010">
            <w:pPr>
              <w:rPr>
                <w:bCs/>
                <w:iCs/>
              </w:rPr>
            </w:pPr>
          </w:p>
        </w:tc>
        <w:tc>
          <w:tcPr>
            <w:tcW w:w="4291" w:type="dxa"/>
            <w:tcBorders>
              <w:top w:val="single" w:sz="4" w:space="0" w:color="auto"/>
              <w:left w:val="single" w:sz="4" w:space="0" w:color="auto"/>
              <w:bottom w:val="single" w:sz="4" w:space="0" w:color="auto"/>
            </w:tcBorders>
          </w:tcPr>
          <w:p w14:paraId="77CE81C2" w14:textId="77777777" w:rsidR="00780010" w:rsidRPr="001D7630" w:rsidRDefault="00780010" w:rsidP="00780010">
            <w:pPr>
              <w:pStyle w:val="naisf"/>
              <w:spacing w:before="0" w:after="0"/>
              <w:ind w:firstLine="0"/>
            </w:pPr>
            <w:r w:rsidRPr="001D7630">
              <w:t>Likumprojekta 5.pants ir precizēts</w:t>
            </w:r>
          </w:p>
        </w:tc>
      </w:tr>
      <w:tr w:rsidR="00780010" w:rsidRPr="001D7630" w14:paraId="573E8681"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7B39F206"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7906CE35" w14:textId="77777777" w:rsidR="00780010" w:rsidRPr="001D7630" w:rsidRDefault="00780010" w:rsidP="00780010">
            <w:pPr>
              <w:tabs>
                <w:tab w:val="left" w:pos="3195"/>
              </w:tabs>
            </w:pPr>
          </w:p>
        </w:tc>
        <w:tc>
          <w:tcPr>
            <w:tcW w:w="4047" w:type="dxa"/>
            <w:tcBorders>
              <w:top w:val="single" w:sz="6" w:space="0" w:color="000000"/>
              <w:left w:val="single" w:sz="6" w:space="0" w:color="000000"/>
              <w:bottom w:val="single" w:sz="6" w:space="0" w:color="000000"/>
              <w:right w:val="single" w:sz="6" w:space="0" w:color="000000"/>
            </w:tcBorders>
          </w:tcPr>
          <w:p w14:paraId="1521B52D" w14:textId="77777777" w:rsidR="00780010" w:rsidRPr="001D7630" w:rsidRDefault="00780010" w:rsidP="00780010">
            <w:pPr>
              <w:autoSpaceDE w:val="0"/>
              <w:autoSpaceDN w:val="0"/>
              <w:adjustRightInd w:val="0"/>
              <w:jc w:val="center"/>
              <w:rPr>
                <w:b/>
                <w:bCs/>
              </w:rPr>
            </w:pPr>
            <w:r w:rsidRPr="001D7630">
              <w:rPr>
                <w:b/>
                <w:bCs/>
              </w:rPr>
              <w:t>Finanšu nozares asociācija</w:t>
            </w:r>
          </w:p>
          <w:p w14:paraId="493044CE" w14:textId="77777777" w:rsidR="00780010" w:rsidRPr="001D7630" w:rsidRDefault="00780010" w:rsidP="00780010">
            <w:pPr>
              <w:autoSpaceDE w:val="0"/>
              <w:autoSpaceDN w:val="0"/>
              <w:adjustRightInd w:val="0"/>
              <w:jc w:val="center"/>
              <w:rPr>
                <w:b/>
                <w:bCs/>
              </w:rPr>
            </w:pPr>
            <w:r w:rsidRPr="001D7630">
              <w:rPr>
                <w:b/>
                <w:bCs/>
              </w:rPr>
              <w:t>(18.01.2021. atzinums)</w:t>
            </w:r>
          </w:p>
          <w:p w14:paraId="5BCC7B49" w14:textId="77777777" w:rsidR="00780010" w:rsidRPr="001D7630" w:rsidRDefault="00780010" w:rsidP="00780010">
            <w:pPr>
              <w:jc w:val="both"/>
            </w:pPr>
            <w:r w:rsidRPr="001D7630">
              <w:t>2. Lūdzam veikt virkni precizējumu Likumprojekta 5.panta trešajā daļā:</w:t>
            </w:r>
          </w:p>
          <w:p w14:paraId="4EA2814D" w14:textId="77777777" w:rsidR="00780010" w:rsidRPr="001D7630" w:rsidRDefault="00780010" w:rsidP="00780010">
            <w:pPr>
              <w:jc w:val="both"/>
            </w:pPr>
            <w:r w:rsidRPr="001D7630">
              <w:t xml:space="preserve">a. šobrīd tas paredz, ka </w:t>
            </w:r>
            <w:r w:rsidRPr="001D7630">
              <w:rPr>
                <w:i/>
                <w:iCs/>
              </w:rPr>
              <w:t>“[j]aunu normatīvajos aktos par publisko būvju būvnoteikumiem noteikto publisko būvju būvniecības ietvaros vai publisko būvju pārbūves vai renovācijas procesā, ja minētām ēkām ēkas iekšienē  vai blakus ēkām  ir vairāk nekā desmit stāvvietas, jaunu normatīvajos aktos par dzīvojamo ēku būvnoteikumiem noteikto dzīvojamo ēku būvniecības ietvaros un dzīvojamo ēku pārbūves vai renovācijas procesā, ja minētām ēkām ēkas iekšienē vai blakus ēkām ir vairāk nekā desmit stāvvietas, paredz elektrotransportlīdzekļu uzlādes iekārtas uzstādīšanu atbilstoši būvniecību regulējošiem normatīvajiem aktiem par publiskām būvēm un dzīvojamām ēkām”</w:t>
            </w:r>
            <w:r w:rsidRPr="001D7630">
              <w:rPr>
                <w:b/>
                <w:bCs/>
              </w:rPr>
              <w:t xml:space="preserve">. Atkārtoti uzsveram, ka </w:t>
            </w:r>
            <w:r w:rsidRPr="001D7630">
              <w:t xml:space="preserve">šāda prasība nepārprotami kavēs daudzdzīvokļu dzīvojamo māju atjaunošanas procesu, t.sk. ES fondu 2014.-2020.gada plānošanas perioda ietvaros ieviestās energoefektivitātes </w:t>
            </w:r>
            <w:r w:rsidRPr="001D7630">
              <w:lastRenderedPageBreak/>
              <w:t xml:space="preserve">pasākumu programmas apguvi, tā kā palielinās kopējās projekta izmaksas. Var izveidoties situācija, ka gan jumta nomaiņas, gan mājas fasādes atjaunošanas un līdzīgu ar daudzdzīvokļu dzīvojamās mājas energoefektivitātes uzlabošanu saistītu pasākumu gadījumā, dzīvokļu īpašniekiem ir papildus jālemj par ELT uzlādes punkta izveidi, kā rezultātā var tikt pieņemts lēmums neīstenot nevienu no paredzētajiem pasākumiem. Jau šobrīd ir virkne problēmjautājumu, kas saistīti ar daudzdzīvokļu dzīvojamo māju apsaimniekošanu, piemēram, nav atrisināts jautājums par piespiedu nomu, jo zeme zem daudzām daudzdzīvokļu dzīvojamām ēkām nav dzīvokļu īpašnieku īpašumā, tāpat kā komunikācijas. Attiecīgi iecerēto darbu dēļ ir jāveic projektēšana un saskaņošana ar komunikāciju īpašniekiem, kas rada papildu izmaksas. </w:t>
            </w:r>
          </w:p>
          <w:p w14:paraId="4B474263" w14:textId="77777777" w:rsidR="00780010" w:rsidRPr="001D7630" w:rsidRDefault="00780010" w:rsidP="00780010">
            <w:pPr>
              <w:jc w:val="both"/>
            </w:pPr>
            <w:r w:rsidRPr="001D7630">
              <w:t xml:space="preserve">Pašvaldībām pilsētu teritorijās, veicot detālplānojumus, ir iespējas plānot un noteikt šādu uzlādes punktu izveides vietas, apzinot uzlādei nepieciešamās jaudas, to pieejamību, šādu kopējas infrastruktūras jautājumu risināšanu nedrīkstētu uzlikt tikai kā pienākumu daudzīvokļu dzīvojamo māju īpašniekiem. Jāatceras, ka papildus uzlādes punktu ierīkošanai izdevumus </w:t>
            </w:r>
            <w:r w:rsidRPr="001D7630">
              <w:lastRenderedPageBreak/>
              <w:t>veidos arī to uzturēšanas izmaksas, kas vēl palielinās kopējos māju apsaimniekošanas izdevumus. Šobrīd nav skaidrs, kādas būs šīs izmaksas un kurš tās segs – vai tās pilnībā segs šos punktu izmantotāji?</w:t>
            </w:r>
          </w:p>
          <w:p w14:paraId="07CA9A86" w14:textId="77777777" w:rsidR="00780010" w:rsidRPr="001D7630" w:rsidRDefault="00780010" w:rsidP="00780010">
            <w:pPr>
              <w:jc w:val="both"/>
            </w:pPr>
            <w:r w:rsidRPr="001D7630">
              <w:t>Aicinām Likumprojekta 5.panta trešajā daļā noteiktās prasības nenoteikt kā obligātas, tāpat kā stāvvietu ierīkošanu. Jau šobrīd ir problēma nodrošināt daudzdzīvokļu dzīvojamo māju iekšpagalmos nepieciešamo autostāvvietu skaitu. Ekonomikas ministrija plāno pieaugumu daudzdzīvokļu dzīvojamo māju atjaunošanā, līdz ar to aicinām izvērtēt nepieciešamību un lietderību noteikt ELT uzlādes vietu izveidi pie katras daudzdzīvokļu dzīvojamās mājas.</w:t>
            </w:r>
          </w:p>
          <w:p w14:paraId="0296AFE5" w14:textId="77777777" w:rsidR="00780010" w:rsidRPr="001D7630" w:rsidRDefault="00780010" w:rsidP="00780010">
            <w:pPr>
              <w:jc w:val="both"/>
            </w:pPr>
            <w:r w:rsidRPr="001D7630">
              <w:t xml:space="preserve">b. aicinām dzēst vārdu “iekšienē”, jo ar to parasti tiek saprastas ēkas iekštelpas. </w:t>
            </w:r>
          </w:p>
          <w:p w14:paraId="69E693EB" w14:textId="77777777" w:rsidR="00780010" w:rsidRPr="001D7630" w:rsidRDefault="00780010" w:rsidP="00780010">
            <w:pPr>
              <w:jc w:val="both"/>
            </w:pPr>
            <w:r w:rsidRPr="001D7630">
              <w:t xml:space="preserve">c. lūdzam skaidrot terminu ”blakus ēkām”, jo katrai ēkai ir noteikts tai funkcionāli nepieciešamais zemes gabals, kas tiek apsaimniekots, un var būt situācija, ka tai blakus ir otra ēka, kam ir zeme ar autostāvvietām, attiecīgi pirmā ēka var lemt par būvniecību, pārbūvi tikai attiecībā uz to zemes gabalu, kas tai ir piekritīgs un atrodas tās īpašumā. </w:t>
            </w:r>
          </w:p>
        </w:tc>
        <w:tc>
          <w:tcPr>
            <w:tcW w:w="2976" w:type="dxa"/>
            <w:tcBorders>
              <w:top w:val="single" w:sz="6" w:space="0" w:color="000000"/>
              <w:left w:val="single" w:sz="6" w:space="0" w:color="000000"/>
              <w:bottom w:val="single" w:sz="6" w:space="0" w:color="000000"/>
              <w:right w:val="single" w:sz="6" w:space="0" w:color="000000"/>
            </w:tcBorders>
          </w:tcPr>
          <w:p w14:paraId="4DC59343" w14:textId="77777777" w:rsidR="00780010" w:rsidRPr="001D7630" w:rsidRDefault="00780010" w:rsidP="00780010">
            <w:pPr>
              <w:jc w:val="center"/>
              <w:rPr>
                <w:b/>
              </w:rPr>
            </w:pPr>
            <w:r w:rsidRPr="001D7630">
              <w:rPr>
                <w:b/>
              </w:rPr>
              <w:lastRenderedPageBreak/>
              <w:t>Ņemts vērā</w:t>
            </w:r>
          </w:p>
          <w:p w14:paraId="2FAF499B" w14:textId="77777777" w:rsidR="00780010" w:rsidRPr="001D7630" w:rsidRDefault="00780010" w:rsidP="00780010">
            <w:pPr>
              <w:rPr>
                <w:b/>
              </w:rPr>
            </w:pPr>
          </w:p>
          <w:p w14:paraId="72A79819" w14:textId="77777777" w:rsidR="00780010" w:rsidRPr="001D7630" w:rsidRDefault="00780010" w:rsidP="00780010">
            <w:pPr>
              <w:rPr>
                <w:bCs/>
              </w:rPr>
            </w:pPr>
            <w:r w:rsidRPr="001D7630">
              <w:rPr>
                <w:bCs/>
              </w:rPr>
              <w:t>a. skaidrojam, ka minētā prasība izriet no direktīvas 2010/31/ES (konsolidētā versija), kur nav noteikta izvēles brīvība šo nosacījumu piemērot vai nepiemērot.</w:t>
            </w:r>
          </w:p>
          <w:p w14:paraId="2282DA4A" w14:textId="77777777" w:rsidR="00780010" w:rsidRPr="001D7630" w:rsidRDefault="00780010" w:rsidP="00780010">
            <w:pPr>
              <w:rPr>
                <w:b/>
              </w:rPr>
            </w:pPr>
            <w:r w:rsidRPr="001D7630">
              <w:rPr>
                <w:bCs/>
              </w:rPr>
              <w:t>Tāpat norādām, ka minētie nosacījumi ir jau iekļauti MKN Nr.340 (30.06.2015.) un MKN Nr.331 (30.06.2015.), līdz ar to šie nosacījumi ir jāievēro arī tad, ja tie nav iekļauti likumprojektā</w:t>
            </w:r>
          </w:p>
        </w:tc>
        <w:tc>
          <w:tcPr>
            <w:tcW w:w="4291" w:type="dxa"/>
            <w:tcBorders>
              <w:top w:val="single" w:sz="4" w:space="0" w:color="auto"/>
              <w:left w:val="single" w:sz="4" w:space="0" w:color="auto"/>
              <w:bottom w:val="single" w:sz="4" w:space="0" w:color="auto"/>
            </w:tcBorders>
          </w:tcPr>
          <w:p w14:paraId="10FD0F3E" w14:textId="77777777" w:rsidR="00780010" w:rsidRPr="001D7630" w:rsidRDefault="00780010" w:rsidP="00780010">
            <w:pPr>
              <w:pStyle w:val="naisf"/>
              <w:spacing w:before="0" w:after="0"/>
              <w:ind w:firstLine="0"/>
            </w:pPr>
            <w:r w:rsidRPr="001D7630">
              <w:t>Likumprojekta 5.panta 3.daļa ir svītrota</w:t>
            </w:r>
          </w:p>
        </w:tc>
      </w:tr>
      <w:tr w:rsidR="00780010" w:rsidRPr="001D7630" w14:paraId="75192C56"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14BAD98F"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5F38FC7E" w14:textId="77777777" w:rsidR="00780010" w:rsidRPr="001D7630" w:rsidRDefault="00780010" w:rsidP="00780010">
            <w:pPr>
              <w:tabs>
                <w:tab w:val="left" w:pos="3195"/>
              </w:tabs>
            </w:pPr>
          </w:p>
        </w:tc>
        <w:tc>
          <w:tcPr>
            <w:tcW w:w="4047" w:type="dxa"/>
            <w:tcBorders>
              <w:top w:val="single" w:sz="6" w:space="0" w:color="000000"/>
              <w:left w:val="single" w:sz="6" w:space="0" w:color="000000"/>
              <w:bottom w:val="single" w:sz="6" w:space="0" w:color="000000"/>
              <w:right w:val="single" w:sz="6" w:space="0" w:color="000000"/>
            </w:tcBorders>
          </w:tcPr>
          <w:p w14:paraId="283B5ACC" w14:textId="77777777" w:rsidR="00780010" w:rsidRPr="001D7630" w:rsidRDefault="00780010" w:rsidP="00780010">
            <w:pPr>
              <w:autoSpaceDE w:val="0"/>
              <w:autoSpaceDN w:val="0"/>
              <w:adjustRightInd w:val="0"/>
              <w:jc w:val="center"/>
              <w:rPr>
                <w:b/>
                <w:bCs/>
              </w:rPr>
            </w:pPr>
            <w:r w:rsidRPr="001D7630">
              <w:rPr>
                <w:b/>
                <w:bCs/>
              </w:rPr>
              <w:t>Latvijas Lielo pilsētu asociācija</w:t>
            </w:r>
          </w:p>
          <w:p w14:paraId="0817029A" w14:textId="77777777" w:rsidR="00780010" w:rsidRPr="001D7630" w:rsidRDefault="00780010" w:rsidP="00780010">
            <w:pPr>
              <w:autoSpaceDE w:val="0"/>
              <w:autoSpaceDN w:val="0"/>
              <w:adjustRightInd w:val="0"/>
              <w:jc w:val="center"/>
              <w:rPr>
                <w:b/>
                <w:bCs/>
              </w:rPr>
            </w:pPr>
            <w:r w:rsidRPr="001D7630">
              <w:rPr>
                <w:b/>
                <w:bCs/>
              </w:rPr>
              <w:t>(26.03.2021.)</w:t>
            </w:r>
          </w:p>
          <w:p w14:paraId="75CB9426" w14:textId="77777777" w:rsidR="00780010" w:rsidRPr="001D7630" w:rsidRDefault="00780010" w:rsidP="00780010">
            <w:pPr>
              <w:autoSpaceDE w:val="0"/>
              <w:autoSpaceDN w:val="0"/>
              <w:adjustRightInd w:val="0"/>
              <w:rPr>
                <w:b/>
                <w:bCs/>
              </w:rPr>
            </w:pPr>
            <w:r w:rsidRPr="001D7630">
              <w:rPr>
                <w:bCs/>
                <w:iCs/>
              </w:rPr>
              <w:lastRenderedPageBreak/>
              <w:t xml:space="preserve">5. pantā nav atrodama informācija par ūdeņraža uzpildes stacijām. </w:t>
            </w:r>
            <w:r w:rsidRPr="001D7630">
              <w:rPr>
                <w:iCs/>
              </w:rPr>
              <w:t>Lūgums veikt nepieciešamos papildinājumus.</w:t>
            </w:r>
          </w:p>
        </w:tc>
        <w:tc>
          <w:tcPr>
            <w:tcW w:w="2976" w:type="dxa"/>
            <w:tcBorders>
              <w:top w:val="single" w:sz="6" w:space="0" w:color="000000"/>
              <w:left w:val="single" w:sz="6" w:space="0" w:color="000000"/>
              <w:bottom w:val="single" w:sz="6" w:space="0" w:color="000000"/>
              <w:right w:val="single" w:sz="6" w:space="0" w:color="000000"/>
            </w:tcBorders>
          </w:tcPr>
          <w:p w14:paraId="1DFF7D94" w14:textId="77777777" w:rsidR="00780010" w:rsidRPr="001D7630" w:rsidRDefault="00780010" w:rsidP="00780010">
            <w:pPr>
              <w:jc w:val="center"/>
              <w:rPr>
                <w:b/>
              </w:rPr>
            </w:pPr>
            <w:r w:rsidRPr="001D7630">
              <w:rPr>
                <w:b/>
              </w:rPr>
              <w:lastRenderedPageBreak/>
              <w:t>Ņemts vērā</w:t>
            </w:r>
          </w:p>
          <w:p w14:paraId="6D814F56" w14:textId="77777777" w:rsidR="00780010" w:rsidRPr="001D7630" w:rsidRDefault="00780010" w:rsidP="00780010">
            <w:pPr>
              <w:rPr>
                <w:b/>
              </w:rPr>
            </w:pPr>
          </w:p>
          <w:p w14:paraId="14CD7567" w14:textId="77777777" w:rsidR="00780010" w:rsidRPr="001D7630" w:rsidRDefault="00780010" w:rsidP="00780010">
            <w:pPr>
              <w:rPr>
                <w:bCs/>
              </w:rPr>
            </w:pPr>
            <w:r w:rsidRPr="001D7630">
              <w:rPr>
                <w:bCs/>
              </w:rPr>
              <w:lastRenderedPageBreak/>
              <w:t>Skaidrojam, ka saskaņā ar direktīvas 2014/94/ES 2.panta 1.punktu ūdeņradis ietilpst alternatīvo degvielu aptvērumā, kuras ir minētas likumprojekta 5.panta 1.daļas 2.punktā, 2.daļā, kā arī 6.daļā</w:t>
            </w:r>
          </w:p>
        </w:tc>
        <w:tc>
          <w:tcPr>
            <w:tcW w:w="4291" w:type="dxa"/>
            <w:tcBorders>
              <w:top w:val="single" w:sz="4" w:space="0" w:color="auto"/>
              <w:left w:val="single" w:sz="4" w:space="0" w:color="auto"/>
              <w:bottom w:val="single" w:sz="4" w:space="0" w:color="auto"/>
            </w:tcBorders>
          </w:tcPr>
          <w:p w14:paraId="291DBE45" w14:textId="77777777" w:rsidR="00780010" w:rsidRPr="001D7630" w:rsidRDefault="00780010" w:rsidP="00780010">
            <w:pPr>
              <w:pStyle w:val="naisf"/>
              <w:spacing w:before="0" w:after="0"/>
              <w:ind w:firstLine="0"/>
            </w:pPr>
            <w:r w:rsidRPr="001D7630">
              <w:lastRenderedPageBreak/>
              <w:t>Likumprojekta 5.pants</w:t>
            </w:r>
          </w:p>
        </w:tc>
      </w:tr>
      <w:tr w:rsidR="00780010" w:rsidRPr="001D7630" w14:paraId="30D117FD"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61C6E630"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26799E86" w14:textId="77777777" w:rsidR="00780010" w:rsidRPr="001D7630" w:rsidRDefault="00780010" w:rsidP="00780010">
            <w:pPr>
              <w:tabs>
                <w:tab w:val="left" w:pos="3195"/>
              </w:tabs>
            </w:pPr>
          </w:p>
        </w:tc>
        <w:tc>
          <w:tcPr>
            <w:tcW w:w="4047" w:type="dxa"/>
            <w:tcBorders>
              <w:top w:val="single" w:sz="6" w:space="0" w:color="000000"/>
              <w:left w:val="single" w:sz="6" w:space="0" w:color="000000"/>
              <w:bottom w:val="single" w:sz="6" w:space="0" w:color="000000"/>
              <w:right w:val="single" w:sz="6" w:space="0" w:color="000000"/>
            </w:tcBorders>
          </w:tcPr>
          <w:p w14:paraId="22C3416A" w14:textId="77777777" w:rsidR="00780010" w:rsidRPr="001D7630" w:rsidRDefault="00780010" w:rsidP="00780010">
            <w:pPr>
              <w:autoSpaceDE w:val="0"/>
              <w:autoSpaceDN w:val="0"/>
              <w:adjustRightInd w:val="0"/>
              <w:jc w:val="center"/>
              <w:rPr>
                <w:b/>
                <w:bCs/>
              </w:rPr>
            </w:pPr>
            <w:r w:rsidRPr="001D7630">
              <w:rPr>
                <w:b/>
                <w:bCs/>
              </w:rPr>
              <w:t>a/s “Virši”</w:t>
            </w:r>
          </w:p>
          <w:p w14:paraId="37B144F8" w14:textId="77777777" w:rsidR="00780010" w:rsidRPr="001D7630" w:rsidRDefault="00780010" w:rsidP="00780010">
            <w:pPr>
              <w:autoSpaceDE w:val="0"/>
              <w:autoSpaceDN w:val="0"/>
              <w:adjustRightInd w:val="0"/>
              <w:jc w:val="center"/>
              <w:rPr>
                <w:b/>
                <w:bCs/>
              </w:rPr>
            </w:pPr>
            <w:r w:rsidRPr="001D7630">
              <w:rPr>
                <w:b/>
                <w:bCs/>
              </w:rPr>
              <w:t>(25.03.2021.)</w:t>
            </w:r>
          </w:p>
          <w:p w14:paraId="26AFA02F" w14:textId="77777777" w:rsidR="00780010" w:rsidRPr="001D7630" w:rsidRDefault="00780010" w:rsidP="00780010">
            <w:pPr>
              <w:jc w:val="both"/>
            </w:pPr>
            <w:r w:rsidRPr="001D7630">
              <w:t>1. Likumprojekta 5.panta otrajā daļā ir noteikts, ka “Jaunas degvielas uzpildes stacijas būvniecības ietvaros un esošas degvielas uzpildes stacijas pārbūves vai renovācijas procesā jāparedz vismaz viens alternatīvās degvielas uzlādes vai uzpildes punkts atbilstoši Ministru kabineta noteiktajām prasībām, kritērijiem vai izņēmumiem. Minēto būvniecības procesu ietvaros, ja degvielas uzpildes stacijas atrodas pie valsts galvenajiem autoceļiem, jāparedz vismaz viens elektroenerģijas uzlādes punkts atbilstoši minētajiem kritērijiem vai izņēmumiem un Ministru kabineta noteiktā kārtībā veiktajam izvērtējumam par elektroenerģijas uzlādes pieprasījumu.”</w:t>
            </w:r>
          </w:p>
          <w:p w14:paraId="3AA0E67E" w14:textId="77777777" w:rsidR="00780010" w:rsidRPr="001D7630" w:rsidRDefault="00780010" w:rsidP="00780010">
            <w:pPr>
              <w:jc w:val="both"/>
            </w:pPr>
            <w:r w:rsidRPr="001D7630">
              <w:t xml:space="preserve">Lūdzam izslēgt šī punkta otro teikumu un to pamatojam ar šādiem apsvērumiem:  </w:t>
            </w:r>
          </w:p>
          <w:p w14:paraId="49B74B30" w14:textId="77777777" w:rsidR="00780010" w:rsidRPr="001D7630" w:rsidRDefault="00780010" w:rsidP="00780010">
            <w:pPr>
              <w:pStyle w:val="ListParagraph"/>
              <w:numPr>
                <w:ilvl w:val="0"/>
                <w:numId w:val="9"/>
              </w:numPr>
              <w:spacing w:after="0" w:line="240" w:lineRule="auto"/>
              <w:ind w:left="357" w:hanging="357"/>
              <w:contextualSpacing w:val="0"/>
              <w:jc w:val="both"/>
              <w:rPr>
                <w:rFonts w:ascii="Times New Roman" w:hAnsi="Times New Roman"/>
                <w:sz w:val="24"/>
                <w:szCs w:val="24"/>
              </w:rPr>
            </w:pPr>
            <w:r w:rsidRPr="001D7630">
              <w:rPr>
                <w:rFonts w:ascii="Times New Roman" w:hAnsi="Times New Roman"/>
                <w:sz w:val="24"/>
                <w:szCs w:val="24"/>
              </w:rPr>
              <w:t>šajā desmitgadē vieglo elektroautomašīnu skaits nepārsniegs 10% no kopējā vieglo automašīnu skaita,</w:t>
            </w:r>
          </w:p>
          <w:p w14:paraId="17CC3AFE" w14:textId="77777777" w:rsidR="00780010" w:rsidRPr="001D7630" w:rsidRDefault="00780010" w:rsidP="00780010">
            <w:pPr>
              <w:pStyle w:val="ListParagraph"/>
              <w:numPr>
                <w:ilvl w:val="0"/>
                <w:numId w:val="9"/>
              </w:numPr>
              <w:spacing w:after="0" w:line="240" w:lineRule="auto"/>
              <w:ind w:left="357" w:hanging="357"/>
              <w:contextualSpacing w:val="0"/>
              <w:jc w:val="both"/>
              <w:rPr>
                <w:rFonts w:ascii="Times New Roman" w:hAnsi="Times New Roman"/>
                <w:sz w:val="24"/>
                <w:szCs w:val="24"/>
              </w:rPr>
            </w:pPr>
            <w:r w:rsidRPr="001D7630">
              <w:rPr>
                <w:rFonts w:ascii="Times New Roman" w:hAnsi="Times New Roman"/>
                <w:sz w:val="24"/>
                <w:szCs w:val="24"/>
              </w:rPr>
              <w:lastRenderedPageBreak/>
              <w:t>elektroenerģijas pieslēguma izbūve atsevišķos reģionos ir ļoti dārga;</w:t>
            </w:r>
          </w:p>
          <w:p w14:paraId="10FFF1DA" w14:textId="77777777" w:rsidR="00780010" w:rsidRPr="001D7630" w:rsidRDefault="00780010" w:rsidP="00780010">
            <w:pPr>
              <w:pStyle w:val="ListParagraph"/>
              <w:numPr>
                <w:ilvl w:val="0"/>
                <w:numId w:val="9"/>
              </w:numPr>
              <w:spacing w:after="0" w:line="240" w:lineRule="auto"/>
              <w:ind w:left="357" w:hanging="357"/>
              <w:contextualSpacing w:val="0"/>
              <w:jc w:val="both"/>
              <w:rPr>
                <w:rFonts w:ascii="Times New Roman" w:hAnsi="Times New Roman"/>
                <w:sz w:val="24"/>
                <w:szCs w:val="24"/>
              </w:rPr>
            </w:pPr>
            <w:r w:rsidRPr="001D7630">
              <w:rPr>
                <w:rFonts w:ascii="Times New Roman" w:hAnsi="Times New Roman"/>
                <w:sz w:val="24"/>
                <w:szCs w:val="24"/>
              </w:rPr>
              <w:t xml:space="preserve"> AS “VIRŠI-A” attīsta arī citu alternatīvo degvielu uzpildes tīklu.</w:t>
            </w:r>
          </w:p>
          <w:p w14:paraId="45EDE7ED" w14:textId="77777777" w:rsidR="00780010" w:rsidRPr="001D7630" w:rsidRDefault="00780010" w:rsidP="00780010">
            <w:pPr>
              <w:jc w:val="both"/>
            </w:pPr>
            <w:r w:rsidRPr="001D7630">
              <w:t xml:space="preserve"> Šādas izmaiņas ir nepieciešamas, lai nesamērīgi neapgrūtinātu jaunu, modernu degvielas uzpildes staciju parādīšanos un esošo renovāciju. Elektrouzlādes punkta pieslēguma izveidošana veido lielas papildus investīcijas, kā arī fiksētās izmaksas, kas rodas no elektroenerģijas sadales sistēmas operatora tarifu fiksētās daļas. Tas viss būtiski sadārdzina elektrouzlādes tīkla uzturēšanu. </w:t>
            </w:r>
          </w:p>
          <w:p w14:paraId="52E73D9F" w14:textId="77777777" w:rsidR="00780010" w:rsidRPr="001D7630" w:rsidRDefault="00780010" w:rsidP="00780010">
            <w:pPr>
              <w:autoSpaceDE w:val="0"/>
              <w:autoSpaceDN w:val="0"/>
              <w:adjustRightInd w:val="0"/>
              <w:jc w:val="both"/>
              <w:rPr>
                <w:b/>
                <w:bCs/>
              </w:rPr>
            </w:pPr>
            <w:r w:rsidRPr="001D7630">
              <w:t>AS “VIRŠI-A”  plāno attīstīt elektrouzlādes infrastruktūru, tomēr ņemot vērā, ka Latvijā jau eksistē valsts un Eiropas Savienības finansēts E-mobi uzlādes tīkls, tad ir nesamērīgi uzlikt komersantiem par pienākumu izbūvēt tieši elektroauto uzlādes infrastruktūru par privātiem līdzekļiem.</w:t>
            </w:r>
          </w:p>
        </w:tc>
        <w:tc>
          <w:tcPr>
            <w:tcW w:w="2976" w:type="dxa"/>
            <w:tcBorders>
              <w:top w:val="single" w:sz="6" w:space="0" w:color="000000"/>
              <w:left w:val="single" w:sz="6" w:space="0" w:color="000000"/>
              <w:bottom w:val="single" w:sz="6" w:space="0" w:color="000000"/>
              <w:right w:val="single" w:sz="6" w:space="0" w:color="000000"/>
            </w:tcBorders>
          </w:tcPr>
          <w:p w14:paraId="0C33E464" w14:textId="77777777" w:rsidR="00780010" w:rsidRPr="001D7630" w:rsidRDefault="00780010" w:rsidP="00780010">
            <w:pPr>
              <w:jc w:val="center"/>
              <w:rPr>
                <w:b/>
                <w:bCs/>
                <w:iCs/>
              </w:rPr>
            </w:pPr>
            <w:r w:rsidRPr="001D7630">
              <w:rPr>
                <w:b/>
                <w:bCs/>
                <w:iCs/>
              </w:rPr>
              <w:lastRenderedPageBreak/>
              <w:t>Ņemts vērā</w:t>
            </w:r>
          </w:p>
          <w:p w14:paraId="3DCD8BD2" w14:textId="77777777" w:rsidR="00780010" w:rsidRPr="001D7630" w:rsidRDefault="00780010" w:rsidP="00780010">
            <w:pPr>
              <w:rPr>
                <w:b/>
                <w:bCs/>
                <w:iCs/>
              </w:rPr>
            </w:pPr>
          </w:p>
          <w:p w14:paraId="1179D9AC" w14:textId="77777777" w:rsidR="00780010" w:rsidRPr="001D7630" w:rsidRDefault="00780010" w:rsidP="00780010">
            <w:pPr>
              <w:rPr>
                <w:iCs/>
              </w:rPr>
            </w:pPr>
            <w:r w:rsidRPr="001D7630">
              <w:rPr>
                <w:iCs/>
              </w:rPr>
              <w:t>Ņemot vērā Latvijas oficiālo pozīciju par atbalstu ļoti ambiciozai klimata politikai, transporta dekarbonizācijai ir nepieciešams cita starpā nodrošināt būtisku elektrifikāciju un arī lai veicinātu elektrotransportlīdzekļu, tai skaitā, mazas kravnesības, elektrobusu u.c. transportlīdzekļu, izmantošanas veicināšanu, ir nepieciešams kāpināt uzlādes punktu skaitu un to pieejamību.</w:t>
            </w:r>
          </w:p>
          <w:p w14:paraId="0AA061EC" w14:textId="77777777" w:rsidR="00780010" w:rsidRPr="001D7630" w:rsidRDefault="00780010" w:rsidP="00780010">
            <w:pPr>
              <w:rPr>
                <w:iCs/>
              </w:rPr>
            </w:pPr>
          </w:p>
          <w:p w14:paraId="45D94452" w14:textId="77777777" w:rsidR="00780010" w:rsidRPr="001D7630" w:rsidRDefault="00780010" w:rsidP="00780010">
            <w:pPr>
              <w:rPr>
                <w:iCs/>
              </w:rPr>
            </w:pPr>
            <w:r w:rsidRPr="001D7630">
              <w:rPr>
                <w:iCs/>
              </w:rPr>
              <w:t xml:space="preserve">Skaidrojam, ka minētā prasība būtu piemērojama tad, kad stātos spēkā likumprojekta 5.panta 6.daļā noteiktie MK noteikumi, t.i. ne ātrāk kā 6 mēnešus pēc likumprojekta spēkā stāšanās, </w:t>
            </w:r>
            <w:r w:rsidRPr="001D7630">
              <w:rPr>
                <w:iCs/>
              </w:rPr>
              <w:lastRenderedPageBreak/>
              <w:t xml:space="preserve">kas varētu būt ne ātrāk kā 2022.gada 2.pusgads vai 2023.gada 1.janvāris. Minētajos MK noteikumos tiktu noteikti izmaksu efektivitātes nosacījumi. </w:t>
            </w:r>
          </w:p>
          <w:p w14:paraId="3B1ED05C" w14:textId="77777777" w:rsidR="00780010" w:rsidRPr="001D7630" w:rsidRDefault="00780010" w:rsidP="00780010">
            <w:pPr>
              <w:rPr>
                <w:iCs/>
              </w:rPr>
            </w:pPr>
          </w:p>
          <w:p w14:paraId="282C39B5" w14:textId="77777777" w:rsidR="00780010" w:rsidRPr="001D7630" w:rsidRDefault="00780010" w:rsidP="00780010">
            <w:pPr>
              <w:jc w:val="both"/>
              <w:rPr>
                <w:b/>
              </w:rPr>
            </w:pPr>
            <w:r w:rsidRPr="001D7630">
              <w:rPr>
                <w:iCs/>
              </w:rPr>
              <w:t>Informējam, ka likumprojekta 5.panta 2.daļa ir precizēta, nosakot, ka nosacījumi attiecas uz tādām jaunām degvielas uzpildes stacijām, kuras tiek būvētas fosilās izcelsmes šķidrās degvielas uzpildei.</w:t>
            </w:r>
          </w:p>
        </w:tc>
        <w:tc>
          <w:tcPr>
            <w:tcW w:w="4291" w:type="dxa"/>
            <w:tcBorders>
              <w:top w:val="single" w:sz="4" w:space="0" w:color="auto"/>
              <w:left w:val="single" w:sz="4" w:space="0" w:color="auto"/>
              <w:bottom w:val="single" w:sz="4" w:space="0" w:color="auto"/>
            </w:tcBorders>
          </w:tcPr>
          <w:p w14:paraId="43AE97E4" w14:textId="77777777" w:rsidR="00780010" w:rsidRPr="001D7630" w:rsidRDefault="00780010" w:rsidP="00780010">
            <w:pPr>
              <w:pStyle w:val="naisf"/>
              <w:spacing w:before="0" w:after="0"/>
              <w:ind w:firstLine="0"/>
            </w:pPr>
            <w:r w:rsidRPr="001D7630">
              <w:lastRenderedPageBreak/>
              <w:t>Likumprojekta 5.panta 2.daļa ir precizēta:</w:t>
            </w:r>
          </w:p>
          <w:p w14:paraId="1C05D614" w14:textId="77777777" w:rsidR="00780010" w:rsidRPr="001D7630" w:rsidRDefault="00780010" w:rsidP="00780010">
            <w:pPr>
              <w:jc w:val="both"/>
            </w:pPr>
            <w:bookmarkStart w:id="13" w:name="_Hlk69468960"/>
            <w:r w:rsidRPr="001D7630">
              <w:t xml:space="preserve">“(2) Jaunas degvielas uzpildes stacijas būvniecības ietvaros un esošas degvielas uzpildes stacijas pārbūves vai renovācijas procesā jāparedz vismaz viens alternatīvās degvielas uzlādes vai uzpildes punkts </w:t>
            </w:r>
            <w:bookmarkStart w:id="14" w:name="_Hlk65760404"/>
            <w:r w:rsidRPr="001D7630">
              <w:t>atbilstoši Ministru kabineta noteiktajām prasībām un kritērijiem</w:t>
            </w:r>
            <w:bookmarkEnd w:id="14"/>
            <w:r w:rsidRPr="001D7630">
              <w:t>. Minēto būvniecības procesu ietvaros, ja degvielas uzpildes stacijas atrodas pie valsts galvenajiem autoceļiem, jāparedz vismaz viens elektroenerģijas uzlādes punkts atbilstoši minētajiem kritērijiem un Ministru kabineta noteiktā kārtībā veiktajam izvērtējumam par elektroenerģijas uzlādes pieprasījumu. Minēto būvniecības procesu ietvaros, ja degvielas uzpildes stacija ir tikai alternatīvās degvielas uzpildei, tad elektroenerģijas uzlādes punkts nav jāparedz.”</w:t>
            </w:r>
          </w:p>
          <w:bookmarkEnd w:id="13"/>
          <w:p w14:paraId="26F28559" w14:textId="77777777" w:rsidR="00780010" w:rsidRPr="001D7630" w:rsidRDefault="00780010" w:rsidP="00780010">
            <w:pPr>
              <w:pStyle w:val="naisf"/>
              <w:spacing w:before="0" w:after="0"/>
              <w:ind w:firstLine="0"/>
            </w:pPr>
          </w:p>
          <w:p w14:paraId="40F27722" w14:textId="77777777" w:rsidR="00780010" w:rsidRPr="001D7630" w:rsidRDefault="00780010" w:rsidP="00780010">
            <w:pPr>
              <w:pStyle w:val="naisf"/>
              <w:spacing w:before="0" w:after="0"/>
              <w:ind w:firstLine="0"/>
            </w:pPr>
            <w:r w:rsidRPr="001D7630">
              <w:t>Likumprojekta anotācijas I sadaļas 2.punkta sadaļa “</w:t>
            </w:r>
            <w:r w:rsidRPr="001D7630">
              <w:rPr>
                <w:u w:val="single"/>
              </w:rPr>
              <w:t>Likumprojekta 5.pants</w:t>
            </w:r>
            <w:r w:rsidRPr="001D7630">
              <w:t xml:space="preserve">” ir precizēta tajā iekļaujot iespējamos piemērojamos </w:t>
            </w:r>
            <w:r w:rsidRPr="001D7630">
              <w:lastRenderedPageBreak/>
              <w:t>izņēmumus likumprojekta 5.panta 2.daļas 2.punkta nosacījumu piemērošanai.</w:t>
            </w:r>
          </w:p>
        </w:tc>
      </w:tr>
      <w:tr w:rsidR="00780010" w:rsidRPr="001D7630" w14:paraId="66022BA0"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60920712"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5D26264A" w14:textId="77777777" w:rsidR="00780010" w:rsidRPr="001D7630" w:rsidRDefault="00780010" w:rsidP="00780010">
            <w:pPr>
              <w:tabs>
                <w:tab w:val="left" w:pos="3195"/>
              </w:tabs>
            </w:pPr>
          </w:p>
        </w:tc>
        <w:tc>
          <w:tcPr>
            <w:tcW w:w="4047" w:type="dxa"/>
            <w:tcBorders>
              <w:top w:val="single" w:sz="6" w:space="0" w:color="000000"/>
              <w:left w:val="single" w:sz="6" w:space="0" w:color="000000"/>
              <w:bottom w:val="single" w:sz="6" w:space="0" w:color="000000"/>
              <w:right w:val="single" w:sz="6" w:space="0" w:color="000000"/>
            </w:tcBorders>
          </w:tcPr>
          <w:p w14:paraId="1B97BC2D" w14:textId="77777777" w:rsidR="00780010" w:rsidRPr="001D7630" w:rsidRDefault="00780010" w:rsidP="00780010">
            <w:pPr>
              <w:widowControl w:val="0"/>
              <w:jc w:val="center"/>
              <w:rPr>
                <w:b/>
                <w:bCs/>
                <w:color w:val="000000"/>
              </w:rPr>
            </w:pPr>
            <w:r w:rsidRPr="001D7630">
              <w:rPr>
                <w:b/>
                <w:bCs/>
                <w:color w:val="000000"/>
              </w:rPr>
              <w:t>AS "Latvenergo"</w:t>
            </w:r>
          </w:p>
          <w:p w14:paraId="271AD547" w14:textId="77777777" w:rsidR="00780010" w:rsidRPr="001D7630" w:rsidRDefault="00780010" w:rsidP="00780010">
            <w:pPr>
              <w:widowControl w:val="0"/>
              <w:jc w:val="center"/>
              <w:rPr>
                <w:b/>
                <w:bCs/>
              </w:rPr>
            </w:pPr>
            <w:r w:rsidRPr="001D7630">
              <w:rPr>
                <w:b/>
                <w:bCs/>
              </w:rPr>
              <w:t>(25.03.2021.)</w:t>
            </w:r>
          </w:p>
          <w:p w14:paraId="4B74D0D8" w14:textId="77777777" w:rsidR="00780010" w:rsidRPr="001D7630" w:rsidRDefault="00780010" w:rsidP="00780010">
            <w:pPr>
              <w:widowControl w:val="0"/>
              <w:jc w:val="both"/>
              <w:rPr>
                <w:color w:val="000000"/>
              </w:rPr>
            </w:pPr>
            <w:r w:rsidRPr="001D7630">
              <w:rPr>
                <w:color w:val="000000"/>
              </w:rPr>
              <w:t xml:space="preserve">Ievērojot to, ka elektrotransporta uzlādes pakalpojums ir pakalpojums, nevis elektroenerģijas tirdzniecība tās šaurākajā nozīmē un ievērojot to, ka uzlādes punktiem papildus tieši uzlādes pakalpojumā patērētajai elektroenerģijai ir arī pašpatēriņš, kā arī ievērojot to, ka kopējo pieslēguma elektroenerģijas </w:t>
            </w:r>
            <w:r w:rsidRPr="001D7630">
              <w:rPr>
                <w:color w:val="000000"/>
              </w:rPr>
              <w:lastRenderedPageBreak/>
              <w:t>patēriņu uzskaita sistēmas operators, aicinām izslēgt 5. panta ceturto daļu no TEL projekta.</w:t>
            </w:r>
          </w:p>
          <w:p w14:paraId="5B7CD651" w14:textId="77777777" w:rsidR="00780010" w:rsidRPr="001D7630" w:rsidRDefault="00780010" w:rsidP="00780010">
            <w:pPr>
              <w:autoSpaceDE w:val="0"/>
              <w:autoSpaceDN w:val="0"/>
              <w:adjustRightInd w:val="0"/>
              <w:jc w:val="center"/>
              <w:rPr>
                <w:b/>
                <w:bCs/>
              </w:rPr>
            </w:pPr>
          </w:p>
        </w:tc>
        <w:tc>
          <w:tcPr>
            <w:tcW w:w="2976" w:type="dxa"/>
            <w:tcBorders>
              <w:top w:val="single" w:sz="6" w:space="0" w:color="000000"/>
              <w:left w:val="single" w:sz="6" w:space="0" w:color="000000"/>
              <w:bottom w:val="single" w:sz="6" w:space="0" w:color="000000"/>
              <w:right w:val="single" w:sz="6" w:space="0" w:color="000000"/>
            </w:tcBorders>
          </w:tcPr>
          <w:p w14:paraId="5F36D82F" w14:textId="77777777" w:rsidR="00780010" w:rsidRPr="001D7630" w:rsidRDefault="00780010" w:rsidP="00780010">
            <w:pPr>
              <w:jc w:val="center"/>
              <w:rPr>
                <w:b/>
                <w:bCs/>
                <w:iCs/>
              </w:rPr>
            </w:pPr>
            <w:r w:rsidRPr="001D7630">
              <w:rPr>
                <w:b/>
                <w:bCs/>
                <w:iCs/>
              </w:rPr>
              <w:lastRenderedPageBreak/>
              <w:t>Ņemts vērā</w:t>
            </w:r>
          </w:p>
          <w:p w14:paraId="56107F74" w14:textId="77777777" w:rsidR="00780010" w:rsidRPr="001D7630" w:rsidRDefault="00780010" w:rsidP="00780010">
            <w:pPr>
              <w:rPr>
                <w:b/>
                <w:bCs/>
                <w:iCs/>
              </w:rPr>
            </w:pPr>
          </w:p>
          <w:p w14:paraId="51F6730F" w14:textId="77777777" w:rsidR="00780010" w:rsidRPr="001D7630" w:rsidRDefault="00780010" w:rsidP="00780010">
            <w:pPr>
              <w:rPr>
                <w:iCs/>
              </w:rPr>
            </w:pPr>
            <w:r w:rsidRPr="001D7630">
              <w:rPr>
                <w:iCs/>
              </w:rPr>
              <w:t>Informējam, ka minētie nosacījumi izriet no Direktīvas 2014/94/ES 4.panta 7.punkts:</w:t>
            </w:r>
          </w:p>
          <w:p w14:paraId="76A8F231" w14:textId="77777777" w:rsidR="00780010" w:rsidRPr="001D7630" w:rsidRDefault="00780010" w:rsidP="00780010">
            <w:pPr>
              <w:rPr>
                <w:color w:val="000000"/>
                <w:shd w:val="clear" w:color="auto" w:fill="FFFFFF"/>
              </w:rPr>
            </w:pPr>
            <w:r w:rsidRPr="001D7630">
              <w:rPr>
                <w:color w:val="000000"/>
                <w:shd w:val="clear" w:color="auto" w:fill="FFFFFF"/>
              </w:rPr>
              <w:t xml:space="preserve">“7.  Elektrotransportlīdzekļu uzlādei publiski pieejamos uzlādes punktos, ja tas ir tehniski iespējams un </w:t>
            </w:r>
            <w:r w:rsidRPr="001D7630">
              <w:rPr>
                <w:color w:val="000000"/>
                <w:shd w:val="clear" w:color="auto" w:fill="FFFFFF"/>
              </w:rPr>
              <w:lastRenderedPageBreak/>
              <w:t>ekonomiski pamatoti, izmanto viedo mēraparātu sistēmas, kas definētas Direktīvas 2012/27/ES 2. panta 28. punktā, un ievēro prasības, kuras noteiktas minētās direktīvas 9. panta 2. punktā.”</w:t>
            </w:r>
          </w:p>
          <w:p w14:paraId="4A6049A5" w14:textId="77777777" w:rsidR="00780010" w:rsidRPr="001D7630" w:rsidRDefault="00780010" w:rsidP="00780010">
            <w:pPr>
              <w:rPr>
                <w:color w:val="000000"/>
                <w:shd w:val="clear" w:color="auto" w:fill="FFFFFF"/>
              </w:rPr>
            </w:pPr>
          </w:p>
          <w:p w14:paraId="6AF624EB" w14:textId="77777777" w:rsidR="00780010" w:rsidRPr="001D7630" w:rsidRDefault="00780010" w:rsidP="00780010">
            <w:pPr>
              <w:jc w:val="both"/>
              <w:rPr>
                <w:b/>
                <w:bCs/>
                <w:iCs/>
              </w:rPr>
            </w:pPr>
            <w:r w:rsidRPr="001D7630">
              <w:rPr>
                <w:color w:val="000000"/>
                <w:shd w:val="clear" w:color="auto" w:fill="FFFFFF"/>
              </w:rPr>
              <w:t>Vienlaikus norādām, ka minētā prasība jau šobrīd ir spēkā – MK noteikumu Nr.78 (06.02.2018) 7.punkts</w:t>
            </w:r>
          </w:p>
        </w:tc>
        <w:tc>
          <w:tcPr>
            <w:tcW w:w="4291" w:type="dxa"/>
            <w:tcBorders>
              <w:top w:val="single" w:sz="4" w:space="0" w:color="auto"/>
              <w:left w:val="single" w:sz="4" w:space="0" w:color="auto"/>
              <w:bottom w:val="single" w:sz="4" w:space="0" w:color="auto"/>
            </w:tcBorders>
          </w:tcPr>
          <w:p w14:paraId="7FF32D60" w14:textId="77777777" w:rsidR="00780010" w:rsidRPr="001D7630" w:rsidRDefault="00780010" w:rsidP="00780010">
            <w:pPr>
              <w:pStyle w:val="naisf"/>
              <w:spacing w:before="0" w:after="0"/>
              <w:ind w:firstLine="0"/>
            </w:pPr>
            <w:r w:rsidRPr="001D7630">
              <w:lastRenderedPageBreak/>
              <w:t>Likumprojekta 5.panta 4.daļa ir precizēta:</w:t>
            </w:r>
          </w:p>
          <w:p w14:paraId="2F20AC32" w14:textId="77777777" w:rsidR="00780010" w:rsidRPr="001D7630" w:rsidRDefault="00780010" w:rsidP="00780010">
            <w:pPr>
              <w:jc w:val="both"/>
            </w:pPr>
            <w:r w:rsidRPr="001D7630">
              <w:t xml:space="preserve">“(4) </w:t>
            </w:r>
            <w:r w:rsidRPr="001D7630">
              <w:rPr>
                <w:color w:val="000000"/>
                <w:shd w:val="clear" w:color="auto" w:fill="FFFFFF"/>
              </w:rPr>
              <w:t xml:space="preserve">Elektrotransportlīdzekļu uzlādei </w:t>
            </w:r>
            <w:r w:rsidRPr="001D7630">
              <w:t>publiski pieejamos uzlādes punktos, ja tas ir tehniski iespējams un ekonomiski pamatoti, izmanto normatīvajos aktos par energoefektivitāti definētās viedo mēraparātu sistēmas un ievēro normatīvajos aktos par energoefektivitāti noteiktos enerģijas patēriņa uzskaites prasības.”</w:t>
            </w:r>
          </w:p>
          <w:p w14:paraId="137AB86F" w14:textId="77777777" w:rsidR="00780010" w:rsidRPr="001D7630" w:rsidRDefault="00780010" w:rsidP="00780010">
            <w:pPr>
              <w:pStyle w:val="tv213"/>
              <w:spacing w:before="0" w:beforeAutospacing="0" w:after="0" w:afterAutospacing="0"/>
              <w:ind w:firstLine="851"/>
              <w:jc w:val="both"/>
            </w:pPr>
          </w:p>
        </w:tc>
      </w:tr>
      <w:tr w:rsidR="00780010" w:rsidRPr="001D7630" w14:paraId="3853DD01" w14:textId="77777777" w:rsidTr="005D0902">
        <w:trPr>
          <w:jc w:val="center"/>
        </w:trPr>
        <w:tc>
          <w:tcPr>
            <w:tcW w:w="14992" w:type="dxa"/>
            <w:gridSpan w:val="5"/>
            <w:tcBorders>
              <w:top w:val="single" w:sz="6" w:space="0" w:color="000000"/>
              <w:left w:val="single" w:sz="6" w:space="0" w:color="000000"/>
              <w:bottom w:val="single" w:sz="6" w:space="0" w:color="000000"/>
            </w:tcBorders>
          </w:tcPr>
          <w:p w14:paraId="7C5086E4" w14:textId="77777777" w:rsidR="00780010" w:rsidRPr="001D7630" w:rsidRDefault="00780010" w:rsidP="00780010">
            <w:pPr>
              <w:pStyle w:val="naisf"/>
              <w:spacing w:before="0" w:after="0"/>
              <w:ind w:firstLine="0"/>
              <w:jc w:val="center"/>
              <w:rPr>
                <w:b/>
                <w:bCs/>
              </w:rPr>
            </w:pPr>
            <w:r w:rsidRPr="001D7630">
              <w:rPr>
                <w:b/>
                <w:bCs/>
              </w:rPr>
              <w:t>6. PANTS</w:t>
            </w:r>
          </w:p>
        </w:tc>
      </w:tr>
      <w:tr w:rsidR="00780010" w:rsidRPr="001D7630" w14:paraId="3F57C0F8"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045232BA"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6070C85C" w14:textId="77777777" w:rsidR="00780010" w:rsidRPr="001D7630" w:rsidRDefault="00780010" w:rsidP="00780010">
            <w:pPr>
              <w:tabs>
                <w:tab w:val="left" w:pos="3195"/>
              </w:tabs>
            </w:pPr>
          </w:p>
        </w:tc>
        <w:tc>
          <w:tcPr>
            <w:tcW w:w="4047" w:type="dxa"/>
            <w:tcBorders>
              <w:top w:val="single" w:sz="6" w:space="0" w:color="000000"/>
              <w:left w:val="single" w:sz="6" w:space="0" w:color="000000"/>
              <w:bottom w:val="single" w:sz="6" w:space="0" w:color="000000"/>
              <w:right w:val="single" w:sz="6" w:space="0" w:color="000000"/>
            </w:tcBorders>
          </w:tcPr>
          <w:p w14:paraId="61C35380" w14:textId="77777777" w:rsidR="00780010" w:rsidRPr="001D7630" w:rsidRDefault="00780010" w:rsidP="00780010">
            <w:pPr>
              <w:autoSpaceDE w:val="0"/>
              <w:autoSpaceDN w:val="0"/>
              <w:adjustRightInd w:val="0"/>
              <w:jc w:val="center"/>
              <w:rPr>
                <w:b/>
                <w:bCs/>
              </w:rPr>
            </w:pPr>
            <w:r w:rsidRPr="001D7630">
              <w:rPr>
                <w:b/>
                <w:bCs/>
              </w:rPr>
              <w:t>Vides aizsardzības un reģionālās attīstības ministrija</w:t>
            </w:r>
          </w:p>
          <w:p w14:paraId="1D674CCA" w14:textId="77777777" w:rsidR="00780010" w:rsidRPr="001D7630" w:rsidRDefault="00780010" w:rsidP="00780010">
            <w:pPr>
              <w:autoSpaceDE w:val="0"/>
              <w:autoSpaceDN w:val="0"/>
              <w:adjustRightInd w:val="0"/>
              <w:jc w:val="center"/>
              <w:rPr>
                <w:b/>
                <w:bCs/>
              </w:rPr>
            </w:pPr>
            <w:r w:rsidRPr="001D7630">
              <w:rPr>
                <w:b/>
                <w:bCs/>
              </w:rPr>
              <w:t>(08.01.2021. atzinums)</w:t>
            </w:r>
          </w:p>
          <w:p w14:paraId="1EF99B74" w14:textId="77777777" w:rsidR="00780010" w:rsidRPr="001D7630" w:rsidRDefault="00780010" w:rsidP="00780010">
            <w:pPr>
              <w:pStyle w:val="CommentText"/>
              <w:ind w:firstLine="709"/>
              <w:jc w:val="both"/>
              <w:rPr>
                <w:sz w:val="24"/>
                <w:szCs w:val="24"/>
              </w:rPr>
            </w:pPr>
            <w:r w:rsidRPr="001D7630">
              <w:rPr>
                <w:sz w:val="24"/>
                <w:szCs w:val="24"/>
              </w:rPr>
              <w:t>4. Attiecībā uz likumprojekta 6. pantu:</w:t>
            </w:r>
          </w:p>
          <w:p w14:paraId="68CD8236" w14:textId="77777777" w:rsidR="00780010" w:rsidRPr="001D7630" w:rsidRDefault="00780010" w:rsidP="00780010">
            <w:pPr>
              <w:pStyle w:val="CommentText"/>
              <w:ind w:firstLine="709"/>
              <w:jc w:val="both"/>
              <w:rPr>
                <w:rFonts w:eastAsia="Calibri"/>
                <w:sz w:val="24"/>
                <w:szCs w:val="24"/>
                <w:lang w:eastAsia="en-US"/>
              </w:rPr>
            </w:pPr>
            <w:r w:rsidRPr="001D7630">
              <w:rPr>
                <w:sz w:val="24"/>
                <w:szCs w:val="24"/>
              </w:rPr>
              <w:t xml:space="preserve">4.1. 6. panta pirmajā un otrajā daļā ir lietots termins “pilsētu pašvaldība”, bet Administratīvo teritoriju un apdzīvoto vietu likums neparedz tādu terminu kā “pilsētu pašvaldība”. Lūdzam precizēt likumprojekta 6. panta pirmo un otro daļu, ievērojot Administratīvo teritoriju un apdzīvoto vietu likumā lietotos terminus. </w:t>
            </w:r>
          </w:p>
          <w:p w14:paraId="2F093FFD" w14:textId="77777777" w:rsidR="00780010" w:rsidRPr="001D7630" w:rsidRDefault="00780010" w:rsidP="00780010">
            <w:pPr>
              <w:pStyle w:val="CommentText"/>
              <w:ind w:firstLine="709"/>
              <w:jc w:val="both"/>
              <w:rPr>
                <w:sz w:val="24"/>
                <w:szCs w:val="24"/>
              </w:rPr>
            </w:pPr>
            <w:r w:rsidRPr="001D7630">
              <w:rPr>
                <w:sz w:val="24"/>
                <w:szCs w:val="24"/>
              </w:rPr>
              <w:t xml:space="preserve">4.2. aizstāt 6. panta otrajā un trešajā daļā vārdu “pilsēta” (attiecīgajā locījumā) ar vārdu “valstspilsēta”, ņemot vērā, ka novadu pilsētās nav vairāk par 20 000 iedzīvotāju. Šobrīd sabiedriskā </w:t>
            </w:r>
            <w:r w:rsidRPr="001D7630">
              <w:rPr>
                <w:sz w:val="24"/>
                <w:szCs w:val="24"/>
              </w:rPr>
              <w:lastRenderedPageBreak/>
              <w:t xml:space="preserve">transporta pārvadājumi attiecas tikai uz republikas pilsētām, līdz ar to nākotnē tie attieksies uz valstspilsētām, nevis uz novadu pilsētām. </w:t>
            </w:r>
          </w:p>
          <w:p w14:paraId="10E895BE" w14:textId="77777777" w:rsidR="00780010" w:rsidRPr="001D7630" w:rsidRDefault="00780010" w:rsidP="00780010">
            <w:pPr>
              <w:pStyle w:val="CommentText"/>
              <w:ind w:firstLine="709"/>
              <w:jc w:val="both"/>
              <w:rPr>
                <w:sz w:val="24"/>
                <w:szCs w:val="24"/>
              </w:rPr>
            </w:pPr>
            <w:r w:rsidRPr="001D7630">
              <w:rPr>
                <w:sz w:val="24"/>
                <w:szCs w:val="24"/>
              </w:rPr>
              <w:t xml:space="preserve">4.3. novērst pretrunu un dublēšanos attiecībā uz 6. panta pirmajā daļā iekļauto prasību un likumā “Par piesārņojumu” 14. panta pirmajā daļā noteiktajām prasībām, kā arī Ministru kabineta 2009. gada 3. novembra noteikumu Nr. 1290 “Noteikumi par gaisa kvalitāti” (turpmāk – MK noteikumi Nr.1290) 24. punktā noteiktajām prasībām. </w:t>
            </w:r>
          </w:p>
          <w:p w14:paraId="45C562C7" w14:textId="77777777" w:rsidR="00780010" w:rsidRPr="001D7630" w:rsidRDefault="00780010" w:rsidP="00780010">
            <w:pPr>
              <w:pStyle w:val="CommentText"/>
              <w:ind w:firstLine="709"/>
              <w:jc w:val="both"/>
              <w:rPr>
                <w:sz w:val="24"/>
                <w:szCs w:val="24"/>
              </w:rPr>
            </w:pPr>
            <w:r w:rsidRPr="001D7630">
              <w:rPr>
                <w:sz w:val="24"/>
                <w:szCs w:val="24"/>
              </w:rPr>
              <w:t xml:space="preserve">Likuma “Par piesārņojumu” iekļautā pieeja paredz, ka sākumā pašvaldība veic izvērtējumu par galvenajiem gaisa piesārņojuma avotiem un tikai tad izvēlas atbilstošākos un efektīvākos pasākumus un attiecīgi var izstrādāt saistošos noteikumus, kas ierobežotu kāda avota radīto piesārņojumu, tai skaitā, transporta radītā gaisa piesārņojuma ierobežošanai. Savukārt likumprojekts paredz obligātu šādu noteikumu izstrādi, pat gadījumos, ja konkrētajā pašvaldībā tiktu konstatēts, ka transports nav galvenais piesārņojuma avots. </w:t>
            </w:r>
          </w:p>
          <w:p w14:paraId="406B5472" w14:textId="77777777" w:rsidR="00780010" w:rsidRPr="001D7630" w:rsidRDefault="00780010" w:rsidP="00780010">
            <w:pPr>
              <w:pStyle w:val="CommentText"/>
              <w:ind w:firstLine="709"/>
              <w:jc w:val="both"/>
              <w:rPr>
                <w:sz w:val="24"/>
                <w:szCs w:val="24"/>
              </w:rPr>
            </w:pPr>
            <w:r w:rsidRPr="001D7630">
              <w:rPr>
                <w:sz w:val="24"/>
                <w:szCs w:val="24"/>
              </w:rPr>
              <w:t xml:space="preserve">Turklāt likums “Par piesārņojumu” paredz šāda pašvaldību līmeņa regulējuma izstrādi gadījumos, kad pat vienu gadu tiek pārsniegts kādai </w:t>
            </w:r>
            <w:r w:rsidRPr="001D7630">
              <w:rPr>
                <w:sz w:val="24"/>
                <w:szCs w:val="24"/>
              </w:rPr>
              <w:lastRenderedPageBreak/>
              <w:t xml:space="preserve">vielai noteiktais gaisa kvalitātes robežlielums vai, ja trīs gadus pēc kārtas tiek pārsniegts augšējais piesārņojuma novērtēšanas slieksnis, kas noteikts MK noteikumos Nr.1290. Savukārt likumprojekts paredz, ka šādus noteikums pašvaldība izstrādā tikai, ja trīs gadus pēc kārtas tiek pārsniegti gaisa kvalitātes normatīvi. </w:t>
            </w:r>
          </w:p>
          <w:p w14:paraId="70935F52" w14:textId="77777777" w:rsidR="00780010" w:rsidRPr="001D7630" w:rsidRDefault="00780010" w:rsidP="00780010">
            <w:pPr>
              <w:pStyle w:val="CommentText"/>
              <w:ind w:firstLine="709"/>
              <w:jc w:val="both"/>
              <w:rPr>
                <w:sz w:val="24"/>
                <w:szCs w:val="24"/>
              </w:rPr>
            </w:pPr>
            <w:r w:rsidRPr="001D7630">
              <w:rPr>
                <w:sz w:val="24"/>
                <w:szCs w:val="24"/>
              </w:rPr>
              <w:t xml:space="preserve">Vienlaikus norādām, ka gaisu piesārņojošo vielu emisiju samazināšanas mērķu sasniegšanai ir jau izstrādāts un spēkā esošs likums “Par piesārņojumu”, kas regulē minētos jautājumus, turklāt VARAM ir uzsākusi darbu pie jauna Gaisa aizsardzības likuma izstrādes, kurā plānots iekļaut arī prasības transporta radītā gaisa piesārņojuma samazināšanai. Līdz ar to būtu jāizvērtē, vai nenotiek normu dublēšana dažādos likumos un vai šīs normas nebūs pretrunā viena otrai un attiecīgi neradīs apjukumu normu piemērotājam – t.i., pašvaldībām. </w:t>
            </w:r>
          </w:p>
          <w:p w14:paraId="60BCB8AF" w14:textId="77777777" w:rsidR="00780010" w:rsidRPr="001D7630" w:rsidRDefault="00780010" w:rsidP="00780010">
            <w:pPr>
              <w:pStyle w:val="CommentText"/>
              <w:ind w:firstLine="709"/>
              <w:jc w:val="both"/>
              <w:rPr>
                <w:sz w:val="24"/>
                <w:szCs w:val="24"/>
              </w:rPr>
            </w:pPr>
            <w:r w:rsidRPr="001D7630">
              <w:rPr>
                <w:sz w:val="24"/>
                <w:szCs w:val="24"/>
              </w:rPr>
              <w:t xml:space="preserve">Aicinām konsultēties ar Tieslietu ministriju, kā šajā gadījumā būtu jārīkojas un vai izvēlētā pieeja ar normu “dublēšanos” ir juridiski korekta un neradīs pretrunas ar likumā “Par piesārņojumu” jau šobrīd iekļautajām normām attiecībā uz transporta radītā gaisa piesārņojuma samazināšanu. </w:t>
            </w:r>
          </w:p>
          <w:p w14:paraId="430600FE" w14:textId="77777777" w:rsidR="00780010" w:rsidRPr="001D7630" w:rsidRDefault="00780010" w:rsidP="00780010">
            <w:pPr>
              <w:pStyle w:val="CommentText"/>
              <w:ind w:firstLine="709"/>
              <w:jc w:val="both"/>
              <w:rPr>
                <w:sz w:val="24"/>
                <w:szCs w:val="24"/>
              </w:rPr>
            </w:pPr>
            <w:r w:rsidRPr="001D7630">
              <w:rPr>
                <w:sz w:val="24"/>
                <w:szCs w:val="24"/>
              </w:rPr>
              <w:lastRenderedPageBreak/>
              <w:t>Turklāt likumprojekta 6.panta pirmās daļas prasībai nav noteikti nekādi ierobežojumi vai detalizētāki nosacījumi, līdz ar to pašvaldībām uz šī likuma prasības pamata tiek dota iespēja noteikt arī neproporcionālus, nesamērīgus un sociāli šķeļošus ierobežojumus. Lūdzam likumprojektā detalizētāk iezīmēt, kādus transportlīdzekļu izmantošanas nosacījumus pašvaldības drīkst noteikt. Vienlaikus aicinām precizēt dokumenta veidu, kādā transportlīdzekļu izmantošanas nosacījumi tiks noteikti. Papildināt anotāciju ar detalizētāku nosacījumu skaidrojumu;</w:t>
            </w:r>
          </w:p>
          <w:p w14:paraId="5860EDEF" w14:textId="77777777" w:rsidR="00780010" w:rsidRPr="001D7630" w:rsidRDefault="00780010" w:rsidP="00780010">
            <w:pPr>
              <w:pStyle w:val="CommentText"/>
              <w:ind w:firstLine="709"/>
              <w:jc w:val="both"/>
              <w:rPr>
                <w:sz w:val="24"/>
                <w:szCs w:val="24"/>
              </w:rPr>
            </w:pPr>
            <w:r w:rsidRPr="001D7630">
              <w:rPr>
                <w:sz w:val="24"/>
                <w:szCs w:val="24"/>
              </w:rPr>
              <w:t>4.4. izvērtēt vai trešo daļu būtu nepieciešams papildināt ar vārdiem: “.. un atjaunojamā elektroenerģija” vai “…un no atjaunojamiem energoresursiem iegūta elektroenerģija”;</w:t>
            </w:r>
          </w:p>
          <w:p w14:paraId="1994C59D" w14:textId="77777777" w:rsidR="00780010" w:rsidRPr="001D7630" w:rsidRDefault="00780010" w:rsidP="00780010">
            <w:pPr>
              <w:ind w:firstLine="709"/>
              <w:jc w:val="both"/>
            </w:pPr>
            <w:r w:rsidRPr="001D7630">
              <w:t xml:space="preserve">4.5. likumprojekta 6. panta trešā daļa nosaka prasības pilsētu ar 20000 iedzīvotājiem veiktajos transportlīdzekļu iepirkumos sākot ar 2030. gada 1. janvāri iepirkt tādus transportlīdzekļus, kuros vismaz 50 procentiem tiek izmantota atjaunojamā enerģija. Savukārt Eiropas Parlamenta un Padomes 2019. gada 20. jūnija direktīvas 2019/1161, ar ko groza Direktīvu 2009/33/EK par “tīro” un energoefektīvo autotransporta līdzekļu izmantošanas veicināšanu” (turpmāk – Direktīva 2019/1161) </w:t>
            </w:r>
            <w:r w:rsidRPr="001D7630">
              <w:lastRenderedPageBreak/>
              <w:t xml:space="preserve">prasībās ietverti nosacījumi, kas stājas spēkā jau no 2021. gada 2. augusta, turklāt jau no šī datuma pusei no iepirktā pilsētas autobusu līmeņa (35 % =&gt; 17,5 % jābūt bezemisiju transportam), par ko likumprojekta prasībās nav nekas detalizētāk minēts. Tāpat nav skaidrots, kādēļ prasības ir jāpiemēro tikai tām pilsētām, kurās iedzīvotāju skaits pārsniedz 20 000. Precizēt likumprojekta prasības, kā arī detalizētāk anotācijā skaidrot, kā tiek pārņemtas Direktīvas 2019/1161 prasības. Ja ar likumprojektu tiek pārņemtas Direktīvas 2019/1161 prasības, lūdzam papildināt likumprojekta sadaļu “Informatīva atsauce uz Eiropas Savienības direktīvām”, kā arī attiecīgi papildināt anotāciju ar pārņemšanas prasībām. </w:t>
            </w:r>
          </w:p>
          <w:p w14:paraId="7B6DDF10" w14:textId="77777777" w:rsidR="00780010" w:rsidRPr="001D7630" w:rsidRDefault="00780010" w:rsidP="00780010">
            <w:pPr>
              <w:ind w:firstLine="709"/>
              <w:jc w:val="both"/>
            </w:pPr>
            <w:r w:rsidRPr="001D7630">
              <w:t>Turklāt likumprojekta anotācijā minēts, ka uz transporta enerģiju attiecināmos nosacījumus plānots iekļaut vienā tiesību aktā. Tomēr tādā gadījumā nav skaidrs, kādēļ šajā likumprojektā netiek iekļautas arī pārējās prasības, kas izriet Direktīvas 2019/1161 un kas iekļauti Publisko iepirkumu likumā</w:t>
            </w:r>
            <w:r w:rsidRPr="001D7630">
              <w:rPr>
                <w:rStyle w:val="FootnoteReference"/>
              </w:rPr>
              <w:footnoteReference w:id="13"/>
            </w:r>
            <w:r w:rsidRPr="001D7630">
              <w:t xml:space="preserve"> (VSS-419)). </w:t>
            </w:r>
          </w:p>
        </w:tc>
        <w:tc>
          <w:tcPr>
            <w:tcW w:w="2976" w:type="dxa"/>
            <w:tcBorders>
              <w:top w:val="single" w:sz="6" w:space="0" w:color="000000"/>
              <w:left w:val="single" w:sz="6" w:space="0" w:color="000000"/>
              <w:bottom w:val="single" w:sz="6" w:space="0" w:color="000000"/>
              <w:right w:val="single" w:sz="6" w:space="0" w:color="000000"/>
            </w:tcBorders>
          </w:tcPr>
          <w:p w14:paraId="41137082" w14:textId="77777777" w:rsidR="00780010" w:rsidRPr="001D7630" w:rsidRDefault="00780010" w:rsidP="00780010">
            <w:pPr>
              <w:jc w:val="center"/>
              <w:rPr>
                <w:b/>
                <w:iCs/>
              </w:rPr>
            </w:pPr>
            <w:r w:rsidRPr="001D7630">
              <w:rPr>
                <w:b/>
                <w:iCs/>
              </w:rPr>
              <w:lastRenderedPageBreak/>
              <w:t>Ņemts vērā</w:t>
            </w:r>
          </w:p>
          <w:p w14:paraId="21D00345" w14:textId="77777777" w:rsidR="00780010" w:rsidRPr="001D7630" w:rsidRDefault="00780010" w:rsidP="00780010">
            <w:pPr>
              <w:jc w:val="center"/>
              <w:rPr>
                <w:b/>
                <w:iCs/>
              </w:rPr>
            </w:pPr>
          </w:p>
          <w:p w14:paraId="441A31F4" w14:textId="77777777" w:rsidR="00780010" w:rsidRPr="001D7630" w:rsidRDefault="00780010" w:rsidP="00780010">
            <w:pPr>
              <w:rPr>
                <w:bCs/>
                <w:iCs/>
              </w:rPr>
            </w:pPr>
            <w:r w:rsidRPr="001D7630">
              <w:rPr>
                <w:b/>
                <w:iCs/>
              </w:rPr>
              <w:t xml:space="preserve">4.3. </w:t>
            </w:r>
            <w:r w:rsidRPr="001D7630">
              <w:rPr>
                <w:bCs/>
                <w:iCs/>
              </w:rPr>
              <w:t>Piekrītam 6.panta 1.daļas svītrošanai. Vienlaikus norādām, ka šobrīd ir pilsētas, kur ir konstatējamas ilgstošas problēmas ar gaisa kvalitāti, kur transports varētu būt viens no emisiju avotiem, tomēr šīs problēmas arī ilgstoši netiek risinātas. To varētu labot, nosakot konkrētus obligātus pasākumus, kurus būtu jāievieš konkrētās pilsētās, nevis to visu atstājot pilsētu ziņā un atbildībā.</w:t>
            </w:r>
          </w:p>
          <w:p w14:paraId="3BFB26D9" w14:textId="77777777" w:rsidR="00780010" w:rsidRPr="001D7630" w:rsidRDefault="00780010" w:rsidP="00780010">
            <w:pPr>
              <w:rPr>
                <w:b/>
                <w:iCs/>
              </w:rPr>
            </w:pPr>
          </w:p>
          <w:p w14:paraId="2D0E1811" w14:textId="77777777" w:rsidR="00780010" w:rsidRPr="001D7630" w:rsidRDefault="00780010" w:rsidP="00780010">
            <w:r w:rsidRPr="001D7630">
              <w:rPr>
                <w:b/>
                <w:iCs/>
              </w:rPr>
              <w:lastRenderedPageBreak/>
              <w:t xml:space="preserve">4.5. </w:t>
            </w:r>
            <w:r w:rsidRPr="001D7630">
              <w:t>Likumprojekta 6.pants nosaka no NEKP2030 izrietošo pasākumu izpildi un likumprojekta izpratnē tas nav saistīts ar Direktīvas 2019/1161 ieviešanu</w:t>
            </w:r>
          </w:p>
          <w:p w14:paraId="10BE17B9" w14:textId="77777777" w:rsidR="00780010" w:rsidRPr="001D7630" w:rsidRDefault="00780010" w:rsidP="00780010">
            <w:pPr>
              <w:rPr>
                <w:b/>
                <w:iCs/>
              </w:rPr>
            </w:pPr>
          </w:p>
        </w:tc>
        <w:tc>
          <w:tcPr>
            <w:tcW w:w="4291" w:type="dxa"/>
            <w:tcBorders>
              <w:top w:val="single" w:sz="4" w:space="0" w:color="auto"/>
              <w:left w:val="single" w:sz="4" w:space="0" w:color="auto"/>
              <w:bottom w:val="single" w:sz="4" w:space="0" w:color="auto"/>
            </w:tcBorders>
          </w:tcPr>
          <w:p w14:paraId="67A0DBFC" w14:textId="77777777" w:rsidR="00780010" w:rsidRPr="001D7630" w:rsidRDefault="00780010" w:rsidP="00780010">
            <w:pPr>
              <w:pStyle w:val="naisf"/>
              <w:spacing w:before="0" w:after="0"/>
              <w:ind w:firstLine="0"/>
            </w:pPr>
            <w:r w:rsidRPr="001D7630">
              <w:lastRenderedPageBreak/>
              <w:t>Likumprojekta 6.pants ir precizēts.</w:t>
            </w:r>
          </w:p>
          <w:p w14:paraId="21245333" w14:textId="77777777" w:rsidR="00780010" w:rsidRPr="001D7630" w:rsidRDefault="00780010" w:rsidP="00780010">
            <w:pPr>
              <w:pStyle w:val="naisf"/>
              <w:spacing w:before="0" w:after="0"/>
              <w:ind w:firstLine="0"/>
            </w:pPr>
          </w:p>
          <w:p w14:paraId="0998A0A6" w14:textId="77777777" w:rsidR="00780010" w:rsidRPr="001D7630" w:rsidRDefault="00780010" w:rsidP="00780010">
            <w:pPr>
              <w:pStyle w:val="naisf"/>
              <w:spacing w:before="0" w:after="0"/>
              <w:ind w:firstLine="0"/>
            </w:pPr>
            <w:r w:rsidRPr="001D7630">
              <w:t>Likumprojekta anotācija (detalizēts 6.pants skaidrojums un III sadaļas 6.2.punkts) ir precizēta</w:t>
            </w:r>
          </w:p>
        </w:tc>
      </w:tr>
      <w:tr w:rsidR="00780010" w:rsidRPr="001D7630" w14:paraId="30037B9C"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2492BA92"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2C0C29AA" w14:textId="77777777" w:rsidR="00780010" w:rsidRPr="001D7630" w:rsidRDefault="00780010" w:rsidP="00780010">
            <w:pPr>
              <w:tabs>
                <w:tab w:val="left" w:pos="3195"/>
              </w:tabs>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9A72231" w14:textId="77777777" w:rsidR="00780010" w:rsidRPr="001D7630" w:rsidRDefault="00780010" w:rsidP="00780010">
            <w:pPr>
              <w:autoSpaceDE w:val="0"/>
              <w:autoSpaceDN w:val="0"/>
              <w:adjustRightInd w:val="0"/>
              <w:jc w:val="center"/>
              <w:rPr>
                <w:b/>
                <w:bCs/>
              </w:rPr>
            </w:pPr>
            <w:r w:rsidRPr="001D7630">
              <w:rPr>
                <w:b/>
                <w:bCs/>
              </w:rPr>
              <w:t>Vides aizsardzības un reģionālās attīstības ministrija</w:t>
            </w:r>
          </w:p>
          <w:p w14:paraId="4BD79DEC" w14:textId="77777777" w:rsidR="00780010" w:rsidRPr="001D7630" w:rsidRDefault="00780010" w:rsidP="00780010">
            <w:pPr>
              <w:autoSpaceDE w:val="0"/>
              <w:autoSpaceDN w:val="0"/>
              <w:adjustRightInd w:val="0"/>
              <w:jc w:val="center"/>
              <w:rPr>
                <w:b/>
                <w:bCs/>
              </w:rPr>
            </w:pPr>
            <w:r w:rsidRPr="001D7630">
              <w:rPr>
                <w:b/>
                <w:bCs/>
              </w:rPr>
              <w:t>(25.03.2021.)</w:t>
            </w:r>
          </w:p>
          <w:p w14:paraId="29D244B2" w14:textId="77777777" w:rsidR="00780010" w:rsidRPr="001D7630" w:rsidRDefault="00780010" w:rsidP="00780010">
            <w:pPr>
              <w:widowControl w:val="0"/>
              <w:jc w:val="both"/>
            </w:pPr>
            <w:r w:rsidRPr="001D7630">
              <w:lastRenderedPageBreak/>
              <w:t>1. Likumprojekta 6.pants paredz, ka valstspilsētai sākot ar 2030. gada 1. janvāri ir jānodrošina, ka to sabiedriskajā transportā izmantotās transporta enerģijas apjomā vismaz 50 procenti ir atjaunojamā enerģija, tai skaitā atjaunojamā elektroenerģija un  to izmantoto transportlīdzekļu (izņemot transportlīdzekļus, ko izmanto operatīvo darbību veikšanai un ko izmanto meklēšanas, glābšanas un neatliekamās medicīniskās palīdzības sniegšanas procesā) apjomā vismaz 50 procentiem ir tādi transportlīdzekļi, kuros tiek izmantota atjaunojamā enerģija, tai skaitā atjaunojamā elektroenerģija.</w:t>
            </w:r>
          </w:p>
          <w:p w14:paraId="02A231F7" w14:textId="77777777" w:rsidR="00780010" w:rsidRPr="001D7630" w:rsidRDefault="00780010" w:rsidP="00780010">
            <w:pPr>
              <w:jc w:val="both"/>
            </w:pPr>
            <w:r w:rsidRPr="001D7630">
              <w:t xml:space="preserve">VARAM jau iepriekš vērsusi Ekonomikas ministrijas (turpmāk – EM) uzmanību, ka minētā prasība nepārņem Eiropas Parlamenta un Padomes 2019.gada 20.jūnija direktīvas Nr. 2019/1161, ar ko groza Direktīvu 2009/33/EK par “tīro” un energoefektīvo autotransporta līdzekļu izmantošanas veicināšanu (turpmāk – Direktīva 2019/1161) prasības, jo Direktīvas 2019/1161 regulējums nosaka prasības gan 2025.gadam, gan 2030.gadam attiecībā uz iepirkto “tīro” un energoefektīvo autotransporta līdzekļu apjomu. Attiecīgi nav saprotams un EM izziņā netiek skaidrots, kā tiks nodrošināta Direktīvas 2019/1161 </w:t>
            </w:r>
            <w:r w:rsidRPr="001D7630">
              <w:lastRenderedPageBreak/>
              <w:t>prasību transponēšana līdz 2021.gada 2.augustam, kā to nosaka direktīvas Nr. 2019/1161 2.pants. Tāpat nav skaidrs, kāpēc likumprojekta 6.pantā paredzētās prasības valstspilsētu transportlīdzekļiem  ir stingrākas kā noteikts Direktīvas 2019/1161 prasībās, t.sk. nav pietiekami atspoguļoti nepieciešamie finansējuma līdzekļu apmēri un pilnīgi avoti šo prasību finansēšanai, piemēram, attiecībā uz Atjaunošanās un noturības mehānismu.</w:t>
            </w:r>
          </w:p>
        </w:tc>
        <w:tc>
          <w:tcPr>
            <w:tcW w:w="2976" w:type="dxa"/>
            <w:tcBorders>
              <w:top w:val="single" w:sz="6" w:space="0" w:color="000000"/>
              <w:left w:val="single" w:sz="6" w:space="0" w:color="000000"/>
              <w:bottom w:val="single" w:sz="6" w:space="0" w:color="000000"/>
              <w:right w:val="single" w:sz="6" w:space="0" w:color="000000"/>
            </w:tcBorders>
          </w:tcPr>
          <w:p w14:paraId="23638748" w14:textId="77777777" w:rsidR="00780010" w:rsidRPr="001D7630" w:rsidRDefault="00780010" w:rsidP="00780010">
            <w:pPr>
              <w:jc w:val="center"/>
              <w:rPr>
                <w:b/>
                <w:iCs/>
              </w:rPr>
            </w:pPr>
            <w:r w:rsidRPr="001D7630">
              <w:rPr>
                <w:b/>
                <w:iCs/>
              </w:rPr>
              <w:lastRenderedPageBreak/>
              <w:t>Ņemts vērā</w:t>
            </w:r>
          </w:p>
          <w:p w14:paraId="3C4991A0" w14:textId="77777777" w:rsidR="00780010" w:rsidRPr="001D7630" w:rsidRDefault="00780010" w:rsidP="00780010">
            <w:pPr>
              <w:rPr>
                <w:b/>
                <w:iCs/>
              </w:rPr>
            </w:pPr>
          </w:p>
          <w:p w14:paraId="6D648801" w14:textId="77777777" w:rsidR="00780010" w:rsidRPr="001D7630" w:rsidRDefault="00780010" w:rsidP="00780010">
            <w:pPr>
              <w:rPr>
                <w:iCs/>
              </w:rPr>
            </w:pPr>
            <w:r w:rsidRPr="001D7630">
              <w:rPr>
                <w:iCs/>
              </w:rPr>
              <w:lastRenderedPageBreak/>
              <w:t>Visas atsauces uz Direktīvu 2019/1161 likumprojekta anotācijā ir svītrota.</w:t>
            </w:r>
          </w:p>
          <w:p w14:paraId="44C2893F" w14:textId="77777777" w:rsidR="00780010" w:rsidRPr="001D7630" w:rsidRDefault="00780010" w:rsidP="00780010">
            <w:pPr>
              <w:rPr>
                <w:iCs/>
              </w:rPr>
            </w:pPr>
          </w:p>
          <w:p w14:paraId="76180B87" w14:textId="77777777" w:rsidR="00780010" w:rsidRPr="001D7630" w:rsidRDefault="00780010" w:rsidP="00780010">
            <w:pPr>
              <w:rPr>
                <w:iCs/>
              </w:rPr>
            </w:pPr>
            <w:r w:rsidRPr="001D7630">
              <w:rPr>
                <w:iCs/>
              </w:rPr>
              <w:t>Ir iekļauta informācija par NEKP2030 pasākumiem, kuru izpildei ir izstrādāts likumprojekta 6.pants.</w:t>
            </w:r>
          </w:p>
          <w:p w14:paraId="137F2B7D" w14:textId="77777777" w:rsidR="00780010" w:rsidRPr="001D7630" w:rsidRDefault="00780010" w:rsidP="00780010">
            <w:pPr>
              <w:rPr>
                <w:iCs/>
              </w:rPr>
            </w:pPr>
            <w:r w:rsidRPr="001D7630">
              <w:rPr>
                <w:iCs/>
              </w:rPr>
              <w:t>Tā kā likumprojekta 6.pants izriet no NEKP2030, tad paskaidrojums, kā ir izpildīta 2019/1161 nav iekļauts likumprojekta anotācijā.</w:t>
            </w:r>
          </w:p>
          <w:p w14:paraId="10B40E30" w14:textId="77777777" w:rsidR="00780010" w:rsidRPr="001D7630" w:rsidRDefault="00780010" w:rsidP="00780010">
            <w:pPr>
              <w:rPr>
                <w:iCs/>
              </w:rPr>
            </w:pPr>
          </w:p>
          <w:p w14:paraId="66910E9E" w14:textId="77777777" w:rsidR="00780010" w:rsidRPr="001D7630" w:rsidRDefault="00780010" w:rsidP="00780010">
            <w:pPr>
              <w:rPr>
                <w:iCs/>
              </w:rPr>
            </w:pPr>
            <w:r w:rsidRPr="001D7630">
              <w:rPr>
                <w:iCs/>
              </w:rPr>
              <w:t>Norādām, ka direktīvas 2019/1161 transponēšanai ir izstrādāti citi likumprojekti, kuri šobrīd tiek skatīti Saeimā.</w:t>
            </w:r>
          </w:p>
          <w:p w14:paraId="65EAB2AA" w14:textId="77777777" w:rsidR="00780010" w:rsidRPr="001D7630" w:rsidRDefault="00780010" w:rsidP="00780010">
            <w:pPr>
              <w:rPr>
                <w:iCs/>
              </w:rPr>
            </w:pPr>
          </w:p>
          <w:p w14:paraId="77D519D7" w14:textId="77777777" w:rsidR="00780010" w:rsidRPr="001D7630" w:rsidRDefault="00780010" w:rsidP="00780010">
            <w:pPr>
              <w:rPr>
                <w:bCs/>
                <w:iCs/>
              </w:rPr>
            </w:pPr>
            <w:r w:rsidRPr="001D7630">
              <w:rPr>
                <w:bCs/>
                <w:iCs/>
              </w:rPr>
              <w:t>Finansējuma avoti ir iekļauti anotācijas III sadaļas 8.punktā un ir saskaņā ar NEKP 4.pielikumu.</w:t>
            </w:r>
          </w:p>
        </w:tc>
        <w:tc>
          <w:tcPr>
            <w:tcW w:w="4291" w:type="dxa"/>
            <w:tcBorders>
              <w:top w:val="single" w:sz="4" w:space="0" w:color="auto"/>
              <w:left w:val="single" w:sz="4" w:space="0" w:color="auto"/>
              <w:bottom w:val="single" w:sz="4" w:space="0" w:color="auto"/>
            </w:tcBorders>
          </w:tcPr>
          <w:p w14:paraId="454D577F" w14:textId="77777777" w:rsidR="00780010" w:rsidRPr="001D7630" w:rsidRDefault="00780010" w:rsidP="00780010">
            <w:pPr>
              <w:pStyle w:val="naisf"/>
              <w:spacing w:before="0" w:after="0"/>
              <w:ind w:firstLine="0"/>
            </w:pPr>
            <w:r w:rsidRPr="001D7630">
              <w:lastRenderedPageBreak/>
              <w:t>Likumprojekta anotācijas I sadaļas 2.punkta sadaļa “</w:t>
            </w:r>
            <w:r w:rsidRPr="001D7630">
              <w:rPr>
                <w:u w:val="single"/>
              </w:rPr>
              <w:t>Likumprojekta 6.pants</w:t>
            </w:r>
            <w:r w:rsidRPr="001D7630">
              <w:t>” ir precizēta.</w:t>
            </w:r>
          </w:p>
          <w:p w14:paraId="43228FDC" w14:textId="77777777" w:rsidR="00780010" w:rsidRPr="001D7630" w:rsidRDefault="00780010" w:rsidP="00780010">
            <w:pPr>
              <w:pStyle w:val="naisf"/>
              <w:spacing w:before="0" w:after="0"/>
              <w:ind w:firstLine="0"/>
            </w:pPr>
          </w:p>
          <w:p w14:paraId="1FF5B3E8" w14:textId="77777777" w:rsidR="00780010" w:rsidRPr="001D7630" w:rsidRDefault="00780010" w:rsidP="00780010">
            <w:pPr>
              <w:pStyle w:val="naisf"/>
              <w:spacing w:before="0" w:after="0"/>
              <w:ind w:firstLine="0"/>
            </w:pPr>
            <w:r w:rsidRPr="001D7630">
              <w:t>Likumprojekta anotācijas III sadaļas 8.punkts ir precizēts.</w:t>
            </w:r>
          </w:p>
        </w:tc>
      </w:tr>
      <w:tr w:rsidR="00780010" w:rsidRPr="001D7630" w14:paraId="3EB4B36F"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10A9EF95"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6258EDC9" w14:textId="77777777" w:rsidR="00780010" w:rsidRPr="001D7630" w:rsidRDefault="00780010" w:rsidP="00780010">
            <w:pPr>
              <w:tabs>
                <w:tab w:val="left" w:pos="3195"/>
              </w:tabs>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08A71CE0" w14:textId="77777777" w:rsidR="00780010" w:rsidRPr="001D7630" w:rsidRDefault="00780010" w:rsidP="00780010">
            <w:pPr>
              <w:autoSpaceDE w:val="0"/>
              <w:autoSpaceDN w:val="0"/>
              <w:adjustRightInd w:val="0"/>
              <w:jc w:val="center"/>
              <w:rPr>
                <w:b/>
                <w:bCs/>
              </w:rPr>
            </w:pPr>
            <w:r w:rsidRPr="001D7630">
              <w:rPr>
                <w:b/>
                <w:bCs/>
              </w:rPr>
              <w:t>Vides aizsardzības un reģionālās attīstības ministrija</w:t>
            </w:r>
          </w:p>
          <w:p w14:paraId="0E0B8396" w14:textId="77777777" w:rsidR="00780010" w:rsidRPr="001D7630" w:rsidRDefault="00780010" w:rsidP="00780010">
            <w:pPr>
              <w:autoSpaceDE w:val="0"/>
              <w:autoSpaceDN w:val="0"/>
              <w:adjustRightInd w:val="0"/>
              <w:jc w:val="center"/>
              <w:rPr>
                <w:b/>
                <w:bCs/>
              </w:rPr>
            </w:pPr>
            <w:r w:rsidRPr="001D7630">
              <w:rPr>
                <w:b/>
                <w:bCs/>
              </w:rPr>
              <w:t>(29.03.2021. epasts)</w:t>
            </w:r>
          </w:p>
          <w:p w14:paraId="6AC3CC89" w14:textId="77777777" w:rsidR="00780010" w:rsidRPr="001D7630" w:rsidRDefault="00780010" w:rsidP="00780010">
            <w:r w:rsidRPr="001D7630">
              <w:t xml:space="preserve">Vēršam Jūsu uzmanību uz termina “valstspilsēta” lietojumu likumā un tā anotācijā. </w:t>
            </w:r>
          </w:p>
          <w:p w14:paraId="748A82B3" w14:textId="77777777" w:rsidR="00780010" w:rsidRPr="001D7630" w:rsidRDefault="00780010" w:rsidP="00780010">
            <w:r w:rsidRPr="001D7630">
              <w:t xml:space="preserve">Atbilstoši Administratīvo teritoriju un apdzīvoto vietu likumam Latvijas Republiku iedala </w:t>
            </w:r>
            <w:r w:rsidRPr="001D7630">
              <w:rPr>
                <w:b/>
                <w:bCs/>
              </w:rPr>
              <w:t>šādās administratīvajās teritorijās: 1) valstspilsētu pašvaldību teritorijās; 2) novadu pašvaldību teritorijās</w:t>
            </w:r>
            <w:r w:rsidRPr="001D7630">
              <w:t xml:space="preserve">. Vienlaikus </w:t>
            </w:r>
            <w:r w:rsidRPr="001D7630">
              <w:rPr>
                <w:b/>
                <w:bCs/>
              </w:rPr>
              <w:t>novada teritoriju iedala šādās vienībās: 1) pilsētās; un 2) pagastos</w:t>
            </w:r>
            <w:r w:rsidRPr="001D7630">
              <w:t xml:space="preserve">. </w:t>
            </w:r>
            <w:r w:rsidRPr="001D7630">
              <w:rPr>
                <w:b/>
                <w:bCs/>
              </w:rPr>
              <w:t>Pilsētas iedala valstspilsētās un novadu pilsētās.</w:t>
            </w:r>
            <w:r w:rsidRPr="001D7630">
              <w:t xml:space="preserve"> Valstspilsētas ir Daugavpils, Jelgava, Jēkabpils, Jūrmala, Liepāja, Ogre, Rēzekne, Rīga, Valmiera un Ventspils. Attiecīgi lūdzam izvērtēt, vai termins “valstpilsēta” Transporta enerģijas likumprojekta kontekstā tiek </w:t>
            </w:r>
            <w:r w:rsidRPr="001D7630">
              <w:lastRenderedPageBreak/>
              <w:t xml:space="preserve">lietots apzīmējot administratīvo teritoriju vai teritoriālo vienību, attiecīgi precizējot likumprojektu un tā anotāciju. </w:t>
            </w:r>
          </w:p>
          <w:p w14:paraId="00C5128E" w14:textId="77777777" w:rsidR="00780010" w:rsidRPr="001D7630" w:rsidRDefault="00780010" w:rsidP="00780010">
            <w:r w:rsidRPr="001D7630">
              <w:t xml:space="preserve">Aicinām ievērot konsekvenci, lietojot terminus “pilsēta” un “valstspilsēta”, piemēram, 6. panta nosaukumā “Nosacījumi pilsētās izmantotajiem transportlīdzekļiem”. </w:t>
            </w:r>
          </w:p>
        </w:tc>
        <w:tc>
          <w:tcPr>
            <w:tcW w:w="2976" w:type="dxa"/>
            <w:tcBorders>
              <w:top w:val="single" w:sz="6" w:space="0" w:color="000000"/>
              <w:left w:val="single" w:sz="6" w:space="0" w:color="000000"/>
              <w:bottom w:val="single" w:sz="6" w:space="0" w:color="000000"/>
              <w:right w:val="single" w:sz="6" w:space="0" w:color="000000"/>
            </w:tcBorders>
          </w:tcPr>
          <w:p w14:paraId="23657913" w14:textId="77777777" w:rsidR="00780010" w:rsidRPr="001D7630" w:rsidRDefault="00780010" w:rsidP="00780010">
            <w:pPr>
              <w:jc w:val="center"/>
              <w:rPr>
                <w:b/>
                <w:iCs/>
              </w:rPr>
            </w:pPr>
            <w:r w:rsidRPr="001D7630">
              <w:rPr>
                <w:b/>
                <w:iCs/>
              </w:rPr>
              <w:lastRenderedPageBreak/>
              <w:t>Ņemts vērā</w:t>
            </w:r>
          </w:p>
        </w:tc>
        <w:tc>
          <w:tcPr>
            <w:tcW w:w="4291" w:type="dxa"/>
            <w:tcBorders>
              <w:top w:val="single" w:sz="4" w:space="0" w:color="auto"/>
              <w:left w:val="single" w:sz="4" w:space="0" w:color="auto"/>
              <w:bottom w:val="single" w:sz="4" w:space="0" w:color="auto"/>
            </w:tcBorders>
          </w:tcPr>
          <w:p w14:paraId="06E29D2E" w14:textId="77777777" w:rsidR="00780010" w:rsidRPr="001D7630" w:rsidRDefault="00780010" w:rsidP="00780010">
            <w:pPr>
              <w:pStyle w:val="naisf"/>
              <w:spacing w:before="0" w:after="0"/>
              <w:ind w:firstLine="0"/>
            </w:pPr>
            <w:r w:rsidRPr="001D7630">
              <w:t>Likumprojekta 6.pants un anotācija ir precizēta</w:t>
            </w:r>
          </w:p>
        </w:tc>
      </w:tr>
      <w:tr w:rsidR="00780010" w:rsidRPr="001D7630" w14:paraId="1F137F0F"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3554709F"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037143E8" w14:textId="77777777" w:rsidR="00780010" w:rsidRPr="001D7630" w:rsidRDefault="00780010" w:rsidP="00780010">
            <w:pPr>
              <w:tabs>
                <w:tab w:val="left" w:pos="3195"/>
              </w:tabs>
            </w:pPr>
          </w:p>
        </w:tc>
        <w:tc>
          <w:tcPr>
            <w:tcW w:w="4047" w:type="dxa"/>
            <w:tcBorders>
              <w:top w:val="single" w:sz="6" w:space="0" w:color="000000"/>
              <w:left w:val="single" w:sz="6" w:space="0" w:color="000000"/>
              <w:bottom w:val="single" w:sz="6" w:space="0" w:color="000000"/>
              <w:right w:val="single" w:sz="6" w:space="0" w:color="000000"/>
            </w:tcBorders>
          </w:tcPr>
          <w:p w14:paraId="2B46BAFA" w14:textId="77777777" w:rsidR="00780010" w:rsidRPr="001D7630" w:rsidRDefault="00780010" w:rsidP="00780010">
            <w:pPr>
              <w:jc w:val="center"/>
              <w:rPr>
                <w:b/>
                <w:bCs/>
                <w:lang w:eastAsia="en-US"/>
              </w:rPr>
            </w:pPr>
            <w:r w:rsidRPr="001D7630">
              <w:rPr>
                <w:b/>
                <w:bCs/>
                <w:lang w:eastAsia="en-US"/>
              </w:rPr>
              <w:t>Finanšu ministrija</w:t>
            </w:r>
          </w:p>
          <w:p w14:paraId="537FDC4A" w14:textId="77777777" w:rsidR="00780010" w:rsidRPr="001D7630" w:rsidRDefault="00780010" w:rsidP="00780010">
            <w:pPr>
              <w:jc w:val="center"/>
              <w:rPr>
                <w:b/>
                <w:bCs/>
                <w:lang w:eastAsia="en-US"/>
              </w:rPr>
            </w:pPr>
            <w:r w:rsidRPr="001D7630">
              <w:rPr>
                <w:b/>
                <w:bCs/>
                <w:lang w:eastAsia="en-US"/>
              </w:rPr>
              <w:t>(08.01.2021. atzinums)</w:t>
            </w:r>
          </w:p>
          <w:p w14:paraId="6B32EA0F" w14:textId="77777777" w:rsidR="00780010" w:rsidRPr="001D7630" w:rsidRDefault="00780010" w:rsidP="00780010">
            <w:pPr>
              <w:jc w:val="both"/>
            </w:pPr>
            <w:r w:rsidRPr="001D7630">
              <w:t>13. Ar likumprojekta 6.panta trešo daļu tiek noteikts, ka “</w:t>
            </w:r>
            <w:r w:rsidRPr="001D7630">
              <w:rPr>
                <w:i/>
                <w:iCs/>
              </w:rPr>
              <w:t>Pilsētu ar iedzīvotāju skaitu, kas pārsniedz 20 000 iedzīvotāju, pašvaldībās publisko iepirkumu ietvaros iegādāto transportlīdzekļu (izņemot transportlīdzekļus, ko izmanto operatīvo darbību veikšanai un ko izmanto meklēšanas, glābšanas un neatliekamās medicīniskās palīdzības sniegšanas procesā) apjomā sākot ar 2030. gada 1. janvāri vismaz 50 procentiem ir jābūt tādiem transportlīdzekļiem, kuros tiek izmantota atjaunojamā enerģija</w:t>
            </w:r>
            <w:r w:rsidRPr="001D7630">
              <w:t xml:space="preserve">”. Anotācijas I sadaļas 2.punktā (9.lapā) tiek norādīts, ka minētās prasības izriet no Latvijas “Nacionālā enerģētikas un klimata plāna 2021.-2030.gadam” un ir saistītas ar Eiropas Parlamenta un Padomes 2019.gada 20.jūnija direktīvas Nr. 2019/1161, ar ko groza Direktīvu 2009/33/EK par “tīro” un energoefektīvo autotransporta līdzekļu izmantošanas veicināšanu, nosacījumiem. Tāpat </w:t>
            </w:r>
            <w:r w:rsidRPr="001D7630">
              <w:lastRenderedPageBreak/>
              <w:t>anotācijas III sadaļas 6.punkta ceturtajā apakšpunktā (23.lapā) tiek norādīts, ka “</w:t>
            </w:r>
            <w:r w:rsidRPr="001D7630">
              <w:rPr>
                <w:i/>
                <w:iCs/>
              </w:rPr>
              <w:t>Likumprojektā ir iekļauti nosacījumi noteikta lieluma pilsētu pašvaldībām nodrošināt noteiktu apjomu atjaunojamās transporta enerģijas un/vai atjaunojamo elektroenerģijas pilsētu sabiedriskajā transportā, kā arī nodrošināt, ka publiskajos iepirkumos, iegādājoties sabiedriskā transporta transportlīdzekļus, 50% no tiem ir ar atjaunojamo enerģiju darbināmi transportlīdzekļi. Minētā nosacījuma izpildei minēto pilsētu pašvaldībām būs nepieciešami papildu finanšu līdzekļi. Jāmin, ka abi nosacījumi ir saistīti un izpildāmi ar vieniem un tiem pašiem pasākumiem. Vienlaikus norādāms, ka atbilstību likumprojektā minētajiem kritērijiem var nodrošināt arī veicot transportlīdzekļu pārbūvi jeb modernizāciju. Direktīvā 2019/1161 noteikto prasību izpilde būs papildu finansiālais slogs gan pašvaldībām, gan valsts iestādēm</w:t>
            </w:r>
            <w:r w:rsidRPr="001D7630">
              <w:t xml:space="preserve">.”. </w:t>
            </w:r>
          </w:p>
          <w:p w14:paraId="1B4A1FDD" w14:textId="77777777" w:rsidR="00780010" w:rsidRPr="001D7630" w:rsidRDefault="00780010" w:rsidP="00780010">
            <w:pPr>
              <w:ind w:firstLine="567"/>
              <w:jc w:val="both"/>
            </w:pPr>
            <w:r w:rsidRPr="001D7630">
              <w:t xml:space="preserve">1) Vēršam uzmanību, ka Direktīvā 2019/1161 noteiktie nosacījumi attiecībā uz publisko iepirkumu subjektiem jau tiek pārņemti ar grozījumiem Publisko iepirkumu likumā (VSS-419) un Sabiedrisko pakalpojumu sniedzēju iepirkumu likumā (VSS-618). Ar minētiem grozījumiem tiek noteikts, ka </w:t>
            </w:r>
            <w:r w:rsidRPr="001D7630">
              <w:lastRenderedPageBreak/>
              <w:t xml:space="preserve">laika posmā no 2021.gada 2.augusta līdz 2025.gada 31.decembrim un no 2026.gada 1.janvāra līdz 2030.gada 31.decembrim, katrā transportlīdzekļu iepirkumā ir jānodrošina noteikti procenti tīro transportlīdzekļu. Turklāt, atbilstoši Direktīvā 2019/1161 noteiktajam, ja laikposmā pēc 2030.gada 1.janvāra EK nepieņem jaunus mērķrādītājus, turpmākajos piecos gados piemērojami laika posmam no 2026.gada 1.janvāra līdz 2030.gada 31.decembrim noteiktie mērķrādītāji. Ņemot vērā minēto, lūdzam izvērtēt un novērst pretrunu (kolīziju) starp likumprojekta 6.pantā paredzētajiem nosacījumiem un Publisko iepirkumu likumā paredzēto, jo abi normatīvie akti vienlaikus paredz pienākumus attiecībā uz transportlīdzekļu iepirkumu. Atbilstoši “Latvijas Nacionālajā enerģētikas un klimata plānā 2021. – 2030.gadam” 5.4. rīcības virziena 2.punktā noteiktajam, minētās prasības ierobežot tādus transportlīdzekļus, kas neizmanto no AER iegūtu transporta enerģiju ir izvērtējamas. Līdz ar to, aicinām papildināta anotāciju ar plašāku izvertējumu un skaidrojumu likumprojektā paredzēto prasību noteikšanā. </w:t>
            </w:r>
          </w:p>
          <w:p w14:paraId="05B50FAB" w14:textId="77777777" w:rsidR="00780010" w:rsidRPr="001D7630" w:rsidRDefault="00780010" w:rsidP="00780010">
            <w:pPr>
              <w:tabs>
                <w:tab w:val="left" w:pos="993"/>
              </w:tabs>
              <w:jc w:val="both"/>
            </w:pPr>
            <w:r w:rsidRPr="001D7630">
              <w:t xml:space="preserve">           2) Likumprojekta 6.panta trešā daļa nosaka, ka “</w:t>
            </w:r>
            <w:r w:rsidRPr="001D7630">
              <w:rPr>
                <w:i/>
                <w:iCs/>
              </w:rPr>
              <w:t xml:space="preserve">publisko iepirkumu </w:t>
            </w:r>
            <w:r w:rsidRPr="001D7630">
              <w:rPr>
                <w:i/>
                <w:iCs/>
              </w:rPr>
              <w:lastRenderedPageBreak/>
              <w:t xml:space="preserve">ietvaros </w:t>
            </w:r>
            <w:r w:rsidRPr="001D7630">
              <w:rPr>
                <w:i/>
                <w:iCs/>
                <w:u w:val="single"/>
              </w:rPr>
              <w:t>iegādāto transportlīdzekļu</w:t>
            </w:r>
            <w:r w:rsidRPr="001D7630">
              <w:rPr>
                <w:i/>
                <w:iCs/>
              </w:rPr>
              <w:t xml:space="preserve"> (izņemot transportlīdzekļus, ko izmanto operatīvo darbību veikšanai un ko izmanto meklēšanas, glābšanas un neatliekamās medicīniskās palīdzības sniegšanas procesā) apjomā sākot ar 2030. gada 1. janvāri vismaz 50 procentiem ir jābūt tādiem transportlīdzekļiem, kuros tiek izmantota atjaunojamā enerģija</w:t>
            </w:r>
            <w:r w:rsidRPr="001D7630">
              <w:t>”, turpretim anotācijas III sadaļas 6.punkta ceturtajā apakšpunktā (23.lapā) tiek norādīts, ka “</w:t>
            </w:r>
            <w:r w:rsidRPr="001D7630">
              <w:rPr>
                <w:i/>
                <w:iCs/>
              </w:rPr>
              <w:t xml:space="preserve">Likumprojektā ir iekļauti nosacījumi noteikta lieluma pilsētu pašvaldībām nodrošināt noteiktu apjomu atjaunojamās transporta enerģijas un/vai atjaunojamo elektroenerģijas pilsētu sabiedriskajā transportā, kā arī nodrošināt, ka publiskajos iepirkumos, </w:t>
            </w:r>
            <w:r w:rsidRPr="001D7630">
              <w:rPr>
                <w:i/>
                <w:iCs/>
                <w:u w:val="single"/>
              </w:rPr>
              <w:t>iegādājoties sabiedriskā transporta transportlīdzekļus</w:t>
            </w:r>
            <w:r w:rsidRPr="001D7630">
              <w:rPr>
                <w:i/>
                <w:iCs/>
              </w:rPr>
              <w:t>, 50% no tiem ir ar atjaunojamo enerģiju darbināmi transportlīdzekļi</w:t>
            </w:r>
            <w:r w:rsidRPr="001D7630">
              <w:t>.”. Vēršam uzmanību, ka likumprojektā ietvertais regulējums un anotācijā sniegtā informācija ir pretrunīga, jo atbilstoši likumprojektā noteiktajam, prasības attiecināmas uz visiem publisko iepirkumu ietvaros iegādātajiem transportlīdzekļiem, bet atbilstoši anotācijā sniegtajai informācija, prasības attiecināmas tikai iegādājoties sabiedriskā transporta transportlīdzekļus.</w:t>
            </w:r>
          </w:p>
        </w:tc>
        <w:tc>
          <w:tcPr>
            <w:tcW w:w="2976" w:type="dxa"/>
            <w:tcBorders>
              <w:top w:val="single" w:sz="6" w:space="0" w:color="000000"/>
              <w:left w:val="single" w:sz="6" w:space="0" w:color="000000"/>
              <w:bottom w:val="single" w:sz="6" w:space="0" w:color="000000"/>
              <w:right w:val="single" w:sz="6" w:space="0" w:color="000000"/>
            </w:tcBorders>
          </w:tcPr>
          <w:p w14:paraId="0E26D74F" w14:textId="77777777" w:rsidR="00780010" w:rsidRPr="001D7630" w:rsidRDefault="00780010" w:rsidP="00780010">
            <w:pPr>
              <w:jc w:val="center"/>
              <w:rPr>
                <w:b/>
                <w:iCs/>
              </w:rPr>
            </w:pPr>
            <w:r w:rsidRPr="001D7630">
              <w:rPr>
                <w:b/>
                <w:iCs/>
              </w:rPr>
              <w:lastRenderedPageBreak/>
              <w:t>Ņemts vērā</w:t>
            </w:r>
          </w:p>
          <w:p w14:paraId="031EB06B" w14:textId="77777777" w:rsidR="00780010" w:rsidRPr="001D7630" w:rsidRDefault="00780010" w:rsidP="00780010">
            <w:pPr>
              <w:rPr>
                <w:b/>
                <w:iCs/>
              </w:rPr>
            </w:pPr>
          </w:p>
          <w:p w14:paraId="4B62AD9F" w14:textId="77777777" w:rsidR="00780010" w:rsidRPr="001D7630" w:rsidRDefault="00780010" w:rsidP="00780010">
            <w:pPr>
              <w:rPr>
                <w:bCs/>
                <w:iCs/>
              </w:rPr>
            </w:pPr>
            <w:r w:rsidRPr="001D7630">
              <w:rPr>
                <w:bCs/>
                <w:iCs/>
              </w:rPr>
              <w:t>Lūgums skatīt iepriekšējo komentāru uz VARAM iebildumiem.</w:t>
            </w:r>
          </w:p>
          <w:p w14:paraId="23AB81CF" w14:textId="77777777" w:rsidR="00780010" w:rsidRPr="001D7630" w:rsidRDefault="00780010" w:rsidP="00780010">
            <w:pPr>
              <w:rPr>
                <w:b/>
                <w:iCs/>
              </w:rPr>
            </w:pPr>
          </w:p>
        </w:tc>
        <w:tc>
          <w:tcPr>
            <w:tcW w:w="4291" w:type="dxa"/>
            <w:tcBorders>
              <w:top w:val="single" w:sz="4" w:space="0" w:color="auto"/>
              <w:left w:val="single" w:sz="4" w:space="0" w:color="auto"/>
              <w:bottom w:val="single" w:sz="4" w:space="0" w:color="auto"/>
            </w:tcBorders>
          </w:tcPr>
          <w:p w14:paraId="059FB2E7" w14:textId="77777777" w:rsidR="00780010" w:rsidRPr="001D7630" w:rsidRDefault="00780010" w:rsidP="00780010">
            <w:pPr>
              <w:pStyle w:val="naisf"/>
              <w:spacing w:before="0" w:after="0"/>
              <w:ind w:firstLine="0"/>
            </w:pPr>
            <w:r w:rsidRPr="001D7630">
              <w:t>Likumprojekta 6.pants ir precizēts.</w:t>
            </w:r>
          </w:p>
          <w:p w14:paraId="5A9EED15" w14:textId="77777777" w:rsidR="00780010" w:rsidRPr="001D7630" w:rsidRDefault="00780010" w:rsidP="00780010">
            <w:pPr>
              <w:pStyle w:val="naisf"/>
              <w:spacing w:before="0" w:after="0"/>
              <w:ind w:firstLine="0"/>
            </w:pPr>
          </w:p>
          <w:p w14:paraId="1DFA1C11" w14:textId="77777777" w:rsidR="00780010" w:rsidRPr="001D7630" w:rsidRDefault="00780010" w:rsidP="00780010">
            <w:pPr>
              <w:pStyle w:val="naisf"/>
              <w:spacing w:before="0" w:after="0"/>
              <w:ind w:firstLine="0"/>
            </w:pPr>
            <w:r w:rsidRPr="001D7630">
              <w:t>Likumprojekta anotācija (detalizēts 6.pants skaidrojums un III sadaļas 6.2.punkts) ir precizēta</w:t>
            </w:r>
          </w:p>
        </w:tc>
      </w:tr>
      <w:tr w:rsidR="00780010" w:rsidRPr="001D7630" w14:paraId="4C6B28EE"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49FE35D8"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38647FAD" w14:textId="77777777" w:rsidR="00780010" w:rsidRPr="001D7630" w:rsidRDefault="00780010" w:rsidP="00780010">
            <w:pPr>
              <w:tabs>
                <w:tab w:val="left" w:pos="3195"/>
              </w:tabs>
            </w:pPr>
          </w:p>
        </w:tc>
        <w:tc>
          <w:tcPr>
            <w:tcW w:w="4047" w:type="dxa"/>
            <w:tcBorders>
              <w:top w:val="single" w:sz="6" w:space="0" w:color="000000"/>
              <w:left w:val="single" w:sz="6" w:space="0" w:color="000000"/>
              <w:bottom w:val="single" w:sz="6" w:space="0" w:color="000000"/>
              <w:right w:val="single" w:sz="6" w:space="0" w:color="000000"/>
            </w:tcBorders>
          </w:tcPr>
          <w:p w14:paraId="0282F262" w14:textId="77777777" w:rsidR="00780010" w:rsidRPr="001D7630" w:rsidRDefault="00780010" w:rsidP="00780010">
            <w:pPr>
              <w:jc w:val="center"/>
              <w:rPr>
                <w:b/>
                <w:bCs/>
                <w:lang w:eastAsia="en-US"/>
              </w:rPr>
            </w:pPr>
            <w:r w:rsidRPr="001D7630">
              <w:rPr>
                <w:b/>
                <w:bCs/>
                <w:lang w:eastAsia="en-US"/>
              </w:rPr>
              <w:t>Latvijas Lielo pilsētu asociācija</w:t>
            </w:r>
          </w:p>
          <w:p w14:paraId="7499479B" w14:textId="77777777" w:rsidR="00780010" w:rsidRPr="001D7630" w:rsidRDefault="00780010" w:rsidP="00780010">
            <w:pPr>
              <w:jc w:val="center"/>
              <w:rPr>
                <w:b/>
                <w:bCs/>
                <w:lang w:eastAsia="en-US"/>
              </w:rPr>
            </w:pPr>
            <w:r w:rsidRPr="001D7630">
              <w:rPr>
                <w:b/>
                <w:bCs/>
                <w:lang w:eastAsia="en-US"/>
              </w:rPr>
              <w:t>(12.01.2021. atzinums)</w:t>
            </w:r>
          </w:p>
          <w:p w14:paraId="375CF362" w14:textId="77777777" w:rsidR="00780010" w:rsidRPr="001D7630" w:rsidRDefault="00780010" w:rsidP="00780010">
            <w:pPr>
              <w:rPr>
                <w:lang w:eastAsia="en-US"/>
              </w:rPr>
            </w:pPr>
            <w:r w:rsidRPr="001D7630">
              <w:rPr>
                <w:lang w:eastAsia="en-US"/>
              </w:rPr>
              <w:t>1) Lūgums ņemt vērā un no normatīvā akta izrietošajos zemāka līmeņa normatīvajos aktos paredzēt atbalsta mehānismu pašvaldībām sekmīgai šī nosacījuma izpildei.</w:t>
            </w:r>
          </w:p>
          <w:p w14:paraId="03F1BA91" w14:textId="77777777" w:rsidR="00780010" w:rsidRPr="001D7630" w:rsidRDefault="00780010" w:rsidP="00780010">
            <w:pPr>
              <w:rPr>
                <w:lang w:eastAsia="en-US"/>
              </w:rPr>
            </w:pPr>
            <w:r w:rsidRPr="001D7630">
              <w:rPr>
                <w:lang w:eastAsia="en-US"/>
              </w:rPr>
              <w:t>2) Rosinām noteikt garāku pārejas termiņu – vismaz līdz 2035. gadam,  nevis 2030. Jāņem vērā, ka vairākas pilsētas šobrīd īsteno ES fondu līdzfinansētus projektus par videi draudzīgu autobusu iegādi sabiedriskā transporta pakalpojuma nodrošināšanai pilsētās. Plānots, ka jaunie autobusi tiks piegādāti 2021. gadā un šajos projektos tiek iegādāti arī t.s. hibrīdautobusi, kuri darbojas gan ar dīzeļdzinēju, gan elektrodzinēju, taču 50% slieksni tikai atjaunojamās enerģijas vei elektrības izmantošanās tie vēl nesasniedz. Ņemot vērā, ka šo autobusu plānotais kalpošanas laiks būs desmit gadi un vairāk, noteikt nepieciešamību 2030. gadā tos nomainīt nav racionāli un ekonomiski pamatoti.</w:t>
            </w:r>
          </w:p>
          <w:p w14:paraId="6B8EF67C" w14:textId="77777777" w:rsidR="00780010" w:rsidRPr="001D7630" w:rsidRDefault="00780010" w:rsidP="00780010">
            <w:pPr>
              <w:rPr>
                <w:lang w:eastAsia="en-US"/>
              </w:rPr>
            </w:pPr>
            <w:r w:rsidRPr="001D7630">
              <w:rPr>
                <w:lang w:eastAsia="en-US"/>
              </w:rPr>
              <w:t>3) Vēršam uzmanību uz pārrakstīšanās kļūdu – “atjaunojamā elektroenerģija vai atjaunojamā elektroenerģija.”</w:t>
            </w:r>
          </w:p>
          <w:p w14:paraId="6692DA85" w14:textId="77777777" w:rsidR="00780010" w:rsidRPr="001D7630" w:rsidRDefault="00780010" w:rsidP="00780010">
            <w:pPr>
              <w:rPr>
                <w:lang w:eastAsia="en-US"/>
              </w:rPr>
            </w:pPr>
            <w:r w:rsidRPr="001D7630">
              <w:rPr>
                <w:lang w:eastAsia="en-US"/>
              </w:rPr>
              <w:t>Rosinām noteikt garāku pārejas termiņu – vismaz 01.01.2035.</w:t>
            </w:r>
          </w:p>
          <w:p w14:paraId="2AD61AAD" w14:textId="77777777" w:rsidR="00780010" w:rsidRPr="001D7630" w:rsidRDefault="00780010" w:rsidP="00780010">
            <w:pPr>
              <w:rPr>
                <w:lang w:eastAsia="en-US"/>
              </w:rPr>
            </w:pPr>
            <w:r w:rsidRPr="001D7630">
              <w:rPr>
                <w:lang w:eastAsia="en-US"/>
              </w:rPr>
              <w:t xml:space="preserve">No konkrētās panta daļas redakcijas nav viennozīmīgi saprotams, vai sākot ar </w:t>
            </w:r>
            <w:r w:rsidRPr="001D7630">
              <w:rPr>
                <w:lang w:eastAsia="en-US"/>
              </w:rPr>
              <w:lastRenderedPageBreak/>
              <w:t xml:space="preserve">01.01.2030. ir jāiepērk vismaz 50% transportlīdzekļu ar atjaunojamo enerģiju, vai līdz 01.01.2030. ir jānodrošina, ka 50% no pašvaldības īpašumā esošiem transportlīdzekļiem ir ar atjaunojamo enerģiju darbināmi. </w:t>
            </w:r>
          </w:p>
          <w:p w14:paraId="72CA2A13" w14:textId="77777777" w:rsidR="00780010" w:rsidRPr="001D7630" w:rsidRDefault="00780010" w:rsidP="00780010">
            <w:pPr>
              <w:rPr>
                <w:b/>
                <w:bCs/>
                <w:lang w:eastAsia="en-US"/>
              </w:rPr>
            </w:pPr>
            <w:r w:rsidRPr="001D7630">
              <w:rPr>
                <w:lang w:eastAsia="en-US"/>
              </w:rPr>
              <w:t>Ņemot vērā, ka transportlīdzekļa kalpošanas laiks var pārsniegt 10 gadus, šobrīd noteiktais 10 gadu termiņš nav racionāls un ekonomisko pamatots.</w:t>
            </w:r>
          </w:p>
        </w:tc>
        <w:tc>
          <w:tcPr>
            <w:tcW w:w="2976" w:type="dxa"/>
            <w:tcBorders>
              <w:top w:val="single" w:sz="6" w:space="0" w:color="000000"/>
              <w:left w:val="single" w:sz="6" w:space="0" w:color="000000"/>
              <w:bottom w:val="single" w:sz="6" w:space="0" w:color="000000"/>
              <w:right w:val="single" w:sz="6" w:space="0" w:color="000000"/>
            </w:tcBorders>
          </w:tcPr>
          <w:p w14:paraId="50BD02D4" w14:textId="77777777" w:rsidR="00780010" w:rsidRPr="001D7630" w:rsidRDefault="00780010" w:rsidP="00780010">
            <w:pPr>
              <w:jc w:val="center"/>
              <w:rPr>
                <w:b/>
                <w:iCs/>
              </w:rPr>
            </w:pPr>
            <w:r w:rsidRPr="001D7630">
              <w:rPr>
                <w:b/>
                <w:iCs/>
              </w:rPr>
              <w:lastRenderedPageBreak/>
              <w:t>Ņemts vērā</w:t>
            </w:r>
          </w:p>
          <w:p w14:paraId="7E225674" w14:textId="77777777" w:rsidR="00780010" w:rsidRPr="001D7630" w:rsidRDefault="00780010" w:rsidP="00780010">
            <w:pPr>
              <w:jc w:val="center"/>
              <w:rPr>
                <w:b/>
                <w:iCs/>
              </w:rPr>
            </w:pPr>
          </w:p>
          <w:p w14:paraId="065B9F5F" w14:textId="30951947" w:rsidR="00780010" w:rsidRPr="001D7630" w:rsidRDefault="00780010" w:rsidP="00780010">
            <w:pPr>
              <w:rPr>
                <w:bCs/>
                <w:iCs/>
              </w:rPr>
            </w:pPr>
            <w:r w:rsidRPr="001D7630">
              <w:rPr>
                <w:bCs/>
                <w:iCs/>
              </w:rPr>
              <w:t>1) iespējamie finanšu avoti likumprojekta 6.pantā minēto pienākumu izpildei ir noteikti anotācijas III sadaļas 6. un 8.punktā</w:t>
            </w:r>
          </w:p>
          <w:p w14:paraId="03FDC37A" w14:textId="77777777" w:rsidR="00780010" w:rsidRPr="001D7630" w:rsidRDefault="00780010" w:rsidP="00780010">
            <w:pPr>
              <w:rPr>
                <w:bCs/>
                <w:iCs/>
              </w:rPr>
            </w:pPr>
          </w:p>
          <w:p w14:paraId="3940C922" w14:textId="77777777" w:rsidR="00780010" w:rsidRPr="001D7630" w:rsidRDefault="00780010" w:rsidP="00780010">
            <w:pPr>
              <w:rPr>
                <w:bCs/>
                <w:iCs/>
              </w:rPr>
            </w:pPr>
            <w:r w:rsidRPr="001D7630">
              <w:rPr>
                <w:bCs/>
                <w:iCs/>
              </w:rPr>
              <w:t>2) Minētais termiņš izriet no NEKP2030 4.pielikuma 5.rīcības virziena 5.3. pasākuma 2.darbība.</w:t>
            </w:r>
          </w:p>
          <w:p w14:paraId="0570DE78" w14:textId="77777777" w:rsidR="00780010" w:rsidRPr="001D7630" w:rsidRDefault="00780010" w:rsidP="00780010">
            <w:pPr>
              <w:rPr>
                <w:bCs/>
                <w:iCs/>
              </w:rPr>
            </w:pPr>
            <w:r w:rsidRPr="001D7630">
              <w:rPr>
                <w:bCs/>
                <w:iCs/>
              </w:rPr>
              <w:t>Minētā mērķa izpilde tiks rēķināta, ņemot vērā konkrētās pilsētas sabiedriskā transporta visas transporta enerģijas patēriņu un atjaunojamās enerģijas (tai skaitā biodegvielas piejaukumu fosilai degvielai) un atjaunojamās elektroenerģijas izmantoto apjomu.</w:t>
            </w:r>
          </w:p>
          <w:p w14:paraId="56134F26" w14:textId="77777777" w:rsidR="00780010" w:rsidRPr="001D7630" w:rsidRDefault="00780010" w:rsidP="00780010">
            <w:pPr>
              <w:rPr>
                <w:bCs/>
                <w:iCs/>
              </w:rPr>
            </w:pPr>
            <w:r w:rsidRPr="001D7630">
              <w:rPr>
                <w:bCs/>
                <w:iCs/>
              </w:rPr>
              <w:t xml:space="preserve">Vienlaikus jānorāda, ka Ministru kabineta 2020.gada 28.septembra sēdē Ministru kabinets apstiprināja Latvijas Republikas nacionālo pozīciju Nr.1 "Par Eiropas Komisijas paziņojumu "Eiropas 2030.gada klimata politikas ieceru kāpināšana. Investīcijas klimatneitrālā </w:t>
            </w:r>
            <w:r w:rsidRPr="001D7630">
              <w:rPr>
                <w:bCs/>
                <w:iCs/>
              </w:rPr>
              <w:lastRenderedPageBreak/>
              <w:t xml:space="preserve">nākotnē iedzīvotāju labā"", ar kuru tika apstiprināts Latvijas atbalsts vēl ambiciozāku 2030.gada klimata pārmaiņu mazināšanas un enerģētikas mērķu noteikšanā un mērķu aptvēruma paplašināšanā.  </w:t>
            </w:r>
          </w:p>
          <w:p w14:paraId="3DD04F6E" w14:textId="77777777" w:rsidR="00780010" w:rsidRPr="001D7630" w:rsidRDefault="00780010" w:rsidP="00780010">
            <w:pPr>
              <w:rPr>
                <w:b/>
                <w:iCs/>
              </w:rPr>
            </w:pPr>
            <w:r w:rsidRPr="001D7630">
              <w:rPr>
                <w:bCs/>
                <w:iCs/>
              </w:rPr>
              <w:t>Līdz ar to ir nepieciešams jau šobrīd uzsākt transporta zaļināšanas pasākumus, jo transporta sektorā kā lielākajam SEG emisiju avotam valstī ir nepieciešams īstenot visaptverošus pasākumus.</w:t>
            </w:r>
          </w:p>
        </w:tc>
        <w:tc>
          <w:tcPr>
            <w:tcW w:w="4291" w:type="dxa"/>
            <w:tcBorders>
              <w:top w:val="single" w:sz="4" w:space="0" w:color="auto"/>
              <w:left w:val="single" w:sz="4" w:space="0" w:color="auto"/>
              <w:bottom w:val="single" w:sz="4" w:space="0" w:color="auto"/>
            </w:tcBorders>
          </w:tcPr>
          <w:p w14:paraId="7B83F4A4" w14:textId="77777777" w:rsidR="00780010" w:rsidRPr="001D7630" w:rsidRDefault="00780010" w:rsidP="00780010">
            <w:pPr>
              <w:pStyle w:val="naisf"/>
              <w:spacing w:before="0" w:after="0"/>
              <w:ind w:firstLine="0"/>
            </w:pPr>
            <w:r w:rsidRPr="001D7630">
              <w:lastRenderedPageBreak/>
              <w:t>Likumprojekta 6.pants ir precizēts</w:t>
            </w:r>
          </w:p>
          <w:p w14:paraId="104D34F0" w14:textId="77777777" w:rsidR="00780010" w:rsidRPr="001D7630" w:rsidRDefault="00780010" w:rsidP="00780010">
            <w:pPr>
              <w:pStyle w:val="naisf"/>
              <w:spacing w:before="0" w:after="0"/>
              <w:ind w:firstLine="0"/>
            </w:pPr>
          </w:p>
          <w:p w14:paraId="7CF48A50" w14:textId="77777777" w:rsidR="00780010" w:rsidRPr="001D7630" w:rsidRDefault="00780010" w:rsidP="00780010">
            <w:pPr>
              <w:pStyle w:val="naisf"/>
              <w:spacing w:before="0" w:after="0"/>
              <w:ind w:firstLine="0"/>
            </w:pPr>
            <w:r w:rsidRPr="001D7630">
              <w:t>Likumprojekta anotācija ir precizēta</w:t>
            </w:r>
          </w:p>
        </w:tc>
      </w:tr>
      <w:tr w:rsidR="00780010" w:rsidRPr="001D7630" w14:paraId="413E9A1C"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460E14B1"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253CA929" w14:textId="77777777" w:rsidR="00780010" w:rsidRPr="001D7630" w:rsidRDefault="00780010" w:rsidP="00780010">
            <w:pPr>
              <w:tabs>
                <w:tab w:val="left" w:pos="3195"/>
              </w:tabs>
            </w:pPr>
          </w:p>
        </w:tc>
        <w:tc>
          <w:tcPr>
            <w:tcW w:w="4047" w:type="dxa"/>
            <w:tcBorders>
              <w:top w:val="single" w:sz="6" w:space="0" w:color="000000"/>
              <w:left w:val="single" w:sz="6" w:space="0" w:color="000000"/>
              <w:bottom w:val="single" w:sz="6" w:space="0" w:color="000000"/>
              <w:right w:val="single" w:sz="6" w:space="0" w:color="000000"/>
            </w:tcBorders>
          </w:tcPr>
          <w:p w14:paraId="23326216" w14:textId="77777777" w:rsidR="00780010" w:rsidRPr="001D7630" w:rsidRDefault="00780010" w:rsidP="00780010">
            <w:pPr>
              <w:autoSpaceDE w:val="0"/>
              <w:autoSpaceDN w:val="0"/>
              <w:adjustRightInd w:val="0"/>
              <w:jc w:val="center"/>
              <w:rPr>
                <w:b/>
                <w:bCs/>
              </w:rPr>
            </w:pPr>
            <w:r w:rsidRPr="001D7630">
              <w:rPr>
                <w:b/>
                <w:bCs/>
              </w:rPr>
              <w:t>Finanšu nozares asociācija</w:t>
            </w:r>
          </w:p>
          <w:p w14:paraId="5EE9B7D0" w14:textId="77777777" w:rsidR="00780010" w:rsidRPr="001D7630" w:rsidRDefault="00780010" w:rsidP="00780010">
            <w:pPr>
              <w:autoSpaceDE w:val="0"/>
              <w:autoSpaceDN w:val="0"/>
              <w:adjustRightInd w:val="0"/>
              <w:jc w:val="center"/>
              <w:rPr>
                <w:b/>
                <w:bCs/>
              </w:rPr>
            </w:pPr>
            <w:r w:rsidRPr="001D7630">
              <w:rPr>
                <w:b/>
                <w:bCs/>
              </w:rPr>
              <w:t>(18.01.2021. atzinums)</w:t>
            </w:r>
          </w:p>
          <w:p w14:paraId="473D8DE3" w14:textId="77777777" w:rsidR="00780010" w:rsidRPr="001D7630" w:rsidRDefault="00780010" w:rsidP="00780010">
            <w:pPr>
              <w:jc w:val="both"/>
            </w:pPr>
            <w:r w:rsidRPr="001D7630">
              <w:t xml:space="preserve">3. Likumprojekta 6.panta trešā daļa nosaka, ka pilsētu “pašvaldība, kuras teritorijā saskaņā ar normatīvajiem aktiem par gaisa kvalitāti vismaz trīs kalendāro gadu periodā ir pārsniegti gaisa kvalitātes normatīvi, pašvaldību teritorijā, kā arī pilsētu ar iedzīvotāju blīvumu, kas vidēji trīs kalendāro gadu periodā pārsniedz 1300 iedzīvotāju uz vienu kvadrātkilometru, pašvaldība savā pašvaldības teritorijā nosaka transportlīdzekļu izmantošanas nosacījumus, lai veicinātu transportlīdzekļu izmantošanas radīto emisiju samazināšanu”. Lūdzam ņemt vērā, ka šo normas ieviešanu būs </w:t>
            </w:r>
            <w:r w:rsidRPr="001D7630">
              <w:lastRenderedPageBreak/>
              <w:t xml:space="preserve">apgrūtināti izpildīt tām pašvaldībām, kuru pilsētu teritorijām cauri virzās tranzīta plūsma, piemēram, Eiropas mēroga tranzīta koridori.  </w:t>
            </w:r>
          </w:p>
        </w:tc>
        <w:tc>
          <w:tcPr>
            <w:tcW w:w="2976" w:type="dxa"/>
            <w:tcBorders>
              <w:top w:val="single" w:sz="6" w:space="0" w:color="000000"/>
              <w:left w:val="single" w:sz="6" w:space="0" w:color="000000"/>
              <w:bottom w:val="single" w:sz="6" w:space="0" w:color="000000"/>
              <w:right w:val="single" w:sz="6" w:space="0" w:color="000000"/>
            </w:tcBorders>
          </w:tcPr>
          <w:p w14:paraId="1F7929D0" w14:textId="77777777" w:rsidR="00780010" w:rsidRPr="001D7630" w:rsidRDefault="00780010" w:rsidP="00780010">
            <w:pPr>
              <w:jc w:val="center"/>
              <w:rPr>
                <w:b/>
                <w:iCs/>
              </w:rPr>
            </w:pPr>
            <w:r w:rsidRPr="001D7630">
              <w:rPr>
                <w:b/>
                <w:iCs/>
              </w:rPr>
              <w:lastRenderedPageBreak/>
              <w:t>Ņemts vērā</w:t>
            </w:r>
          </w:p>
        </w:tc>
        <w:tc>
          <w:tcPr>
            <w:tcW w:w="4291" w:type="dxa"/>
            <w:tcBorders>
              <w:top w:val="single" w:sz="4" w:space="0" w:color="auto"/>
              <w:left w:val="single" w:sz="4" w:space="0" w:color="auto"/>
              <w:bottom w:val="single" w:sz="4" w:space="0" w:color="auto"/>
            </w:tcBorders>
          </w:tcPr>
          <w:p w14:paraId="0645DD11" w14:textId="77777777" w:rsidR="00780010" w:rsidRPr="001D7630" w:rsidRDefault="00780010" w:rsidP="00780010">
            <w:pPr>
              <w:pStyle w:val="naisf"/>
              <w:spacing w:before="0" w:after="0"/>
              <w:ind w:firstLine="0"/>
            </w:pPr>
            <w:r w:rsidRPr="001D7630">
              <w:t>Likumprojekta 6.panta 1.daļa ir svītrota</w:t>
            </w:r>
          </w:p>
        </w:tc>
      </w:tr>
      <w:tr w:rsidR="00780010" w:rsidRPr="001D7630" w14:paraId="1B2A48A8"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19AB0236"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50808385" w14:textId="77777777" w:rsidR="00780010" w:rsidRPr="001D7630" w:rsidRDefault="00780010" w:rsidP="00780010">
            <w:pPr>
              <w:tabs>
                <w:tab w:val="left" w:pos="3195"/>
              </w:tabs>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D425E1B" w14:textId="77777777" w:rsidR="00780010" w:rsidRPr="001D7630" w:rsidRDefault="00780010" w:rsidP="00780010">
            <w:pPr>
              <w:autoSpaceDE w:val="0"/>
              <w:autoSpaceDN w:val="0"/>
              <w:adjustRightInd w:val="0"/>
              <w:jc w:val="center"/>
              <w:rPr>
                <w:b/>
                <w:bCs/>
              </w:rPr>
            </w:pPr>
            <w:r w:rsidRPr="001D7630">
              <w:rPr>
                <w:b/>
                <w:bCs/>
              </w:rPr>
              <w:t>Vides aizsardzības un reģionālās attīstības ministrija</w:t>
            </w:r>
          </w:p>
          <w:p w14:paraId="26211504" w14:textId="77777777" w:rsidR="00780010" w:rsidRPr="001D7630" w:rsidRDefault="00780010" w:rsidP="00780010">
            <w:pPr>
              <w:autoSpaceDE w:val="0"/>
              <w:autoSpaceDN w:val="0"/>
              <w:adjustRightInd w:val="0"/>
              <w:jc w:val="center"/>
              <w:rPr>
                <w:b/>
                <w:bCs/>
              </w:rPr>
            </w:pPr>
            <w:r w:rsidRPr="001D7630">
              <w:rPr>
                <w:b/>
                <w:bCs/>
              </w:rPr>
              <w:t>(11.06.2021. atzinums)</w:t>
            </w:r>
          </w:p>
          <w:p w14:paraId="5E3000CF" w14:textId="77777777" w:rsidR="00780010" w:rsidRPr="001D7630" w:rsidRDefault="00780010" w:rsidP="00780010">
            <w:pPr>
              <w:jc w:val="both"/>
            </w:pPr>
            <w:r w:rsidRPr="001D7630">
              <w:t xml:space="preserve">Lūdzam precizēt likumprojekta 6. panta nosaukumu šādā redakcijā: “Nosacījumi valstspilsētu teritorijās izmantotajiem transportlīdzekļiem”, jo pantā iekļautais regulējums attiecas gan uz valstspilsētu pašvaldībām, gan uz valstspilsētām kā novadu teritoriālajām vienībām. Lūdzam attiecīgi precizēt arī likumprojekta anotāciju.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29BF48A" w14:textId="77777777" w:rsidR="00780010" w:rsidRPr="001D7630" w:rsidRDefault="00780010" w:rsidP="00780010">
            <w:pPr>
              <w:jc w:val="center"/>
              <w:rPr>
                <w:b/>
                <w:iCs/>
              </w:rPr>
            </w:pPr>
            <w:r w:rsidRPr="001D7630">
              <w:rPr>
                <w:b/>
                <w:iCs/>
              </w:rPr>
              <w:t>Ņemts vērā</w:t>
            </w:r>
          </w:p>
        </w:tc>
        <w:tc>
          <w:tcPr>
            <w:tcW w:w="4291" w:type="dxa"/>
            <w:tcBorders>
              <w:top w:val="single" w:sz="4" w:space="0" w:color="auto"/>
              <w:left w:val="single" w:sz="4" w:space="0" w:color="auto"/>
              <w:bottom w:val="single" w:sz="4" w:space="0" w:color="auto"/>
            </w:tcBorders>
            <w:shd w:val="clear" w:color="auto" w:fill="auto"/>
          </w:tcPr>
          <w:p w14:paraId="64014F30" w14:textId="77777777" w:rsidR="00780010" w:rsidRPr="001D7630" w:rsidRDefault="00780010" w:rsidP="00780010">
            <w:pPr>
              <w:pStyle w:val="naisf"/>
              <w:spacing w:before="0" w:after="0"/>
              <w:ind w:firstLine="0"/>
            </w:pPr>
            <w:r w:rsidRPr="001D7630">
              <w:t>Likumprojekta 6.pants ir precizēts.</w:t>
            </w:r>
          </w:p>
          <w:p w14:paraId="2147C46C" w14:textId="77777777" w:rsidR="00780010" w:rsidRPr="001D7630" w:rsidRDefault="00780010" w:rsidP="00780010">
            <w:pPr>
              <w:pStyle w:val="naisf"/>
              <w:spacing w:before="0" w:after="0"/>
              <w:ind w:firstLine="0"/>
            </w:pPr>
          </w:p>
          <w:p w14:paraId="594730DC" w14:textId="77777777" w:rsidR="00780010" w:rsidRPr="001D7630" w:rsidRDefault="00780010" w:rsidP="00780010">
            <w:pPr>
              <w:pStyle w:val="naisf"/>
              <w:spacing w:before="0" w:after="0"/>
              <w:ind w:firstLine="0"/>
            </w:pPr>
            <w:r w:rsidRPr="001D7630">
              <w:t>Likumprojekta anotācijas I sadaļas 2.punkta sadaļa “</w:t>
            </w:r>
            <w:r w:rsidRPr="001D7630">
              <w:rPr>
                <w:u w:val="single"/>
              </w:rPr>
              <w:t>Likumprojekta 6.pants</w:t>
            </w:r>
            <w:r w:rsidRPr="001D7630">
              <w:t>” ir precizēta.</w:t>
            </w:r>
          </w:p>
        </w:tc>
      </w:tr>
      <w:tr w:rsidR="00780010" w:rsidRPr="001D7630" w14:paraId="24A05962"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0321B9D"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5D5A33EB" w14:textId="77777777" w:rsidR="00780010" w:rsidRPr="001D7630" w:rsidRDefault="00780010" w:rsidP="00780010">
            <w:pPr>
              <w:tabs>
                <w:tab w:val="left" w:pos="3195"/>
              </w:tabs>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886AF10" w14:textId="77777777" w:rsidR="00780010" w:rsidRPr="001D7630" w:rsidRDefault="00780010" w:rsidP="00780010">
            <w:pPr>
              <w:autoSpaceDE w:val="0"/>
              <w:autoSpaceDN w:val="0"/>
              <w:adjustRightInd w:val="0"/>
              <w:jc w:val="center"/>
              <w:rPr>
                <w:b/>
                <w:bCs/>
              </w:rPr>
            </w:pPr>
            <w:r w:rsidRPr="001D7630">
              <w:rPr>
                <w:b/>
                <w:bCs/>
              </w:rPr>
              <w:t>Bezizmešu mobilitātes atbalsta biedrība</w:t>
            </w:r>
          </w:p>
          <w:p w14:paraId="11F6D9D9" w14:textId="77777777" w:rsidR="00780010" w:rsidRPr="001D7630" w:rsidRDefault="00780010" w:rsidP="00780010">
            <w:pPr>
              <w:autoSpaceDE w:val="0"/>
              <w:autoSpaceDN w:val="0"/>
              <w:adjustRightInd w:val="0"/>
              <w:jc w:val="center"/>
              <w:rPr>
                <w:b/>
                <w:bCs/>
              </w:rPr>
            </w:pPr>
            <w:r w:rsidRPr="001D7630">
              <w:rPr>
                <w:b/>
                <w:bCs/>
              </w:rPr>
              <w:t>(11.06.2021.)</w:t>
            </w:r>
          </w:p>
          <w:p w14:paraId="461015ED" w14:textId="77777777" w:rsidR="00780010" w:rsidRPr="001D7630" w:rsidRDefault="00780010" w:rsidP="00780010">
            <w:pPr>
              <w:autoSpaceDE w:val="0"/>
              <w:autoSpaceDN w:val="0"/>
              <w:adjustRightInd w:val="0"/>
              <w:jc w:val="both"/>
            </w:pPr>
            <w:r w:rsidRPr="001D7630">
              <w:t>Likumprojekta 6.pantā jānosaka transportlīdzekļu grupu (transportlīdzekļu īpašniekus), no kuras aprēķina atjaunojamo enerģiju (50% 2030.gadā) un attiecīgo transportlīdzekļu īpatsvaru ("50 procentiem ir tādi transportlīdzekļi, kuros tiek izmantota atjaunojamā enerģija, tai skaitā elektroenerģija").</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225F27F" w14:textId="77777777" w:rsidR="00780010" w:rsidRPr="001D7630" w:rsidRDefault="00780010" w:rsidP="00780010">
            <w:pPr>
              <w:jc w:val="center"/>
              <w:rPr>
                <w:b/>
                <w:iCs/>
              </w:rPr>
            </w:pPr>
            <w:r w:rsidRPr="001D7630">
              <w:rPr>
                <w:b/>
                <w:iCs/>
              </w:rPr>
              <w:t>Ņemts vērā</w:t>
            </w:r>
          </w:p>
          <w:p w14:paraId="34D4E454" w14:textId="77777777" w:rsidR="00780010" w:rsidRPr="001D7630" w:rsidRDefault="00780010" w:rsidP="00780010">
            <w:pPr>
              <w:rPr>
                <w:b/>
                <w:iCs/>
              </w:rPr>
            </w:pPr>
          </w:p>
          <w:p w14:paraId="66483D76" w14:textId="77777777" w:rsidR="00780010" w:rsidRPr="001D7630" w:rsidRDefault="00780010" w:rsidP="00780010">
            <w:pPr>
              <w:rPr>
                <w:bCs/>
                <w:iCs/>
              </w:rPr>
            </w:pPr>
            <w:r w:rsidRPr="001D7630">
              <w:rPr>
                <w:bCs/>
                <w:iCs/>
              </w:rPr>
              <w:t>6.panta nosacījumi pēc būtības attiecas uz pašvaldību (to iestāžu, aģentūru un kapitālsabiedrību) transportlīdzekļiem.</w:t>
            </w:r>
          </w:p>
        </w:tc>
        <w:tc>
          <w:tcPr>
            <w:tcW w:w="4291" w:type="dxa"/>
            <w:tcBorders>
              <w:top w:val="single" w:sz="4" w:space="0" w:color="auto"/>
              <w:left w:val="single" w:sz="4" w:space="0" w:color="auto"/>
              <w:bottom w:val="single" w:sz="4" w:space="0" w:color="auto"/>
            </w:tcBorders>
            <w:shd w:val="clear" w:color="auto" w:fill="auto"/>
          </w:tcPr>
          <w:p w14:paraId="7E0D1061" w14:textId="77777777" w:rsidR="00780010" w:rsidRPr="001D7630" w:rsidRDefault="00780010" w:rsidP="00780010">
            <w:pPr>
              <w:pStyle w:val="naisf"/>
              <w:spacing w:before="0" w:after="0"/>
              <w:ind w:firstLine="0"/>
            </w:pPr>
            <w:r w:rsidRPr="001D7630">
              <w:t>Likumprojekta 6.pants ir precizēts.</w:t>
            </w:r>
          </w:p>
          <w:p w14:paraId="0CD5B853" w14:textId="77777777" w:rsidR="00780010" w:rsidRPr="001D7630" w:rsidRDefault="00780010" w:rsidP="00780010">
            <w:pPr>
              <w:pStyle w:val="naisf"/>
              <w:spacing w:before="0" w:after="0"/>
              <w:ind w:firstLine="0"/>
            </w:pPr>
          </w:p>
          <w:p w14:paraId="7C6AB4A0" w14:textId="3DA5630D" w:rsidR="00780010" w:rsidRPr="001D7630" w:rsidRDefault="00780010" w:rsidP="00780010">
            <w:pPr>
              <w:pStyle w:val="naisf"/>
              <w:spacing w:before="0" w:after="0"/>
              <w:ind w:firstLine="0"/>
            </w:pPr>
            <w:r w:rsidRPr="001D7630">
              <w:t>Likumprojekta anotācijas I sadaļas 2.punkta sadaļa “</w:t>
            </w:r>
            <w:r w:rsidRPr="001D7630">
              <w:rPr>
                <w:u w:val="single"/>
              </w:rPr>
              <w:t>Likumprojekta 6.pants</w:t>
            </w:r>
            <w:r w:rsidRPr="001D7630">
              <w:t>” ir papildināta.</w:t>
            </w:r>
          </w:p>
        </w:tc>
      </w:tr>
      <w:tr w:rsidR="00780010" w:rsidRPr="001D7630" w14:paraId="7B35A51B"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3691D6CC"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3EA33EB" w14:textId="77777777" w:rsidR="00780010" w:rsidRPr="001D7630" w:rsidRDefault="00780010" w:rsidP="00780010">
            <w:pPr>
              <w:tabs>
                <w:tab w:val="left" w:pos="3195"/>
              </w:tabs>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1AD66FC0" w14:textId="77777777" w:rsidR="00780010" w:rsidRPr="001D7630" w:rsidRDefault="00780010" w:rsidP="00780010">
            <w:pPr>
              <w:autoSpaceDE w:val="0"/>
              <w:autoSpaceDN w:val="0"/>
              <w:adjustRightInd w:val="0"/>
              <w:jc w:val="center"/>
              <w:rPr>
                <w:b/>
                <w:bCs/>
              </w:rPr>
            </w:pPr>
            <w:r w:rsidRPr="001D7630">
              <w:rPr>
                <w:b/>
                <w:bCs/>
              </w:rPr>
              <w:t>Latvijas Lielo pilsētu asociācija</w:t>
            </w:r>
          </w:p>
          <w:p w14:paraId="2F89E720" w14:textId="77777777" w:rsidR="00780010" w:rsidRPr="001D7630" w:rsidRDefault="00780010" w:rsidP="00780010">
            <w:pPr>
              <w:autoSpaceDE w:val="0"/>
              <w:autoSpaceDN w:val="0"/>
              <w:adjustRightInd w:val="0"/>
              <w:jc w:val="center"/>
              <w:rPr>
                <w:b/>
                <w:bCs/>
              </w:rPr>
            </w:pPr>
            <w:r w:rsidRPr="001D7630">
              <w:rPr>
                <w:b/>
                <w:bCs/>
              </w:rPr>
              <w:t>(14.06.2021.)</w:t>
            </w:r>
          </w:p>
          <w:p w14:paraId="58749050" w14:textId="77777777" w:rsidR="00780010" w:rsidRPr="001D7630" w:rsidRDefault="00780010" w:rsidP="00780010">
            <w:pPr>
              <w:pStyle w:val="ListParagraph"/>
              <w:spacing w:after="0" w:line="240" w:lineRule="auto"/>
              <w:ind w:left="0"/>
              <w:contextualSpacing w:val="0"/>
              <w:jc w:val="both"/>
              <w:rPr>
                <w:rFonts w:ascii="Times New Roman" w:hAnsi="Times New Roman"/>
                <w:sz w:val="24"/>
                <w:szCs w:val="24"/>
              </w:rPr>
            </w:pPr>
            <w:r w:rsidRPr="001D7630">
              <w:rPr>
                <w:rFonts w:ascii="Times New Roman" w:hAnsi="Times New Roman"/>
                <w:sz w:val="24"/>
                <w:szCs w:val="24"/>
              </w:rPr>
              <w:t xml:space="preserve">1. Vispārīgs komentārs: </w:t>
            </w:r>
          </w:p>
          <w:p w14:paraId="0AD1372A" w14:textId="77777777" w:rsidR="00780010" w:rsidRPr="001D7630" w:rsidRDefault="00780010" w:rsidP="00780010">
            <w:pPr>
              <w:jc w:val="both"/>
              <w:rPr>
                <w:bCs/>
              </w:rPr>
            </w:pPr>
            <w:r w:rsidRPr="001D7630">
              <w:rPr>
                <w:bCs/>
                <w:shd w:val="clear" w:color="auto" w:fill="FFFFFF"/>
              </w:rPr>
              <w:t>J</w:t>
            </w:r>
            <w:r w:rsidRPr="001D7630">
              <w:rPr>
                <w:bCs/>
              </w:rPr>
              <w:t xml:space="preserve">oprojām aktuāls ir jautājums par tīro un bezizmešu transportlīdzekļu iegādes </w:t>
            </w:r>
            <w:r w:rsidRPr="001D7630">
              <w:rPr>
                <w:bCs/>
              </w:rPr>
              <w:lastRenderedPageBreak/>
              <w:t xml:space="preserve">finansējumu, jo šādi transportlīdzekļi ir 2 līdz 3 reizes dārgāki kā analogi fosilās degvielas transportlīdzekļi. </w:t>
            </w:r>
          </w:p>
          <w:p w14:paraId="173E0187" w14:textId="77777777" w:rsidR="00780010" w:rsidRPr="001D7630" w:rsidRDefault="00780010" w:rsidP="00780010">
            <w:pPr>
              <w:jc w:val="both"/>
              <w:rPr>
                <w:lang w:eastAsia="en-US"/>
              </w:rPr>
            </w:pPr>
            <w:r w:rsidRPr="001D7630">
              <w:t xml:space="preserve">Izziņas 24. punktā minēts, ka: "Finansējuma avoti ir iekļauti anotācijas III sadaļas 8.punktā un ir saskaņā ar NEKP 4.pielikumu." Anotācijas III sadaļas 8. punktā minēts, ka: "Tā kā minētā pienākuma termiņš nav noteikts (var būt arī 2030.gads), un tas neiekļaujas vidēja termiņa budžeta plānošanā, tad finansējuma apjoms šobrīd nav nosakāms, bet finansējuma avoti pienākumu izpildei var būt: valsts budžets, tai skaitā ieņēmumi no emisiju kvotu izsolīšanas, pašvaldību budžets, ES struktūrfondi." </w:t>
            </w:r>
          </w:p>
          <w:p w14:paraId="40CD6585" w14:textId="77777777" w:rsidR="00780010" w:rsidRPr="001D7630" w:rsidRDefault="00780010" w:rsidP="00780010">
            <w:pPr>
              <w:jc w:val="both"/>
            </w:pPr>
            <w:r w:rsidRPr="001D7630">
              <w:t>Savukārt Eiropas Parlamenta un Padomes 2019. gada 20. jūnija direktīva Nr. 2019/1161, ar ko groza Direktīvu 2009/33/EK par “tīro” un energoefektīvo autotransporta līdzekļu izmantošanas veicināšanu un grozījumi Publisko iepirkumu likumā un Sabiedrisko pakalpojumu sniedzēju iepirkumu likumā nosaka, minētās prasības par tīro transportlīdzekļu procentuālo īpatsvaru katrā transportlīdzekļu iepirkumā ir jāsāk ievērot no 2021. gada 2. augusta.</w:t>
            </w:r>
          </w:p>
          <w:p w14:paraId="22BC721D" w14:textId="77777777" w:rsidR="00780010" w:rsidRPr="001D7630" w:rsidRDefault="00780010" w:rsidP="00780010">
            <w:pPr>
              <w:autoSpaceDE w:val="0"/>
              <w:autoSpaceDN w:val="0"/>
              <w:adjustRightInd w:val="0"/>
              <w:jc w:val="both"/>
            </w:pPr>
            <w:r w:rsidRPr="001D7630">
              <w:t xml:space="preserve">Ja finansējuma nav, rīcības plāns ir sekojošs: līdz 2021. gada 2. augustam ir jāizsludina tehnikas iepirkumi un jāiegādājas transportlīdzekļi darbināmi </w:t>
            </w:r>
            <w:r w:rsidRPr="001D7630">
              <w:lastRenderedPageBreak/>
              <w:t>ar fosilo degvielu. Kā jau iepriekš minēts, sasniedzamo rādītāju termiņš ir tikai 2030. gads, tad, iespējams, uz to laiku tiks meklēts finansējums tīro transportlīdzekļu iegādei. Līdz ar to paliek atklāts jautājums - kā valstspilsētas pašvaldības izpildīs Transporta enerģijas likuma 6. panta otrās daļas "Valstspilsētu pašvaldības līdz 2024. gada 1. oktobrim un pēc tam reizi divos gados ziņo Ministru kabineta noteikto institūcijai par šī nosacījuma izpildes progresu" prasības.</w:t>
            </w:r>
          </w:p>
          <w:p w14:paraId="3272915C" w14:textId="77777777" w:rsidR="00780010" w:rsidRPr="001D7630" w:rsidRDefault="00780010" w:rsidP="00780010">
            <w:pPr>
              <w:autoSpaceDE w:val="0"/>
              <w:autoSpaceDN w:val="0"/>
              <w:adjustRightInd w:val="0"/>
              <w:jc w:val="both"/>
            </w:pPr>
            <w:r w:rsidRPr="001D7630">
              <w:t xml:space="preserve">2. Ne visām pašvaldībām pieder sabiedriskā transporta uzņēmumi, kas veic pārvadājumus ar autobusiem, tāpēc tajās pašvaldībās pakalpojuma nodrošināšanai veic publisko iepirkumu autobusa pārvadājumu pakalpojumu sniegšanai, kur viens no svarīgākajiem kritērijiem ir komersanta piedāvātās izmaksas EUR/km. Maršrutus organizē un visu kontrolē pašvaldību nodibinātas iestādes. Tuvākajos gados pašvaldībām būs jāveic jauns sabiedriskā transporta pārvadājumu iepirkums autobusiem un pakalpojuma sniegšanas periods sniegsies aiz 2030. gada. Pašvaldības iepirkuma dokumentācijā ir tiesīgas pieprasīt jebkādu autobusa darbināšanas veidu. Problēma ir tajā, ka autobusi, kas darbināmi ar atjaunojamiem resursiem (elektroenerģija, ūdeņradis), ir </w:t>
            </w:r>
            <w:r w:rsidRPr="001D7630">
              <w:lastRenderedPageBreak/>
              <w:t xml:space="preserve">ievērojami dārgāki nekā plaši lietojamie dīdzeļdzinēju vai LPG vai pat CNG autobusi un tas nozīmē, ka attiecīgi palielināsies komersanta izmaksas uz nobraukto km. Bez tam vēl ir jāatrisina operatīvas uzlādes problēma. Savukārt pašvaldības nespēs tādā apmērā paaugstināt biļešu cenu dēļ iedzīvotāju ierobežotas maksātspējas. Arī pašvaldību dotācijas tādā apmērā ir nereālas. Ir jāparedz finansējums, deleģējot pašvaldībām jaunus pienākumus. </w:t>
            </w:r>
          </w:p>
          <w:p w14:paraId="703F538E" w14:textId="77777777" w:rsidR="00780010" w:rsidRPr="001D7630" w:rsidRDefault="00780010" w:rsidP="00780010">
            <w:pPr>
              <w:autoSpaceDE w:val="0"/>
              <w:autoSpaceDN w:val="0"/>
              <w:adjustRightInd w:val="0"/>
              <w:jc w:val="both"/>
            </w:pPr>
            <w:r w:rsidRPr="001D7630">
              <w:t xml:space="preserve">3. Anotācijā ir minēts, ka šis punkts attiecināms uz publiskajiem iepirkumiem, savukārt likumprojektā noteikts, ka šis punkts attiecas uz visiem pašvaldības teritorijā izmantotajiem transporta līdzekļiem un to pašvaldība nekādi nevar ietekmēt. Aicinām to precizēt. </w:t>
            </w:r>
          </w:p>
          <w:p w14:paraId="48756652" w14:textId="77777777" w:rsidR="00780010" w:rsidRPr="001D7630" w:rsidRDefault="00780010" w:rsidP="00780010">
            <w:pPr>
              <w:autoSpaceDE w:val="0"/>
              <w:autoSpaceDN w:val="0"/>
              <w:adjustRightInd w:val="0"/>
              <w:jc w:val="both"/>
            </w:pPr>
            <w:r w:rsidRPr="001D7630">
              <w:t>4. 6.panta 3.daļā minēto informāciju var iegūt no CSDD datu bāzes, kas izslēgtu pašvaldību datu interpretāciju un kļūdu iespēju, tāpēc šis punkts ir aktuāls tikai attiecībā uz sabiedriskā transporta segmentu.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5AE33BD1" w14:textId="77777777" w:rsidR="00780010" w:rsidRPr="001D7630" w:rsidRDefault="00780010" w:rsidP="00780010">
            <w:pPr>
              <w:jc w:val="center"/>
              <w:rPr>
                <w:b/>
                <w:iCs/>
              </w:rPr>
            </w:pPr>
            <w:r w:rsidRPr="001D7630">
              <w:rPr>
                <w:b/>
                <w:iCs/>
              </w:rPr>
              <w:lastRenderedPageBreak/>
              <w:t>Ņemts vērā</w:t>
            </w:r>
          </w:p>
          <w:p w14:paraId="5A7AAD92" w14:textId="77777777" w:rsidR="00780010" w:rsidRPr="001D7630" w:rsidRDefault="00780010" w:rsidP="00780010">
            <w:pPr>
              <w:rPr>
                <w:b/>
                <w:iCs/>
              </w:rPr>
            </w:pPr>
          </w:p>
          <w:p w14:paraId="2F61A26A" w14:textId="77777777" w:rsidR="00780010" w:rsidRPr="001D7630" w:rsidRDefault="00780010" w:rsidP="00780010">
            <w:pPr>
              <w:rPr>
                <w:bCs/>
                <w:iCs/>
              </w:rPr>
            </w:pPr>
            <w:r w:rsidRPr="001D7630">
              <w:rPr>
                <w:bCs/>
                <w:iCs/>
              </w:rPr>
              <w:t xml:space="preserve">1. informējam, ka, ja likumprojekta 6.panta izpildei līdz 2030.gadam nav </w:t>
            </w:r>
            <w:r w:rsidRPr="001D7630">
              <w:rPr>
                <w:bCs/>
                <w:iCs/>
              </w:rPr>
              <w:lastRenderedPageBreak/>
              <w:t xml:space="preserve">veikti kādi pasākumi, tad likumprojekta 6.panta 2.daļā minētajā ziņošanā par progresu ir jānorāda, ka pasākumi netiks veikt. Norādām, ka minētā ziņošana nav jāveic par mērķa izpildi, bet par progresu (veiktajiem pasākumiem) </w:t>
            </w:r>
          </w:p>
          <w:p w14:paraId="4FA09752" w14:textId="77777777" w:rsidR="00780010" w:rsidRPr="001D7630" w:rsidRDefault="00780010" w:rsidP="00780010">
            <w:pPr>
              <w:rPr>
                <w:bCs/>
                <w:iCs/>
              </w:rPr>
            </w:pPr>
          </w:p>
          <w:p w14:paraId="5EDA0452" w14:textId="77777777" w:rsidR="00780010" w:rsidRPr="001D7630" w:rsidRDefault="00780010" w:rsidP="00780010">
            <w:pPr>
              <w:rPr>
                <w:bCs/>
                <w:iCs/>
              </w:rPr>
            </w:pPr>
            <w:r w:rsidRPr="001D7630">
              <w:rPr>
                <w:bCs/>
                <w:iCs/>
              </w:rPr>
              <w:t>2. anotācijā ir iekļauta informācija par iespējamiem finansējuma avotiem, kur elektromobilitāte pašvaldību iestādēs un sabiedriskajā transportā varētu tikt atbalstīta gan no finansējuma, kas iegūts izsolot valsts emisijas kvotas, gan no likumprojekta 15.pantā minētā finansējuma vai no likumprojekta “Grozījumi Enerģētikas likumā” minētā jaunā fonda.</w:t>
            </w:r>
          </w:p>
          <w:p w14:paraId="6CE4AE54" w14:textId="77777777" w:rsidR="00780010" w:rsidRPr="001D7630" w:rsidRDefault="00780010" w:rsidP="00780010">
            <w:pPr>
              <w:rPr>
                <w:bCs/>
                <w:iCs/>
              </w:rPr>
            </w:pPr>
          </w:p>
          <w:p w14:paraId="1C00C5FA" w14:textId="77777777" w:rsidR="00780010" w:rsidRPr="001D7630" w:rsidRDefault="00780010" w:rsidP="00780010">
            <w:pPr>
              <w:rPr>
                <w:bCs/>
                <w:iCs/>
              </w:rPr>
            </w:pPr>
            <w:r w:rsidRPr="001D7630">
              <w:rPr>
                <w:bCs/>
                <w:iCs/>
              </w:rPr>
              <w:t>3. norādām, ka anotācijā nav minēts, ka šie nosacījumi attiecas uz publisko iepirkumu. “publiskais iepirkums” ir minēts kā atsauce uz NEKP2030 iekļauto pasākumu, kur ir minēts publiskais iepirkums.</w:t>
            </w:r>
          </w:p>
          <w:p w14:paraId="64B7CC3A" w14:textId="77777777" w:rsidR="00780010" w:rsidRPr="001D7630" w:rsidRDefault="00780010" w:rsidP="00780010">
            <w:pPr>
              <w:rPr>
                <w:bCs/>
                <w:iCs/>
              </w:rPr>
            </w:pPr>
          </w:p>
          <w:p w14:paraId="7A22C70D" w14:textId="77777777" w:rsidR="00780010" w:rsidRPr="001D7630" w:rsidRDefault="00780010" w:rsidP="00780010">
            <w:pPr>
              <w:rPr>
                <w:bCs/>
                <w:iCs/>
              </w:rPr>
            </w:pPr>
            <w:r w:rsidRPr="001D7630">
              <w:rPr>
                <w:bCs/>
                <w:iCs/>
              </w:rPr>
              <w:t>4. lai gan CSDD ir atrodama informācija par to, kādi transportlīdzekļi ir reģistrēti, valstpilsētās vai pašvaldību novados, informāciju par transportlīdzekļu piederību no CSDD nav iespējams iegūt, līdz ar to nebūs iespējams uzzināt, kuri no, piemēram, Ogres novadā reģistrētajiem transportlīdzekļiem ir reģistrēti Ogres novada pašvaldības iestādēm vai kapitālsabiedrībām</w:t>
            </w:r>
          </w:p>
        </w:tc>
        <w:tc>
          <w:tcPr>
            <w:tcW w:w="4291" w:type="dxa"/>
            <w:tcBorders>
              <w:top w:val="single" w:sz="4" w:space="0" w:color="auto"/>
              <w:left w:val="single" w:sz="4" w:space="0" w:color="auto"/>
              <w:bottom w:val="single" w:sz="4" w:space="0" w:color="auto"/>
            </w:tcBorders>
            <w:shd w:val="clear" w:color="auto" w:fill="auto"/>
          </w:tcPr>
          <w:p w14:paraId="233B32D6" w14:textId="77777777" w:rsidR="00780010" w:rsidRPr="001D7630" w:rsidRDefault="00780010" w:rsidP="00780010">
            <w:pPr>
              <w:pStyle w:val="naisf"/>
              <w:spacing w:before="0" w:after="0"/>
              <w:ind w:firstLine="0"/>
            </w:pPr>
            <w:r w:rsidRPr="001D7630">
              <w:lastRenderedPageBreak/>
              <w:t>Likumprojekta 6.pants ir precizēts.</w:t>
            </w:r>
          </w:p>
          <w:p w14:paraId="311A11FC" w14:textId="77777777" w:rsidR="00780010" w:rsidRPr="001D7630" w:rsidRDefault="00780010" w:rsidP="00780010">
            <w:pPr>
              <w:pStyle w:val="naisf"/>
              <w:spacing w:before="0" w:after="0"/>
              <w:ind w:firstLine="0"/>
            </w:pPr>
          </w:p>
          <w:p w14:paraId="5030CD02" w14:textId="77777777" w:rsidR="00780010" w:rsidRPr="001D7630" w:rsidRDefault="00780010" w:rsidP="00780010">
            <w:pPr>
              <w:pStyle w:val="naisf"/>
              <w:spacing w:before="0" w:after="0"/>
              <w:ind w:firstLine="0"/>
            </w:pPr>
            <w:r w:rsidRPr="001D7630">
              <w:t>Likumprojekta anotācijas III sadaļas 8.punkta 4.sadaļa ir papildināta</w:t>
            </w:r>
          </w:p>
        </w:tc>
      </w:tr>
      <w:tr w:rsidR="00780010" w:rsidRPr="001D7630" w14:paraId="6C467EA1" w14:textId="77777777" w:rsidTr="005D0902">
        <w:trPr>
          <w:jc w:val="center"/>
        </w:trPr>
        <w:tc>
          <w:tcPr>
            <w:tcW w:w="14992" w:type="dxa"/>
            <w:gridSpan w:val="5"/>
            <w:tcBorders>
              <w:top w:val="single" w:sz="6" w:space="0" w:color="000000"/>
              <w:left w:val="single" w:sz="6" w:space="0" w:color="000000"/>
              <w:bottom w:val="single" w:sz="6" w:space="0" w:color="000000"/>
            </w:tcBorders>
          </w:tcPr>
          <w:p w14:paraId="540C05C7" w14:textId="77777777" w:rsidR="00780010" w:rsidRPr="001D7630" w:rsidRDefault="00780010" w:rsidP="00780010">
            <w:pPr>
              <w:pStyle w:val="naisf"/>
              <w:spacing w:before="0" w:after="0"/>
              <w:ind w:firstLine="0"/>
              <w:jc w:val="center"/>
              <w:rPr>
                <w:b/>
                <w:bCs/>
              </w:rPr>
            </w:pPr>
            <w:r w:rsidRPr="001D7630">
              <w:rPr>
                <w:b/>
                <w:bCs/>
              </w:rPr>
              <w:lastRenderedPageBreak/>
              <w:t>7.PANTS</w:t>
            </w:r>
          </w:p>
        </w:tc>
      </w:tr>
      <w:tr w:rsidR="00780010" w:rsidRPr="001D7630" w14:paraId="0A9B1FE2"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6774D06F"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076D2C89"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02524111" w14:textId="77777777" w:rsidR="00780010" w:rsidRPr="001D7630" w:rsidRDefault="00780010" w:rsidP="00780010">
            <w:pPr>
              <w:autoSpaceDE w:val="0"/>
              <w:autoSpaceDN w:val="0"/>
              <w:adjustRightInd w:val="0"/>
              <w:jc w:val="center"/>
              <w:rPr>
                <w:b/>
                <w:bCs/>
              </w:rPr>
            </w:pPr>
            <w:r w:rsidRPr="001D7630">
              <w:rPr>
                <w:b/>
                <w:bCs/>
              </w:rPr>
              <w:t>Vides aizsardzības un reģionālās attīstības ministrija</w:t>
            </w:r>
          </w:p>
          <w:p w14:paraId="2896CC9E" w14:textId="77777777" w:rsidR="00780010" w:rsidRPr="001D7630" w:rsidRDefault="00780010" w:rsidP="00780010">
            <w:pPr>
              <w:autoSpaceDE w:val="0"/>
              <w:autoSpaceDN w:val="0"/>
              <w:adjustRightInd w:val="0"/>
              <w:jc w:val="center"/>
              <w:rPr>
                <w:b/>
                <w:bCs/>
              </w:rPr>
            </w:pPr>
            <w:r w:rsidRPr="001D7630">
              <w:rPr>
                <w:b/>
                <w:bCs/>
              </w:rPr>
              <w:t>(08.01.2021. atzinums)</w:t>
            </w:r>
          </w:p>
          <w:p w14:paraId="3C34A005" w14:textId="77777777" w:rsidR="00780010" w:rsidRPr="001D7630" w:rsidRDefault="00780010" w:rsidP="00780010">
            <w:pPr>
              <w:jc w:val="both"/>
            </w:pPr>
            <w:r w:rsidRPr="001D7630">
              <w:t xml:space="preserve">5. Izvērtēt, vai likumprojekta 7. panta piektajā daļā nepieciešams atsevišķi izdalīt “degvielu, biodegvielu vai </w:t>
            </w:r>
            <w:r w:rsidRPr="001D7630">
              <w:lastRenderedPageBreak/>
              <w:t>alternatīvo degvielu”, ņemot vērā to, ka biodegviela ir alternatīvā degviela un iepriekš šis degvielas veids nav izdalīts;</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49EBA965"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3AA29782" w14:textId="2F01757A"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7.panta 5.daļa ir precizēta</w:t>
            </w:r>
          </w:p>
        </w:tc>
      </w:tr>
      <w:tr w:rsidR="00780010" w:rsidRPr="001D7630" w14:paraId="7D19D217"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7C22E9C7"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626F7ED6" w14:textId="77777777" w:rsidR="00780010" w:rsidRPr="001D7630" w:rsidRDefault="00780010" w:rsidP="00780010">
            <w:pPr>
              <w:jc w:val="both"/>
              <w:rPr>
                <w:color w:val="000000" w:themeColor="text1"/>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A61C835" w14:textId="77777777" w:rsidR="00780010" w:rsidRPr="001D7630" w:rsidRDefault="00780010" w:rsidP="00780010">
            <w:pPr>
              <w:jc w:val="center"/>
              <w:rPr>
                <w:b/>
                <w:bCs/>
              </w:rPr>
            </w:pPr>
            <w:r w:rsidRPr="001D7630">
              <w:rPr>
                <w:b/>
                <w:bCs/>
              </w:rPr>
              <w:t>Satiksmes ministrija</w:t>
            </w:r>
          </w:p>
          <w:p w14:paraId="444A8BBF" w14:textId="77777777" w:rsidR="00780010" w:rsidRPr="001D7630" w:rsidRDefault="00780010" w:rsidP="00780010">
            <w:pPr>
              <w:jc w:val="center"/>
              <w:rPr>
                <w:b/>
                <w:bCs/>
              </w:rPr>
            </w:pPr>
            <w:r w:rsidRPr="001D7630">
              <w:rPr>
                <w:b/>
                <w:bCs/>
              </w:rPr>
              <w:t>(08.01.2021. atzinums)</w:t>
            </w:r>
          </w:p>
          <w:p w14:paraId="7ADFE6D7" w14:textId="77777777" w:rsidR="00780010" w:rsidRPr="001D7630" w:rsidRDefault="00780010" w:rsidP="00780010">
            <w:pPr>
              <w:jc w:val="both"/>
            </w:pPr>
            <w:r w:rsidRPr="001D7630">
              <w:t>2. Likumprojekta 7.panta ceturtā daļa noteic, ka pie alternatīvās degvielas uzpildes iekārtas vai iekārtu sistēmas piestiprina viegli pamanāmu un skaidri saprotamu uzpildīšanas procesa instrukciju. Ņemot vērā, ka no likumprojekta 1.panta 1.punktā ietvertās alternatīvo degvielu definīcijas ir izprotams, ka pie alternatīvajām degvielām ir pieskaitāma arī elektroenerģija, rodas nekonsekvence ar likumprojekta 7.panta ceturto daļu. Tādējādi regulējums attiecināts arī uz elektrotransportlīdzekļiem paredzētajām uzlādes vietām, tomēr pretruna rodas apstāklī, kas saistīts ar to, ka elektrotransportlīdzekļi nevar izmantot uzpildes vietas, taču tā tas izriet no esošās redakcijas. Ņemot vērā minēto, kā arī to, ka ar Satiksmes ministriju iepriekš saskaņotajā redakcijā likumprojekta 7.panta ceturtā daļa ietvēra tikai gāzveida degvielas, lūdzam likumprojekta anotācijā skaidrot, vai regulējums ir attiecināms arī uz elektroenerģiju, kā arī atbilstoši precizēt likumprojekta 7.panta ceturto daļu.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AA7B8BE" w14:textId="77777777"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shd w:val="clear" w:color="auto" w:fill="auto"/>
          </w:tcPr>
          <w:p w14:paraId="09257583" w14:textId="6480865C"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7.panta 4.daļa ir precizēta</w:t>
            </w:r>
          </w:p>
        </w:tc>
      </w:tr>
      <w:tr w:rsidR="00780010" w:rsidRPr="001D7630" w14:paraId="718E037B"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629DC2B3"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59434117"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0424F70F" w14:textId="77777777" w:rsidR="00780010" w:rsidRPr="001D7630" w:rsidRDefault="00780010" w:rsidP="00780010">
            <w:pPr>
              <w:autoSpaceDE w:val="0"/>
              <w:autoSpaceDN w:val="0"/>
              <w:adjustRightInd w:val="0"/>
              <w:jc w:val="center"/>
              <w:rPr>
                <w:b/>
                <w:bCs/>
              </w:rPr>
            </w:pPr>
            <w:r w:rsidRPr="001D7630">
              <w:rPr>
                <w:b/>
                <w:bCs/>
              </w:rPr>
              <w:t>Bezizmešu mobilitātes atbalsta biedrība</w:t>
            </w:r>
          </w:p>
          <w:p w14:paraId="1926BCEA" w14:textId="77777777" w:rsidR="00780010" w:rsidRPr="001D7630" w:rsidRDefault="00780010" w:rsidP="00780010">
            <w:pPr>
              <w:jc w:val="both"/>
            </w:pPr>
            <w:r w:rsidRPr="001D7630">
              <w:t>6) atbilstoši vēstules 1.1.punktā izteiktajam apsvērumam, 7. panta 3.daļu papildināt ar "</w:t>
            </w:r>
            <w:r w:rsidRPr="001D7630">
              <w:rPr>
                <w:bCs/>
              </w:rPr>
              <w:t>publiski pieejamos" un</w:t>
            </w:r>
            <w:r w:rsidRPr="001D7630">
              <w:t xml:space="preserve"> </w:t>
            </w:r>
            <w:r w:rsidRPr="001D7630">
              <w:rPr>
                <w:b/>
              </w:rPr>
              <w:t>izteikt šādā redakcijā</w:t>
            </w:r>
            <w:r w:rsidRPr="001D7630">
              <w:t xml:space="preserve">: </w:t>
            </w:r>
          </w:p>
          <w:p w14:paraId="7E2A14E7" w14:textId="77777777" w:rsidR="00780010" w:rsidRPr="001D7630" w:rsidRDefault="00780010" w:rsidP="00780010">
            <w:pPr>
              <w:rPr>
                <w:rFonts w:eastAsia="Calibri"/>
                <w:lang w:eastAsia="en-US"/>
              </w:rPr>
            </w:pPr>
            <w:r w:rsidRPr="001D7630">
              <w:rPr>
                <w:b/>
              </w:rPr>
              <w:t>"</w:t>
            </w:r>
            <w:r w:rsidRPr="001D7630">
              <w:t xml:space="preserve">(3) </w:t>
            </w:r>
            <w:r w:rsidRPr="001D7630">
              <w:rPr>
                <w:bCs/>
                <w:u w:val="single"/>
              </w:rPr>
              <w:t>Publiski pieejamos</w:t>
            </w:r>
            <w:r w:rsidRPr="001D7630">
              <w:rPr>
                <w:bCs/>
              </w:rPr>
              <w:t xml:space="preserve"> u</w:t>
            </w:r>
            <w:r w:rsidRPr="001D7630">
              <w:t>zlādes punktos un uzpildes punktos norāda informāciju par tajos pieejamajiem alternatīvās degvielas veidiem un to izcelsmi, ja uzlādes punkta vai uzpildes punkta operatoram ir alternatīvās degvielas izcelsmi pamatojošie dokumenti. Informāciju izvieto uz uzpildes punkta sūkņiem, to sprauslām un uzlādes pieslēgumiem.";</w:t>
            </w:r>
          </w:p>
          <w:p w14:paraId="2F70CF17" w14:textId="77777777" w:rsidR="00780010" w:rsidRPr="001D7630" w:rsidRDefault="00780010" w:rsidP="00780010">
            <w:pPr>
              <w:jc w:val="both"/>
            </w:pPr>
            <w:r w:rsidRPr="001D7630">
              <w:t>7) atbilstoši vēstules 1.1.punktā izteiktajam apsvērumam 7. panta 6.daļu papildināt ar "</w:t>
            </w:r>
            <w:r w:rsidRPr="001D7630">
              <w:rPr>
                <w:bCs/>
              </w:rPr>
              <w:t>publiski pieejama" un</w:t>
            </w:r>
            <w:r w:rsidRPr="001D7630">
              <w:t xml:space="preserve"> </w:t>
            </w:r>
            <w:r w:rsidRPr="001D7630">
              <w:rPr>
                <w:b/>
              </w:rPr>
              <w:t>izteikt šādā redakcijā</w:t>
            </w:r>
            <w:r w:rsidRPr="001D7630">
              <w:t>:</w:t>
            </w:r>
          </w:p>
          <w:p w14:paraId="15C571DC" w14:textId="77777777" w:rsidR="00780010" w:rsidRPr="001D7630" w:rsidRDefault="00780010" w:rsidP="00780010">
            <w:pPr>
              <w:jc w:val="both"/>
              <w:rPr>
                <w:rFonts w:eastAsia="Calibri"/>
              </w:rPr>
            </w:pPr>
            <w:r w:rsidRPr="001D7630">
              <w:t xml:space="preserve">"(6) Degvielas piegādātājs, </w:t>
            </w:r>
            <w:r w:rsidRPr="001D7630">
              <w:rPr>
                <w:bCs/>
                <w:u w:val="single"/>
              </w:rPr>
              <w:t>publiski pieejama</w:t>
            </w:r>
            <w:r w:rsidRPr="001D7630">
              <w:rPr>
                <w:bCs/>
              </w:rPr>
              <w:t xml:space="preserve"> </w:t>
            </w:r>
            <w:r w:rsidRPr="001D7630">
              <w:t>uzlādes punkta operators vai īpašnieks un uzpildes punkta operators informē Ministru kabineta noteikto institūciju par attiecīgā punkta darbības uzsākšanu vai pārtraukšanu, kura savā tīmekļa vietnē publicē informāciju par uzlādes punktu un uzpildes punktu izvietojumu Latvijas Republikas teritorijā."</w:t>
            </w:r>
          </w:p>
        </w:tc>
        <w:tc>
          <w:tcPr>
            <w:tcW w:w="2976" w:type="dxa"/>
            <w:tcBorders>
              <w:top w:val="single" w:sz="6" w:space="0" w:color="000000"/>
              <w:left w:val="single" w:sz="6" w:space="0" w:color="000000"/>
              <w:bottom w:val="single" w:sz="6" w:space="0" w:color="000000"/>
              <w:right w:val="single" w:sz="6" w:space="0" w:color="000000"/>
            </w:tcBorders>
          </w:tcPr>
          <w:p w14:paraId="52ADC9DB" w14:textId="77777777"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tcPr>
          <w:p w14:paraId="7025B497" w14:textId="77777777" w:rsidR="00780010" w:rsidRPr="001D7630" w:rsidRDefault="00780010" w:rsidP="00780010">
            <w:pPr>
              <w:pStyle w:val="naisf"/>
              <w:spacing w:before="0" w:after="0"/>
              <w:ind w:firstLine="0"/>
            </w:pPr>
            <w:r w:rsidRPr="001D7630">
              <w:t>Likumprojekta 7.pants ir precizēts</w:t>
            </w:r>
          </w:p>
        </w:tc>
      </w:tr>
      <w:tr w:rsidR="00780010" w:rsidRPr="001D7630" w14:paraId="0EB2284F"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702884FC"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5D82A8C3"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78912C5C" w14:textId="77777777" w:rsidR="00780010" w:rsidRPr="001D7630" w:rsidRDefault="00780010" w:rsidP="00780010">
            <w:pPr>
              <w:autoSpaceDE w:val="0"/>
              <w:autoSpaceDN w:val="0"/>
              <w:adjustRightInd w:val="0"/>
              <w:jc w:val="center"/>
              <w:rPr>
                <w:b/>
                <w:bCs/>
              </w:rPr>
            </w:pPr>
            <w:r w:rsidRPr="001D7630">
              <w:rPr>
                <w:b/>
                <w:bCs/>
              </w:rPr>
              <w:t>Finanšu nozares asociācija</w:t>
            </w:r>
          </w:p>
          <w:p w14:paraId="745FB85C" w14:textId="77777777" w:rsidR="00780010" w:rsidRPr="001D7630" w:rsidRDefault="00780010" w:rsidP="00780010">
            <w:pPr>
              <w:autoSpaceDE w:val="0"/>
              <w:autoSpaceDN w:val="0"/>
              <w:adjustRightInd w:val="0"/>
              <w:jc w:val="center"/>
              <w:rPr>
                <w:b/>
                <w:bCs/>
              </w:rPr>
            </w:pPr>
            <w:r w:rsidRPr="001D7630">
              <w:rPr>
                <w:b/>
                <w:bCs/>
              </w:rPr>
              <w:t>(18.01.2021. atzinums)</w:t>
            </w:r>
          </w:p>
          <w:p w14:paraId="173093D7" w14:textId="77777777" w:rsidR="00780010" w:rsidRPr="001D7630" w:rsidRDefault="00780010" w:rsidP="00780010">
            <w:pPr>
              <w:jc w:val="both"/>
            </w:pPr>
            <w:r w:rsidRPr="001D7630">
              <w:lastRenderedPageBreak/>
              <w:t>4. Likumprojekta 7.panta pirmajā daļā ir runāts par “mehānisko transportlīdzekli”. Lūgums Likumprojekta 1.pantā atrunāt, kas ar to ir domāts?</w:t>
            </w:r>
          </w:p>
        </w:tc>
        <w:tc>
          <w:tcPr>
            <w:tcW w:w="2976" w:type="dxa"/>
            <w:tcBorders>
              <w:top w:val="single" w:sz="6" w:space="0" w:color="000000"/>
              <w:left w:val="single" w:sz="6" w:space="0" w:color="000000"/>
              <w:bottom w:val="single" w:sz="6" w:space="0" w:color="000000"/>
              <w:right w:val="single" w:sz="6" w:space="0" w:color="000000"/>
            </w:tcBorders>
          </w:tcPr>
          <w:p w14:paraId="3DA460AB"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tcPr>
          <w:p w14:paraId="661D577C" w14:textId="77777777" w:rsidR="00780010" w:rsidRPr="001D7630" w:rsidRDefault="00780010" w:rsidP="00780010">
            <w:pPr>
              <w:pStyle w:val="naisf"/>
              <w:spacing w:before="0" w:after="0"/>
              <w:ind w:firstLine="0"/>
            </w:pPr>
            <w:r w:rsidRPr="001D7630">
              <w:t>Likumprojekta 7.panta 1.daļa ir precizēta</w:t>
            </w:r>
          </w:p>
        </w:tc>
      </w:tr>
      <w:tr w:rsidR="00780010" w:rsidRPr="001D7630" w14:paraId="7499F640"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63C126A1"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03F3D6B8"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3C80F75C" w14:textId="77777777" w:rsidR="00780010" w:rsidRPr="001D7630" w:rsidRDefault="00780010" w:rsidP="00780010">
            <w:pPr>
              <w:autoSpaceDE w:val="0"/>
              <w:autoSpaceDN w:val="0"/>
              <w:adjustRightInd w:val="0"/>
              <w:jc w:val="center"/>
              <w:rPr>
                <w:b/>
                <w:bCs/>
              </w:rPr>
            </w:pPr>
            <w:r w:rsidRPr="001D7630">
              <w:rPr>
                <w:b/>
                <w:bCs/>
              </w:rPr>
              <w:t>AS “Latvenergo”</w:t>
            </w:r>
          </w:p>
          <w:p w14:paraId="3A9E45D6" w14:textId="77777777" w:rsidR="00780010" w:rsidRPr="001D7630" w:rsidRDefault="00780010" w:rsidP="00780010">
            <w:pPr>
              <w:autoSpaceDE w:val="0"/>
              <w:autoSpaceDN w:val="0"/>
              <w:adjustRightInd w:val="0"/>
              <w:jc w:val="center"/>
              <w:rPr>
                <w:b/>
                <w:bCs/>
              </w:rPr>
            </w:pPr>
            <w:r w:rsidRPr="001D7630">
              <w:rPr>
                <w:b/>
                <w:bCs/>
              </w:rPr>
              <w:t>(25.03.2021.)</w:t>
            </w:r>
          </w:p>
          <w:p w14:paraId="64E9EC2C" w14:textId="77777777" w:rsidR="00780010" w:rsidRPr="001D7630" w:rsidRDefault="00780010" w:rsidP="00780010">
            <w:pPr>
              <w:autoSpaceDE w:val="0"/>
              <w:autoSpaceDN w:val="0"/>
              <w:adjustRightInd w:val="0"/>
              <w:rPr>
                <w:b/>
                <w:bCs/>
              </w:rPr>
            </w:pPr>
            <w:r w:rsidRPr="001D7630">
              <w:rPr>
                <w:color w:val="000000"/>
              </w:rPr>
              <w:t>Elektroenerģijas cena mainās ļoti dinamiski atbilstoši organizētajā tirgū definētajam periodam (15 minūtes vai stunda) un lielai daļai uzlādes punktu tehniski nav iespējams īstenot cenas attēlojumu vai arī to nav iespējams attēlot dinamiski mainīgu, tāpēc aicinām norādīt, ka "alternatīvi", nevis papildus, 7.panta otrajā un piektajā daļa uzskaitīto informāciju uzlādes punkta operators var sniegt, izmantojot elektronisko sakaru pakalpojumus (tai skaitā tiešsaistes režīmā tīmekļvietnē vai mobilajā lietotnē), kā tas pašlaik tiek nodrošināts, piemēram, Elektrum mobilajā lietotnē.</w:t>
            </w:r>
          </w:p>
        </w:tc>
        <w:tc>
          <w:tcPr>
            <w:tcW w:w="2976" w:type="dxa"/>
            <w:tcBorders>
              <w:top w:val="single" w:sz="6" w:space="0" w:color="000000"/>
              <w:left w:val="single" w:sz="6" w:space="0" w:color="000000"/>
              <w:bottom w:val="single" w:sz="6" w:space="0" w:color="000000"/>
              <w:right w:val="single" w:sz="6" w:space="0" w:color="000000"/>
            </w:tcBorders>
          </w:tcPr>
          <w:p w14:paraId="7D162E1F" w14:textId="77777777"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tcPr>
          <w:p w14:paraId="56F448CE" w14:textId="77777777" w:rsidR="00780010" w:rsidRPr="001D7630" w:rsidRDefault="00780010" w:rsidP="00780010">
            <w:pPr>
              <w:pStyle w:val="naisf"/>
              <w:spacing w:before="0" w:after="0"/>
              <w:ind w:firstLine="0"/>
            </w:pPr>
            <w:r w:rsidRPr="001D7630">
              <w:t>Likumprojekta 7.panta 2. un 5.daļa ir precizēta</w:t>
            </w:r>
          </w:p>
        </w:tc>
      </w:tr>
      <w:tr w:rsidR="00780010" w:rsidRPr="001D7630" w14:paraId="245B792F"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0B92D3C" w14:textId="77777777" w:rsidR="00780010" w:rsidRPr="001D7630" w:rsidRDefault="00780010" w:rsidP="00780010">
            <w:pPr>
              <w:pStyle w:val="naisc"/>
              <w:numPr>
                <w:ilvl w:val="0"/>
                <w:numId w:val="8"/>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B0940C0"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4A00F3CF" w14:textId="77777777" w:rsidR="00780010" w:rsidRPr="001D7630" w:rsidRDefault="00780010" w:rsidP="00780010">
            <w:pPr>
              <w:autoSpaceDE w:val="0"/>
              <w:autoSpaceDN w:val="0"/>
              <w:adjustRightInd w:val="0"/>
              <w:jc w:val="center"/>
              <w:rPr>
                <w:b/>
                <w:bCs/>
              </w:rPr>
            </w:pPr>
            <w:r w:rsidRPr="001D7630">
              <w:rPr>
                <w:b/>
                <w:bCs/>
              </w:rPr>
              <w:t>Patērētāju tiesību aizsardzības centrs</w:t>
            </w:r>
          </w:p>
          <w:p w14:paraId="0A0B4C2D" w14:textId="77777777" w:rsidR="00780010" w:rsidRPr="001D7630" w:rsidRDefault="00780010" w:rsidP="00780010">
            <w:pPr>
              <w:autoSpaceDE w:val="0"/>
              <w:autoSpaceDN w:val="0"/>
              <w:adjustRightInd w:val="0"/>
              <w:jc w:val="center"/>
              <w:rPr>
                <w:b/>
                <w:bCs/>
              </w:rPr>
            </w:pPr>
            <w:r w:rsidRPr="001D7630">
              <w:rPr>
                <w:b/>
                <w:bCs/>
              </w:rPr>
              <w:t>(15.06.2021.)</w:t>
            </w:r>
          </w:p>
          <w:p w14:paraId="6E7608CD" w14:textId="5630DD8F" w:rsidR="00780010" w:rsidRPr="001D7630" w:rsidRDefault="00780010" w:rsidP="00780010">
            <w:pPr>
              <w:jc w:val="both"/>
            </w:pPr>
            <w:r w:rsidRPr="001D7630">
              <w:rPr>
                <w:i/>
                <w:iCs/>
              </w:rPr>
              <w:t>1. Likumprojekta</w:t>
            </w:r>
            <w:r w:rsidRPr="001D7630">
              <w:t xml:space="preserve"> 7.panta 3.daļā minēts, ka uzlādes un uzpildes punktā norādāma informācija par tajās pieejamajiem alternatīvas degvielas veidiem un to izcelsmi, ja uzlādes un uzpildes operatoram (turpmāk – </w:t>
            </w:r>
            <w:r w:rsidRPr="001D7630">
              <w:rPr>
                <w:i/>
                <w:iCs/>
              </w:rPr>
              <w:t>Operators</w:t>
            </w:r>
            <w:r w:rsidRPr="001D7630">
              <w:t xml:space="preserve">) ir alternatīvās degvielas izcelsmi pamatojoši dokumenti. PTAC vērš uzmanību, ka konkrētā norma ir neskaidra un būtu precizējama, jo nav </w:t>
            </w:r>
            <w:r w:rsidRPr="001D7630">
              <w:lastRenderedPageBreak/>
              <w:t xml:space="preserve">skaidrs, vai tas ir pienākums vai tiesības. PTAC uzskata, ka konkrēto normu nepieciešams precizēt, norādot, ka </w:t>
            </w:r>
            <w:r w:rsidRPr="001D7630">
              <w:rPr>
                <w:i/>
                <w:iCs/>
              </w:rPr>
              <w:t>Operators</w:t>
            </w:r>
            <w:r w:rsidRPr="001D7630">
              <w:t xml:space="preserve"> </w:t>
            </w:r>
            <w:r w:rsidRPr="001D7630">
              <w:rPr>
                <w:b/>
                <w:bCs/>
              </w:rPr>
              <w:t>var</w:t>
            </w:r>
            <w:r w:rsidRPr="001D7630">
              <w:t xml:space="preserve"> norādīt alternatīvās degvielas izcelsmi, ja tas to </w:t>
            </w:r>
            <w:r w:rsidRPr="001D7630">
              <w:rPr>
                <w:b/>
                <w:bCs/>
              </w:rPr>
              <w:t>var</w:t>
            </w:r>
            <w:r w:rsidRPr="001D7630">
              <w:t xml:space="preserve"> pamatot;</w:t>
            </w:r>
          </w:p>
          <w:p w14:paraId="413C91FD" w14:textId="6C09AEE1" w:rsidR="00780010" w:rsidRPr="001D7630" w:rsidRDefault="00780010" w:rsidP="00780010">
            <w:pPr>
              <w:jc w:val="both"/>
              <w:rPr>
                <w:i/>
                <w:iCs/>
              </w:rPr>
            </w:pPr>
            <w:r w:rsidRPr="001D7630">
              <w:t>2. Iepazīstoties ar</w:t>
            </w:r>
            <w:r w:rsidRPr="001D7630">
              <w:rPr>
                <w:i/>
                <w:iCs/>
              </w:rPr>
              <w:t xml:space="preserve"> Likumprojekta </w:t>
            </w:r>
            <w:r w:rsidRPr="001D7630">
              <w:t>7.panta 5.daļu, nav saprotams, vai konkrētā norma, t.i., attiecībā uz cenu norādīšanu salīdzināmās vienībās ir sasaistāma ar pavadošajiem MK noteikumiem “</w:t>
            </w:r>
            <w:r w:rsidRPr="001D7630">
              <w:rPr>
                <w:i/>
                <w:iCs/>
              </w:rPr>
              <w:t>Par patērētāju informēšanu par transporta enerģijas veidu, sastāvu, īpašībām un salīdzināmajām cenām</w:t>
            </w:r>
            <w:r w:rsidRPr="001D7630">
              <w:t xml:space="preserve">” (turpmāk – </w:t>
            </w:r>
            <w:r w:rsidRPr="001D7630">
              <w:rPr>
                <w:i/>
                <w:iCs/>
              </w:rPr>
              <w:t>Noteikumi</w:t>
            </w:r>
            <w:r w:rsidRPr="001D7630">
              <w:t xml:space="preserve">), kuros noteikts, ka salīdzināmās cenas izstrādās PTAC sadarbībā ar EM. Papildus jāņem vērā, ka iepriekš minētajos </w:t>
            </w:r>
            <w:r w:rsidRPr="001D7630">
              <w:rPr>
                <w:i/>
                <w:iCs/>
              </w:rPr>
              <w:t>Noteikumos</w:t>
            </w:r>
            <w:r w:rsidRPr="001D7630">
              <w:t xml:space="preserve"> informācija par salīdzinošajām cenām pirmo reizi tiks publicēta tikai 2022.gada augustā. Līdz ar to PTAC uzskata, ka norma precizējama, lai būtu viennozīmīgi skaidra kārtība, kā norādāmas salīdzināmās cenas, balstoties uz noteikto un publicēto informāciju.  Papildus vēršam uzmanību, ka PTAC varētu atbalstīt EM salīdzināmo cenu noteikšanā, bet uzskata, ka šāda funkcija būtu piekritīga EM nevis PTAC;</w:t>
            </w:r>
          </w:p>
          <w:p w14:paraId="4BB977F1" w14:textId="4F017E78" w:rsidR="00780010" w:rsidRPr="001D7630" w:rsidRDefault="00780010" w:rsidP="00780010">
            <w:pPr>
              <w:jc w:val="both"/>
              <w:rPr>
                <w:i/>
                <w:iCs/>
              </w:rPr>
            </w:pPr>
            <w:r w:rsidRPr="001D7630">
              <w:rPr>
                <w:i/>
                <w:iCs/>
              </w:rPr>
              <w:t>3. Likumprojekta</w:t>
            </w:r>
            <w:r w:rsidRPr="001D7630">
              <w:t xml:space="preserve"> anotācijā ir norādīts, ka informāciju par salīdzināmajām cenām tiks publicēta PTAC tīmekļvietnē, savukārt </w:t>
            </w:r>
            <w:r w:rsidRPr="001D7630">
              <w:rPr>
                <w:i/>
                <w:iCs/>
              </w:rPr>
              <w:t>Noteikumos</w:t>
            </w:r>
            <w:r w:rsidRPr="001D7630">
              <w:t xml:space="preserve"> norādīts, ka informācija tiks publicēta Ekonomikas </w:t>
            </w:r>
            <w:r w:rsidRPr="001D7630">
              <w:lastRenderedPageBreak/>
              <w:t>ministrijas tīmekļvietnē, nepieciešams saskaņot informāciju;</w:t>
            </w:r>
          </w:p>
          <w:p w14:paraId="4D05B315" w14:textId="23B7ED58" w:rsidR="00780010" w:rsidRPr="001D7630" w:rsidRDefault="00780010" w:rsidP="00780010">
            <w:pPr>
              <w:widowControl w:val="0"/>
              <w:jc w:val="both"/>
              <w:rPr>
                <w:rFonts w:eastAsiaTheme="minorHAnsi"/>
              </w:rPr>
            </w:pPr>
            <w:r w:rsidRPr="001D7630">
              <w:t xml:space="preserve">4. No gramatikas viedokļa pirmšķietami izskatās, ka nav saskaņotas vārdu galotnes likumprojekta 7.panta otras daļas pirmajā teikumā: </w:t>
            </w:r>
            <w:r w:rsidRPr="001D7630">
              <w:rPr>
                <w:i/>
                <w:iCs/>
              </w:rPr>
              <w:t xml:space="preserve">“(2) Publiski pieejamā lieljaudas uzlādes punktā </w:t>
            </w:r>
            <w:r w:rsidRPr="001D7630">
              <w:rPr>
                <w:i/>
                <w:iCs/>
                <w:u w:val="single"/>
              </w:rPr>
              <w:t>nodrošina</w:t>
            </w:r>
            <w:r w:rsidRPr="001D7630">
              <w:rPr>
                <w:i/>
                <w:iCs/>
              </w:rPr>
              <w:t xml:space="preserve"> skaidri saprotamas un pārskatāmas </w:t>
            </w:r>
            <w:r w:rsidRPr="001D7630">
              <w:rPr>
                <w:i/>
                <w:iCs/>
                <w:u w:val="single"/>
              </w:rPr>
              <w:t>informācijas attēlošana</w:t>
            </w:r>
            <w:r w:rsidRPr="001D7630">
              <w:rPr>
                <w:i/>
                <w:iCs/>
              </w:rPr>
              <w:t xml:space="preserve"> par uzlādes punkta statusu (brīvs, notiek uzlāde vai nedarbojas), kā arī par uzlādes laikā patērēto laiku un elektroenerģijas daudzumu”</w:t>
            </w:r>
            <w:r w:rsidRPr="001D7630">
              <w:t>.</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0EC66AD3" w14:textId="1D2D7D21" w:rsidR="00780010" w:rsidRPr="001D7630" w:rsidRDefault="00780010" w:rsidP="00780010">
            <w:pPr>
              <w:jc w:val="center"/>
              <w:rPr>
                <w:b/>
                <w:bCs/>
                <w:iCs/>
              </w:rPr>
            </w:pPr>
            <w:r w:rsidRPr="001D7630">
              <w:rPr>
                <w:b/>
                <w:bCs/>
                <w:iCs/>
              </w:rPr>
              <w:lastRenderedPageBreak/>
              <w:t>Ņemts vērā</w:t>
            </w:r>
          </w:p>
          <w:p w14:paraId="752625D7" w14:textId="77777777" w:rsidR="00780010" w:rsidRPr="001D7630" w:rsidRDefault="00780010" w:rsidP="00780010">
            <w:pPr>
              <w:jc w:val="center"/>
              <w:rPr>
                <w:b/>
                <w:bCs/>
                <w:iCs/>
              </w:rPr>
            </w:pPr>
          </w:p>
          <w:p w14:paraId="215DF5AB" w14:textId="3A4C52CB" w:rsidR="00780010" w:rsidRPr="001D7630" w:rsidRDefault="00780010" w:rsidP="00780010">
            <w:pPr>
              <w:rPr>
                <w:iCs/>
              </w:rPr>
            </w:pPr>
            <w:r w:rsidRPr="001D7630">
              <w:rPr>
                <w:iCs/>
              </w:rPr>
              <w:t>Norādām, ka likumprojekta 7.panta 3.daļas sasaiste ar jauniem MK noteikumiem par patērētāju informēšanu ir norādīta anotācijas IV sadaļā.</w:t>
            </w:r>
          </w:p>
          <w:p w14:paraId="6EB40258" w14:textId="0E3F2755" w:rsidR="00780010" w:rsidRPr="001D7630" w:rsidRDefault="00780010" w:rsidP="00780010">
            <w:pPr>
              <w:rPr>
                <w:b/>
                <w:bCs/>
                <w:iCs/>
              </w:rPr>
            </w:pPr>
            <w:r w:rsidRPr="001D7630">
              <w:rPr>
                <w:iCs/>
              </w:rPr>
              <w:t>Likumprojekta anotācija ir precizēta, tajā nenosakot jau par cenu salīdzināmās vienībās aprēķina veikšanu atbildīgās iestādes.</w:t>
            </w:r>
          </w:p>
        </w:tc>
        <w:tc>
          <w:tcPr>
            <w:tcW w:w="4291" w:type="dxa"/>
            <w:tcBorders>
              <w:top w:val="single" w:sz="4" w:space="0" w:color="auto"/>
              <w:left w:val="single" w:sz="4" w:space="0" w:color="auto"/>
              <w:bottom w:val="single" w:sz="4" w:space="0" w:color="auto"/>
            </w:tcBorders>
            <w:shd w:val="clear" w:color="auto" w:fill="auto"/>
          </w:tcPr>
          <w:p w14:paraId="1893FBD4" w14:textId="77777777" w:rsidR="00780010" w:rsidRPr="001D7630" w:rsidRDefault="00780010" w:rsidP="00780010">
            <w:pPr>
              <w:pStyle w:val="naisf"/>
              <w:spacing w:before="0" w:after="0"/>
              <w:ind w:firstLine="0"/>
            </w:pPr>
            <w:r w:rsidRPr="001D7630">
              <w:t>Likumprojekta 7.pants ir precizēts.</w:t>
            </w:r>
          </w:p>
          <w:p w14:paraId="68C3D9D8" w14:textId="77777777" w:rsidR="00780010" w:rsidRPr="001D7630" w:rsidRDefault="00780010" w:rsidP="00780010">
            <w:pPr>
              <w:pStyle w:val="naisf"/>
              <w:spacing w:before="0" w:after="0"/>
              <w:ind w:firstLine="0"/>
            </w:pPr>
          </w:p>
          <w:p w14:paraId="72694AE8" w14:textId="6231F312" w:rsidR="00780010" w:rsidRPr="001D7630" w:rsidRDefault="00780010" w:rsidP="00780010">
            <w:pPr>
              <w:ind w:right="80"/>
              <w:jc w:val="both"/>
            </w:pPr>
            <w:r w:rsidRPr="001D7630">
              <w:t>Likumprojekta anotācijas I sadaļas 2.punkta sadaļa “</w:t>
            </w:r>
            <w:r w:rsidRPr="001D7630">
              <w:rPr>
                <w:u w:val="single"/>
              </w:rPr>
              <w:t>Likumprojekta 7.pants</w:t>
            </w:r>
            <w:r w:rsidRPr="001D7630">
              <w:t>” ir precizēta</w:t>
            </w:r>
          </w:p>
          <w:p w14:paraId="0ACAE262" w14:textId="4C6BA343" w:rsidR="00780010" w:rsidRPr="001D7630" w:rsidRDefault="00780010" w:rsidP="00780010">
            <w:pPr>
              <w:pStyle w:val="naisf"/>
              <w:spacing w:before="0" w:after="0"/>
              <w:ind w:firstLine="0"/>
            </w:pPr>
          </w:p>
        </w:tc>
      </w:tr>
      <w:tr w:rsidR="00780010" w:rsidRPr="001D7630" w14:paraId="0ECFCE5F" w14:textId="77777777" w:rsidTr="005D0902">
        <w:trPr>
          <w:jc w:val="center"/>
        </w:trPr>
        <w:tc>
          <w:tcPr>
            <w:tcW w:w="14992" w:type="dxa"/>
            <w:gridSpan w:val="5"/>
            <w:tcBorders>
              <w:top w:val="single" w:sz="6" w:space="0" w:color="000000"/>
              <w:left w:val="single" w:sz="6" w:space="0" w:color="000000"/>
              <w:bottom w:val="single" w:sz="6" w:space="0" w:color="000000"/>
            </w:tcBorders>
          </w:tcPr>
          <w:p w14:paraId="5188F946" w14:textId="77777777" w:rsidR="00780010" w:rsidRPr="001D7630" w:rsidRDefault="00780010" w:rsidP="00780010">
            <w:pPr>
              <w:pStyle w:val="naisf"/>
              <w:spacing w:before="0" w:after="0"/>
              <w:ind w:firstLine="0"/>
              <w:jc w:val="center"/>
              <w:rPr>
                <w:b/>
                <w:bCs/>
              </w:rPr>
            </w:pPr>
            <w:r w:rsidRPr="001D7630">
              <w:rPr>
                <w:b/>
                <w:bCs/>
              </w:rPr>
              <w:lastRenderedPageBreak/>
              <w:t>8. PANTS</w:t>
            </w:r>
          </w:p>
        </w:tc>
      </w:tr>
      <w:tr w:rsidR="00780010" w:rsidRPr="001D7630" w14:paraId="0A912FCF"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552CC11E"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30F974FD"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6D09E69F" w14:textId="77777777" w:rsidR="00780010" w:rsidRPr="001D7630" w:rsidRDefault="00780010" w:rsidP="00780010">
            <w:pPr>
              <w:autoSpaceDE w:val="0"/>
              <w:autoSpaceDN w:val="0"/>
              <w:adjustRightInd w:val="0"/>
              <w:jc w:val="center"/>
              <w:rPr>
                <w:b/>
                <w:bCs/>
              </w:rPr>
            </w:pPr>
            <w:r w:rsidRPr="001D7630">
              <w:rPr>
                <w:b/>
                <w:bCs/>
              </w:rPr>
              <w:t>Vides aizsardzības un reģionālās attīstības ministrija</w:t>
            </w:r>
          </w:p>
          <w:p w14:paraId="2FE1645D" w14:textId="77777777" w:rsidR="00780010" w:rsidRPr="001D7630" w:rsidRDefault="00780010" w:rsidP="00780010">
            <w:pPr>
              <w:autoSpaceDE w:val="0"/>
              <w:autoSpaceDN w:val="0"/>
              <w:adjustRightInd w:val="0"/>
              <w:jc w:val="center"/>
              <w:rPr>
                <w:b/>
                <w:bCs/>
              </w:rPr>
            </w:pPr>
            <w:r w:rsidRPr="001D7630">
              <w:rPr>
                <w:b/>
                <w:bCs/>
              </w:rPr>
              <w:t>(08.01.2021. atzinums)</w:t>
            </w:r>
          </w:p>
          <w:p w14:paraId="74D40E56" w14:textId="77777777" w:rsidR="00780010" w:rsidRPr="001D7630" w:rsidRDefault="00780010" w:rsidP="00780010">
            <w:pPr>
              <w:ind w:firstLine="709"/>
              <w:jc w:val="both"/>
            </w:pPr>
            <w:r w:rsidRPr="001D7630">
              <w:t xml:space="preserve">6. Attiecībā uz likumprojekta 8. pantu: </w:t>
            </w:r>
          </w:p>
          <w:p w14:paraId="0636EF2F" w14:textId="77777777" w:rsidR="00780010" w:rsidRPr="001D7630" w:rsidRDefault="00780010" w:rsidP="00780010">
            <w:pPr>
              <w:ind w:firstLine="709"/>
              <w:jc w:val="both"/>
            </w:pPr>
            <w:r w:rsidRPr="001D7630">
              <w:t>6.1. izvērtēt pirmajā daļā (un turpmāk) nepieciešamību attiecībā uz transporta degvielu vārda “biogāze” vietā lietot “biometāns”;</w:t>
            </w:r>
          </w:p>
          <w:p w14:paraId="04828DF5" w14:textId="77777777" w:rsidR="00780010" w:rsidRPr="001D7630" w:rsidRDefault="00780010" w:rsidP="00780010">
            <w:pPr>
              <w:ind w:firstLine="709"/>
              <w:jc w:val="both"/>
            </w:pPr>
            <w:r w:rsidRPr="001D7630">
              <w:t>6.2. precizēt septīto daļu tā, lai būtu nepārprotami skaidrs, kas saprotams ar zemāk norādīto “saucēju” un “skaitītāju”;</w:t>
            </w:r>
          </w:p>
          <w:p w14:paraId="1F8CA61B" w14:textId="77777777" w:rsidR="00780010" w:rsidRPr="001D7630" w:rsidRDefault="00780010" w:rsidP="00780010">
            <w:pPr>
              <w:pStyle w:val="CommentText"/>
              <w:ind w:firstLine="709"/>
              <w:jc w:val="both"/>
              <w:rPr>
                <w:rFonts w:eastAsia="Calibri"/>
                <w:sz w:val="24"/>
                <w:szCs w:val="24"/>
                <w:lang w:eastAsia="en-US"/>
              </w:rPr>
            </w:pPr>
            <w:r w:rsidRPr="001D7630">
              <w:rPr>
                <w:sz w:val="24"/>
                <w:szCs w:val="24"/>
              </w:rPr>
              <w:t xml:space="preserve">6.3. astotajā un devītajā daļā ietvertas iespējas izvirzīto mērķu sasniegšanai piemērot multiplikatīvus koeficientus enerģijas daudzumam. Vienlaikus likumprojektā nav noteikts, vai attiecīgos koeficientus var piemērot </w:t>
            </w:r>
            <w:r w:rsidRPr="001D7630">
              <w:rPr>
                <w:sz w:val="24"/>
                <w:szCs w:val="24"/>
              </w:rPr>
              <w:lastRenderedPageBreak/>
              <w:t>arī emisiju bilances un ietaupījumu aprēķinos. Precizēt likumprojektu un anotācijā skaidrot šo aspektu;</w:t>
            </w:r>
          </w:p>
          <w:p w14:paraId="71CD12D4" w14:textId="77777777" w:rsidR="00780010" w:rsidRPr="001D7630" w:rsidRDefault="00780010" w:rsidP="00780010">
            <w:pPr>
              <w:tabs>
                <w:tab w:val="left" w:pos="709"/>
                <w:tab w:val="left" w:pos="993"/>
                <w:tab w:val="left" w:pos="1560"/>
              </w:tabs>
              <w:jc w:val="center"/>
              <w:rPr>
                <w:b/>
                <w:iCs/>
              </w:rPr>
            </w:pPr>
          </w:p>
        </w:tc>
        <w:tc>
          <w:tcPr>
            <w:tcW w:w="2976" w:type="dxa"/>
            <w:tcBorders>
              <w:top w:val="single" w:sz="6" w:space="0" w:color="000000"/>
              <w:left w:val="single" w:sz="6" w:space="0" w:color="000000"/>
              <w:bottom w:val="single" w:sz="6" w:space="0" w:color="000000"/>
              <w:right w:val="single" w:sz="6" w:space="0" w:color="000000"/>
            </w:tcBorders>
          </w:tcPr>
          <w:p w14:paraId="6358319F" w14:textId="77777777" w:rsidR="00780010" w:rsidRPr="001D7630" w:rsidRDefault="00780010" w:rsidP="00780010">
            <w:pPr>
              <w:jc w:val="center"/>
              <w:rPr>
                <w:b/>
                <w:bCs/>
                <w:iCs/>
              </w:rPr>
            </w:pPr>
            <w:r w:rsidRPr="001D7630">
              <w:rPr>
                <w:b/>
                <w:bCs/>
                <w:iCs/>
              </w:rPr>
              <w:lastRenderedPageBreak/>
              <w:t>Ņemts vērā</w:t>
            </w:r>
          </w:p>
          <w:p w14:paraId="49747C19" w14:textId="77777777" w:rsidR="00780010" w:rsidRPr="001D7630" w:rsidRDefault="00780010" w:rsidP="00780010">
            <w:pPr>
              <w:rPr>
                <w:iCs/>
              </w:rPr>
            </w:pPr>
            <w:r w:rsidRPr="001D7630">
              <w:rPr>
                <w:iCs/>
              </w:rPr>
              <w:t>6.1. Direktīvas 2018/2001 un arī likumprojekta 1.punktā ir noteikta “biogāze” definīcija un ir iekļauta “biometāns” definīcija.</w:t>
            </w:r>
          </w:p>
          <w:p w14:paraId="14C9B509" w14:textId="77777777" w:rsidR="00780010" w:rsidRPr="001D7630" w:rsidRDefault="00780010" w:rsidP="00780010">
            <w:pPr>
              <w:rPr>
                <w:iCs/>
              </w:rPr>
            </w:pPr>
            <w:r w:rsidRPr="001D7630">
              <w:rPr>
                <w:iCs/>
              </w:rPr>
              <w:t xml:space="preserve">6.2. Saucējs un skaitītājs ir īpatsvara aprēķināšanas metode, kur transporta enerģijas īpatsvars tiek aprēķināts skaitītājs tiek dalīts ar saucēju. Ņemot vērā, ka šis ir matemātiskā aprēķina pamatprincips un degvielas piegādātāju ziņojumu sagatavošanai tiks izstrādāta Excel veidne, kurā tiks iestrādātas attiecīgās formulas. Likumprojekta </w:t>
            </w:r>
            <w:r w:rsidRPr="001D7630">
              <w:rPr>
                <w:iCs/>
              </w:rPr>
              <w:lastRenderedPageBreak/>
              <w:t>attiecīgie nosacījumi ir pārcelti uz MK noteikumiem par līdzdalības mehānismu.</w:t>
            </w:r>
          </w:p>
          <w:p w14:paraId="1932C79B" w14:textId="77777777" w:rsidR="00780010" w:rsidRPr="001D7630" w:rsidRDefault="00780010" w:rsidP="00780010">
            <w:pPr>
              <w:rPr>
                <w:b/>
                <w:bCs/>
                <w:iCs/>
              </w:rPr>
            </w:pPr>
            <w:r w:rsidRPr="001D7630">
              <w:rPr>
                <w:iCs/>
              </w:rPr>
              <w:t>6.3. Multiplikatīvie koeficienti (nosacījumi ir pārcelti uz MK noteikumiem par līdzdalības mehānismu) tiek piemēroti transporta enerģijas īpatsvara aprēķināšanā un mērķu sasniegšanas aprēķinā. Ietaupījumu aprēķiniem tiek piemērotas citas Direktīvas 2018/2001 V un VI pielikumā iekļautās formulas.</w:t>
            </w:r>
          </w:p>
        </w:tc>
        <w:tc>
          <w:tcPr>
            <w:tcW w:w="4291" w:type="dxa"/>
            <w:tcBorders>
              <w:top w:val="single" w:sz="4" w:space="0" w:color="auto"/>
              <w:left w:val="single" w:sz="4" w:space="0" w:color="auto"/>
              <w:bottom w:val="single" w:sz="4" w:space="0" w:color="auto"/>
            </w:tcBorders>
          </w:tcPr>
          <w:p w14:paraId="4C2034AA" w14:textId="77777777" w:rsidR="00780010" w:rsidRPr="001D7630" w:rsidRDefault="00780010" w:rsidP="00780010">
            <w:pPr>
              <w:pStyle w:val="naisf"/>
              <w:spacing w:before="0" w:after="0"/>
              <w:ind w:firstLine="0"/>
            </w:pPr>
            <w:r w:rsidRPr="001D7630">
              <w:lastRenderedPageBreak/>
              <w:t>Likumprojekta 8.pants ir būtiski precizēts</w:t>
            </w:r>
          </w:p>
        </w:tc>
      </w:tr>
      <w:tr w:rsidR="00780010" w:rsidRPr="001D7630" w14:paraId="58277B52"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7EE3C7B3"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03712461"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268D4494" w14:textId="77777777" w:rsidR="00780010" w:rsidRPr="001D7630" w:rsidRDefault="00780010" w:rsidP="00780010">
            <w:pPr>
              <w:tabs>
                <w:tab w:val="left" w:pos="709"/>
                <w:tab w:val="left" w:pos="993"/>
                <w:tab w:val="left" w:pos="1560"/>
              </w:tabs>
              <w:jc w:val="center"/>
              <w:rPr>
                <w:b/>
                <w:iCs/>
              </w:rPr>
            </w:pPr>
            <w:r w:rsidRPr="001D7630">
              <w:rPr>
                <w:b/>
                <w:iCs/>
              </w:rPr>
              <w:t>Finanšu ministrija</w:t>
            </w:r>
          </w:p>
          <w:p w14:paraId="148CA31B" w14:textId="77777777" w:rsidR="00780010" w:rsidRPr="001D7630" w:rsidRDefault="00780010" w:rsidP="00780010">
            <w:pPr>
              <w:tabs>
                <w:tab w:val="left" w:pos="709"/>
                <w:tab w:val="left" w:pos="993"/>
                <w:tab w:val="left" w:pos="1560"/>
              </w:tabs>
              <w:jc w:val="center"/>
              <w:rPr>
                <w:b/>
                <w:iCs/>
              </w:rPr>
            </w:pPr>
            <w:r w:rsidRPr="001D7630">
              <w:rPr>
                <w:b/>
                <w:iCs/>
              </w:rPr>
              <w:t>(08.01.2021. atzinums)</w:t>
            </w:r>
          </w:p>
          <w:p w14:paraId="725A0544" w14:textId="77777777" w:rsidR="00780010" w:rsidRPr="001D7630" w:rsidRDefault="00780010" w:rsidP="00780010">
            <w:pPr>
              <w:jc w:val="both"/>
            </w:pPr>
            <w:r w:rsidRPr="001D7630">
              <w:t xml:space="preserve">9.  Lūdzam precizēt likumprojekta 8.panta ceturto daļu, lai būtu skaidrs līdzdalības mehānisma ietvaros degvielas piegādātāja gala patēriņam transportā realizējamās moderno biodegvielas un biogāzes apjoms procentos no 2028.gada 1.janvāra līdz 2029.gada 31.decembrim (iztrūkst trešais apakšpunkts). </w:t>
            </w:r>
          </w:p>
        </w:tc>
        <w:tc>
          <w:tcPr>
            <w:tcW w:w="2976" w:type="dxa"/>
            <w:tcBorders>
              <w:top w:val="single" w:sz="6" w:space="0" w:color="000000"/>
              <w:left w:val="single" w:sz="6" w:space="0" w:color="000000"/>
              <w:bottom w:val="single" w:sz="6" w:space="0" w:color="000000"/>
              <w:right w:val="single" w:sz="6" w:space="0" w:color="000000"/>
            </w:tcBorders>
          </w:tcPr>
          <w:p w14:paraId="02890655" w14:textId="77777777"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tcPr>
          <w:p w14:paraId="5DC48B79" w14:textId="77777777" w:rsidR="00780010" w:rsidRPr="001D7630" w:rsidRDefault="00780010" w:rsidP="00780010">
            <w:pPr>
              <w:pStyle w:val="naisf"/>
              <w:spacing w:before="0" w:after="0"/>
              <w:ind w:firstLine="0"/>
            </w:pPr>
            <w:r w:rsidRPr="001D7630">
              <w:t>Likumprojekta 8.panta 4.daļa ir precizēta un tajā iekļautie nosacījumi atbilst direktīvas 2018/2001 25.panta 1.punkta 4.rindkopā noteikajam</w:t>
            </w:r>
          </w:p>
        </w:tc>
      </w:tr>
      <w:tr w:rsidR="00780010" w:rsidRPr="001D7630" w14:paraId="67695E2B"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7DB2EBE0"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540FF094"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028D2F84" w14:textId="77777777" w:rsidR="00780010" w:rsidRPr="001D7630" w:rsidRDefault="00780010" w:rsidP="00780010">
            <w:pPr>
              <w:tabs>
                <w:tab w:val="left" w:pos="709"/>
                <w:tab w:val="left" w:pos="993"/>
                <w:tab w:val="left" w:pos="1560"/>
              </w:tabs>
              <w:jc w:val="center"/>
              <w:rPr>
                <w:b/>
                <w:iCs/>
              </w:rPr>
            </w:pPr>
            <w:r w:rsidRPr="001D7630">
              <w:rPr>
                <w:b/>
                <w:iCs/>
              </w:rPr>
              <w:t>Finanšu ministrija</w:t>
            </w:r>
          </w:p>
          <w:p w14:paraId="7D6494F2" w14:textId="77777777" w:rsidR="00780010" w:rsidRPr="001D7630" w:rsidRDefault="00780010" w:rsidP="00780010">
            <w:pPr>
              <w:tabs>
                <w:tab w:val="left" w:pos="709"/>
                <w:tab w:val="left" w:pos="993"/>
                <w:tab w:val="left" w:pos="1560"/>
              </w:tabs>
              <w:jc w:val="center"/>
              <w:rPr>
                <w:b/>
                <w:iCs/>
              </w:rPr>
            </w:pPr>
            <w:r w:rsidRPr="001D7630">
              <w:rPr>
                <w:b/>
                <w:iCs/>
              </w:rPr>
              <w:t>(08.01.2021. atzinums)</w:t>
            </w:r>
          </w:p>
          <w:p w14:paraId="16B2F863" w14:textId="77777777" w:rsidR="00780010" w:rsidRPr="001D7630" w:rsidRDefault="00780010" w:rsidP="00780010">
            <w:pPr>
              <w:jc w:val="both"/>
            </w:pPr>
            <w:r w:rsidRPr="001D7630">
              <w:t xml:space="preserve">10. Uzskatām, ka nav pamatots likumprojektā 8.panta sestajā daļā noteiktais transportā realizējamās no pārtikas un dzīvnieku barības kultūraugiem saražotās biodegvielas </w:t>
            </w:r>
            <w:r w:rsidRPr="001D7630">
              <w:lastRenderedPageBreak/>
              <w:t xml:space="preserve">apjoma samazinājums, ja tas ir pieļaujams ne vairāk kā 7 %  no transportā realizējamās enerģijas apjoma. Lūdzam sniegt pamatojumu arī anotācijā. </w:t>
            </w:r>
          </w:p>
          <w:p w14:paraId="6AEFAABB" w14:textId="77777777" w:rsidR="00780010" w:rsidRPr="001D7630" w:rsidRDefault="00780010" w:rsidP="00780010">
            <w:pPr>
              <w:autoSpaceDE w:val="0"/>
              <w:autoSpaceDN w:val="0"/>
              <w:adjustRightInd w:val="0"/>
            </w:pPr>
          </w:p>
        </w:tc>
        <w:tc>
          <w:tcPr>
            <w:tcW w:w="2976" w:type="dxa"/>
            <w:tcBorders>
              <w:top w:val="single" w:sz="6" w:space="0" w:color="000000"/>
              <w:left w:val="single" w:sz="6" w:space="0" w:color="000000"/>
              <w:bottom w:val="single" w:sz="6" w:space="0" w:color="000000"/>
              <w:right w:val="single" w:sz="6" w:space="0" w:color="000000"/>
            </w:tcBorders>
          </w:tcPr>
          <w:p w14:paraId="0775ADB1" w14:textId="77777777" w:rsidR="00780010" w:rsidRPr="001D7630" w:rsidRDefault="00780010" w:rsidP="00780010">
            <w:pPr>
              <w:jc w:val="center"/>
              <w:rPr>
                <w:b/>
                <w:bCs/>
                <w:iCs/>
              </w:rPr>
            </w:pPr>
            <w:r w:rsidRPr="001D7630">
              <w:rPr>
                <w:b/>
                <w:bCs/>
                <w:iCs/>
              </w:rPr>
              <w:lastRenderedPageBreak/>
              <w:t>Ņemts vērā</w:t>
            </w:r>
          </w:p>
          <w:p w14:paraId="48950630" w14:textId="77777777" w:rsidR="00780010" w:rsidRPr="001D7630" w:rsidRDefault="00780010" w:rsidP="00780010">
            <w:pPr>
              <w:rPr>
                <w:iCs/>
                <w:u w:val="single"/>
              </w:rPr>
            </w:pPr>
            <w:r w:rsidRPr="001D7630">
              <w:rPr>
                <w:iCs/>
              </w:rPr>
              <w:t xml:space="preserve">Skaidrojam, ka likumprojekta 8.panta 5.daļa aptver tikai daļu no tā sauktās 1.paaudzes biodegvielas, jo nosaka ierobežojumus tikai no pārtikas un dzīvnieku barības </w:t>
            </w:r>
            <w:r w:rsidRPr="001D7630">
              <w:rPr>
                <w:iCs/>
              </w:rPr>
              <w:lastRenderedPageBreak/>
              <w:t xml:space="preserve">kultūraugiem saražotajām biodegvielām vai biomasas degvielām, </w:t>
            </w:r>
            <w:r w:rsidRPr="001D7630">
              <w:rPr>
                <w:iCs/>
                <w:u w:val="single"/>
              </w:rPr>
              <w:t>kurām ir augsts netiešas zemes izmantošanas maiņas risks un kurām ir novērota ievērojama ražošanas platības izplešanās zemes platībās ar augstu oglekļa koncentrāciju.</w:t>
            </w:r>
          </w:p>
          <w:p w14:paraId="181B43B2" w14:textId="77777777" w:rsidR="00780010" w:rsidRPr="001D7630" w:rsidRDefault="00780010" w:rsidP="00780010">
            <w:pPr>
              <w:rPr>
                <w:iCs/>
              </w:rPr>
            </w:pPr>
            <w:r w:rsidRPr="001D7630">
              <w:rPr>
                <w:iCs/>
              </w:rPr>
              <w:t>Likumprojekta 8.panta 5.daļa pilnībā transponē direktīvas 2018/2001 26.panta 2.punkta 2.rindkopas nosacījumus.</w:t>
            </w:r>
          </w:p>
          <w:p w14:paraId="6900B87D" w14:textId="77777777" w:rsidR="00780010" w:rsidRPr="001D7630" w:rsidRDefault="00780010" w:rsidP="00780010">
            <w:pPr>
              <w:rPr>
                <w:iCs/>
              </w:rPr>
            </w:pPr>
            <w:r w:rsidRPr="001D7630">
              <w:rPr>
                <w:iCs/>
              </w:rPr>
              <w:t>Norādām, ka saskaņā ar NEKP2030 Latvijā 2030.gadā atjaunojamās transporta enerģijas mērķī degvielas piegādātāji un arī Latvija drīkstēs ieskaitīt tikai likumprojekta 8.panta 4. un 5.daļā minēto transporta enerģiju un 1.paaudzes biodegvielas tajā ieskaitīt nevarēs.</w:t>
            </w:r>
          </w:p>
        </w:tc>
        <w:tc>
          <w:tcPr>
            <w:tcW w:w="4291" w:type="dxa"/>
            <w:tcBorders>
              <w:top w:val="single" w:sz="4" w:space="0" w:color="auto"/>
              <w:left w:val="single" w:sz="4" w:space="0" w:color="auto"/>
              <w:bottom w:val="single" w:sz="4" w:space="0" w:color="auto"/>
            </w:tcBorders>
          </w:tcPr>
          <w:p w14:paraId="5BB26F6C" w14:textId="77777777" w:rsidR="00780010" w:rsidRPr="001D7630" w:rsidRDefault="00780010" w:rsidP="00780010">
            <w:pPr>
              <w:pStyle w:val="naisf"/>
              <w:spacing w:before="0" w:after="0"/>
              <w:ind w:firstLine="0"/>
            </w:pPr>
            <w:r w:rsidRPr="001D7630">
              <w:lastRenderedPageBreak/>
              <w:t>Likumprojekta 8.panta 6.daļa ir precizēta</w:t>
            </w:r>
          </w:p>
        </w:tc>
      </w:tr>
      <w:tr w:rsidR="00780010" w:rsidRPr="001D7630" w14:paraId="6BEF8FAB"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504E92F4"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716873BA"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4F2CA5A6" w14:textId="77777777" w:rsidR="00780010" w:rsidRPr="001D7630" w:rsidRDefault="00780010" w:rsidP="00780010">
            <w:pPr>
              <w:widowControl w:val="0"/>
              <w:tabs>
                <w:tab w:val="left" w:pos="993"/>
              </w:tabs>
              <w:jc w:val="center"/>
              <w:rPr>
                <w:b/>
                <w:bCs/>
              </w:rPr>
            </w:pPr>
            <w:r w:rsidRPr="001D7630">
              <w:rPr>
                <w:b/>
                <w:bCs/>
              </w:rPr>
              <w:t>Tieslietu ministrija</w:t>
            </w:r>
          </w:p>
          <w:p w14:paraId="7EDBAD8A" w14:textId="77777777" w:rsidR="00780010" w:rsidRPr="001D7630" w:rsidRDefault="00780010" w:rsidP="00780010">
            <w:pPr>
              <w:widowControl w:val="0"/>
              <w:tabs>
                <w:tab w:val="left" w:pos="993"/>
              </w:tabs>
              <w:jc w:val="center"/>
              <w:rPr>
                <w:b/>
                <w:bCs/>
              </w:rPr>
            </w:pPr>
            <w:r w:rsidRPr="001D7630">
              <w:rPr>
                <w:b/>
                <w:bCs/>
              </w:rPr>
              <w:t>(08.01.2021. atzinums)</w:t>
            </w:r>
          </w:p>
          <w:p w14:paraId="4C9D77F9" w14:textId="77777777" w:rsidR="00780010" w:rsidRPr="001D7630" w:rsidRDefault="00780010" w:rsidP="00780010">
            <w:pPr>
              <w:widowControl w:val="0"/>
              <w:tabs>
                <w:tab w:val="left" w:pos="993"/>
              </w:tabs>
              <w:jc w:val="both"/>
            </w:pPr>
            <w:r w:rsidRPr="001D7630">
              <w:t>2. Projekta 8. panta 15. daļa paredz, ka “</w:t>
            </w:r>
            <w:r w:rsidRPr="001D7630">
              <w:rPr>
                <w:i/>
              </w:rPr>
              <w:t xml:space="preserve">ja ir pamatojums izejvielu, no kurām iegūtas enerģijas daudzumu līdzdalības mehānisma ietvaros var uzskatīt par divkāršu, saraksta papildināšanai, Ministru kabinets iesniedz likumdevēja noteiktajā kārtībā grozījumus šā likuma </w:t>
            </w:r>
            <w:r w:rsidRPr="001D7630">
              <w:rPr>
                <w:i/>
              </w:rPr>
              <w:lastRenderedPageBreak/>
              <w:t>1. pielikumā ar nolūku papildināt izejvielu sarakstu</w:t>
            </w:r>
            <w:r w:rsidRPr="001D7630">
              <w:t>”.</w:t>
            </w:r>
          </w:p>
          <w:p w14:paraId="50107A93" w14:textId="77777777" w:rsidR="00780010" w:rsidRPr="001D7630" w:rsidRDefault="00780010" w:rsidP="00780010">
            <w:pPr>
              <w:tabs>
                <w:tab w:val="left" w:pos="993"/>
                <w:tab w:val="left" w:pos="1134"/>
              </w:tabs>
              <w:ind w:firstLine="709"/>
              <w:jc w:val="both"/>
            </w:pPr>
            <w:r w:rsidRPr="001D7630">
              <w:t>Lūdzam izvērtēt minētās normas nepieciešamību, ņemot vērā, ka pamatotu likuma grozījumu iniciatīvas tiesības izriet no citiem normatīvajiem aktiem, tai skaitā Saeimas kārtības ruļļa. Tieslietu ministrijas ieskatā minētā norma svītrojama vai arī gadījumā, ja var prognozēt, ka nepieciešamība papildināt projekta 1. pielikumā minēto izejvielu sarakstu būs regulāra – noteikt projektā pienākumu regulāri pārskatīt un aktualizēt minēto sarakstu.</w:t>
            </w:r>
          </w:p>
        </w:tc>
        <w:tc>
          <w:tcPr>
            <w:tcW w:w="2976" w:type="dxa"/>
            <w:tcBorders>
              <w:top w:val="single" w:sz="6" w:space="0" w:color="000000"/>
              <w:left w:val="single" w:sz="6" w:space="0" w:color="000000"/>
              <w:bottom w:val="single" w:sz="6" w:space="0" w:color="000000"/>
              <w:right w:val="single" w:sz="6" w:space="0" w:color="000000"/>
            </w:tcBorders>
          </w:tcPr>
          <w:p w14:paraId="233B418E"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tcPr>
          <w:p w14:paraId="334EAA7F" w14:textId="77777777" w:rsidR="00780010" w:rsidRPr="001D7630" w:rsidRDefault="00780010" w:rsidP="00780010">
            <w:pPr>
              <w:pStyle w:val="naisf"/>
              <w:spacing w:before="0" w:after="0"/>
              <w:ind w:firstLine="0"/>
            </w:pPr>
            <w:r w:rsidRPr="001D7630">
              <w:t>Likumprojekta 8.panta 15.daļa ir svītrota</w:t>
            </w:r>
          </w:p>
        </w:tc>
      </w:tr>
      <w:tr w:rsidR="00780010" w:rsidRPr="001D7630" w14:paraId="4E647B15"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6067828A"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7E07C5DD"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0B3EB868" w14:textId="77777777" w:rsidR="00780010" w:rsidRPr="001D7630" w:rsidRDefault="00780010" w:rsidP="00780010">
            <w:pPr>
              <w:widowControl w:val="0"/>
              <w:tabs>
                <w:tab w:val="left" w:pos="993"/>
              </w:tabs>
              <w:jc w:val="center"/>
              <w:rPr>
                <w:b/>
                <w:bCs/>
              </w:rPr>
            </w:pPr>
            <w:r w:rsidRPr="001D7630">
              <w:rPr>
                <w:b/>
                <w:bCs/>
              </w:rPr>
              <w:t>Tieslietu ministrija</w:t>
            </w:r>
          </w:p>
          <w:p w14:paraId="003530D9" w14:textId="77777777" w:rsidR="00780010" w:rsidRPr="001D7630" w:rsidRDefault="00780010" w:rsidP="00780010">
            <w:pPr>
              <w:widowControl w:val="0"/>
              <w:tabs>
                <w:tab w:val="left" w:pos="993"/>
              </w:tabs>
              <w:jc w:val="center"/>
              <w:rPr>
                <w:b/>
                <w:bCs/>
              </w:rPr>
            </w:pPr>
            <w:r w:rsidRPr="001D7630">
              <w:rPr>
                <w:b/>
                <w:bCs/>
              </w:rPr>
              <w:t>(08.01.2021. atzinums)</w:t>
            </w:r>
          </w:p>
          <w:p w14:paraId="139F97C0" w14:textId="77777777" w:rsidR="00780010" w:rsidRPr="001D7630" w:rsidRDefault="00780010" w:rsidP="00780010">
            <w:pPr>
              <w:widowControl w:val="0"/>
              <w:tabs>
                <w:tab w:val="left" w:pos="993"/>
                <w:tab w:val="left" w:pos="1134"/>
              </w:tabs>
              <w:jc w:val="both"/>
            </w:pPr>
            <w:r w:rsidRPr="001D7630">
              <w:t>3. Projekta 8. panta 16. daļa noteic, ka “</w:t>
            </w:r>
            <w:r w:rsidRPr="001D7630">
              <w:rPr>
                <w:i/>
              </w:rPr>
              <w:t>Ministru kabinets var ierobežot to biodegvielu un biogāzes patēriņu, kas ražota no 1. pielikuma 2. punktā uzskaitītajām izejvielām, ņemot vērā šo izejvielu pieejamību</w:t>
            </w:r>
            <w:r w:rsidRPr="001D7630">
              <w:t xml:space="preserve">.” </w:t>
            </w:r>
          </w:p>
          <w:p w14:paraId="6C8D6CF3" w14:textId="77777777" w:rsidR="00780010" w:rsidRPr="001D7630" w:rsidRDefault="00780010" w:rsidP="00780010">
            <w:pPr>
              <w:pStyle w:val="ListParagraph"/>
              <w:tabs>
                <w:tab w:val="left" w:pos="993"/>
                <w:tab w:val="left" w:pos="1134"/>
              </w:tabs>
              <w:spacing w:after="0" w:line="240" w:lineRule="auto"/>
              <w:ind w:left="0" w:firstLine="720"/>
              <w:contextualSpacing w:val="0"/>
              <w:jc w:val="both"/>
              <w:rPr>
                <w:rFonts w:ascii="Times New Roman" w:hAnsi="Times New Roman"/>
                <w:sz w:val="24"/>
                <w:szCs w:val="24"/>
              </w:rPr>
            </w:pPr>
            <w:r w:rsidRPr="001D7630">
              <w:rPr>
                <w:rFonts w:ascii="Times New Roman" w:hAnsi="Times New Roman"/>
                <w:sz w:val="24"/>
                <w:szCs w:val="24"/>
              </w:rPr>
              <w:t xml:space="preserve">Vēršam uzmanību, ka nav skaidrs minētās normas piemērošanas mehānisms, kā arī tas, vai minētā norma ietver pilnvarojumu Ministru kabinetam izdot noteikumus un šā pilnvarojuma apjomu. Piemēram, nav skaidrs, vai projekta 8. panta 16. daļa pilnvaro Ministru kabinetu ar Ministru kabineta noteikumiem grozīt projekta 8. panta ceturtajā, piektajā un sestajā daļā noteikto līdzdalības mehānisma </w:t>
            </w:r>
            <w:r w:rsidRPr="001D7630">
              <w:rPr>
                <w:rFonts w:ascii="Times New Roman" w:hAnsi="Times New Roman"/>
                <w:sz w:val="24"/>
                <w:szCs w:val="24"/>
              </w:rPr>
              <w:lastRenderedPageBreak/>
              <w:t>procentuālo apjomu. Vēršam uzmanību, ka šāda prakse, ka Ministru kabinets nosaka no likuma normām atšķirīgus noteikumus, nav atbalstāma. Tāpat nav viennozīmīgi skaidrs, kas projekta 8. panta 16. daļas izpratnē uzskatāms par “patēriņu”.</w:t>
            </w:r>
          </w:p>
          <w:p w14:paraId="0899AA70" w14:textId="77777777" w:rsidR="00780010" w:rsidRPr="001D7630" w:rsidRDefault="00780010" w:rsidP="00780010">
            <w:pPr>
              <w:pStyle w:val="ListParagraph"/>
              <w:tabs>
                <w:tab w:val="left" w:pos="993"/>
                <w:tab w:val="left" w:pos="1134"/>
              </w:tabs>
              <w:spacing w:after="0" w:line="240" w:lineRule="auto"/>
              <w:ind w:left="0" w:firstLine="720"/>
              <w:contextualSpacing w:val="0"/>
              <w:jc w:val="both"/>
              <w:rPr>
                <w:rFonts w:ascii="Times New Roman" w:hAnsi="Times New Roman"/>
                <w:sz w:val="24"/>
                <w:szCs w:val="24"/>
              </w:rPr>
            </w:pPr>
            <w:r w:rsidRPr="001D7630">
              <w:rPr>
                <w:rFonts w:ascii="Times New Roman" w:hAnsi="Times New Roman"/>
                <w:sz w:val="24"/>
                <w:szCs w:val="24"/>
              </w:rPr>
              <w:t xml:space="preserve">Ievērojot minēto, lūdzam skaidrot un attiecīgi precizēt projekta 8. panta 16. daļu. </w:t>
            </w:r>
          </w:p>
        </w:tc>
        <w:tc>
          <w:tcPr>
            <w:tcW w:w="2976" w:type="dxa"/>
            <w:tcBorders>
              <w:top w:val="single" w:sz="6" w:space="0" w:color="000000"/>
              <w:left w:val="single" w:sz="6" w:space="0" w:color="000000"/>
              <w:bottom w:val="single" w:sz="6" w:space="0" w:color="000000"/>
              <w:right w:val="single" w:sz="6" w:space="0" w:color="000000"/>
            </w:tcBorders>
          </w:tcPr>
          <w:p w14:paraId="0A2C2FA1" w14:textId="77777777" w:rsidR="00780010" w:rsidRPr="001D7630" w:rsidRDefault="00780010" w:rsidP="00780010">
            <w:pPr>
              <w:jc w:val="center"/>
              <w:rPr>
                <w:b/>
                <w:bCs/>
                <w:iCs/>
              </w:rPr>
            </w:pPr>
            <w:r w:rsidRPr="001D7630">
              <w:rPr>
                <w:b/>
                <w:bCs/>
                <w:iCs/>
              </w:rPr>
              <w:lastRenderedPageBreak/>
              <w:t>Ņemts vērā</w:t>
            </w:r>
          </w:p>
          <w:p w14:paraId="5C2BFC04" w14:textId="77777777" w:rsidR="00780010" w:rsidRPr="001D7630" w:rsidRDefault="00780010" w:rsidP="00780010">
            <w:pPr>
              <w:rPr>
                <w:iCs/>
              </w:rPr>
            </w:pPr>
            <w:r w:rsidRPr="001D7630">
              <w:rPr>
                <w:iCs/>
              </w:rPr>
              <w:t>Skaidrojam, ka biodegvielas vai biogāze, kas ražota ne no likumprojekta pielikumā minētajām izejvielām, nav izmantojama degvielas piegādātājiem noteikto atjaunojamās transporta enerģijas mērķu izpildei (degvielas piegādātāji to nevar ieskaitīt noteiktajos mērķos), tomēr šādas biodegvielas vai biogāze būtu atļauta izmantošanai Latvijā arī, tai skaitā, lai izpildītu likumprojekta 9.pantā noteiktos pienākumus.</w:t>
            </w:r>
          </w:p>
        </w:tc>
        <w:tc>
          <w:tcPr>
            <w:tcW w:w="4291" w:type="dxa"/>
            <w:tcBorders>
              <w:top w:val="single" w:sz="4" w:space="0" w:color="auto"/>
              <w:left w:val="single" w:sz="4" w:space="0" w:color="auto"/>
              <w:bottom w:val="single" w:sz="4" w:space="0" w:color="auto"/>
            </w:tcBorders>
          </w:tcPr>
          <w:p w14:paraId="1E701F10" w14:textId="77777777" w:rsidR="00780010" w:rsidRPr="001D7630" w:rsidRDefault="00780010" w:rsidP="00780010">
            <w:pPr>
              <w:pStyle w:val="naisf"/>
              <w:spacing w:before="0" w:after="0"/>
              <w:ind w:firstLine="0"/>
            </w:pPr>
            <w:r w:rsidRPr="001D7630">
              <w:t>Likumprojekta 8.panta 12.daļa ir svītrota</w:t>
            </w:r>
          </w:p>
        </w:tc>
      </w:tr>
      <w:tr w:rsidR="00780010" w:rsidRPr="001D7630" w14:paraId="4DA5F26E" w14:textId="77777777" w:rsidTr="005D0902">
        <w:trPr>
          <w:jc w:val="center"/>
        </w:trPr>
        <w:tc>
          <w:tcPr>
            <w:tcW w:w="637" w:type="dxa"/>
            <w:vMerge w:val="restart"/>
            <w:tcBorders>
              <w:top w:val="single" w:sz="6" w:space="0" w:color="000000"/>
              <w:left w:val="single" w:sz="6" w:space="0" w:color="000000"/>
              <w:right w:val="single" w:sz="6" w:space="0" w:color="000000"/>
            </w:tcBorders>
          </w:tcPr>
          <w:p w14:paraId="7FD2BF66" w14:textId="77777777" w:rsidR="00780010" w:rsidRPr="001D7630" w:rsidRDefault="00780010" w:rsidP="00780010">
            <w:pPr>
              <w:pStyle w:val="naisc"/>
              <w:numPr>
                <w:ilvl w:val="0"/>
                <w:numId w:val="16"/>
              </w:numPr>
              <w:spacing w:before="0" w:after="0"/>
              <w:ind w:left="0" w:firstLine="0"/>
              <w:rPr>
                <w:b/>
              </w:rPr>
            </w:pPr>
          </w:p>
        </w:tc>
        <w:tc>
          <w:tcPr>
            <w:tcW w:w="3041" w:type="dxa"/>
            <w:vMerge w:val="restart"/>
            <w:tcBorders>
              <w:top w:val="single" w:sz="6" w:space="0" w:color="000000"/>
              <w:left w:val="single" w:sz="6" w:space="0" w:color="000000"/>
              <w:right w:val="single" w:sz="6" w:space="0" w:color="000000"/>
            </w:tcBorders>
          </w:tcPr>
          <w:p w14:paraId="5305A609"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1ABF9C63" w14:textId="77777777" w:rsidR="00780010" w:rsidRPr="001D7630" w:rsidRDefault="00780010" w:rsidP="00780010">
            <w:pPr>
              <w:pStyle w:val="Default"/>
              <w:jc w:val="center"/>
              <w:rPr>
                <w:rFonts w:ascii="Times New Roman" w:hAnsi="Times New Roman" w:cs="Times New Roman"/>
                <w:b/>
                <w:bCs/>
              </w:rPr>
            </w:pPr>
            <w:r w:rsidRPr="001D7630">
              <w:rPr>
                <w:rFonts w:ascii="Times New Roman" w:hAnsi="Times New Roman" w:cs="Times New Roman"/>
                <w:b/>
                <w:bCs/>
              </w:rPr>
              <w:t>Latvijas biodegvielu un bioenerģijas asociācija</w:t>
            </w:r>
          </w:p>
          <w:p w14:paraId="43DF31C5" w14:textId="77777777" w:rsidR="00780010" w:rsidRPr="001D7630" w:rsidRDefault="00780010" w:rsidP="00780010">
            <w:pPr>
              <w:pStyle w:val="Default"/>
              <w:jc w:val="center"/>
              <w:rPr>
                <w:rFonts w:ascii="Times New Roman" w:hAnsi="Times New Roman" w:cs="Times New Roman"/>
                <w:b/>
                <w:bCs/>
              </w:rPr>
            </w:pPr>
            <w:r w:rsidRPr="001D7630">
              <w:rPr>
                <w:rFonts w:ascii="Times New Roman" w:hAnsi="Times New Roman" w:cs="Times New Roman"/>
                <w:b/>
                <w:bCs/>
              </w:rPr>
              <w:t>(11.01.2021.)</w:t>
            </w:r>
          </w:p>
          <w:p w14:paraId="6485280F" w14:textId="77777777" w:rsidR="00780010" w:rsidRPr="001D7630" w:rsidRDefault="00780010" w:rsidP="00780010">
            <w:pPr>
              <w:pStyle w:val="Default"/>
              <w:jc w:val="both"/>
              <w:rPr>
                <w:rFonts w:ascii="Times New Roman" w:hAnsi="Times New Roman" w:cs="Times New Roman"/>
              </w:rPr>
            </w:pPr>
            <w:r w:rsidRPr="001D7630">
              <w:rPr>
                <w:rFonts w:ascii="Times New Roman" w:hAnsi="Times New Roman" w:cs="Times New Roman"/>
              </w:rPr>
              <w:t>3. Likumprojekta 8. panta septītās daļas 2. apakšpunkts paredz “</w:t>
            </w:r>
            <w:r w:rsidRPr="001D7630">
              <w:rPr>
                <w:rFonts w:ascii="Times New Roman" w:hAnsi="Times New Roman" w:cs="Times New Roman"/>
                <w:i/>
                <w:iCs/>
              </w:rPr>
              <w:t xml:space="preserve">lai aprēķinātu skaitītāju, kas ir galapatēriņā transportā realizētais konkrētās atjaunojamās transporta enerģijas apjoms enerģētiskās vērtībās, ņem vērā visiem transporta veidiem realizēto minētās atjaunojamās transporta enerģijas apjomu, tai skaitā galapatēriņam autotransportā un dzelzceļa transportā realizētās atjaunojamās elektroenerģijas apjomu, pārstrādāto oglekļa degvielu apjomu un no atjaunojamiem energoresursiem ražotas nebioloģiskas izcelsmes šķidrās vai gāzveida degvielas, un ievērojot, ka to biodegvielu un biogāzes, kas ražota no 1. pielikuma 2. punktā minētajām izejvielām, īpatsvaru ir jāierobežo līdz 3,4 procentiem no </w:t>
            </w:r>
            <w:r w:rsidRPr="001D7630">
              <w:rPr>
                <w:rFonts w:ascii="Times New Roman" w:hAnsi="Times New Roman" w:cs="Times New Roman"/>
                <w:i/>
                <w:iCs/>
              </w:rPr>
              <w:lastRenderedPageBreak/>
              <w:t>galapatēriņam transportā realizētā transporta enerģijas apjoma</w:t>
            </w:r>
            <w:r w:rsidRPr="001D7630">
              <w:rPr>
                <w:rFonts w:ascii="Times New Roman" w:hAnsi="Times New Roman" w:cs="Times New Roman"/>
              </w:rPr>
              <w:t xml:space="preserve">.” </w:t>
            </w:r>
          </w:p>
          <w:p w14:paraId="635EAAF4" w14:textId="77777777" w:rsidR="00780010" w:rsidRPr="001D7630" w:rsidRDefault="00780010" w:rsidP="00780010">
            <w:pPr>
              <w:pStyle w:val="Default"/>
              <w:jc w:val="both"/>
              <w:rPr>
                <w:rFonts w:ascii="Times New Roman" w:hAnsi="Times New Roman" w:cs="Times New Roman"/>
                <w:b/>
                <w:bCs/>
              </w:rPr>
            </w:pPr>
            <w:r w:rsidRPr="001D7630">
              <w:rPr>
                <w:rFonts w:ascii="Times New Roman" w:hAnsi="Times New Roman" w:cs="Times New Roman"/>
              </w:rPr>
              <w:t xml:space="preserve">Savukārt Eiropas Parlamenta un Padomes direktīvā 2018/2001 attiecīgais rādītājs ir noteikts 1,7% apmērā. Lūdzam precizēt šo pantu atbilstoši direktīvas prasībām, ņemot vērā attiecīgo izejvielu pieejamību Latvijā, kā arī to, ka atkāpes gadījumā no šī punkta būs nepieciešams saskaņojums ar Eiropas Komisiju, kas paildzinās likumprojekta pieņemšanas procesu. </w:t>
            </w:r>
          </w:p>
        </w:tc>
        <w:tc>
          <w:tcPr>
            <w:tcW w:w="2976" w:type="dxa"/>
            <w:vMerge w:val="restart"/>
            <w:tcBorders>
              <w:top w:val="single" w:sz="6" w:space="0" w:color="000000"/>
              <w:left w:val="single" w:sz="6" w:space="0" w:color="000000"/>
              <w:right w:val="single" w:sz="6" w:space="0" w:color="000000"/>
            </w:tcBorders>
          </w:tcPr>
          <w:p w14:paraId="41D134DF" w14:textId="77777777" w:rsidR="00780010" w:rsidRPr="001D7630" w:rsidRDefault="00780010" w:rsidP="00780010">
            <w:pPr>
              <w:jc w:val="center"/>
              <w:rPr>
                <w:b/>
                <w:bCs/>
                <w:iCs/>
              </w:rPr>
            </w:pPr>
            <w:r w:rsidRPr="001D7630">
              <w:rPr>
                <w:b/>
                <w:bCs/>
                <w:iCs/>
              </w:rPr>
              <w:lastRenderedPageBreak/>
              <w:t>Ņemts vērā</w:t>
            </w:r>
          </w:p>
          <w:p w14:paraId="11E62DE0" w14:textId="77777777" w:rsidR="00780010" w:rsidRPr="001D7630" w:rsidRDefault="00780010" w:rsidP="00780010">
            <w:pPr>
              <w:rPr>
                <w:iCs/>
              </w:rPr>
            </w:pPr>
          </w:p>
          <w:p w14:paraId="467A9C34" w14:textId="77777777" w:rsidR="00780010" w:rsidRPr="001D7630" w:rsidRDefault="00780010" w:rsidP="00780010">
            <w:pPr>
              <w:rPr>
                <w:iCs/>
              </w:rPr>
            </w:pPr>
            <w:r w:rsidRPr="001D7630">
              <w:rPr>
                <w:iCs/>
              </w:rPr>
              <w:t>Ņemot vērā gan NEKP, gan arī likumprojektā noteikto, ka degvielas piegādātāju kopējā atjaunojamās enerģijas mērķī ņem vērā tikai modernās biodegvielas, nav nepieciešams likumprojektā iekļaut ierobežojumus attiecībā uz 1.paaudzes biodegvielu. Minētais ierobežojums likumprojekta un Latvijas gadījumā ir 0%.</w:t>
            </w:r>
          </w:p>
          <w:p w14:paraId="68C748B6" w14:textId="77777777" w:rsidR="00780010" w:rsidRPr="001D7630" w:rsidRDefault="00780010" w:rsidP="00780010">
            <w:pPr>
              <w:rPr>
                <w:iCs/>
              </w:rPr>
            </w:pPr>
            <w:r w:rsidRPr="001D7630">
              <w:rPr>
                <w:iCs/>
              </w:rPr>
              <w:t>Norādām, ka saskaņojums ar Eiropas Komisiju būs jāveic, ja dalībvalsts minēto lielumu vēlētos palielināt nevis samazināts.</w:t>
            </w:r>
          </w:p>
          <w:p w14:paraId="403D5572" w14:textId="77777777" w:rsidR="00780010" w:rsidRPr="001D7630" w:rsidRDefault="00780010" w:rsidP="00780010">
            <w:pPr>
              <w:rPr>
                <w:iCs/>
              </w:rPr>
            </w:pPr>
          </w:p>
          <w:p w14:paraId="0C03BC67" w14:textId="77777777" w:rsidR="00780010" w:rsidRPr="001D7630" w:rsidRDefault="00780010" w:rsidP="00780010">
            <w:pPr>
              <w:rPr>
                <w:iCs/>
              </w:rPr>
            </w:pPr>
            <w:r w:rsidRPr="001D7630">
              <w:rPr>
                <w:iCs/>
              </w:rPr>
              <w:t xml:space="preserve">Saskaņā ar direktīvas 2018/2001 2.panta 34.punktu </w:t>
            </w:r>
            <w:r w:rsidRPr="001D7630">
              <w:rPr>
                <w:iCs/>
              </w:rPr>
              <w:lastRenderedPageBreak/>
              <w:t>“modernās biodegvielas” ir tikai tādas degvielas, kas ražotas no direktīvas IX pielikuma A daļās uzskaitītajām izejvielām (likumprojekta pielikuma 1.punkts).</w:t>
            </w:r>
          </w:p>
          <w:p w14:paraId="065F618F" w14:textId="77777777" w:rsidR="00780010" w:rsidRPr="001D7630" w:rsidRDefault="00780010" w:rsidP="00780010">
            <w:pPr>
              <w:rPr>
                <w:iCs/>
              </w:rPr>
            </w:pPr>
          </w:p>
          <w:p w14:paraId="59CA511D" w14:textId="5556F0FE" w:rsidR="00780010" w:rsidRPr="001D7630" w:rsidRDefault="00780010" w:rsidP="00780010">
            <w:pPr>
              <w:jc w:val="both"/>
              <w:rPr>
                <w:b/>
                <w:bCs/>
                <w:iCs/>
              </w:rPr>
            </w:pPr>
            <w:r w:rsidRPr="001D7630">
              <w:rPr>
                <w:iCs/>
              </w:rPr>
              <w:t>Minētie nosacījumi ir svītroti no likumprojekta, jo tie ir pārcelti no likumprojekta uz MK noteikumiem par līdzdalības mehānismu, kuriem deleģējums ir noteikts likumprojekta 8.panta 10.daļā un kas ir publicēti sabiedriskajai apspriedei.</w:t>
            </w:r>
          </w:p>
        </w:tc>
        <w:tc>
          <w:tcPr>
            <w:tcW w:w="4291" w:type="dxa"/>
            <w:vMerge w:val="restart"/>
            <w:tcBorders>
              <w:top w:val="single" w:sz="4" w:space="0" w:color="auto"/>
              <w:left w:val="single" w:sz="4" w:space="0" w:color="auto"/>
            </w:tcBorders>
          </w:tcPr>
          <w:p w14:paraId="4196B4E1" w14:textId="77777777" w:rsidR="00780010" w:rsidRPr="001D7630" w:rsidRDefault="00780010" w:rsidP="00780010">
            <w:pPr>
              <w:pStyle w:val="naisf"/>
              <w:spacing w:before="0" w:after="0"/>
              <w:ind w:firstLine="0"/>
            </w:pPr>
          </w:p>
        </w:tc>
      </w:tr>
      <w:tr w:rsidR="00780010" w:rsidRPr="001D7630" w14:paraId="2499FD19" w14:textId="77777777" w:rsidTr="005D0902">
        <w:trPr>
          <w:jc w:val="center"/>
        </w:trPr>
        <w:tc>
          <w:tcPr>
            <w:tcW w:w="637" w:type="dxa"/>
            <w:vMerge/>
            <w:tcBorders>
              <w:left w:val="single" w:sz="6" w:space="0" w:color="000000"/>
              <w:right w:val="single" w:sz="6" w:space="0" w:color="000000"/>
            </w:tcBorders>
          </w:tcPr>
          <w:p w14:paraId="725245DE" w14:textId="77777777" w:rsidR="00780010" w:rsidRPr="001D7630" w:rsidRDefault="00780010" w:rsidP="00780010">
            <w:pPr>
              <w:pStyle w:val="naisc"/>
              <w:numPr>
                <w:ilvl w:val="0"/>
                <w:numId w:val="16"/>
              </w:numPr>
              <w:spacing w:before="0" w:after="0"/>
              <w:ind w:left="0" w:firstLine="0"/>
              <w:rPr>
                <w:b/>
              </w:rPr>
            </w:pPr>
          </w:p>
        </w:tc>
        <w:tc>
          <w:tcPr>
            <w:tcW w:w="3041" w:type="dxa"/>
            <w:vMerge/>
            <w:tcBorders>
              <w:left w:val="single" w:sz="6" w:space="0" w:color="000000"/>
              <w:right w:val="single" w:sz="6" w:space="0" w:color="000000"/>
            </w:tcBorders>
          </w:tcPr>
          <w:p w14:paraId="594F42AB"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50BD7F0C" w14:textId="77777777" w:rsidR="00780010" w:rsidRPr="001D7630" w:rsidRDefault="00780010" w:rsidP="00780010">
            <w:pPr>
              <w:pStyle w:val="Default"/>
              <w:jc w:val="center"/>
              <w:rPr>
                <w:rFonts w:ascii="Times New Roman" w:hAnsi="Times New Roman" w:cs="Times New Roman"/>
                <w:b/>
                <w:bCs/>
              </w:rPr>
            </w:pPr>
            <w:r w:rsidRPr="001D7630">
              <w:rPr>
                <w:rFonts w:ascii="Times New Roman" w:hAnsi="Times New Roman" w:cs="Times New Roman"/>
                <w:b/>
                <w:bCs/>
              </w:rPr>
              <w:t>Latvijas biodegvielu un bioenerģijas asociācija</w:t>
            </w:r>
          </w:p>
          <w:p w14:paraId="10BFE2E7" w14:textId="77777777" w:rsidR="00780010" w:rsidRPr="001D7630" w:rsidRDefault="00780010" w:rsidP="00780010">
            <w:pPr>
              <w:widowControl w:val="0"/>
              <w:jc w:val="center"/>
              <w:rPr>
                <w:b/>
                <w:bCs/>
              </w:rPr>
            </w:pPr>
            <w:r w:rsidRPr="001D7630">
              <w:rPr>
                <w:b/>
                <w:bCs/>
              </w:rPr>
              <w:t>(23.03.2021.)</w:t>
            </w:r>
          </w:p>
          <w:p w14:paraId="2C706ED8" w14:textId="77777777" w:rsidR="00780010" w:rsidRPr="001D7630" w:rsidRDefault="00780010" w:rsidP="00780010">
            <w:pPr>
              <w:pStyle w:val="Default"/>
              <w:rPr>
                <w:rFonts w:ascii="Times New Roman" w:hAnsi="Times New Roman" w:cs="Times New Roman"/>
              </w:rPr>
            </w:pPr>
            <w:r w:rsidRPr="001D7630">
              <w:rPr>
                <w:rFonts w:ascii="Times New Roman" w:hAnsi="Times New Roman" w:cs="Times New Roman"/>
              </w:rPr>
              <w:t>4. Sākotnēji Likumprojekta 8. panta septītās daļas 2. apakšpunkts paredz “</w:t>
            </w:r>
            <w:r w:rsidRPr="001D7630">
              <w:rPr>
                <w:rFonts w:ascii="Times New Roman" w:hAnsi="Times New Roman" w:cs="Times New Roman"/>
                <w:i/>
                <w:iCs/>
              </w:rPr>
              <w:t xml:space="preserve">lai aprēķinātu skaitītāju, kas ir galapatēriņā transportā realizētais konkrētās atjaunojamās transporta enerģijas apjoms enerģētiskās vērtībās, ņem vērā visiem transporta veidiem realizēto minētās atjaunojamās transporta enerģijas apjomu, tai skaitā galapatēriņam autotransportā un dzelzceļa transportā realizētās atjaunojamās elektroenerģijas apjomu, pārstrādāto oglekļa degvielu apjomu un no atjaunojamiem energoresursiem ražotas nebioloģiskas izcelsmes šķidrās vai gāzveida degvielas, un ievērojot, ka to biodegvielu un biogāzes, kas ražota no 1. pielikuma 2. punktā minētajām </w:t>
            </w:r>
            <w:r w:rsidRPr="001D7630">
              <w:rPr>
                <w:rFonts w:ascii="Times New Roman" w:hAnsi="Times New Roman" w:cs="Times New Roman"/>
                <w:i/>
                <w:iCs/>
              </w:rPr>
              <w:lastRenderedPageBreak/>
              <w:t>izejvielām, īpatsvaru ir jāierobežo līdz 3,4 procentiem no galapatēriņam transportā realizētā transporta enerģijas apjoma</w:t>
            </w:r>
            <w:r w:rsidRPr="001D7630">
              <w:rPr>
                <w:rFonts w:ascii="Times New Roman" w:hAnsi="Times New Roman" w:cs="Times New Roman"/>
              </w:rPr>
              <w:t xml:space="preserve">.” </w:t>
            </w:r>
          </w:p>
          <w:p w14:paraId="70590D69" w14:textId="77777777" w:rsidR="00780010" w:rsidRPr="001D7630" w:rsidRDefault="00780010" w:rsidP="00780010">
            <w:pPr>
              <w:pStyle w:val="Default"/>
              <w:rPr>
                <w:rFonts w:ascii="Times New Roman" w:hAnsi="Times New Roman" w:cs="Times New Roman"/>
              </w:rPr>
            </w:pPr>
            <w:r w:rsidRPr="001D7630">
              <w:rPr>
                <w:rFonts w:ascii="Times New Roman" w:hAnsi="Times New Roman" w:cs="Times New Roman"/>
              </w:rPr>
              <w:t xml:space="preserve">Savukārt Eiropas Parlamenta un Padomes direktīvā 2018/2001 attiecīgais rādītājs ir noteikts 1,7% apmērā. Lūdzam precizēt šo pantu atbilstoši direktīvas prasībām, ņemot vērā attiecīgo izejvielu pieejamību Latvijā, kā arī to, ka atkāpes gadījumā no šī punkta būs nepieciešams saskaņojums ar Eiropas Komisiju, kas paildzinās likumprojekta pieņemšanas procesu. </w:t>
            </w:r>
          </w:p>
          <w:p w14:paraId="23647726" w14:textId="77777777" w:rsidR="00780010" w:rsidRPr="001D7630" w:rsidRDefault="00780010" w:rsidP="00780010">
            <w:pPr>
              <w:pStyle w:val="Default"/>
              <w:jc w:val="both"/>
              <w:rPr>
                <w:rFonts w:ascii="Times New Roman" w:hAnsi="Times New Roman" w:cs="Times New Roman"/>
                <w:b/>
                <w:bCs/>
              </w:rPr>
            </w:pPr>
            <w:r w:rsidRPr="001D7630">
              <w:rPr>
                <w:rFonts w:ascii="Times New Roman" w:hAnsi="Times New Roman" w:cs="Times New Roman"/>
              </w:rPr>
              <w:t xml:space="preserve">Izziņā </w:t>
            </w:r>
            <w:r w:rsidRPr="001D7630">
              <w:rPr>
                <w:rFonts w:ascii="Times New Roman" w:hAnsi="Times New Roman" w:cs="Times New Roman"/>
                <w:b/>
                <w:bCs/>
              </w:rPr>
              <w:t>nav norādīts iebilduma verā ņemšanas statuss</w:t>
            </w:r>
            <w:r w:rsidRPr="001D7630">
              <w:rPr>
                <w:rFonts w:ascii="Times New Roman" w:hAnsi="Times New Roman" w:cs="Times New Roman"/>
              </w:rPr>
              <w:t xml:space="preserve">, konkrētais apakšpunkts no likumprojekta ir izslēgts, kas neatbilst direktīvas prasībām, līdz ar to uzskatam, ka </w:t>
            </w:r>
            <w:r w:rsidRPr="001D7630">
              <w:rPr>
                <w:rFonts w:ascii="Times New Roman" w:hAnsi="Times New Roman" w:cs="Times New Roman"/>
                <w:b/>
                <w:bCs/>
              </w:rPr>
              <w:t>norma būtu jāsaglabā likumprojektā</w:t>
            </w:r>
            <w:r w:rsidRPr="001D7630">
              <w:rPr>
                <w:rFonts w:ascii="Times New Roman" w:hAnsi="Times New Roman" w:cs="Times New Roman"/>
              </w:rPr>
              <w:t>.</w:t>
            </w:r>
          </w:p>
        </w:tc>
        <w:tc>
          <w:tcPr>
            <w:tcW w:w="2976" w:type="dxa"/>
            <w:vMerge/>
            <w:tcBorders>
              <w:left w:val="single" w:sz="6" w:space="0" w:color="000000"/>
              <w:right w:val="single" w:sz="6" w:space="0" w:color="000000"/>
            </w:tcBorders>
          </w:tcPr>
          <w:p w14:paraId="603BA5F9" w14:textId="77777777" w:rsidR="00780010" w:rsidRPr="001D7630" w:rsidRDefault="00780010" w:rsidP="00780010">
            <w:pPr>
              <w:jc w:val="center"/>
              <w:rPr>
                <w:b/>
                <w:bCs/>
                <w:iCs/>
              </w:rPr>
            </w:pPr>
          </w:p>
        </w:tc>
        <w:tc>
          <w:tcPr>
            <w:tcW w:w="4291" w:type="dxa"/>
            <w:vMerge/>
            <w:tcBorders>
              <w:left w:val="single" w:sz="4" w:space="0" w:color="auto"/>
            </w:tcBorders>
          </w:tcPr>
          <w:p w14:paraId="6B5B31FF" w14:textId="77777777" w:rsidR="00780010" w:rsidRPr="001D7630" w:rsidRDefault="00780010" w:rsidP="00780010">
            <w:pPr>
              <w:pStyle w:val="naisf"/>
              <w:spacing w:before="0" w:after="0"/>
              <w:ind w:firstLine="0"/>
            </w:pPr>
          </w:p>
        </w:tc>
      </w:tr>
      <w:tr w:rsidR="00780010" w:rsidRPr="001D7630" w14:paraId="2E8AA6FD" w14:textId="77777777" w:rsidTr="005D0902">
        <w:trPr>
          <w:jc w:val="center"/>
        </w:trPr>
        <w:tc>
          <w:tcPr>
            <w:tcW w:w="637" w:type="dxa"/>
            <w:vMerge w:val="restart"/>
            <w:tcBorders>
              <w:top w:val="single" w:sz="6" w:space="0" w:color="000000"/>
              <w:left w:val="single" w:sz="6" w:space="0" w:color="000000"/>
              <w:right w:val="single" w:sz="6" w:space="0" w:color="000000"/>
            </w:tcBorders>
          </w:tcPr>
          <w:p w14:paraId="428F6C7E" w14:textId="77777777" w:rsidR="00780010" w:rsidRPr="001D7630" w:rsidRDefault="00780010" w:rsidP="00780010">
            <w:pPr>
              <w:pStyle w:val="naisc"/>
              <w:numPr>
                <w:ilvl w:val="0"/>
                <w:numId w:val="16"/>
              </w:numPr>
              <w:spacing w:before="0" w:after="0"/>
              <w:ind w:left="0" w:firstLine="0"/>
              <w:rPr>
                <w:b/>
              </w:rPr>
            </w:pPr>
          </w:p>
        </w:tc>
        <w:tc>
          <w:tcPr>
            <w:tcW w:w="3041" w:type="dxa"/>
            <w:vMerge w:val="restart"/>
            <w:tcBorders>
              <w:top w:val="single" w:sz="6" w:space="0" w:color="000000"/>
              <w:left w:val="single" w:sz="6" w:space="0" w:color="000000"/>
              <w:right w:val="single" w:sz="6" w:space="0" w:color="000000"/>
            </w:tcBorders>
          </w:tcPr>
          <w:p w14:paraId="1341F165"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63D67E70" w14:textId="77777777" w:rsidR="00780010" w:rsidRPr="001D7630" w:rsidRDefault="00780010" w:rsidP="00780010">
            <w:pPr>
              <w:pStyle w:val="Default"/>
              <w:jc w:val="center"/>
              <w:rPr>
                <w:rFonts w:ascii="Times New Roman" w:hAnsi="Times New Roman" w:cs="Times New Roman"/>
                <w:b/>
                <w:bCs/>
              </w:rPr>
            </w:pPr>
            <w:r w:rsidRPr="001D7630">
              <w:rPr>
                <w:rFonts w:ascii="Times New Roman" w:hAnsi="Times New Roman" w:cs="Times New Roman"/>
                <w:b/>
                <w:bCs/>
              </w:rPr>
              <w:t>Latvijas biodegvielu un bioenerģijas asociācija</w:t>
            </w:r>
          </w:p>
          <w:p w14:paraId="36BD8B38" w14:textId="77777777" w:rsidR="00780010" w:rsidRPr="001D7630" w:rsidRDefault="00780010" w:rsidP="00780010">
            <w:pPr>
              <w:pStyle w:val="Default"/>
              <w:jc w:val="center"/>
              <w:rPr>
                <w:rFonts w:ascii="Times New Roman" w:hAnsi="Times New Roman" w:cs="Times New Roman"/>
                <w:b/>
                <w:bCs/>
              </w:rPr>
            </w:pPr>
            <w:r w:rsidRPr="001D7630">
              <w:rPr>
                <w:rFonts w:ascii="Times New Roman" w:hAnsi="Times New Roman" w:cs="Times New Roman"/>
                <w:b/>
                <w:bCs/>
              </w:rPr>
              <w:t>(2021.gada 11.janvāra atzinums)</w:t>
            </w:r>
          </w:p>
          <w:p w14:paraId="2092B8D7" w14:textId="77777777" w:rsidR="00780010" w:rsidRPr="001D7630" w:rsidRDefault="00780010" w:rsidP="00780010">
            <w:pPr>
              <w:pStyle w:val="Default"/>
              <w:pageBreakBefore/>
              <w:jc w:val="both"/>
              <w:rPr>
                <w:rFonts w:ascii="Times New Roman" w:hAnsi="Times New Roman" w:cs="Times New Roman"/>
              </w:rPr>
            </w:pPr>
            <w:r w:rsidRPr="001D7630">
              <w:rPr>
                <w:rFonts w:ascii="Times New Roman" w:hAnsi="Times New Roman" w:cs="Times New Roman"/>
              </w:rPr>
              <w:t>4. Likumprojekta 8.panta astotā daļa nosaka, ka “</w:t>
            </w:r>
            <w:r w:rsidRPr="001D7630">
              <w:rPr>
                <w:rFonts w:ascii="Times New Roman" w:hAnsi="Times New Roman" w:cs="Times New Roman"/>
                <w:i/>
                <w:iCs/>
              </w:rPr>
              <w:t>Ja degvielas piegādātājs galapatēriņam transportā realizē modernās biodegvielas vai biogāzi, kas iegūta no šā likuma 1. pielikumā uzskaitītajām izejvielām un kuras izcelsmi degvielas piegādātājs var attiecīgi pamatot, tad no minēto moderno biodegvielu un biogāzes iegūto enerģijas daudzumu uzskata par divkāršu.</w:t>
            </w:r>
            <w:r w:rsidRPr="001D7630">
              <w:rPr>
                <w:rFonts w:ascii="Times New Roman" w:hAnsi="Times New Roman" w:cs="Times New Roman"/>
              </w:rPr>
              <w:t xml:space="preserve">” </w:t>
            </w:r>
          </w:p>
          <w:p w14:paraId="37C9CD3F" w14:textId="77777777" w:rsidR="00780010" w:rsidRPr="001D7630" w:rsidRDefault="00780010" w:rsidP="00780010">
            <w:pPr>
              <w:pStyle w:val="ListParagraph"/>
              <w:tabs>
                <w:tab w:val="left" w:pos="993"/>
                <w:tab w:val="left" w:pos="1134"/>
              </w:tabs>
              <w:spacing w:after="0" w:line="240" w:lineRule="auto"/>
              <w:ind w:left="0"/>
              <w:contextualSpacing w:val="0"/>
              <w:jc w:val="both"/>
              <w:rPr>
                <w:rFonts w:ascii="Times New Roman" w:hAnsi="Times New Roman"/>
                <w:sz w:val="24"/>
                <w:szCs w:val="24"/>
              </w:rPr>
            </w:pPr>
            <w:r w:rsidRPr="001D7630">
              <w:rPr>
                <w:rFonts w:ascii="Times New Roman" w:hAnsi="Times New Roman"/>
                <w:sz w:val="24"/>
                <w:szCs w:val="24"/>
              </w:rPr>
              <w:lastRenderedPageBreak/>
              <w:t xml:space="preserve">Ņemot vērā direktīvā noteikto, lūdzu šajā pantā svītrot vārdu “moderno”, jo likumprojekta 1.pielikuma 1.punktā ir uzskaitītas modernās biodegvielas, bet 2.punkts nosaka lietotas cepamās eļļas un dzīvnieku tauku izmantošanu biodegvielas ražošanā, kuru devumu līdzdalības mehānisma ietvaros var uzskatīt par divas reizes lielāku par 1.paaudzes biodegvielu. </w:t>
            </w:r>
          </w:p>
        </w:tc>
        <w:tc>
          <w:tcPr>
            <w:tcW w:w="2976" w:type="dxa"/>
            <w:vMerge w:val="restart"/>
            <w:tcBorders>
              <w:top w:val="single" w:sz="6" w:space="0" w:color="000000"/>
              <w:left w:val="single" w:sz="6" w:space="0" w:color="000000"/>
              <w:right w:val="single" w:sz="6" w:space="0" w:color="000000"/>
            </w:tcBorders>
          </w:tcPr>
          <w:p w14:paraId="53D3CC1E" w14:textId="77777777" w:rsidR="00780010" w:rsidRPr="001D7630" w:rsidRDefault="00780010" w:rsidP="00780010">
            <w:pPr>
              <w:jc w:val="center"/>
              <w:rPr>
                <w:b/>
                <w:bCs/>
                <w:iCs/>
              </w:rPr>
            </w:pPr>
            <w:r w:rsidRPr="001D7630">
              <w:rPr>
                <w:b/>
                <w:bCs/>
                <w:iCs/>
              </w:rPr>
              <w:lastRenderedPageBreak/>
              <w:t>Ņemts vērā</w:t>
            </w:r>
          </w:p>
          <w:p w14:paraId="7F4A79C1" w14:textId="77777777" w:rsidR="00780010" w:rsidRPr="001D7630" w:rsidRDefault="00780010" w:rsidP="00780010">
            <w:pPr>
              <w:rPr>
                <w:iCs/>
              </w:rPr>
            </w:pPr>
          </w:p>
          <w:p w14:paraId="672DDFAA" w14:textId="77777777" w:rsidR="00780010" w:rsidRPr="001D7630" w:rsidRDefault="00780010" w:rsidP="00780010">
            <w:pPr>
              <w:rPr>
                <w:iCs/>
              </w:rPr>
            </w:pPr>
            <w:r w:rsidRPr="001D7630">
              <w:rPr>
                <w:iCs/>
              </w:rPr>
              <w:t>Minētais tehniskais nosacījums ir svītrots no likumprojekta, jo tiks iekļauts MK noteikumos par līdzdalības mehānismu.</w:t>
            </w:r>
          </w:p>
          <w:p w14:paraId="65EA7504" w14:textId="77777777" w:rsidR="00780010" w:rsidRPr="001D7630" w:rsidRDefault="00780010" w:rsidP="00780010">
            <w:pPr>
              <w:rPr>
                <w:iCs/>
              </w:rPr>
            </w:pPr>
          </w:p>
          <w:p w14:paraId="6E9808BF" w14:textId="77777777" w:rsidR="00780010" w:rsidRPr="001D7630" w:rsidRDefault="00780010" w:rsidP="00780010">
            <w:pPr>
              <w:pStyle w:val="tv213"/>
              <w:spacing w:before="0" w:beforeAutospacing="0" w:after="0" w:afterAutospacing="0"/>
              <w:jc w:val="both"/>
              <w:rPr>
                <w:iCs/>
              </w:rPr>
            </w:pPr>
          </w:p>
        </w:tc>
        <w:tc>
          <w:tcPr>
            <w:tcW w:w="4291" w:type="dxa"/>
            <w:vMerge w:val="restart"/>
            <w:tcBorders>
              <w:top w:val="single" w:sz="4" w:space="0" w:color="auto"/>
              <w:left w:val="single" w:sz="4" w:space="0" w:color="auto"/>
            </w:tcBorders>
          </w:tcPr>
          <w:p w14:paraId="59946F9C" w14:textId="77777777" w:rsidR="00780010" w:rsidRPr="001D7630" w:rsidRDefault="00780010" w:rsidP="00780010">
            <w:pPr>
              <w:pStyle w:val="naisf"/>
              <w:spacing w:before="0" w:after="0"/>
              <w:ind w:firstLine="0"/>
            </w:pPr>
            <w:r w:rsidRPr="001D7630">
              <w:t>Minētais tehniskais nosacījums ir pārcelts no likumprojekta uz Ministru kabineta noteikumiem, kam deleģējums ir iekļauts likumprojekta 8.panta 10.daļā</w:t>
            </w:r>
          </w:p>
        </w:tc>
      </w:tr>
      <w:tr w:rsidR="00780010" w:rsidRPr="001D7630" w14:paraId="32C4E4A8" w14:textId="77777777" w:rsidTr="005D0902">
        <w:trPr>
          <w:jc w:val="center"/>
        </w:trPr>
        <w:tc>
          <w:tcPr>
            <w:tcW w:w="637" w:type="dxa"/>
            <w:vMerge/>
            <w:tcBorders>
              <w:left w:val="single" w:sz="6" w:space="0" w:color="000000"/>
              <w:bottom w:val="single" w:sz="6" w:space="0" w:color="000000"/>
              <w:right w:val="single" w:sz="6" w:space="0" w:color="000000"/>
            </w:tcBorders>
          </w:tcPr>
          <w:p w14:paraId="1835004B" w14:textId="77777777" w:rsidR="00780010" w:rsidRPr="001D7630" w:rsidRDefault="00780010" w:rsidP="00780010">
            <w:pPr>
              <w:pStyle w:val="naisc"/>
              <w:numPr>
                <w:ilvl w:val="0"/>
                <w:numId w:val="16"/>
              </w:numPr>
              <w:spacing w:before="0" w:after="0"/>
              <w:ind w:left="0" w:firstLine="0"/>
              <w:rPr>
                <w:b/>
              </w:rPr>
            </w:pPr>
          </w:p>
        </w:tc>
        <w:tc>
          <w:tcPr>
            <w:tcW w:w="3041" w:type="dxa"/>
            <w:vMerge/>
            <w:tcBorders>
              <w:left w:val="single" w:sz="6" w:space="0" w:color="000000"/>
              <w:bottom w:val="single" w:sz="6" w:space="0" w:color="000000"/>
              <w:right w:val="single" w:sz="6" w:space="0" w:color="000000"/>
            </w:tcBorders>
          </w:tcPr>
          <w:p w14:paraId="4459028E"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25C3DC1A" w14:textId="77777777" w:rsidR="00780010" w:rsidRPr="001D7630" w:rsidRDefault="00780010" w:rsidP="00780010">
            <w:pPr>
              <w:widowControl w:val="0"/>
              <w:jc w:val="center"/>
              <w:rPr>
                <w:b/>
                <w:bCs/>
              </w:rPr>
            </w:pPr>
            <w:r w:rsidRPr="001D7630">
              <w:rPr>
                <w:b/>
                <w:bCs/>
              </w:rPr>
              <w:t>Biedrība “Latvijas biodegvielu un bioenerģijas asociācija”</w:t>
            </w:r>
          </w:p>
          <w:p w14:paraId="65DF951B" w14:textId="77777777" w:rsidR="00780010" w:rsidRPr="001D7630" w:rsidRDefault="00780010" w:rsidP="00780010">
            <w:pPr>
              <w:widowControl w:val="0"/>
              <w:jc w:val="center"/>
              <w:rPr>
                <w:b/>
                <w:bCs/>
              </w:rPr>
            </w:pPr>
            <w:r w:rsidRPr="001D7630">
              <w:rPr>
                <w:b/>
                <w:bCs/>
              </w:rPr>
              <w:t>(2021.gada 23.marta atzinums)</w:t>
            </w:r>
          </w:p>
          <w:p w14:paraId="4D680779" w14:textId="77777777" w:rsidR="00780010" w:rsidRPr="001D7630" w:rsidRDefault="00780010" w:rsidP="00780010">
            <w:pPr>
              <w:pStyle w:val="Default"/>
              <w:rPr>
                <w:rFonts w:ascii="Times New Roman" w:hAnsi="Times New Roman" w:cs="Times New Roman"/>
                <w:color w:val="auto"/>
              </w:rPr>
            </w:pPr>
            <w:r w:rsidRPr="001D7630">
              <w:rPr>
                <w:rFonts w:ascii="Times New Roman" w:hAnsi="Times New Roman" w:cs="Times New Roman"/>
              </w:rPr>
              <w:t>5. Sākotnēji Likumprojekta 8.panta astotā daļa nosaka, ka “</w:t>
            </w:r>
            <w:r w:rsidRPr="001D7630">
              <w:rPr>
                <w:rFonts w:ascii="Times New Roman" w:hAnsi="Times New Roman" w:cs="Times New Roman"/>
                <w:i/>
                <w:iCs/>
              </w:rPr>
              <w:t>Ja degvielas piegādātājs galapatēriņam transportā realizē modernās biodegvielas vai biogāzi, kas iegūta no šā likuma 1. pielikumā uzskaitītajām izejvielām un kuras izcelsmi degvielas piegādātājs var attiecīgi pamatot, tad no minēto moderno biodegvielu un biogāzes iegūto enerģijas daudzumu uzskata par divkāršu.</w:t>
            </w:r>
            <w:r w:rsidRPr="001D7630">
              <w:rPr>
                <w:rFonts w:ascii="Times New Roman" w:hAnsi="Times New Roman" w:cs="Times New Roman"/>
              </w:rPr>
              <w:t xml:space="preserve">” </w:t>
            </w:r>
          </w:p>
          <w:p w14:paraId="2AF37E8E" w14:textId="77777777" w:rsidR="00780010" w:rsidRPr="001D7630" w:rsidRDefault="00780010" w:rsidP="00780010">
            <w:pPr>
              <w:pStyle w:val="Default"/>
              <w:pageBreakBefore/>
              <w:rPr>
                <w:rFonts w:ascii="Times New Roman" w:hAnsi="Times New Roman" w:cs="Times New Roman"/>
                <w:color w:val="auto"/>
              </w:rPr>
            </w:pPr>
            <w:r w:rsidRPr="001D7630">
              <w:rPr>
                <w:rFonts w:ascii="Times New Roman" w:hAnsi="Times New Roman" w:cs="Times New Roman"/>
                <w:color w:val="auto"/>
              </w:rPr>
              <w:t xml:space="preserve">Ņemot vērā direktīvā noteikto, lūdzu šajā pantā svītrot vārdu “moderno”, jo likumprojekta 1.pielikuma 1.punktā ir uzskaitītas modernās biodegvielas, bet 2.punkts nosaka lietotas cepamās eļļas un dzīvnieku tauku izmantošanu biodegvielas ražošanā, kuru devumu līdzdalības mehānisma ietvaros var </w:t>
            </w:r>
            <w:r w:rsidRPr="001D7630">
              <w:rPr>
                <w:rFonts w:ascii="Times New Roman" w:hAnsi="Times New Roman" w:cs="Times New Roman"/>
                <w:color w:val="auto"/>
              </w:rPr>
              <w:lastRenderedPageBreak/>
              <w:t xml:space="preserve">uzskatīt par divas reizes lielāku par 1.paaudzes biodegvielu. </w:t>
            </w:r>
          </w:p>
          <w:p w14:paraId="5A4AE001" w14:textId="77777777" w:rsidR="00780010" w:rsidRPr="001D7630" w:rsidRDefault="00780010" w:rsidP="00780010">
            <w:pPr>
              <w:pStyle w:val="ListParagraph"/>
              <w:tabs>
                <w:tab w:val="left" w:pos="993"/>
                <w:tab w:val="left" w:pos="1134"/>
              </w:tabs>
              <w:spacing w:after="0" w:line="240" w:lineRule="auto"/>
              <w:ind w:left="0"/>
              <w:contextualSpacing w:val="0"/>
              <w:jc w:val="both"/>
              <w:rPr>
                <w:rFonts w:ascii="Times New Roman" w:hAnsi="Times New Roman"/>
                <w:sz w:val="24"/>
                <w:szCs w:val="24"/>
              </w:rPr>
            </w:pPr>
            <w:r w:rsidRPr="001D7630">
              <w:rPr>
                <w:rFonts w:ascii="Times New Roman" w:hAnsi="Times New Roman"/>
                <w:sz w:val="24"/>
                <w:szCs w:val="24"/>
              </w:rPr>
              <w:t xml:space="preserve">Izziņā </w:t>
            </w:r>
            <w:r w:rsidRPr="001D7630">
              <w:rPr>
                <w:rFonts w:ascii="Times New Roman" w:hAnsi="Times New Roman"/>
                <w:b/>
                <w:bCs/>
                <w:sz w:val="24"/>
                <w:szCs w:val="24"/>
              </w:rPr>
              <w:t>nav norādīts iebilduma vērā ņemšanas statuss</w:t>
            </w:r>
            <w:r w:rsidRPr="001D7630">
              <w:rPr>
                <w:rFonts w:ascii="Times New Roman" w:hAnsi="Times New Roman"/>
                <w:sz w:val="24"/>
                <w:szCs w:val="24"/>
              </w:rPr>
              <w:t>, konkrētais apakšpunkts no likumprojekta ir izslēgts un paredzēts noteikt ar Ministru kabineta noteikumiem.</w:t>
            </w:r>
          </w:p>
        </w:tc>
        <w:tc>
          <w:tcPr>
            <w:tcW w:w="2976" w:type="dxa"/>
            <w:vMerge/>
            <w:tcBorders>
              <w:left w:val="single" w:sz="6" w:space="0" w:color="000000"/>
              <w:bottom w:val="single" w:sz="6" w:space="0" w:color="000000"/>
              <w:right w:val="single" w:sz="6" w:space="0" w:color="000000"/>
            </w:tcBorders>
          </w:tcPr>
          <w:p w14:paraId="05807F14" w14:textId="77777777" w:rsidR="00780010" w:rsidRPr="001D7630" w:rsidRDefault="00780010" w:rsidP="00780010">
            <w:pPr>
              <w:rPr>
                <w:iCs/>
              </w:rPr>
            </w:pPr>
          </w:p>
        </w:tc>
        <w:tc>
          <w:tcPr>
            <w:tcW w:w="4291" w:type="dxa"/>
            <w:vMerge/>
            <w:tcBorders>
              <w:left w:val="single" w:sz="4" w:space="0" w:color="auto"/>
              <w:bottom w:val="single" w:sz="4" w:space="0" w:color="auto"/>
            </w:tcBorders>
          </w:tcPr>
          <w:p w14:paraId="2D97C748" w14:textId="77777777" w:rsidR="00780010" w:rsidRPr="001D7630" w:rsidRDefault="00780010" w:rsidP="00780010">
            <w:pPr>
              <w:pStyle w:val="naisf"/>
              <w:spacing w:before="0" w:after="0"/>
              <w:ind w:firstLine="0"/>
            </w:pPr>
          </w:p>
        </w:tc>
      </w:tr>
      <w:tr w:rsidR="00780010" w:rsidRPr="001D7630" w14:paraId="438810D3" w14:textId="77777777" w:rsidTr="005D0902">
        <w:trPr>
          <w:jc w:val="center"/>
        </w:trPr>
        <w:tc>
          <w:tcPr>
            <w:tcW w:w="637" w:type="dxa"/>
            <w:vMerge w:val="restart"/>
            <w:tcBorders>
              <w:top w:val="single" w:sz="6" w:space="0" w:color="000000"/>
              <w:left w:val="single" w:sz="6" w:space="0" w:color="000000"/>
              <w:right w:val="single" w:sz="6" w:space="0" w:color="000000"/>
            </w:tcBorders>
          </w:tcPr>
          <w:p w14:paraId="4684D028" w14:textId="77777777" w:rsidR="00780010" w:rsidRPr="001D7630" w:rsidRDefault="00780010" w:rsidP="00780010">
            <w:pPr>
              <w:pStyle w:val="naisc"/>
              <w:numPr>
                <w:ilvl w:val="0"/>
                <w:numId w:val="16"/>
              </w:numPr>
              <w:spacing w:before="0" w:after="0"/>
              <w:ind w:left="0" w:firstLine="0"/>
              <w:rPr>
                <w:b/>
              </w:rPr>
            </w:pPr>
          </w:p>
        </w:tc>
        <w:tc>
          <w:tcPr>
            <w:tcW w:w="3041" w:type="dxa"/>
            <w:vMerge w:val="restart"/>
            <w:tcBorders>
              <w:top w:val="single" w:sz="6" w:space="0" w:color="000000"/>
              <w:left w:val="single" w:sz="6" w:space="0" w:color="000000"/>
              <w:right w:val="single" w:sz="6" w:space="0" w:color="000000"/>
            </w:tcBorders>
          </w:tcPr>
          <w:p w14:paraId="7032612D" w14:textId="77777777" w:rsidR="00780010" w:rsidRPr="001D7630" w:rsidRDefault="00780010" w:rsidP="00780010">
            <w:pPr>
              <w:pStyle w:val="naisf"/>
              <w:spacing w:before="0" w:after="0"/>
              <w:ind w:firstLine="0"/>
            </w:pPr>
            <w:r w:rsidRPr="001D7630">
              <w:t>Likumprojekta 8.pants</w:t>
            </w:r>
          </w:p>
        </w:tc>
        <w:tc>
          <w:tcPr>
            <w:tcW w:w="4047" w:type="dxa"/>
            <w:tcBorders>
              <w:top w:val="single" w:sz="6" w:space="0" w:color="000000"/>
              <w:left w:val="single" w:sz="6" w:space="0" w:color="000000"/>
              <w:bottom w:val="single" w:sz="6" w:space="0" w:color="000000"/>
              <w:right w:val="single" w:sz="6" w:space="0" w:color="000000"/>
            </w:tcBorders>
          </w:tcPr>
          <w:p w14:paraId="57C6E299" w14:textId="77777777" w:rsidR="00780010" w:rsidRPr="001D7630" w:rsidRDefault="00780010" w:rsidP="00780010">
            <w:pPr>
              <w:pStyle w:val="Default"/>
              <w:jc w:val="center"/>
              <w:rPr>
                <w:rFonts w:ascii="Times New Roman" w:hAnsi="Times New Roman" w:cs="Times New Roman"/>
                <w:b/>
                <w:bCs/>
              </w:rPr>
            </w:pPr>
            <w:r w:rsidRPr="001D7630">
              <w:rPr>
                <w:rFonts w:ascii="Times New Roman" w:hAnsi="Times New Roman" w:cs="Times New Roman"/>
                <w:b/>
                <w:bCs/>
              </w:rPr>
              <w:t>Latvijas biodegvielu un bioenerģijas asociācija</w:t>
            </w:r>
          </w:p>
          <w:p w14:paraId="03EFED1D" w14:textId="77777777" w:rsidR="00780010" w:rsidRPr="001D7630" w:rsidRDefault="00780010" w:rsidP="00780010">
            <w:pPr>
              <w:pStyle w:val="Default"/>
              <w:jc w:val="center"/>
              <w:rPr>
                <w:rFonts w:ascii="Times New Roman" w:hAnsi="Times New Roman" w:cs="Times New Roman"/>
                <w:b/>
                <w:bCs/>
              </w:rPr>
            </w:pPr>
            <w:r w:rsidRPr="001D7630">
              <w:rPr>
                <w:rFonts w:ascii="Times New Roman" w:hAnsi="Times New Roman" w:cs="Times New Roman"/>
                <w:b/>
                <w:bCs/>
              </w:rPr>
              <w:t>(11.01.2021.)</w:t>
            </w:r>
          </w:p>
          <w:p w14:paraId="266829BC" w14:textId="77777777" w:rsidR="00780010" w:rsidRPr="001D7630" w:rsidRDefault="00780010" w:rsidP="00780010">
            <w:pPr>
              <w:tabs>
                <w:tab w:val="left" w:pos="993"/>
                <w:tab w:val="left" w:pos="1134"/>
              </w:tabs>
              <w:jc w:val="both"/>
              <w:rPr>
                <w:b/>
                <w:bCs/>
              </w:rPr>
            </w:pPr>
            <w:r w:rsidRPr="001D7630">
              <w:t xml:space="preserve">2. Likumprojektā nav noteikts Nacionālajā enerģētikas un klimata plānā (NEKP) definētais kopējais 7% AER apjoma mērķis transportā, mūsuprāt būtu likumprojektā jānorāda šis mērķis, lai veicinātu biodegvielu izmantošanu Latvijā. Iespējams, ka likumprojektā var noteikt deleģējumu MK apstiprināt konkrētu plānu un kārtību, kā nonāk pie 7% AER mērķa transportā, kā arī plānu kā valsts sasniedz 9.panta 1.daļā noteikto siltumnīcefekta gāzu emisiju uz enerģijas vienību samazinājumu vismaz par sešiem procentiem attiecībā pret degvielas pamatstandartu. </w:t>
            </w:r>
          </w:p>
        </w:tc>
        <w:tc>
          <w:tcPr>
            <w:tcW w:w="2976" w:type="dxa"/>
            <w:vMerge w:val="restart"/>
            <w:tcBorders>
              <w:top w:val="single" w:sz="6" w:space="0" w:color="000000"/>
              <w:left w:val="single" w:sz="6" w:space="0" w:color="000000"/>
              <w:right w:val="single" w:sz="6" w:space="0" w:color="000000"/>
            </w:tcBorders>
          </w:tcPr>
          <w:p w14:paraId="0515CD9E" w14:textId="77777777" w:rsidR="00780010" w:rsidRPr="001D7630" w:rsidRDefault="00780010" w:rsidP="00780010">
            <w:pPr>
              <w:jc w:val="center"/>
              <w:rPr>
                <w:b/>
                <w:bCs/>
                <w:iCs/>
              </w:rPr>
            </w:pPr>
            <w:r w:rsidRPr="001D7630">
              <w:rPr>
                <w:b/>
                <w:bCs/>
                <w:iCs/>
              </w:rPr>
              <w:t>Ņemts vērā</w:t>
            </w:r>
          </w:p>
          <w:p w14:paraId="307DE258" w14:textId="77777777" w:rsidR="00780010" w:rsidRPr="001D7630" w:rsidRDefault="00780010" w:rsidP="00780010">
            <w:pPr>
              <w:rPr>
                <w:b/>
                <w:bCs/>
                <w:iCs/>
              </w:rPr>
            </w:pPr>
          </w:p>
        </w:tc>
        <w:tc>
          <w:tcPr>
            <w:tcW w:w="4291" w:type="dxa"/>
            <w:vMerge w:val="restart"/>
            <w:tcBorders>
              <w:top w:val="single" w:sz="4" w:space="0" w:color="auto"/>
              <w:left w:val="single" w:sz="4" w:space="0" w:color="auto"/>
            </w:tcBorders>
          </w:tcPr>
          <w:p w14:paraId="1FB6D14C" w14:textId="6D22517A" w:rsidR="00780010" w:rsidRPr="001D7630" w:rsidRDefault="00780010" w:rsidP="00780010">
            <w:pPr>
              <w:pStyle w:val="naisf"/>
              <w:spacing w:before="0" w:after="0"/>
              <w:ind w:firstLine="0"/>
            </w:pPr>
            <w:r w:rsidRPr="001D7630">
              <w:t>Likumprojekta 8.pants 4.daļa ir precizēta</w:t>
            </w:r>
          </w:p>
        </w:tc>
      </w:tr>
      <w:tr w:rsidR="00780010" w:rsidRPr="001D7630" w14:paraId="61DE6FF9" w14:textId="77777777" w:rsidTr="005D0902">
        <w:trPr>
          <w:jc w:val="center"/>
        </w:trPr>
        <w:tc>
          <w:tcPr>
            <w:tcW w:w="637" w:type="dxa"/>
            <w:vMerge/>
            <w:tcBorders>
              <w:left w:val="single" w:sz="6" w:space="0" w:color="000000"/>
              <w:bottom w:val="single" w:sz="6" w:space="0" w:color="000000"/>
              <w:right w:val="single" w:sz="6" w:space="0" w:color="000000"/>
            </w:tcBorders>
          </w:tcPr>
          <w:p w14:paraId="55FA3BAD" w14:textId="77777777" w:rsidR="00780010" w:rsidRPr="001D7630" w:rsidRDefault="00780010" w:rsidP="00780010">
            <w:pPr>
              <w:pStyle w:val="naisc"/>
              <w:numPr>
                <w:ilvl w:val="0"/>
                <w:numId w:val="16"/>
              </w:numPr>
              <w:spacing w:before="0" w:after="0"/>
              <w:ind w:left="0" w:firstLine="0"/>
              <w:rPr>
                <w:b/>
              </w:rPr>
            </w:pPr>
          </w:p>
        </w:tc>
        <w:tc>
          <w:tcPr>
            <w:tcW w:w="3041" w:type="dxa"/>
            <w:vMerge/>
            <w:tcBorders>
              <w:left w:val="single" w:sz="6" w:space="0" w:color="000000"/>
              <w:bottom w:val="single" w:sz="6" w:space="0" w:color="000000"/>
              <w:right w:val="single" w:sz="6" w:space="0" w:color="000000"/>
            </w:tcBorders>
          </w:tcPr>
          <w:p w14:paraId="7BD0518F"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01D5C281" w14:textId="77777777" w:rsidR="00780010" w:rsidRPr="001D7630" w:rsidRDefault="00780010" w:rsidP="00780010">
            <w:pPr>
              <w:pStyle w:val="Default"/>
              <w:jc w:val="center"/>
              <w:rPr>
                <w:rFonts w:ascii="Times New Roman" w:hAnsi="Times New Roman" w:cs="Times New Roman"/>
                <w:b/>
                <w:bCs/>
              </w:rPr>
            </w:pPr>
            <w:r w:rsidRPr="001D7630">
              <w:rPr>
                <w:rFonts w:ascii="Times New Roman" w:hAnsi="Times New Roman" w:cs="Times New Roman"/>
                <w:b/>
                <w:bCs/>
              </w:rPr>
              <w:t>Latvijas biodegvielu un bioenerģijas asociācija</w:t>
            </w:r>
          </w:p>
          <w:p w14:paraId="0093838B" w14:textId="77777777" w:rsidR="00780010" w:rsidRPr="001D7630" w:rsidRDefault="00780010" w:rsidP="00780010">
            <w:pPr>
              <w:widowControl w:val="0"/>
              <w:jc w:val="center"/>
              <w:rPr>
                <w:b/>
                <w:bCs/>
              </w:rPr>
            </w:pPr>
            <w:r w:rsidRPr="001D7630">
              <w:rPr>
                <w:b/>
                <w:bCs/>
              </w:rPr>
              <w:t>(23.03.2021.)</w:t>
            </w:r>
          </w:p>
          <w:p w14:paraId="362A1336" w14:textId="77777777" w:rsidR="00780010" w:rsidRPr="001D7630" w:rsidRDefault="00780010" w:rsidP="00780010">
            <w:pPr>
              <w:pStyle w:val="Default"/>
              <w:rPr>
                <w:rFonts w:ascii="Times New Roman" w:hAnsi="Times New Roman" w:cs="Times New Roman"/>
              </w:rPr>
            </w:pPr>
            <w:r w:rsidRPr="001D7630">
              <w:rPr>
                <w:rFonts w:ascii="Times New Roman" w:hAnsi="Times New Roman" w:cs="Times New Roman"/>
              </w:rPr>
              <w:t xml:space="preserve">3. Likumprojektā nav noteikts Nacionālajā enerģētikas un klimata plānā (NEKP) definētais kopējais 7% AER apjoma mērķis transportā, mūsuprāt būtu likumprojektā jānorāda </w:t>
            </w:r>
            <w:r w:rsidRPr="001D7630">
              <w:rPr>
                <w:rFonts w:ascii="Times New Roman" w:hAnsi="Times New Roman" w:cs="Times New Roman"/>
              </w:rPr>
              <w:lastRenderedPageBreak/>
              <w:t xml:space="preserve">šis mērķis, lai veicinātu biodegvielu izmantošanu Latvijā. Iespējams, ka likumprojektā var noteikt deleģējumu MK apstiprināt konkrētu plānu un kārtību, kā nonāk pie 7% AER mērķa transportā, kā arī plānu kā valsts sasniedz 9.panta pirmajā daļā noteikto siltumnīcefekta gāzu emisiju uz enerģijas vienību samazinājumu vismaz par sešiem procentiem attiecībā pret degvielas pamatstandartu. </w:t>
            </w:r>
          </w:p>
          <w:p w14:paraId="072FD36F" w14:textId="77777777" w:rsidR="00780010" w:rsidRPr="001D7630" w:rsidRDefault="00780010" w:rsidP="00780010">
            <w:pPr>
              <w:pStyle w:val="Default"/>
              <w:rPr>
                <w:rFonts w:ascii="Times New Roman" w:hAnsi="Times New Roman" w:cs="Times New Roman"/>
              </w:rPr>
            </w:pPr>
            <w:r w:rsidRPr="001D7630">
              <w:rPr>
                <w:rFonts w:ascii="Times New Roman" w:hAnsi="Times New Roman" w:cs="Times New Roman"/>
                <w:b/>
                <w:bCs/>
              </w:rPr>
              <w:t>Iebildums nav ņemts vērā</w:t>
            </w:r>
            <w:r w:rsidRPr="001D7630">
              <w:rPr>
                <w:rFonts w:ascii="Times New Roman" w:hAnsi="Times New Roman" w:cs="Times New Roman"/>
              </w:rPr>
              <w:t xml:space="preserve">. Nepiekrītam, ka saistošajā politikas plānošanas dokumentā noteiktos mērķus nevajadzētu dublēt, jo politikas plānošanas dokuments nav saistošs dokuments uzņēmējiem, kuriem šie mērķi ir jāsasniedz, tāpat arī NEKP 4.pielikumā noteiktie pasākumi nav saistoši uzņēmējiem, tāpēc, lai nodrošinātu mērķu sasniegšanu, tas būtu jānosaka likumā, kas būtu saistošs visām iesaistītajām personām. </w:t>
            </w:r>
          </w:p>
          <w:p w14:paraId="50CF015F" w14:textId="77777777" w:rsidR="00780010" w:rsidRPr="001D7630" w:rsidRDefault="00780010" w:rsidP="00780010">
            <w:pPr>
              <w:pStyle w:val="Default"/>
              <w:jc w:val="both"/>
              <w:rPr>
                <w:rFonts w:ascii="Times New Roman" w:hAnsi="Times New Roman" w:cs="Times New Roman"/>
                <w:b/>
                <w:bCs/>
              </w:rPr>
            </w:pPr>
            <w:r w:rsidRPr="001D7630">
              <w:rPr>
                <w:rFonts w:ascii="Times New Roman" w:hAnsi="Times New Roman" w:cs="Times New Roman"/>
              </w:rPr>
              <w:t>Tāpat nepiekrītam Izziņā apgalvotajam, ka transporta enerģijas aprites cikla SEG emisiju intensitātes samazināšanas mērķis nav valstij saistošs mērķis, bet tikai degvielas piegādātājiem saistošs mērķis – Direktīvas 98/70EK 7a.panta 2.punkts. Ja attiecīgās prasības netiks izpildītas, tad Eiropas Savienība var vērst finansiālas soda sankcijas pret valsti.</w:t>
            </w:r>
          </w:p>
        </w:tc>
        <w:tc>
          <w:tcPr>
            <w:tcW w:w="2976" w:type="dxa"/>
            <w:vMerge/>
            <w:tcBorders>
              <w:left w:val="single" w:sz="6" w:space="0" w:color="000000"/>
              <w:bottom w:val="single" w:sz="6" w:space="0" w:color="000000"/>
              <w:right w:val="single" w:sz="6" w:space="0" w:color="000000"/>
            </w:tcBorders>
          </w:tcPr>
          <w:p w14:paraId="30746E42" w14:textId="77777777" w:rsidR="00780010" w:rsidRPr="001D7630" w:rsidRDefault="00780010" w:rsidP="00780010">
            <w:pPr>
              <w:rPr>
                <w:iCs/>
              </w:rPr>
            </w:pPr>
          </w:p>
        </w:tc>
        <w:tc>
          <w:tcPr>
            <w:tcW w:w="4291" w:type="dxa"/>
            <w:vMerge/>
            <w:tcBorders>
              <w:left w:val="single" w:sz="4" w:space="0" w:color="auto"/>
              <w:bottom w:val="single" w:sz="4" w:space="0" w:color="auto"/>
            </w:tcBorders>
          </w:tcPr>
          <w:p w14:paraId="7DB69E28" w14:textId="77777777" w:rsidR="00780010" w:rsidRPr="001D7630" w:rsidRDefault="00780010" w:rsidP="00780010">
            <w:pPr>
              <w:pStyle w:val="naisf"/>
              <w:spacing w:before="0" w:after="0"/>
              <w:ind w:firstLine="0"/>
            </w:pPr>
          </w:p>
        </w:tc>
      </w:tr>
      <w:tr w:rsidR="00780010" w:rsidRPr="001D7630" w14:paraId="023957A6"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2D7A7EA5"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4F595BF4"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32297B94" w14:textId="77777777" w:rsidR="00780010" w:rsidRPr="001D7630" w:rsidRDefault="00780010" w:rsidP="00780010">
            <w:pPr>
              <w:tabs>
                <w:tab w:val="left" w:pos="993"/>
                <w:tab w:val="left" w:pos="1134"/>
              </w:tabs>
              <w:jc w:val="center"/>
              <w:rPr>
                <w:b/>
                <w:bCs/>
              </w:rPr>
            </w:pPr>
            <w:r w:rsidRPr="001D7630">
              <w:rPr>
                <w:b/>
                <w:bCs/>
              </w:rPr>
              <w:t>Lauksaimnieku organizāciju sadarbības padome</w:t>
            </w:r>
          </w:p>
          <w:p w14:paraId="7C76B1BB" w14:textId="77777777" w:rsidR="00780010" w:rsidRPr="001D7630" w:rsidRDefault="00780010" w:rsidP="00780010">
            <w:pPr>
              <w:tabs>
                <w:tab w:val="left" w:pos="993"/>
                <w:tab w:val="left" w:pos="1134"/>
              </w:tabs>
              <w:jc w:val="center"/>
              <w:rPr>
                <w:b/>
                <w:bCs/>
              </w:rPr>
            </w:pPr>
            <w:r w:rsidRPr="001D7630">
              <w:rPr>
                <w:b/>
                <w:bCs/>
              </w:rPr>
              <w:t>(11.01.2021.)</w:t>
            </w:r>
          </w:p>
          <w:p w14:paraId="708D5262" w14:textId="77777777" w:rsidR="00780010" w:rsidRPr="001D7630" w:rsidRDefault="00780010" w:rsidP="00780010">
            <w:pPr>
              <w:tabs>
                <w:tab w:val="left" w:pos="993"/>
                <w:tab w:val="left" w:pos="1134"/>
              </w:tabs>
              <w:jc w:val="both"/>
            </w:pPr>
            <w:r w:rsidRPr="001D7630">
              <w:t>1. Eiropas Savienības Direktīva 2018/2001 par no atjaunojamiem energoresursiem iegūtas enerģijas izmantošanas veicināšanu paredz, ka dalībvalstīm līdz 2030.gadam transporta sektorā ir jābūt vismaz 14% lielam AER īpatsvaram, savukārt sagatavotais Likumprojekts paredz, ka Latvijai saistošs ir 7% AER īpatsvars.</w:t>
            </w:r>
          </w:p>
          <w:p w14:paraId="789E78C0" w14:textId="77777777" w:rsidR="00780010" w:rsidRPr="001D7630" w:rsidRDefault="00780010" w:rsidP="00780010">
            <w:pPr>
              <w:tabs>
                <w:tab w:val="left" w:pos="993"/>
                <w:tab w:val="left" w:pos="1134"/>
              </w:tabs>
              <w:jc w:val="both"/>
            </w:pPr>
            <w:r w:rsidRPr="001D7630">
              <w:t xml:space="preserve">2. Likumprojektā iztrūkst konsekvences terminam “modernā” biodegviela. Skatoties nākotnē, priekšlikums Likumprojektā lietot terminus: 1.paaudze” un  “modernā”. </w:t>
            </w:r>
          </w:p>
          <w:p w14:paraId="728B6764" w14:textId="77777777" w:rsidR="00780010" w:rsidRPr="001D7630" w:rsidRDefault="00780010" w:rsidP="00780010">
            <w:pPr>
              <w:tabs>
                <w:tab w:val="left" w:pos="993"/>
                <w:tab w:val="left" w:pos="1134"/>
              </w:tabs>
              <w:jc w:val="both"/>
            </w:pPr>
            <w:r w:rsidRPr="001D7630">
              <w:t>3. Nepieciešams svītrot likumprojekta 8.panta trešo un ceturto daļu, jo  Latvijai ir noteikts AER sasniedzamais mērķis un nav nepieciešamība Likumā  sadalīt pienākumus starp 1.paaudzes biodegviela un moderno biodegvielu. Degvielas tirgotājs pats izvēlēsies, kādā veidā viņš nodrošinās moderno biodegvielu un 1. paaudzes biodegvielu īpatsvaru un nav neieciešams degvielas tirgotāju ierobežot, liekot realizēt konkrētu apjomu 1.paaudzes biodegvielas.</w:t>
            </w:r>
          </w:p>
          <w:p w14:paraId="690A5B17" w14:textId="77777777" w:rsidR="00780010" w:rsidRPr="001D7630" w:rsidRDefault="00780010" w:rsidP="00780010">
            <w:pPr>
              <w:tabs>
                <w:tab w:val="left" w:pos="993"/>
                <w:tab w:val="left" w:pos="1134"/>
              </w:tabs>
              <w:jc w:val="both"/>
            </w:pPr>
            <w:r w:rsidRPr="001D7630">
              <w:t xml:space="preserve">4. Likumprojekta 8. panta trešajā daļā paredzēts, ka līdzdalības mehānisma ietvaros degvielas piegādātājs līdz 2023. </w:t>
            </w:r>
            <w:r w:rsidRPr="001D7630">
              <w:lastRenderedPageBreak/>
              <w:t>gada 31. decembrim ik gadu nodrošina biodegvielas obligāto piejaukumu benzīnam un dīzeļdegvielai. Mūsuprāt šajā pantā būtu jāpagarina termiņš līdz 2030.gada 1.janvārim, jo kamēr nav pietiekamā apjomā sākta ražot modernā biodegviela nevarēs sasniegt likumprojekta mērķi, pietiekami lielu AER apjomu transportā.</w:t>
            </w:r>
          </w:p>
          <w:p w14:paraId="4D55739F" w14:textId="77777777" w:rsidR="00780010" w:rsidRPr="001D7630" w:rsidRDefault="00780010" w:rsidP="00780010">
            <w:pPr>
              <w:tabs>
                <w:tab w:val="left" w:pos="993"/>
                <w:tab w:val="left" w:pos="1134"/>
              </w:tabs>
              <w:jc w:val="both"/>
            </w:pPr>
            <w:r w:rsidRPr="001D7630">
              <w:t>5. Likumā pēc iespējas lēzenākai ir jābūt pārejai no 1.paaudzes biodegvielas uz moderno biodegvielu, jo modernās biodegvielas Latvijā šobrīd neražo, un tās ievešana ekonomiski nav racionāla. Vietējie ražotāji, zemnieki un ar to saistītie uzņēmēji cietīs zaudējumus, ja pāreja būs strauja, palielināsies imports (biodegvielas ražošanai Latvijā izejvielu piegādā virs 113 piegādātājiem un no Latvijas zemniekiem tiek iepirktas 78 tūkst t. rapša par 33,5 milj. EUR/gadā).</w:t>
            </w:r>
          </w:p>
          <w:p w14:paraId="624174AD" w14:textId="77777777" w:rsidR="00780010" w:rsidRPr="001D7630" w:rsidRDefault="00780010" w:rsidP="00780010">
            <w:pPr>
              <w:tabs>
                <w:tab w:val="left" w:pos="993"/>
                <w:tab w:val="left" w:pos="1134"/>
              </w:tabs>
              <w:jc w:val="both"/>
            </w:pPr>
            <w:r w:rsidRPr="001D7630">
              <w:t>6. Ir jāparedz AER mērķa definēšanu katram gadam atsevišķi. Likumprojektā ir jānosaka deleģējums MK apstiprināt konkrētu plānu un kārtību, kā nonāk pie 7% AER mērķa transportā, kā arī plānu kā valsts sasniedz 9.panta 1.daļā noteikto siltumnīcefekta gāzu emisiju uz enerģijas vienību samazinājumu vismaz par sešiem procentiem attiecībā pret degvielas pamatstandartu.</w:t>
            </w:r>
          </w:p>
          <w:p w14:paraId="0425E97E" w14:textId="77777777" w:rsidR="00780010" w:rsidRPr="001D7630" w:rsidRDefault="00780010" w:rsidP="00780010">
            <w:pPr>
              <w:tabs>
                <w:tab w:val="left" w:pos="993"/>
                <w:tab w:val="left" w:pos="1134"/>
              </w:tabs>
              <w:jc w:val="both"/>
            </w:pPr>
            <w:r w:rsidRPr="001D7630">
              <w:t xml:space="preserve">7. Ļoti būtiski ir šo Transporta enerģijas likumu skatīt tieši NEKP uzstādīto mērķu </w:t>
            </w:r>
            <w:r w:rsidRPr="001D7630">
              <w:lastRenderedPageBreak/>
              <w:t>kontekstā, taču, diemžēl esošais plāns, šobrīd jau ir novecojis, jo Eiropas Parlaments, Padome un Komisija jau rudenī vienojās par daudz ambiciozākiem mērķiem uz 2030. gadu. Līdz ar to būtu jāredz jau jaunajā, paredzamajā plānā, Latvijas mērķa uzstādījumi, lai varētu saprast, vai Likumprojektā ietvertie instrumenti būs pietiekami risinājumi, lai to realizētu.</w:t>
            </w:r>
          </w:p>
          <w:p w14:paraId="3D7B35AE" w14:textId="77777777" w:rsidR="00780010" w:rsidRPr="001D7630" w:rsidRDefault="00780010" w:rsidP="00780010">
            <w:pPr>
              <w:tabs>
                <w:tab w:val="left" w:pos="993"/>
                <w:tab w:val="left" w:pos="1134"/>
              </w:tabs>
              <w:jc w:val="both"/>
            </w:pPr>
            <w:r w:rsidRPr="001D7630">
              <w:t>8. Līdz AER mērķu sasniegšanai transportā akcīzes nodokļa likmei ir jābūt tuvai nullei, jo jāņem vērā ieguldījums SEG emisiju samazināšanā.</w:t>
            </w:r>
          </w:p>
        </w:tc>
        <w:tc>
          <w:tcPr>
            <w:tcW w:w="2976" w:type="dxa"/>
            <w:tcBorders>
              <w:top w:val="single" w:sz="6" w:space="0" w:color="000000"/>
              <w:left w:val="single" w:sz="6" w:space="0" w:color="000000"/>
              <w:bottom w:val="single" w:sz="6" w:space="0" w:color="000000"/>
              <w:right w:val="single" w:sz="6" w:space="0" w:color="000000"/>
            </w:tcBorders>
          </w:tcPr>
          <w:p w14:paraId="3AC722D0" w14:textId="77777777" w:rsidR="00780010" w:rsidRPr="001D7630" w:rsidRDefault="00780010" w:rsidP="00780010">
            <w:pPr>
              <w:jc w:val="center"/>
              <w:rPr>
                <w:b/>
                <w:bCs/>
                <w:iCs/>
              </w:rPr>
            </w:pPr>
            <w:r w:rsidRPr="001D7630">
              <w:rPr>
                <w:b/>
                <w:bCs/>
                <w:iCs/>
              </w:rPr>
              <w:lastRenderedPageBreak/>
              <w:t>Ņemts vērā</w:t>
            </w:r>
          </w:p>
          <w:p w14:paraId="048F4DCC" w14:textId="77777777" w:rsidR="00780010" w:rsidRPr="001D7630" w:rsidRDefault="00780010" w:rsidP="00780010">
            <w:pPr>
              <w:rPr>
                <w:iCs/>
              </w:rPr>
            </w:pPr>
          </w:p>
          <w:p w14:paraId="08A8427C" w14:textId="77777777" w:rsidR="00780010" w:rsidRPr="001D7630" w:rsidRDefault="00780010" w:rsidP="00780010">
            <w:pPr>
              <w:rPr>
                <w:iCs/>
              </w:rPr>
            </w:pPr>
            <w:r w:rsidRPr="001D7630">
              <w:rPr>
                <w:iCs/>
              </w:rPr>
              <w:t>1. Skaidrojam, ka direktīvas 2018/2001 25.panta 1.punkts ir jāskata kontekstā ar 26.panta 1.punktu.</w:t>
            </w:r>
          </w:p>
          <w:p w14:paraId="3A0B4B71" w14:textId="77777777" w:rsidR="00780010" w:rsidRPr="001D7630" w:rsidRDefault="00780010" w:rsidP="00780010">
            <w:pPr>
              <w:rPr>
                <w:iCs/>
              </w:rPr>
            </w:pPr>
            <w:r w:rsidRPr="001D7630">
              <w:rPr>
                <w:iCs/>
              </w:rPr>
              <w:t>14% ir nosakāms, ja dalībvalsts arī 2030.gadā plāno mērķa izpildē izmantot tās biodegvielas vai biogāzi, kas netiek ražotas no likumprojekta pielikuma 1.punktā uzskaitītajām izejvielām. Tāpat direktīvā ir noteikts, ka to biodegvielu vai biogāzes, kas netiek ražotas no likumprojekta pielikuma 1.punktā uzskaitītajām izejvielām, apjoms 2030.gadā nevar pārsniegt 7%.</w:t>
            </w:r>
          </w:p>
          <w:p w14:paraId="5E59F0F6" w14:textId="77777777" w:rsidR="00780010" w:rsidRPr="001D7630" w:rsidRDefault="00780010" w:rsidP="00780010">
            <w:pPr>
              <w:rPr>
                <w:iCs/>
              </w:rPr>
            </w:pPr>
            <w:r w:rsidRPr="001D7630">
              <w:rPr>
                <w:iCs/>
              </w:rPr>
              <w:t xml:space="preserve">Vienlaikus Direktīvas 2018/2001 26.panta 1.punkta 4.rindkopā ir noteikts, ka dalībvalsts var samazināt direktīvas 2018/2001 25.panta 1.punktā minēto pienākumu par tādu apjomu, par kādu apjomu tiek samazināts pienākuma izpildē izmantojamais biodegvielu vai biogāzes, kas netiek ražotas no </w:t>
            </w:r>
            <w:r w:rsidRPr="001D7630">
              <w:rPr>
                <w:iCs/>
              </w:rPr>
              <w:lastRenderedPageBreak/>
              <w:t>likumprojekta pielikuma 1.punktā uzskaitītajām izejvielām, apjoms.</w:t>
            </w:r>
          </w:p>
          <w:p w14:paraId="3B7DEF13" w14:textId="77777777" w:rsidR="00780010" w:rsidRPr="001D7630" w:rsidRDefault="00780010" w:rsidP="00780010">
            <w:pPr>
              <w:rPr>
                <w:iCs/>
              </w:rPr>
            </w:pPr>
            <w:r w:rsidRPr="001D7630">
              <w:rPr>
                <w:iCs/>
              </w:rPr>
              <w:t>Norādām, ka jau saistošajā politikas plānošanas dokumentā – NEKP2030, ir noteikti mērķi, kas izriet no Direktīvas 2018/2001 25. un 26.panta. Ievērojot direktīvas 2018/2001 26.panta 1.punkta 4.rindkopu ir noteikts, ka Latvijā degvielas piegādātājiem piemērojamais mērķis ir 7% un tātad šī mērķa izpildē nevar ieskaitīt to biodegvielu vai biogāzes apjomu, kas netiek ražotas no likumprojekta pielikuma 1.punktā uzskaitītajām izejvielām.</w:t>
            </w:r>
          </w:p>
          <w:p w14:paraId="69498058" w14:textId="77777777" w:rsidR="00780010" w:rsidRPr="001D7630" w:rsidRDefault="00780010" w:rsidP="00780010">
            <w:pPr>
              <w:rPr>
                <w:iCs/>
              </w:rPr>
            </w:pPr>
            <w:r w:rsidRPr="001D7630">
              <w:rPr>
                <w:iCs/>
              </w:rPr>
              <w:t>Vienlaikus likumprojektā nav iekļauts ierobežojums degvielas piegādātājiem šādas biodegvielas vai biogāzi piegādāt galapatēriņam transportā tai skaitā arī, lai izpildītu likumprojekta 9.pantā noteikto pienākumu.</w:t>
            </w:r>
          </w:p>
          <w:p w14:paraId="43CDA502" w14:textId="77777777" w:rsidR="00780010" w:rsidRPr="001D7630" w:rsidRDefault="00780010" w:rsidP="00780010">
            <w:pPr>
              <w:rPr>
                <w:iCs/>
              </w:rPr>
            </w:pPr>
          </w:p>
          <w:p w14:paraId="43400CED" w14:textId="77777777" w:rsidR="00780010" w:rsidRPr="001D7630" w:rsidRDefault="00780010" w:rsidP="00780010">
            <w:pPr>
              <w:rPr>
                <w:iCs/>
              </w:rPr>
            </w:pPr>
            <w:r w:rsidRPr="001D7630">
              <w:rPr>
                <w:iCs/>
              </w:rPr>
              <w:t xml:space="preserve">3. norādām, ka Latvijai tieši ir saistošs moderno biodegvielu mērķis, kas ir </w:t>
            </w:r>
            <w:r w:rsidRPr="001D7630">
              <w:rPr>
                <w:iCs/>
              </w:rPr>
              <w:lastRenderedPageBreak/>
              <w:t>noteikts direktīvas 2018/2001 25.panta 1.punkta 4.rindkopā.</w:t>
            </w:r>
          </w:p>
          <w:p w14:paraId="0B3CB9B7" w14:textId="77777777" w:rsidR="00780010" w:rsidRPr="001D7630" w:rsidRDefault="00780010" w:rsidP="00780010">
            <w:pPr>
              <w:rPr>
                <w:iCs/>
              </w:rPr>
            </w:pPr>
          </w:p>
          <w:p w14:paraId="33AD5E40" w14:textId="77777777" w:rsidR="00780010" w:rsidRPr="001D7630" w:rsidRDefault="00780010" w:rsidP="00780010">
            <w:pPr>
              <w:rPr>
                <w:b/>
                <w:bCs/>
                <w:iCs/>
              </w:rPr>
            </w:pPr>
            <w:r w:rsidRPr="001D7630">
              <w:rPr>
                <w:iCs/>
              </w:rPr>
              <w:t>4. skaidrojam, ka obligātā piejaukuma prasību pagarinājums neietekmēs likumprojekta 8.panta 4. un 5.daļā noteikto mērķu sasniegšanu. Norādām, ka tie ir direktīvā 2018/2001 noteiktie obligātie mērķi. NEKP2030 un arī likumprojektā ir noteikti līdzsvaroti mērķi un to aptvērums, kur izsvērta tehniskā un ekonomiskā izpildāmība un iespējas.</w:t>
            </w:r>
          </w:p>
          <w:p w14:paraId="1D057CA4" w14:textId="77777777" w:rsidR="00780010" w:rsidRPr="001D7630" w:rsidRDefault="00780010" w:rsidP="00780010">
            <w:pPr>
              <w:rPr>
                <w:b/>
                <w:bCs/>
                <w:iCs/>
              </w:rPr>
            </w:pPr>
          </w:p>
          <w:p w14:paraId="768B6CAD" w14:textId="77777777" w:rsidR="00780010" w:rsidRPr="001D7630" w:rsidRDefault="00780010" w:rsidP="00780010">
            <w:pPr>
              <w:rPr>
                <w:iCs/>
              </w:rPr>
            </w:pPr>
            <w:r w:rsidRPr="001D7630">
              <w:rPr>
                <w:iCs/>
              </w:rPr>
              <w:t>5. norādām, ka moderno biodegvielu mērķis ir noteikts direktīvas 2018/2001 25.panta 1.punkta 4.rindkopā un ir Latvijai saistošs.</w:t>
            </w:r>
          </w:p>
          <w:p w14:paraId="5DD52587" w14:textId="77777777" w:rsidR="00780010" w:rsidRPr="001D7630" w:rsidRDefault="00780010" w:rsidP="00780010">
            <w:pPr>
              <w:rPr>
                <w:iCs/>
              </w:rPr>
            </w:pPr>
            <w:r w:rsidRPr="001D7630">
              <w:rPr>
                <w:iCs/>
              </w:rPr>
              <w:t>Ņemot vērā šo obligāto saistošo mērķi un 2030.gada kopējo saistošo minimālo mērķi, likumprojektā 8.panta 4. un 5.daļā iekļauti nosacījumi, lai pēc iespējams neietekmētu enerģijas cenas patērētājiem.</w:t>
            </w:r>
          </w:p>
          <w:p w14:paraId="550D8F79" w14:textId="77777777" w:rsidR="00780010" w:rsidRPr="001D7630" w:rsidRDefault="00780010" w:rsidP="00780010">
            <w:pPr>
              <w:rPr>
                <w:iCs/>
              </w:rPr>
            </w:pPr>
            <w:r w:rsidRPr="001D7630">
              <w:rPr>
                <w:iCs/>
              </w:rPr>
              <w:lastRenderedPageBreak/>
              <w:t>Vienlaikus</w:t>
            </w:r>
            <w:r w:rsidRPr="001D7630">
              <w:rPr>
                <w:b/>
                <w:bCs/>
                <w:iCs/>
              </w:rPr>
              <w:t xml:space="preserve"> </w:t>
            </w:r>
            <w:r w:rsidRPr="001D7630">
              <w:rPr>
                <w:iCs/>
              </w:rPr>
              <w:t>likumprojektā nav iekļauts ierobežojums degvielas piegādātājiem šādas biodegvielas vai biogāzi piegādāt galapatēriņam transportā tai skaitā arī, lai izpildītu likumprojekta 9.pantā noteikto pienākumu.</w:t>
            </w:r>
          </w:p>
          <w:p w14:paraId="0445F039" w14:textId="77777777" w:rsidR="00780010" w:rsidRPr="001D7630" w:rsidRDefault="00780010" w:rsidP="00780010">
            <w:pPr>
              <w:rPr>
                <w:iCs/>
              </w:rPr>
            </w:pPr>
          </w:p>
          <w:p w14:paraId="0A1D7754" w14:textId="77777777" w:rsidR="00780010" w:rsidRPr="001D7630" w:rsidRDefault="00780010" w:rsidP="00780010">
            <w:pPr>
              <w:rPr>
                <w:iCs/>
              </w:rPr>
            </w:pPr>
            <w:r w:rsidRPr="001D7630">
              <w:rPr>
                <w:iCs/>
              </w:rPr>
              <w:t>6. Rīcībpolitika un pasākumi NEKP2030 noteikto mērķu sasniegšanai ir noteikti NEKP2030 4.pielikumā.</w:t>
            </w:r>
          </w:p>
          <w:p w14:paraId="277782F8" w14:textId="77777777" w:rsidR="00780010" w:rsidRPr="001D7630" w:rsidRDefault="00780010" w:rsidP="00780010">
            <w:pPr>
              <w:rPr>
                <w:iCs/>
              </w:rPr>
            </w:pPr>
            <w:r w:rsidRPr="001D7630">
              <w:rPr>
                <w:iCs/>
              </w:rPr>
              <w:t>Skaidrojam arī, ka transporta enerģijas aprites cikla SEG emisiju intensitātes samazināšanas mērķis nav valstij saistošs mērķis, bet tikai degvielas piegādātājiem saistošs mērķis – Direktīvas 98/70EK 7a.panta 2.punkts.</w:t>
            </w:r>
          </w:p>
          <w:p w14:paraId="2EE83970" w14:textId="77777777" w:rsidR="00780010" w:rsidRPr="001D7630" w:rsidRDefault="00780010" w:rsidP="00780010">
            <w:pPr>
              <w:rPr>
                <w:iCs/>
              </w:rPr>
            </w:pPr>
          </w:p>
          <w:p w14:paraId="1DF05342" w14:textId="77777777" w:rsidR="00780010" w:rsidRPr="001D7630" w:rsidRDefault="00780010" w:rsidP="00780010">
            <w:pPr>
              <w:rPr>
                <w:iCs/>
              </w:rPr>
            </w:pPr>
            <w:r w:rsidRPr="001D7630">
              <w:rPr>
                <w:iCs/>
              </w:rPr>
              <w:t xml:space="preserve">7. norādām, ka vienošanās par ambiciozākajiem klimata mērķiem vēl nenozīmē arī ambiciozākus atjaunojamās transporta enerģijas mērķus. Tāpat norādām, ka jaunie mērķi, ja tādi būs, stāsies spēkā ne ātrāk kā 2023.gadā, bet NEKP2030 un direktīvā 2018/2001 noteiktie mērķi ir </w:t>
            </w:r>
            <w:r w:rsidRPr="001D7630">
              <w:rPr>
                <w:iCs/>
              </w:rPr>
              <w:lastRenderedPageBreak/>
              <w:t>saistoši jau ar 2021.gada 1.janvāri.</w:t>
            </w:r>
          </w:p>
          <w:p w14:paraId="27B6CF17" w14:textId="77777777" w:rsidR="00780010" w:rsidRPr="001D7630" w:rsidRDefault="00780010" w:rsidP="00780010">
            <w:pPr>
              <w:rPr>
                <w:iCs/>
              </w:rPr>
            </w:pPr>
          </w:p>
          <w:p w14:paraId="2B335D1B" w14:textId="77777777" w:rsidR="00780010" w:rsidRPr="001D7630" w:rsidRDefault="00780010" w:rsidP="00780010">
            <w:pPr>
              <w:rPr>
                <w:b/>
                <w:bCs/>
                <w:iCs/>
              </w:rPr>
            </w:pPr>
            <w:r w:rsidRPr="001D7630">
              <w:rPr>
                <w:iCs/>
              </w:rPr>
              <w:t>8. Akcīzes nodoklis netiek definēts šajā likumprojektā. Vienlaikus nav skaidrs, kādai akcīzes nodokļa likmei ir jābūt pēc iespējas mazākai.</w:t>
            </w:r>
          </w:p>
        </w:tc>
        <w:tc>
          <w:tcPr>
            <w:tcW w:w="4291" w:type="dxa"/>
            <w:tcBorders>
              <w:top w:val="single" w:sz="4" w:space="0" w:color="auto"/>
              <w:left w:val="single" w:sz="4" w:space="0" w:color="auto"/>
              <w:bottom w:val="single" w:sz="4" w:space="0" w:color="auto"/>
            </w:tcBorders>
          </w:tcPr>
          <w:p w14:paraId="6C878DAD" w14:textId="77777777" w:rsidR="00780010" w:rsidRPr="001D7630" w:rsidRDefault="00780010" w:rsidP="00780010">
            <w:pPr>
              <w:pStyle w:val="naisf"/>
              <w:spacing w:before="0" w:after="0"/>
              <w:ind w:firstLine="0"/>
            </w:pPr>
            <w:r w:rsidRPr="001D7630">
              <w:lastRenderedPageBreak/>
              <w:t>Likumprojekta 8.pants ir precizēts.</w:t>
            </w:r>
          </w:p>
          <w:p w14:paraId="275320E2" w14:textId="77777777" w:rsidR="00780010" w:rsidRPr="001D7630" w:rsidRDefault="00780010" w:rsidP="00780010">
            <w:pPr>
              <w:pStyle w:val="naisf"/>
              <w:spacing w:before="0" w:after="0"/>
              <w:ind w:firstLine="0"/>
            </w:pPr>
          </w:p>
          <w:p w14:paraId="3B213B78" w14:textId="77777777" w:rsidR="00780010" w:rsidRPr="001D7630" w:rsidRDefault="00780010" w:rsidP="00780010">
            <w:pPr>
              <w:ind w:right="80"/>
              <w:jc w:val="both"/>
            </w:pPr>
            <w:r w:rsidRPr="001D7630">
              <w:t>Likumprojekta anotācijas I sadaļas 2.punkta sadaļa “</w:t>
            </w:r>
            <w:r w:rsidRPr="001D7630">
              <w:rPr>
                <w:u w:val="single"/>
              </w:rPr>
              <w:t>Likumprojekta 8.pants</w:t>
            </w:r>
            <w:r w:rsidRPr="001D7630">
              <w:t>” ir būtiski papildināta.</w:t>
            </w:r>
          </w:p>
          <w:p w14:paraId="04F33B5F" w14:textId="77777777" w:rsidR="00780010" w:rsidRPr="001D7630" w:rsidRDefault="00780010" w:rsidP="00780010">
            <w:pPr>
              <w:pStyle w:val="naisf"/>
              <w:spacing w:before="0" w:after="0"/>
              <w:ind w:firstLine="0"/>
            </w:pPr>
          </w:p>
        </w:tc>
      </w:tr>
      <w:tr w:rsidR="00780010" w:rsidRPr="001D7630" w14:paraId="4F420CDF"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6CE42E41"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08CF613D"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16D221AD" w14:textId="77777777" w:rsidR="00780010" w:rsidRPr="001D7630" w:rsidRDefault="00780010" w:rsidP="00780010">
            <w:pPr>
              <w:autoSpaceDE w:val="0"/>
              <w:autoSpaceDN w:val="0"/>
              <w:adjustRightInd w:val="0"/>
              <w:jc w:val="center"/>
              <w:rPr>
                <w:b/>
                <w:bCs/>
                <w:color w:val="000000"/>
              </w:rPr>
            </w:pPr>
            <w:r w:rsidRPr="001D7630">
              <w:rPr>
                <w:b/>
                <w:bCs/>
                <w:color w:val="000000"/>
              </w:rPr>
              <w:t>Lauksaimniecības pakalpojumu kooperatīvā sabiedrība “LATRAPS”</w:t>
            </w:r>
          </w:p>
          <w:p w14:paraId="1662AC63" w14:textId="77777777" w:rsidR="00780010" w:rsidRPr="001D7630" w:rsidRDefault="00780010" w:rsidP="00780010">
            <w:pPr>
              <w:autoSpaceDE w:val="0"/>
              <w:autoSpaceDN w:val="0"/>
              <w:adjustRightInd w:val="0"/>
              <w:jc w:val="both"/>
              <w:rPr>
                <w:color w:val="000000"/>
              </w:rPr>
            </w:pPr>
            <w:r w:rsidRPr="001D7630">
              <w:rPr>
                <w:color w:val="000000"/>
              </w:rPr>
              <w:t xml:space="preserve">1) Likumprojekta 8. panta trešajā daļā paredzēts, ka līdzdalības mehānisma ietvaros degvielas piegādātājs līdz 2023. gada 31. decembrim ik gadu nodrošina biodegvielas obligāto piejaukumu benzīnam un dīzeļdegvielai. Mūsuprāt šajā pantā būtu jāpagarina termiņš līdz 2030.gada 1.janvārim, jo kamēr nav pietiekamā apjomā ieviesta otrās paaudzes biodegviela (2024-2030.gados) nevarēs sasniegt likumprojekta mērķi, pietiekami lielu AER apjomu transportā; </w:t>
            </w:r>
          </w:p>
          <w:p w14:paraId="627C10D4" w14:textId="77777777" w:rsidR="00780010" w:rsidRPr="001D7630" w:rsidRDefault="00780010" w:rsidP="00780010">
            <w:pPr>
              <w:autoSpaceDE w:val="0"/>
              <w:autoSpaceDN w:val="0"/>
              <w:adjustRightInd w:val="0"/>
              <w:jc w:val="both"/>
              <w:rPr>
                <w:color w:val="000000"/>
              </w:rPr>
            </w:pPr>
            <w:r w:rsidRPr="001D7630">
              <w:rPr>
                <w:color w:val="000000"/>
              </w:rPr>
              <w:t xml:space="preserve">2) Likumprojektā nav noteikts Nacionālajā enerģētikas un klimata plānā (NEKP) definētais kopējais 7% AER apjoma mērķis transportā, mūsuprāt būtu likumprojektā jānorāda šis mērķis, lai veicinātu biodegvielu izmantošanu Latvijā. Iespējams, ka likumprojektā var noteikt deleģējumu MK apstiprināt konkrētu plānu un kārtību, kā nonāk pie 7% AER mērķa transportā, kā arī plānu kā valsts sasniedz 9.panta 1.daļā noteikto </w:t>
            </w:r>
            <w:r w:rsidRPr="001D7630">
              <w:rPr>
                <w:color w:val="000000"/>
              </w:rPr>
              <w:lastRenderedPageBreak/>
              <w:t xml:space="preserve">siltumnīcefekta gāzu emisiju uz enerģijas vienību samazinājumu vismaz par sešiem procentiem attiecībā pret degvielas pamatstandartu; </w:t>
            </w:r>
          </w:p>
          <w:p w14:paraId="4C9E7E11" w14:textId="77777777" w:rsidR="00780010" w:rsidRPr="001D7630" w:rsidRDefault="00780010" w:rsidP="00780010">
            <w:pPr>
              <w:autoSpaceDE w:val="0"/>
              <w:autoSpaceDN w:val="0"/>
              <w:adjustRightInd w:val="0"/>
              <w:jc w:val="both"/>
              <w:rPr>
                <w:b/>
                <w:bCs/>
              </w:rPr>
            </w:pPr>
            <w:r w:rsidRPr="001D7630">
              <w:rPr>
                <w:color w:val="000000"/>
              </w:rPr>
              <w:t>3) Lai sasniegtu noteiktos AER mērķus transportā 7% apmērā, būtu jākāpina biodegvielas izmantošanas kopējie apjomi, piemēram, šobrīd Latvijā obligātais piejaukums transportā izmantojamai dīzeļdegvielai ir noteikts tikai vasaras periodā, kas ilgst attiecīgi tikai pusgadu un ar ko var sasniegt biodegvielas piejaukumu dīzeļdegvielai tikai aptuveni 3,5% pēc tilpuma, attiecinot to un pilnu gadu. Lai sasniegtu noteiktos mērķus (7%), būtu jāparedz nodrošināt obligāto biodegvielas piejaukumu transportā izmantojamai degvielai arī ziemas periodā, līdzīgi kā tas noteikts Lietuvā ar līdzīgiem ziemas klimatiskajiem apstākļiem.</w:t>
            </w:r>
          </w:p>
        </w:tc>
        <w:tc>
          <w:tcPr>
            <w:tcW w:w="2976" w:type="dxa"/>
            <w:tcBorders>
              <w:top w:val="single" w:sz="6" w:space="0" w:color="000000"/>
              <w:left w:val="single" w:sz="6" w:space="0" w:color="000000"/>
              <w:bottom w:val="single" w:sz="6" w:space="0" w:color="000000"/>
              <w:right w:val="single" w:sz="6" w:space="0" w:color="000000"/>
            </w:tcBorders>
          </w:tcPr>
          <w:p w14:paraId="77571EF9" w14:textId="77777777" w:rsidR="00780010" w:rsidRPr="001D7630" w:rsidRDefault="00780010" w:rsidP="00780010">
            <w:pPr>
              <w:jc w:val="center"/>
              <w:rPr>
                <w:b/>
                <w:bCs/>
                <w:iCs/>
              </w:rPr>
            </w:pPr>
            <w:r w:rsidRPr="001D7630">
              <w:rPr>
                <w:b/>
                <w:bCs/>
                <w:iCs/>
              </w:rPr>
              <w:lastRenderedPageBreak/>
              <w:t>Ņemts vērā</w:t>
            </w:r>
          </w:p>
          <w:p w14:paraId="644C3DA0" w14:textId="77777777" w:rsidR="00780010" w:rsidRPr="001D7630" w:rsidRDefault="00780010" w:rsidP="00780010">
            <w:pPr>
              <w:rPr>
                <w:b/>
                <w:bCs/>
                <w:iCs/>
              </w:rPr>
            </w:pPr>
          </w:p>
          <w:p w14:paraId="5BE5170A" w14:textId="77777777" w:rsidR="00780010" w:rsidRPr="001D7630" w:rsidRDefault="00780010" w:rsidP="00780010">
            <w:pPr>
              <w:rPr>
                <w:iCs/>
              </w:rPr>
            </w:pPr>
            <w:r w:rsidRPr="001D7630">
              <w:rPr>
                <w:iCs/>
              </w:rPr>
              <w:t>[1] Skaidrojam, ka likumprojekta 8.panta 4. un 5.daļā iekļautie mērķi ir obligātie saistoši direktīvā 2018/2001 noteiktie mērķi, kur dalībvalstīm nav dota izvēles brīvība tos piemērot vai nepiemērot.</w:t>
            </w:r>
          </w:p>
          <w:p w14:paraId="7EB1B465" w14:textId="77777777" w:rsidR="00780010" w:rsidRPr="001D7630" w:rsidRDefault="00780010" w:rsidP="00780010">
            <w:pPr>
              <w:rPr>
                <w:iCs/>
              </w:rPr>
            </w:pPr>
            <w:r w:rsidRPr="001D7630">
              <w:rPr>
                <w:iCs/>
              </w:rPr>
              <w:t>Tāpat norādām, ka šie mērķi ir jau noteikti spēkā esošajā politikas plānošanas dokumentā – NEKP2030.</w:t>
            </w:r>
          </w:p>
          <w:p w14:paraId="026277C3" w14:textId="77777777" w:rsidR="00780010" w:rsidRPr="001D7630" w:rsidRDefault="00780010" w:rsidP="00780010">
            <w:pPr>
              <w:rPr>
                <w:iCs/>
              </w:rPr>
            </w:pPr>
            <w:r w:rsidRPr="001D7630">
              <w:rPr>
                <w:iCs/>
              </w:rPr>
              <w:t xml:space="preserve">Vienlaikus, lai nodrošinātu pakāpenisku pāreju no spēkā esošās sistēmas – obligātā piejaukuma, uz līdzdalības mehānisma pienākumu, kā arī lai ievērotu tiesiskās paļāvības principus un lai atjaunojamās enerģijas īpatsvaru tuvinātu 2020.gada mērķu apjomam obligātā piejaukuma nosacījums </w:t>
            </w:r>
            <w:r w:rsidRPr="001D7630">
              <w:rPr>
                <w:iCs/>
              </w:rPr>
              <w:lastRenderedPageBreak/>
              <w:t>terminētu periodu tiek saglabāts, vienlaikus nenosakot, ka šis piejaukums ir īstenojams ar 1.paaudzes biodegvielu vai moderno biodegvielu.</w:t>
            </w:r>
          </w:p>
          <w:p w14:paraId="16992B11" w14:textId="77777777" w:rsidR="00780010" w:rsidRPr="001D7630" w:rsidRDefault="00780010" w:rsidP="00780010">
            <w:pPr>
              <w:rPr>
                <w:b/>
                <w:bCs/>
                <w:iCs/>
              </w:rPr>
            </w:pPr>
          </w:p>
          <w:p w14:paraId="0D15D9A3" w14:textId="77777777" w:rsidR="00780010" w:rsidRPr="001D7630" w:rsidRDefault="00780010" w:rsidP="00780010">
            <w:pPr>
              <w:rPr>
                <w:iCs/>
              </w:rPr>
            </w:pPr>
            <w:r w:rsidRPr="001D7630">
              <w:rPr>
                <w:iCs/>
              </w:rPr>
              <w:t>2) Skaidrojam, ka direktīvas 2018/2001 25.panta 1.punkts ir jāskata kontekstā ar 26.panta 1.punktu.</w:t>
            </w:r>
          </w:p>
          <w:p w14:paraId="1A4AFE03" w14:textId="77777777" w:rsidR="00780010" w:rsidRPr="001D7630" w:rsidRDefault="00780010" w:rsidP="00780010">
            <w:pPr>
              <w:rPr>
                <w:iCs/>
              </w:rPr>
            </w:pPr>
            <w:r w:rsidRPr="001D7630">
              <w:rPr>
                <w:iCs/>
              </w:rPr>
              <w:t>14% ir nosakāms, ja dalībvalsts arī 2030.gadā plāno mērķa izpildē izmantot tās biodegvielas vai biogāzi, kas netiek ražotas no likumprojekta pielikuma 1.punktā uzskaitītajām izejvielām. Tāpat direktīvā ir noteikts, ka to biodegvielu vai biogāzes, kas netiek ražotas no likumprojekta pielikuma 1.punktā uzskaitītajām izejvielām, apjoms 2030.gadā nevar pārsniegt 7%.</w:t>
            </w:r>
          </w:p>
          <w:p w14:paraId="49FF6A9E" w14:textId="77777777" w:rsidR="00780010" w:rsidRPr="001D7630" w:rsidRDefault="00780010" w:rsidP="00780010">
            <w:pPr>
              <w:rPr>
                <w:iCs/>
              </w:rPr>
            </w:pPr>
            <w:r w:rsidRPr="001D7630">
              <w:rPr>
                <w:iCs/>
              </w:rPr>
              <w:t xml:space="preserve">Vienlaikus Direktīvas 2018/2001 26.panta 1.punkta 4.rindkopā ir noteikts, ka dalībvalsts var samazināt direktīvas 2018/2001 25.panta 1.punktā minēto pienākumu par tādu apjomu, </w:t>
            </w:r>
            <w:r w:rsidRPr="001D7630">
              <w:rPr>
                <w:iCs/>
              </w:rPr>
              <w:lastRenderedPageBreak/>
              <w:t>par kādu apjomu tiek samazināts pienākuma izpildē izmantojamais biodegvielu vai biogāzes, kas netiek ražotas no likumprojekta pielikuma 1.punktā uzskaitītajām izejvielām, apjoms.</w:t>
            </w:r>
          </w:p>
          <w:p w14:paraId="66AA0BB5" w14:textId="77777777" w:rsidR="00780010" w:rsidRPr="001D7630" w:rsidRDefault="00780010" w:rsidP="00780010">
            <w:pPr>
              <w:rPr>
                <w:iCs/>
              </w:rPr>
            </w:pPr>
            <w:r w:rsidRPr="001D7630">
              <w:rPr>
                <w:iCs/>
              </w:rPr>
              <w:t>Norādām, ka jau saistošajā politikas plānošanas dokumentā – NEKP2030, ir noteikti mērķi, kas izriet no Direktīvas 2018/2001 25. un 26.panta. Ievērojot direktīvas 2018/2001 26.panta 1.punkta 4.rindkopu ir noteikts, ka Latvijā degvielas piegādātājiem piemērojamais mērķis ir 7% un tātad šī mērķa izpildē nevar ieskaitīt to biodegvielu vai biogāzes apjomu, kas netiek ražotas no likumprojekta pielikuma 1.punktā uzskaitītajām izejvielām.</w:t>
            </w:r>
          </w:p>
          <w:p w14:paraId="24901691" w14:textId="77777777" w:rsidR="00780010" w:rsidRPr="001D7630" w:rsidRDefault="00780010" w:rsidP="00780010">
            <w:pPr>
              <w:rPr>
                <w:iCs/>
              </w:rPr>
            </w:pPr>
            <w:r w:rsidRPr="001D7630">
              <w:rPr>
                <w:iCs/>
              </w:rPr>
              <w:t xml:space="preserve">Vienlaikus likumprojektā nav iekļauts ierobežojums degvielas piegādātājiem šādas biodegvielas vai biogāzi piegādāt galapatēriņam transportā tai skaitā arī, lai izpildītu </w:t>
            </w:r>
            <w:r w:rsidRPr="001D7630">
              <w:rPr>
                <w:iCs/>
              </w:rPr>
              <w:lastRenderedPageBreak/>
              <w:t>likumprojekta 9.pantā noteikto pienākumu.</w:t>
            </w:r>
          </w:p>
          <w:p w14:paraId="46BE7D29" w14:textId="77777777" w:rsidR="00780010" w:rsidRPr="001D7630" w:rsidRDefault="00780010" w:rsidP="00780010">
            <w:pPr>
              <w:rPr>
                <w:b/>
                <w:bCs/>
                <w:iCs/>
              </w:rPr>
            </w:pPr>
            <w:r w:rsidRPr="001D7630">
              <w:rPr>
                <w:iCs/>
              </w:rPr>
              <w:t>3) Norādām, ka biodegvielu piejaukuma prasība saskaņā ar likumprojekta 8.panta 3.daļu ir spēkā tikai līdz 2023.gada beigām. Pēc tam degvielas piegādātājam pašam ir jāvērtē un jālemj, kā izpildīt noteiktos mērķus, tai skaitā pievienojot degvielai moderno biodegvielu un iespējams šo pievienošanu veicot visu gadu.</w:t>
            </w:r>
          </w:p>
        </w:tc>
        <w:tc>
          <w:tcPr>
            <w:tcW w:w="4291" w:type="dxa"/>
            <w:tcBorders>
              <w:top w:val="single" w:sz="4" w:space="0" w:color="auto"/>
              <w:left w:val="single" w:sz="4" w:space="0" w:color="auto"/>
              <w:bottom w:val="single" w:sz="4" w:space="0" w:color="auto"/>
            </w:tcBorders>
          </w:tcPr>
          <w:p w14:paraId="14D4687C" w14:textId="77777777" w:rsidR="00780010" w:rsidRPr="001D7630" w:rsidRDefault="00780010" w:rsidP="00780010">
            <w:pPr>
              <w:pStyle w:val="naisf"/>
              <w:spacing w:before="0" w:after="0"/>
              <w:ind w:firstLine="0"/>
            </w:pPr>
            <w:r w:rsidRPr="001D7630">
              <w:lastRenderedPageBreak/>
              <w:t>Likumprojekta 8.pants ir precizēts.</w:t>
            </w:r>
          </w:p>
          <w:p w14:paraId="33B927AD" w14:textId="77777777" w:rsidR="00780010" w:rsidRPr="001D7630" w:rsidRDefault="00780010" w:rsidP="00780010">
            <w:pPr>
              <w:pStyle w:val="naisf"/>
              <w:spacing w:before="0" w:after="0"/>
              <w:ind w:firstLine="0"/>
            </w:pPr>
          </w:p>
          <w:p w14:paraId="6133EE63" w14:textId="77777777" w:rsidR="00780010" w:rsidRPr="001D7630" w:rsidRDefault="00780010" w:rsidP="00780010">
            <w:pPr>
              <w:ind w:right="80"/>
              <w:jc w:val="both"/>
            </w:pPr>
            <w:r w:rsidRPr="001D7630">
              <w:t>Likumprojekta anotācijas I sadaļas 2.punkta sadaļa “</w:t>
            </w:r>
            <w:r w:rsidRPr="001D7630">
              <w:rPr>
                <w:u w:val="single"/>
              </w:rPr>
              <w:t>Likumprojekta 8.pants</w:t>
            </w:r>
            <w:r w:rsidRPr="001D7630">
              <w:t>” ir būtiski papildināta.</w:t>
            </w:r>
          </w:p>
          <w:p w14:paraId="204D444D" w14:textId="77777777" w:rsidR="00780010" w:rsidRPr="001D7630" w:rsidRDefault="00780010" w:rsidP="00780010">
            <w:pPr>
              <w:pStyle w:val="naisf"/>
              <w:spacing w:before="0" w:after="0"/>
              <w:ind w:firstLine="0"/>
            </w:pPr>
          </w:p>
        </w:tc>
      </w:tr>
      <w:tr w:rsidR="00780010" w:rsidRPr="001D7630" w14:paraId="4531F00D"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33F4AB1E"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4C556B26"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03FC7510" w14:textId="77777777" w:rsidR="00780010" w:rsidRPr="001D7630" w:rsidRDefault="00780010" w:rsidP="00780010">
            <w:pPr>
              <w:tabs>
                <w:tab w:val="left" w:pos="993"/>
                <w:tab w:val="left" w:pos="1134"/>
              </w:tabs>
              <w:jc w:val="center"/>
              <w:rPr>
                <w:b/>
                <w:bCs/>
              </w:rPr>
            </w:pPr>
            <w:r w:rsidRPr="001D7630">
              <w:rPr>
                <w:b/>
                <w:bCs/>
              </w:rPr>
              <w:t>AS “Latvijas Gāze”</w:t>
            </w:r>
          </w:p>
          <w:p w14:paraId="07239BA4" w14:textId="77777777" w:rsidR="00780010" w:rsidRPr="001D7630" w:rsidRDefault="00780010" w:rsidP="00780010">
            <w:pPr>
              <w:tabs>
                <w:tab w:val="left" w:pos="993"/>
                <w:tab w:val="left" w:pos="1134"/>
              </w:tabs>
              <w:jc w:val="center"/>
              <w:rPr>
                <w:b/>
                <w:bCs/>
              </w:rPr>
            </w:pPr>
            <w:r w:rsidRPr="001D7630">
              <w:rPr>
                <w:b/>
                <w:bCs/>
              </w:rPr>
              <w:t>(11.01.2021.)</w:t>
            </w:r>
          </w:p>
          <w:p w14:paraId="7C169839" w14:textId="77777777" w:rsidR="00780010" w:rsidRPr="001D7630" w:rsidRDefault="00780010" w:rsidP="00780010">
            <w:pPr>
              <w:jc w:val="both"/>
            </w:pPr>
            <w:r w:rsidRPr="001D7630">
              <w:t>1. Ar likumprojektu cita starpā tiek ieviesta Eiropas Savienības (ES) Direktīva 2018/2001 par no atjaunojamiem energoresursiem iegūtas enerģijas izmantošanas veicināšanu (turpmāk – AER direktīva). Viens no direktīvas un likumprojekta mērķiem ir veicināt atjaunojamās enerģijas izmantošanu transportā, lai sekmētu ilgtspējīgu tautsaimniecības attīstību un samazinātu siltumnīcefekta gāzu (SEG) un citu gaisu piesārņojošo vielu emisiju. Šajā sakarā, kā jau Ekonomikas ministrija to norāda likumprojekta anotācijā – ES ir ļoti ambiciozi SEG emisiju samazināšanas mērķi (šobrīd -40%, tiks noteikts -55%).</w:t>
            </w:r>
          </w:p>
          <w:p w14:paraId="09DAC503" w14:textId="77777777" w:rsidR="00780010" w:rsidRPr="001D7630" w:rsidRDefault="00780010" w:rsidP="00780010">
            <w:pPr>
              <w:jc w:val="both"/>
            </w:pPr>
            <w:r w:rsidRPr="001D7630">
              <w:lastRenderedPageBreak/>
              <w:t xml:space="preserve">Šo mērķu īstenošana ir saistīta ar ievērojamām izmaksām, kas minētās direktīvas kontekstā ir atzīts, ļaujot ES dalībvalstīm izvēlēties efektīvākos mērķu sasniegšanas līdzekļus, kā primāro izvirzot to, lai izvirzītie mērķi tiktu sasniegti. Tādēļ atkārtoti aicinām izvērtēt iespēju iekļaut šajā likumprojektā vai citā ar to saistītā normatīvajā aktā regulējumu, kurš ļautu atjaunojamo energoresursu transporta sektorā mērķa sasniegšanā ieskaitīt (statistiski) ne tikai to </w:t>
            </w:r>
            <w:r w:rsidRPr="001D7630">
              <w:rPr>
                <w:b/>
                <w:bCs/>
              </w:rPr>
              <w:t>biodegvielu vai biogāzi, kuru gala patēriņam realizējis degvielas piegādātājs, bet arī to, kuru pašpatēriņam izmantojis jebkurš komersants (tai nemaz nenonākot degvielas realizācijas ķēdē).</w:t>
            </w:r>
            <w:r w:rsidRPr="001D7630">
              <w:t xml:space="preserve"> Šāda pieeja ar ES regulējumu nav liegta, un tādēļ ekonomiskās pamatotības dēļ būtu jāizmanto. Tas stimulētu, ka, piemēram, autobusu satiksmi nodrošinoši uzņēmumi vai lauksaimniecības saimniecības degvielu ražotu un/vai patērētu turpat uz vietas.</w:t>
            </w:r>
          </w:p>
        </w:tc>
        <w:tc>
          <w:tcPr>
            <w:tcW w:w="2976" w:type="dxa"/>
            <w:tcBorders>
              <w:top w:val="single" w:sz="6" w:space="0" w:color="000000"/>
              <w:left w:val="single" w:sz="6" w:space="0" w:color="000000"/>
              <w:bottom w:val="single" w:sz="6" w:space="0" w:color="000000"/>
              <w:right w:val="single" w:sz="6" w:space="0" w:color="000000"/>
            </w:tcBorders>
          </w:tcPr>
          <w:p w14:paraId="28C4B2C6" w14:textId="77777777" w:rsidR="00780010" w:rsidRPr="001D7630" w:rsidRDefault="00780010" w:rsidP="00780010">
            <w:pPr>
              <w:jc w:val="center"/>
              <w:rPr>
                <w:b/>
                <w:bCs/>
                <w:iCs/>
              </w:rPr>
            </w:pPr>
            <w:r w:rsidRPr="001D7630">
              <w:rPr>
                <w:b/>
                <w:bCs/>
                <w:iCs/>
              </w:rPr>
              <w:lastRenderedPageBreak/>
              <w:t>Ņemts vērā</w:t>
            </w:r>
          </w:p>
          <w:p w14:paraId="1D0B0FA0" w14:textId="77777777" w:rsidR="00780010" w:rsidRPr="001D7630" w:rsidRDefault="00780010" w:rsidP="00780010">
            <w:pPr>
              <w:rPr>
                <w:b/>
                <w:bCs/>
                <w:iCs/>
              </w:rPr>
            </w:pPr>
          </w:p>
          <w:p w14:paraId="4C6341B8" w14:textId="77777777" w:rsidR="00780010" w:rsidRPr="001D7630" w:rsidRDefault="00780010" w:rsidP="00780010">
            <w:pPr>
              <w:rPr>
                <w:iCs/>
              </w:rPr>
            </w:pPr>
            <w:r w:rsidRPr="001D7630">
              <w:rPr>
                <w:iCs/>
              </w:rPr>
              <w:t>1. minētais nosacījums ir iekļauts likumprojektā, bet tikai uz biogāzi, ko galapatēriņam transportā realizē vai paša patēriņam izmanto komersants, kas nav degvielas piegādātājs.</w:t>
            </w:r>
          </w:p>
          <w:p w14:paraId="16DD0C75" w14:textId="77777777" w:rsidR="00780010" w:rsidRPr="001D7630" w:rsidRDefault="00780010" w:rsidP="00780010">
            <w:pPr>
              <w:rPr>
                <w:iCs/>
              </w:rPr>
            </w:pPr>
          </w:p>
          <w:p w14:paraId="3933AB76" w14:textId="77777777" w:rsidR="00780010" w:rsidRPr="001D7630" w:rsidRDefault="00780010" w:rsidP="00780010">
            <w:pPr>
              <w:rPr>
                <w:iCs/>
              </w:rPr>
            </w:pPr>
          </w:p>
        </w:tc>
        <w:tc>
          <w:tcPr>
            <w:tcW w:w="4291" w:type="dxa"/>
            <w:tcBorders>
              <w:top w:val="single" w:sz="4" w:space="0" w:color="auto"/>
              <w:left w:val="single" w:sz="4" w:space="0" w:color="auto"/>
              <w:bottom w:val="single" w:sz="4" w:space="0" w:color="auto"/>
            </w:tcBorders>
          </w:tcPr>
          <w:p w14:paraId="0E45A83C" w14:textId="77777777" w:rsidR="00780010" w:rsidRPr="001D7630" w:rsidRDefault="00780010" w:rsidP="00780010">
            <w:pPr>
              <w:pStyle w:val="naisf"/>
              <w:spacing w:before="0" w:after="0"/>
              <w:ind w:firstLine="0"/>
            </w:pPr>
            <w:r w:rsidRPr="001D7630">
              <w:t>Likumprojekta 8.pants ir precizēts.</w:t>
            </w:r>
          </w:p>
          <w:p w14:paraId="2153BB86" w14:textId="77777777" w:rsidR="00780010" w:rsidRPr="001D7630" w:rsidRDefault="00780010" w:rsidP="00780010">
            <w:pPr>
              <w:pStyle w:val="naisf"/>
              <w:spacing w:before="0" w:after="0"/>
              <w:ind w:firstLine="0"/>
            </w:pPr>
          </w:p>
          <w:p w14:paraId="244DC039" w14:textId="77777777" w:rsidR="00780010" w:rsidRPr="001D7630" w:rsidRDefault="00780010" w:rsidP="00780010">
            <w:pPr>
              <w:ind w:right="80"/>
              <w:jc w:val="both"/>
            </w:pPr>
            <w:r w:rsidRPr="001D7630">
              <w:t>Likumprojekta anotācijas I sadaļas 2.punkta sadaļa “</w:t>
            </w:r>
            <w:r w:rsidRPr="001D7630">
              <w:rPr>
                <w:u w:val="single"/>
              </w:rPr>
              <w:t>Likumprojekta 8.pants</w:t>
            </w:r>
            <w:r w:rsidRPr="001D7630">
              <w:t>” ir būtiski papildināta.</w:t>
            </w:r>
          </w:p>
          <w:p w14:paraId="55D41B8E" w14:textId="77777777" w:rsidR="00780010" w:rsidRPr="001D7630" w:rsidRDefault="00780010" w:rsidP="00780010">
            <w:pPr>
              <w:pStyle w:val="naisf"/>
              <w:spacing w:before="0" w:after="0"/>
              <w:ind w:firstLine="0"/>
            </w:pPr>
          </w:p>
        </w:tc>
      </w:tr>
      <w:tr w:rsidR="00780010" w:rsidRPr="001D7630" w14:paraId="5EFA0384"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27D2F7EB"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637DBA00"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695584B7" w14:textId="77777777" w:rsidR="00780010" w:rsidRPr="001D7630" w:rsidRDefault="00780010" w:rsidP="00780010">
            <w:pPr>
              <w:tabs>
                <w:tab w:val="left" w:pos="993"/>
                <w:tab w:val="left" w:pos="1134"/>
              </w:tabs>
              <w:jc w:val="center"/>
              <w:rPr>
                <w:b/>
                <w:bCs/>
              </w:rPr>
            </w:pPr>
            <w:r w:rsidRPr="001D7630">
              <w:rPr>
                <w:b/>
                <w:bCs/>
              </w:rPr>
              <w:t>AS “Latvijas Gāze”</w:t>
            </w:r>
          </w:p>
          <w:p w14:paraId="10D13DD8" w14:textId="77777777" w:rsidR="00780010" w:rsidRPr="001D7630" w:rsidRDefault="00780010" w:rsidP="00780010">
            <w:pPr>
              <w:tabs>
                <w:tab w:val="left" w:pos="993"/>
                <w:tab w:val="left" w:pos="1134"/>
              </w:tabs>
              <w:jc w:val="center"/>
              <w:rPr>
                <w:b/>
                <w:bCs/>
              </w:rPr>
            </w:pPr>
            <w:r w:rsidRPr="001D7630">
              <w:rPr>
                <w:b/>
                <w:bCs/>
              </w:rPr>
              <w:t>(11.01.2021.)</w:t>
            </w:r>
          </w:p>
          <w:p w14:paraId="463E4762" w14:textId="77777777" w:rsidR="00780010" w:rsidRPr="001D7630" w:rsidRDefault="00780010" w:rsidP="00780010">
            <w:pPr>
              <w:jc w:val="both"/>
            </w:pPr>
            <w:r w:rsidRPr="001D7630">
              <w:t xml:space="preserve">3. Likumprojekta 8.panta 11.daļā ir minēts, ka elektroenerģijas un gāzes izcelsmes pierādīšanai degvielas piegādātājs izmanto izcelsmes apliecinājumus. Ir būtiski nošķirt elektroenerģijas un gāzes izcelsmes </w:t>
            </w:r>
            <w:r w:rsidRPr="001D7630">
              <w:lastRenderedPageBreak/>
              <w:t>apliecinājumu sistēmas, jo lai arī nosaukumi ir līdzīgi, to juridiskais statuss ir atšķirīgs. Elektroenerģijas izcelsmes apliecinājumi kalpo vienīgi informatīvām vajadzībām, lai lietotāju informētu par patērētās elektroenerģijas izcelsmi, savukārt gāzes izcelsmes apliecinājumi kalpo arī statistikas pārnesei AER mērķa izpildei. Arī cenu atšķirības starp 1 MWh izcelsmes apliecinājumu gāzei un elektroenerģijai ir ievērojamas un šobrīd cenas atšķiras vairāk nekā 200 reizes (elektroenerģija izcelsmes apliecinājumu cena ir ap 0.20 EUR/MWh, biometāna izcelsmes apliecinājumi ap 50 EUR/MWh).</w:t>
            </w:r>
          </w:p>
          <w:p w14:paraId="5E45521E" w14:textId="77777777" w:rsidR="00780010" w:rsidRPr="001D7630" w:rsidRDefault="00780010" w:rsidP="00780010">
            <w:pPr>
              <w:tabs>
                <w:tab w:val="left" w:pos="993"/>
                <w:tab w:val="left" w:pos="1134"/>
              </w:tabs>
              <w:jc w:val="both"/>
              <w:rPr>
                <w:b/>
                <w:bCs/>
              </w:rPr>
            </w:pPr>
            <w:r w:rsidRPr="001D7630">
              <w:t>Lūdzam Likumprojektā paredzēt, ka gāzes izcelsmes pierādīšanai tiek izmantoti izcelsmes apliecinājumi, taču no atjaunojamo energoresursu saražotās elektroenerģijas apjoma noteikšanai tiek izmantots faktiskais atjaunojamo energoresursu īpatsvars elektroenerģijas sektorā.</w:t>
            </w:r>
          </w:p>
        </w:tc>
        <w:tc>
          <w:tcPr>
            <w:tcW w:w="2976" w:type="dxa"/>
            <w:tcBorders>
              <w:top w:val="single" w:sz="6" w:space="0" w:color="000000"/>
              <w:left w:val="single" w:sz="6" w:space="0" w:color="000000"/>
              <w:bottom w:val="single" w:sz="6" w:space="0" w:color="000000"/>
              <w:right w:val="single" w:sz="6" w:space="0" w:color="000000"/>
            </w:tcBorders>
          </w:tcPr>
          <w:p w14:paraId="246C28BC" w14:textId="77777777" w:rsidR="00780010" w:rsidRPr="001D7630" w:rsidRDefault="00780010" w:rsidP="00780010">
            <w:pPr>
              <w:jc w:val="center"/>
              <w:rPr>
                <w:b/>
                <w:bCs/>
                <w:iCs/>
              </w:rPr>
            </w:pPr>
            <w:r w:rsidRPr="001D7630">
              <w:rPr>
                <w:b/>
                <w:bCs/>
                <w:iCs/>
              </w:rPr>
              <w:lastRenderedPageBreak/>
              <w:t>Ņemts vērā</w:t>
            </w:r>
          </w:p>
          <w:p w14:paraId="646373FC" w14:textId="77777777" w:rsidR="00780010" w:rsidRPr="001D7630" w:rsidRDefault="00780010" w:rsidP="00780010">
            <w:pPr>
              <w:jc w:val="center"/>
              <w:rPr>
                <w:b/>
                <w:bCs/>
                <w:iCs/>
              </w:rPr>
            </w:pPr>
          </w:p>
          <w:p w14:paraId="56657385" w14:textId="77777777" w:rsidR="00780010" w:rsidRPr="001D7630" w:rsidRDefault="00780010" w:rsidP="00780010">
            <w:pPr>
              <w:rPr>
                <w:b/>
                <w:bCs/>
                <w:iCs/>
              </w:rPr>
            </w:pPr>
            <w:r w:rsidRPr="001D7630">
              <w:rPr>
                <w:iCs/>
              </w:rPr>
              <w:t>Biometāna izcelsmes pamatošanas nosacījumi tiks iekļauti MK noteikumos par līdzdalības mehānismu.</w:t>
            </w:r>
          </w:p>
        </w:tc>
        <w:tc>
          <w:tcPr>
            <w:tcW w:w="4291" w:type="dxa"/>
            <w:tcBorders>
              <w:top w:val="single" w:sz="4" w:space="0" w:color="auto"/>
              <w:left w:val="single" w:sz="4" w:space="0" w:color="auto"/>
              <w:bottom w:val="single" w:sz="4" w:space="0" w:color="auto"/>
            </w:tcBorders>
          </w:tcPr>
          <w:p w14:paraId="0D0DA184" w14:textId="77777777" w:rsidR="00780010" w:rsidRPr="001D7630" w:rsidRDefault="00780010" w:rsidP="00780010">
            <w:pPr>
              <w:pStyle w:val="naisf"/>
              <w:spacing w:before="0" w:after="0"/>
              <w:ind w:firstLine="0"/>
            </w:pPr>
            <w:r w:rsidRPr="001D7630">
              <w:t>Likumprojekta 8. un 9.pants ir precizēti</w:t>
            </w:r>
          </w:p>
        </w:tc>
      </w:tr>
      <w:tr w:rsidR="00780010" w:rsidRPr="001D7630" w14:paraId="57CE3642" w14:textId="77777777" w:rsidTr="000F3256">
        <w:trPr>
          <w:jc w:val="center"/>
        </w:trPr>
        <w:tc>
          <w:tcPr>
            <w:tcW w:w="637" w:type="dxa"/>
            <w:vMerge w:val="restart"/>
            <w:tcBorders>
              <w:top w:val="single" w:sz="6" w:space="0" w:color="000000"/>
              <w:left w:val="single" w:sz="6" w:space="0" w:color="000000"/>
              <w:right w:val="single" w:sz="6" w:space="0" w:color="000000"/>
            </w:tcBorders>
          </w:tcPr>
          <w:p w14:paraId="3865D27E" w14:textId="77777777" w:rsidR="00780010" w:rsidRPr="001D7630" w:rsidRDefault="00780010" w:rsidP="00780010">
            <w:pPr>
              <w:pStyle w:val="naisc"/>
              <w:numPr>
                <w:ilvl w:val="0"/>
                <w:numId w:val="16"/>
              </w:numPr>
              <w:spacing w:before="0" w:after="0"/>
              <w:ind w:left="0" w:firstLine="0"/>
              <w:rPr>
                <w:b/>
              </w:rPr>
            </w:pPr>
          </w:p>
        </w:tc>
        <w:tc>
          <w:tcPr>
            <w:tcW w:w="3041" w:type="dxa"/>
            <w:vMerge w:val="restart"/>
            <w:tcBorders>
              <w:top w:val="single" w:sz="6" w:space="0" w:color="000000"/>
              <w:left w:val="single" w:sz="6" w:space="0" w:color="000000"/>
              <w:right w:val="single" w:sz="6" w:space="0" w:color="000000"/>
            </w:tcBorders>
          </w:tcPr>
          <w:p w14:paraId="3549090F" w14:textId="77777777" w:rsidR="00780010" w:rsidRPr="001D7630" w:rsidRDefault="00780010" w:rsidP="00780010">
            <w:pPr>
              <w:pStyle w:val="naisf"/>
              <w:spacing w:before="0" w:after="0"/>
              <w:ind w:firstLine="0"/>
            </w:pPr>
            <w:r w:rsidRPr="001D7630">
              <w:t>Likumprojekta 8.pants</w:t>
            </w:r>
          </w:p>
        </w:tc>
        <w:tc>
          <w:tcPr>
            <w:tcW w:w="4047" w:type="dxa"/>
            <w:tcBorders>
              <w:top w:val="single" w:sz="6" w:space="0" w:color="000000"/>
              <w:left w:val="single" w:sz="6" w:space="0" w:color="000000"/>
              <w:bottom w:val="single" w:sz="6" w:space="0" w:color="000000"/>
              <w:right w:val="single" w:sz="6" w:space="0" w:color="000000"/>
            </w:tcBorders>
          </w:tcPr>
          <w:p w14:paraId="4DED63C2" w14:textId="77777777" w:rsidR="00780010" w:rsidRPr="001D7630" w:rsidRDefault="00780010" w:rsidP="00780010">
            <w:pPr>
              <w:tabs>
                <w:tab w:val="left" w:pos="993"/>
                <w:tab w:val="left" w:pos="1134"/>
              </w:tabs>
              <w:jc w:val="center"/>
              <w:rPr>
                <w:b/>
                <w:bCs/>
              </w:rPr>
            </w:pPr>
            <w:r w:rsidRPr="001D7630">
              <w:rPr>
                <w:b/>
                <w:bCs/>
              </w:rPr>
              <w:t>AS “Latvijas Gāze”</w:t>
            </w:r>
          </w:p>
          <w:p w14:paraId="2718E51E" w14:textId="77777777" w:rsidR="00780010" w:rsidRPr="001D7630" w:rsidRDefault="00780010" w:rsidP="00780010">
            <w:pPr>
              <w:tabs>
                <w:tab w:val="left" w:pos="993"/>
                <w:tab w:val="left" w:pos="1134"/>
              </w:tabs>
              <w:jc w:val="center"/>
              <w:rPr>
                <w:b/>
                <w:bCs/>
              </w:rPr>
            </w:pPr>
            <w:r w:rsidRPr="001D7630">
              <w:rPr>
                <w:b/>
                <w:bCs/>
              </w:rPr>
              <w:t>(11.01.2021.)</w:t>
            </w:r>
          </w:p>
          <w:p w14:paraId="011A68FF" w14:textId="77777777" w:rsidR="00780010" w:rsidRPr="001D7630" w:rsidRDefault="00780010" w:rsidP="00780010">
            <w:pPr>
              <w:jc w:val="both"/>
            </w:pPr>
            <w:r w:rsidRPr="001D7630">
              <w:t xml:space="preserve">2. Ar likumprojektu netiek ieviests AER direktīvas 25. panta pirmajā daļā izvirzītais nosacījums, proti, ka atjaunojamās enerģijas īpatsvaram līdz 2030. gadam ir jābūt vismaz 14% (minimālais īpatsvars). Tāpat uzņēmējdarbības plānošanas un tiesiskās </w:t>
            </w:r>
            <w:r w:rsidRPr="001D7630">
              <w:lastRenderedPageBreak/>
              <w:t xml:space="preserve">vides noteiktības nolūkā lūdzam projektā paredzēt konkrētu noteikta procentuāla apjoma atjaunojamās enerģijas īpatsvara kopējo mērķi sākot no 2022.gada 1.janvāra līdz 2030.gada 31.decembrim. </w:t>
            </w:r>
          </w:p>
          <w:p w14:paraId="6D3AC1D8" w14:textId="77777777" w:rsidR="00780010" w:rsidRPr="001D7630" w:rsidRDefault="00780010" w:rsidP="00780010">
            <w:pPr>
              <w:jc w:val="both"/>
              <w:rPr>
                <w:shd w:val="clear" w:color="auto" w:fill="FFFFFF"/>
              </w:rPr>
            </w:pPr>
            <w:r w:rsidRPr="001D7630">
              <w:t xml:space="preserve">Ir būtiski pēc iespējas agrāk nodrošināt tehnoloģiskās neitralitātes principa  - </w:t>
            </w:r>
            <w:r w:rsidRPr="001D7630">
              <w:rPr>
                <w:shd w:val="clear" w:color="auto" w:fill="FFFFFF"/>
              </w:rPr>
              <w:t>personu un organizāciju brīvību izvēlēties savām vajadzībām visatbilstošāko un vispiemērotāko tehnoloģiju - ievērošanu. Tāpēc pēc iespējas īsākā laikā ir jāpāriet no piemaisījuma prasībām uz kopējo AER īpatsvara mērķi un jādod degvielas piegādātājiem izvēles brīvība, vai mērķi sasniegt ar šķidro biodegvielu, biogāzes vai atjaunojamās elektroenerģijas palīdzību. Tehnoloģiskā neitralitāte netraucē daļai degvielas tirgotāju turpināt īstenot jau ierasto piemaisījuma principu, taču tā dod iespēju izmantot izmaksu ziņā efektīvākos biodegvielu veidus, ja tādi kādam ir pieejami. Šādas darbības samazinātu kopējās degvielas izmaksas Latvijas degvielas patērētājiem.</w:t>
            </w:r>
          </w:p>
          <w:p w14:paraId="022B790E" w14:textId="77777777" w:rsidR="00780010" w:rsidRPr="001D7630" w:rsidRDefault="00780010" w:rsidP="00780010">
            <w:pPr>
              <w:pStyle w:val="Default"/>
              <w:jc w:val="center"/>
              <w:rPr>
                <w:rFonts w:ascii="Times New Roman" w:hAnsi="Times New Roman" w:cs="Times New Roman"/>
                <w:b/>
                <w:bCs/>
              </w:rPr>
            </w:pPr>
          </w:p>
        </w:tc>
        <w:tc>
          <w:tcPr>
            <w:tcW w:w="2976" w:type="dxa"/>
            <w:vMerge w:val="restart"/>
            <w:tcBorders>
              <w:top w:val="single" w:sz="6" w:space="0" w:color="000000"/>
              <w:left w:val="single" w:sz="6" w:space="0" w:color="000000"/>
              <w:right w:val="single" w:sz="6" w:space="0" w:color="000000"/>
            </w:tcBorders>
          </w:tcPr>
          <w:p w14:paraId="58CFB738" w14:textId="77777777" w:rsidR="00780010" w:rsidRPr="001D7630" w:rsidRDefault="00780010" w:rsidP="00780010">
            <w:pPr>
              <w:jc w:val="center"/>
              <w:rPr>
                <w:b/>
                <w:bCs/>
                <w:iCs/>
              </w:rPr>
            </w:pPr>
            <w:r w:rsidRPr="001D7630">
              <w:rPr>
                <w:b/>
                <w:bCs/>
                <w:iCs/>
              </w:rPr>
              <w:lastRenderedPageBreak/>
              <w:t>Panākta vienošanās starpministriju saskaņošanas sanāksmē</w:t>
            </w:r>
          </w:p>
          <w:p w14:paraId="33B4D4D6" w14:textId="77777777" w:rsidR="00780010" w:rsidRPr="001D7630" w:rsidRDefault="00780010" w:rsidP="00780010">
            <w:pPr>
              <w:rPr>
                <w:iCs/>
              </w:rPr>
            </w:pPr>
            <w:r w:rsidRPr="001D7630">
              <w:rPr>
                <w:iCs/>
              </w:rPr>
              <w:t>4. Likumprojektā ir iekļauts nosacījums par obligātā piejaukuma turpināšanu līdz 2023.gada beigām galvenokārt, jo:</w:t>
            </w:r>
          </w:p>
          <w:p w14:paraId="3B55D907" w14:textId="77777777" w:rsidR="00780010" w:rsidRPr="001D7630" w:rsidRDefault="00780010" w:rsidP="00780010">
            <w:pPr>
              <w:rPr>
                <w:iCs/>
              </w:rPr>
            </w:pPr>
            <w:r w:rsidRPr="001D7630">
              <w:rPr>
                <w:iCs/>
              </w:rPr>
              <w:lastRenderedPageBreak/>
              <w:t>- ir nepieciešams noteikt pārejas periodu, kas ļautu 1.paaudzes biodegvielas izmantotājiem pielāgoties , izvērtēt mērķiem nepieciešamo biodegvielu piejaukuma apjomu, noslēgt atbilstošus līgumus ar esošajiem degvielas / biodegvielas piegādātājiem, vai atrast jaunus piegādātājus;</w:t>
            </w:r>
          </w:p>
          <w:p w14:paraId="6773BFBA" w14:textId="77777777" w:rsidR="00780010" w:rsidRPr="001D7630" w:rsidRDefault="00780010" w:rsidP="00780010">
            <w:pPr>
              <w:rPr>
                <w:iCs/>
              </w:rPr>
            </w:pPr>
            <w:r w:rsidRPr="001D7630">
              <w:rPr>
                <w:iCs/>
              </w:rPr>
              <w:t>- ir nepieciešams nepieļaut ļoti būtisku administratīvā sloga pieaugumu, nosakot tikai 2 gadiem obligāto pienākumu, kas ietvertu gan obligāto piejaukumu, gan obligāto pienākumu</w:t>
            </w:r>
          </w:p>
          <w:p w14:paraId="5E8F28C5" w14:textId="77777777" w:rsidR="00780010" w:rsidRPr="001D7630" w:rsidRDefault="00780010" w:rsidP="00780010">
            <w:pPr>
              <w:jc w:val="both"/>
              <w:rPr>
                <w:iCs/>
              </w:rPr>
            </w:pPr>
            <w:r w:rsidRPr="001D7630">
              <w:rPr>
                <w:iCs/>
              </w:rPr>
              <w:t xml:space="preserve">Norādām, ka atzinumā minētā pakāpeniskā atteikšanās (8.panta 5.daļa) attiecas uz tām biodegvielām, kuru izejvielām ir augsts netiešas zemes izmantošanas maiņas risks un kurām ir novērota ievērojama ražošanas platības izplešanās zemes platībās ar augstu oglekļa koncentrāciju. Šī atteikšanās attiecas uz daļu no 1.paaudzes biodegvielas. 1.paaudzes biodegvielu izmantošana periodā līdz </w:t>
            </w:r>
            <w:r w:rsidRPr="001D7630">
              <w:rPr>
                <w:iCs/>
              </w:rPr>
              <w:lastRenderedPageBreak/>
              <w:t>2030.gadam noteikti turpināsies, bet degvielas piegādātājiem būs brīva izvēle pašiem izvēlēties piejaukumus un biodegvielu veidus, lai sasniegtu noteiktos mērķus.</w:t>
            </w:r>
          </w:p>
          <w:p w14:paraId="351C047B" w14:textId="77777777" w:rsidR="00780010" w:rsidRPr="001D7630" w:rsidRDefault="00780010" w:rsidP="00780010">
            <w:pPr>
              <w:jc w:val="both"/>
              <w:rPr>
                <w:iCs/>
              </w:rPr>
            </w:pPr>
          </w:p>
          <w:p w14:paraId="0EE4A047" w14:textId="77777777" w:rsidR="00780010" w:rsidRPr="001D7630" w:rsidRDefault="00780010" w:rsidP="00780010">
            <w:pPr>
              <w:jc w:val="both"/>
              <w:rPr>
                <w:iCs/>
              </w:rPr>
            </w:pPr>
            <w:r w:rsidRPr="001D7630">
              <w:rPr>
                <w:iCs/>
              </w:rPr>
              <w:t xml:space="preserve">5. Norādām, ka ikgadējo mērķu noteikšana pēc būtības ir Direktīvas 2018/2001 nosacījumu stiprināšana – Direktīvā 2018/2001 ir noteikti tikai starpmērķi modernajai biodegvielai / biogāzei un mērķis 2030.gadam, bet nav noteikti ikgadējie mērķi vai nav noteikts pienākums dalībvalstīm noteikt ikgadējo mērķu trajektoriju. Gan Direktīvā 2018/2001, gan NEKP ir noteikti mērķi 2030.gadam un degvielas piegādātājam ir izvēles brīvība kādā veidā kāpināt savā transporta enerģijas portfelī atjaunojamās transporta enerģijas īpatsvaru. Savukārt nosakot ikgadējos mērķus, būtu jānosaka arī ikgadējo mērķu neizpildes nosacījumi un sodu </w:t>
            </w:r>
            <w:r w:rsidRPr="001D7630">
              <w:rPr>
                <w:iCs/>
              </w:rPr>
              <w:lastRenderedPageBreak/>
              <w:t>mehānisms, kas ir būtiska direktīvā iekļauto nosacījumu pastiprināšana.</w:t>
            </w:r>
          </w:p>
          <w:p w14:paraId="73E5831B" w14:textId="77777777" w:rsidR="00780010" w:rsidRPr="001D7630" w:rsidRDefault="00780010" w:rsidP="00780010">
            <w:pPr>
              <w:tabs>
                <w:tab w:val="left" w:pos="993"/>
                <w:tab w:val="left" w:pos="2805"/>
              </w:tabs>
              <w:jc w:val="both"/>
              <w:rPr>
                <w:iCs/>
              </w:rPr>
            </w:pPr>
            <w:r w:rsidRPr="001D7630">
              <w:rPr>
                <w:iCs/>
              </w:rPr>
              <w:t>Vienlaikus jānorāda, ka degvielas piegādātājiem ir noteikti ikgadējie transporta enerģijas aprites cikla SEG emisiju intensitātes mazināšanas mērķi, kas noteikti “noturēs” un kāpinās atjaunojamās transporta enerģijas īpatsvaru.</w:t>
            </w:r>
          </w:p>
          <w:p w14:paraId="46E38F4E" w14:textId="77777777" w:rsidR="00780010" w:rsidRPr="001D7630" w:rsidRDefault="00780010" w:rsidP="00780010">
            <w:pPr>
              <w:rPr>
                <w:iCs/>
              </w:rPr>
            </w:pPr>
          </w:p>
          <w:p w14:paraId="22FD7DC7" w14:textId="77777777" w:rsidR="00780010" w:rsidRPr="001D7630" w:rsidRDefault="00780010" w:rsidP="00780010">
            <w:pPr>
              <w:jc w:val="both"/>
              <w:rPr>
                <w:iCs/>
              </w:rPr>
            </w:pPr>
            <w:r w:rsidRPr="001D7630">
              <w:rPr>
                <w:iCs/>
              </w:rPr>
              <w:t>6. NEKP2030 un likumprojektā iekļautie mērķi pilnībā atbilst direktīvas 2018/2001 25.panta 1.punkta un 26.panta 1.punkta nosacījumiem, kas pieļauj 25.panta 1.punktā noteikto 14% mērķi samazināt par to apjomu, par kuru tiktu samazināts mērķī vērā ņemtais to biodegvielu vai biogāzes apjoms, kas netiek iegūts no likumprojekta pielikuma 1.punktā minētajām izejvielām.</w:t>
            </w:r>
          </w:p>
          <w:p w14:paraId="71CEF7FB" w14:textId="77777777" w:rsidR="00780010" w:rsidRPr="001D7630" w:rsidRDefault="00780010" w:rsidP="00780010">
            <w:pPr>
              <w:jc w:val="both"/>
              <w:rPr>
                <w:iCs/>
              </w:rPr>
            </w:pPr>
            <w:r w:rsidRPr="001D7630">
              <w:rPr>
                <w:iCs/>
              </w:rPr>
              <w:t xml:space="preserve">Tomēr iepriekšminētais nosacījums neaizliedz degvielas piegādātājiem turpināt biodegvielas piejaukuma – gan moderno </w:t>
            </w:r>
            <w:r w:rsidRPr="001D7630">
              <w:rPr>
                <w:iCs/>
              </w:rPr>
              <w:lastRenderedPageBreak/>
              <w:t>biodegvielu, gan citu biodegvielu, pieeju, cita starpā, arī lai izpildītu likumprojekta 9.pantā noteikto mērķi.</w:t>
            </w:r>
          </w:p>
          <w:p w14:paraId="2C0C5D55" w14:textId="77777777" w:rsidR="00780010" w:rsidRPr="001D7630" w:rsidRDefault="00780010" w:rsidP="00780010">
            <w:pPr>
              <w:jc w:val="both"/>
              <w:rPr>
                <w:iCs/>
              </w:rPr>
            </w:pPr>
            <w:r w:rsidRPr="001D7630">
              <w:rPr>
                <w:iCs/>
              </w:rPr>
              <w:t>Norādām arī, ka minētais transporta enerģijas mērķis ir noteikts NEKP un arī NEKP 4.pielikuma 5.5.pasākumā Ekonomikas ministrijai ir dots uzdevums noteikt degvielas piegādātājiem 7% mērķi.</w:t>
            </w:r>
          </w:p>
        </w:tc>
        <w:tc>
          <w:tcPr>
            <w:tcW w:w="4291" w:type="dxa"/>
            <w:vMerge w:val="restart"/>
            <w:tcBorders>
              <w:top w:val="single" w:sz="4" w:space="0" w:color="auto"/>
              <w:left w:val="single" w:sz="4" w:space="0" w:color="auto"/>
            </w:tcBorders>
          </w:tcPr>
          <w:p w14:paraId="7165572C" w14:textId="77777777" w:rsidR="00780010" w:rsidRPr="001D7630" w:rsidRDefault="00780010" w:rsidP="00780010">
            <w:pPr>
              <w:pStyle w:val="naisf"/>
              <w:spacing w:before="0" w:after="0"/>
              <w:ind w:firstLine="0"/>
            </w:pPr>
            <w:r w:rsidRPr="001D7630">
              <w:lastRenderedPageBreak/>
              <w:t>Likumprojekta 8.pants</w:t>
            </w:r>
          </w:p>
        </w:tc>
      </w:tr>
      <w:tr w:rsidR="00780010" w:rsidRPr="001D7630" w14:paraId="16861AC7" w14:textId="77777777" w:rsidTr="000F3256">
        <w:trPr>
          <w:jc w:val="center"/>
        </w:trPr>
        <w:tc>
          <w:tcPr>
            <w:tcW w:w="637" w:type="dxa"/>
            <w:vMerge/>
            <w:tcBorders>
              <w:left w:val="single" w:sz="6" w:space="0" w:color="000000"/>
              <w:bottom w:val="single" w:sz="6" w:space="0" w:color="000000"/>
              <w:right w:val="single" w:sz="6" w:space="0" w:color="000000"/>
            </w:tcBorders>
          </w:tcPr>
          <w:p w14:paraId="1D0464CF" w14:textId="77777777" w:rsidR="00780010" w:rsidRPr="001D7630" w:rsidRDefault="00780010" w:rsidP="00780010">
            <w:pPr>
              <w:pStyle w:val="naisc"/>
              <w:numPr>
                <w:ilvl w:val="0"/>
                <w:numId w:val="16"/>
              </w:numPr>
              <w:spacing w:before="0" w:after="0"/>
              <w:ind w:left="0" w:firstLine="0"/>
              <w:rPr>
                <w:b/>
              </w:rPr>
            </w:pPr>
          </w:p>
        </w:tc>
        <w:tc>
          <w:tcPr>
            <w:tcW w:w="3041" w:type="dxa"/>
            <w:vMerge/>
            <w:tcBorders>
              <w:left w:val="single" w:sz="6" w:space="0" w:color="000000"/>
              <w:bottom w:val="single" w:sz="6" w:space="0" w:color="000000"/>
              <w:right w:val="single" w:sz="6" w:space="0" w:color="000000"/>
            </w:tcBorders>
          </w:tcPr>
          <w:p w14:paraId="4C9C2314"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1CFA93DB" w14:textId="77777777" w:rsidR="00780010" w:rsidRPr="001D7630" w:rsidRDefault="00780010" w:rsidP="00780010">
            <w:pPr>
              <w:tabs>
                <w:tab w:val="left" w:pos="993"/>
                <w:tab w:val="left" w:pos="1134"/>
              </w:tabs>
              <w:jc w:val="center"/>
              <w:rPr>
                <w:b/>
                <w:bCs/>
              </w:rPr>
            </w:pPr>
            <w:r w:rsidRPr="001D7630">
              <w:rPr>
                <w:b/>
                <w:bCs/>
              </w:rPr>
              <w:t>AS “Latvijas Gāze”</w:t>
            </w:r>
          </w:p>
          <w:p w14:paraId="5406E703" w14:textId="77777777" w:rsidR="00780010" w:rsidRPr="001D7630" w:rsidRDefault="00780010" w:rsidP="00780010">
            <w:pPr>
              <w:tabs>
                <w:tab w:val="left" w:pos="993"/>
                <w:tab w:val="left" w:pos="2805"/>
              </w:tabs>
              <w:jc w:val="center"/>
              <w:rPr>
                <w:b/>
                <w:bCs/>
              </w:rPr>
            </w:pPr>
            <w:r w:rsidRPr="001D7630">
              <w:rPr>
                <w:b/>
                <w:bCs/>
              </w:rPr>
              <w:t>(25.03.2021.)</w:t>
            </w:r>
          </w:p>
          <w:p w14:paraId="27D94F9C" w14:textId="77777777" w:rsidR="00780010" w:rsidRPr="001D7630" w:rsidRDefault="00780010" w:rsidP="00780010">
            <w:pPr>
              <w:jc w:val="both"/>
            </w:pPr>
            <w:r w:rsidRPr="001D7630">
              <w:t xml:space="preserve">4. Vienlaikus AS “Latvijas Gāze” informē, ka joprojām uztur savos iepriekšējos viedokļos minētā Likumprojekta sakarā izteikto priekšlikumu pēc iespējas ātrāk atteikties </w:t>
            </w:r>
            <w:r w:rsidRPr="001D7630">
              <w:lastRenderedPageBreak/>
              <w:t xml:space="preserve">no noteikta šķidro biodegvielu piemaisījuma un dot iespēju AER mērķi izpildīt ar citiem degvielu veidiem. Šis priekšlikums ir būtisks, jo pretējā gadījumā līdz 2024.gada sākumam biometāna pieprasījums Latvijā faktiski nebūs. Iepazīstoties ar Likumprojektu, jākonstatē, ka ir paredzēta pakāpeniska atteikšanās, paredzot ne vairāk kā 4 enerģijas procentus no kopējās realizētās transporta enerģijas līdz 2023. gada 31. decembrim; ne vairāk kā 2,7 enerģijas procentus no kopējās realizētās transporta enerģijas no 2024. gada 1. janvāra līdz 2026. gada 31. decembrim un attiecīgi no 2027. gada 1. janvāra līdz 2029. gada 31. decembrim – ne vairāk kā 0,7 enerģijas procentus no kopējās realizētās transporta enerģijas. Minētā pakāpeniskā atteikšanās no noteikta veida šķidro biodegvielu piemaisījuma var būtiski negatīvi ietekmēt gan AER Direktīvas mērķu izpildi, kā arī uz Nacionālā enerģētikas un klimata plāna 2021.-2030. gadam (turpmāk –NEKP) 2025. gada mērķu sasniegšanai balstīto scenāriju par to, ka līdz 2025. gadam būs izveidojies reģionālais biometāna tirgus. </w:t>
            </w:r>
          </w:p>
          <w:p w14:paraId="56CFCE44" w14:textId="77777777" w:rsidR="00780010" w:rsidRPr="001D7630" w:rsidRDefault="00780010" w:rsidP="00780010">
            <w:pPr>
              <w:jc w:val="both"/>
            </w:pPr>
            <w:r w:rsidRPr="001D7630">
              <w:t xml:space="preserve">5. AS “Latvijas Gāze” jau ir vairākkārt paudusi viedokli, ka nepieciešams definēt AER mērķus katram gadam atsevišķi. Konkrēts AER īpatsvara % mērķis sākot ar 2022. gada 1. janvāri – </w:t>
            </w:r>
            <w:r w:rsidRPr="001D7630">
              <w:lastRenderedPageBreak/>
              <w:t>2030. gada 31. decembrim sekmētu uzņēmējdarbības plānošanas un tiesiskās vides noteiktību.</w:t>
            </w:r>
          </w:p>
          <w:p w14:paraId="7D28E230" w14:textId="77777777" w:rsidR="00780010" w:rsidRPr="001D7630" w:rsidRDefault="00780010" w:rsidP="00780010">
            <w:pPr>
              <w:tabs>
                <w:tab w:val="left" w:pos="993"/>
                <w:tab w:val="left" w:pos="2805"/>
              </w:tabs>
              <w:jc w:val="both"/>
              <w:rPr>
                <w:b/>
                <w:bCs/>
              </w:rPr>
            </w:pPr>
            <w:r w:rsidRPr="001D7630">
              <w:t>6. Tāpat jāatzīmē, ka AS “Latvijas Gāze” uztur lūgumu sniegt Likumprojekta izstrādātājam pamatojumu par atkāpi no AER direktīvas mērķiem, ka līdz 2030. gadam transporta sektorā ir jābūt vismaz 14% lielam AER īpatsvaram. Likumprojekta anotācijā ir sniegta atsauce uz AER Direktīvas 26. panta 1. punktu, kas paredz iespēju dalībvalstīm minēto 14% mērķi samazināt par ne vairāk kā 7 procentpunktiem, to samazinot par tādu apjomu, par kādu dalībvalsts savā atjaunojamās transporta enerģijas mērķī neieskaitīs no pārtikas un dzīvnieku barības kultūraugiem iegūtas biodegvielas. Ņemot vērā Eiropas institūciju pausto viedokli, ka klimata mērķi būs vēl ambiciozāki, kā arī nepieciešamību sekmēt biometāna pieprasījumu Latvijā, tādējādi soli pa solim īstenojot scenāriju par reģionālā biometāna tirgus izveidi, šī atsauce šķiet formāla un tāda, kas nav saskanīga ar tautsaimniecības nozares attīstības, AER direktīvas mērķu un NEKP plāna paredzēto izpildi.</w:t>
            </w:r>
          </w:p>
        </w:tc>
        <w:tc>
          <w:tcPr>
            <w:tcW w:w="2976" w:type="dxa"/>
            <w:vMerge/>
            <w:tcBorders>
              <w:left w:val="single" w:sz="6" w:space="0" w:color="000000"/>
              <w:bottom w:val="single" w:sz="6" w:space="0" w:color="000000"/>
              <w:right w:val="single" w:sz="6" w:space="0" w:color="000000"/>
            </w:tcBorders>
          </w:tcPr>
          <w:p w14:paraId="247A4353" w14:textId="77777777" w:rsidR="00780010" w:rsidRPr="001D7630" w:rsidRDefault="00780010" w:rsidP="00780010">
            <w:pPr>
              <w:jc w:val="both"/>
              <w:rPr>
                <w:iCs/>
              </w:rPr>
            </w:pPr>
          </w:p>
        </w:tc>
        <w:tc>
          <w:tcPr>
            <w:tcW w:w="4291" w:type="dxa"/>
            <w:vMerge/>
            <w:tcBorders>
              <w:left w:val="single" w:sz="4" w:space="0" w:color="auto"/>
              <w:bottom w:val="single" w:sz="4" w:space="0" w:color="auto"/>
            </w:tcBorders>
          </w:tcPr>
          <w:p w14:paraId="0175929C" w14:textId="77777777" w:rsidR="00780010" w:rsidRPr="001D7630" w:rsidRDefault="00780010" w:rsidP="00780010">
            <w:pPr>
              <w:pStyle w:val="naisf"/>
              <w:spacing w:before="0" w:after="0"/>
              <w:ind w:firstLine="0"/>
            </w:pPr>
          </w:p>
        </w:tc>
      </w:tr>
      <w:tr w:rsidR="00780010" w:rsidRPr="001D7630" w14:paraId="17062FE7"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31BE0F4C"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635DB521"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1CFAA55E" w14:textId="77777777" w:rsidR="00780010" w:rsidRPr="001D7630" w:rsidRDefault="00780010" w:rsidP="00780010">
            <w:pPr>
              <w:autoSpaceDE w:val="0"/>
              <w:autoSpaceDN w:val="0"/>
              <w:adjustRightInd w:val="0"/>
              <w:jc w:val="center"/>
              <w:rPr>
                <w:b/>
                <w:bCs/>
              </w:rPr>
            </w:pPr>
            <w:r w:rsidRPr="001D7630">
              <w:rPr>
                <w:b/>
                <w:bCs/>
              </w:rPr>
              <w:t>Latvijas Degvielas tirgotāju asociācija</w:t>
            </w:r>
          </w:p>
          <w:p w14:paraId="56A6D85F" w14:textId="77777777" w:rsidR="00780010" w:rsidRPr="001D7630" w:rsidRDefault="00780010" w:rsidP="00780010">
            <w:pPr>
              <w:autoSpaceDE w:val="0"/>
              <w:autoSpaceDN w:val="0"/>
              <w:adjustRightInd w:val="0"/>
              <w:jc w:val="center"/>
              <w:rPr>
                <w:b/>
                <w:bCs/>
              </w:rPr>
            </w:pPr>
            <w:r w:rsidRPr="001D7630">
              <w:rPr>
                <w:b/>
                <w:bCs/>
              </w:rPr>
              <w:t>(13.01.2021. atzinums)</w:t>
            </w:r>
          </w:p>
          <w:p w14:paraId="59C78A74" w14:textId="77777777" w:rsidR="00780010" w:rsidRPr="001D7630" w:rsidRDefault="00780010" w:rsidP="00780010">
            <w:pPr>
              <w:ind w:firstLine="567"/>
              <w:jc w:val="both"/>
            </w:pPr>
            <w:r w:rsidRPr="001D7630">
              <w:t>[3.] Likumprojekta 8.pants:</w:t>
            </w:r>
          </w:p>
          <w:p w14:paraId="57176B17" w14:textId="77777777" w:rsidR="00780010" w:rsidRPr="001D7630" w:rsidRDefault="00780010" w:rsidP="00780010">
            <w:pPr>
              <w:pStyle w:val="tv213"/>
              <w:spacing w:before="0" w:beforeAutospacing="0" w:after="0" w:afterAutospacing="0"/>
              <w:ind w:firstLine="567"/>
              <w:jc w:val="both"/>
              <w:rPr>
                <w:i/>
                <w:color w:val="002060"/>
              </w:rPr>
            </w:pPr>
            <w:r w:rsidRPr="001D7630">
              <w:t>[3.1.] lūdzam svītrot panta trešajā daļā vārdus “kas atbilst šā likuma 10. pantā minētajiem kritērijiem“. Panta otrajā daļā jau ir noteikts, ka līdzdalības mehānisma ietvaros degvielas piegādātājs galapatēriņam transportā realizē šā panta pirmajā daļā minēto transporta enerģiju, kas atbilst šā likuma 10. pantā minētajiem kritērijiem.</w:t>
            </w:r>
          </w:p>
          <w:p w14:paraId="38744139" w14:textId="77777777" w:rsidR="00780010" w:rsidRPr="001D7630" w:rsidRDefault="00780010" w:rsidP="00780010">
            <w:pPr>
              <w:ind w:firstLine="567"/>
              <w:jc w:val="both"/>
              <w:rPr>
                <w:i/>
              </w:rPr>
            </w:pPr>
            <w:r w:rsidRPr="001D7630">
              <w:t>[3.2.]</w:t>
            </w:r>
            <w:r w:rsidRPr="001D7630">
              <w:rPr>
                <w:i/>
              </w:rPr>
              <w:t xml:space="preserve"> </w:t>
            </w:r>
            <w:r w:rsidRPr="001D7630">
              <w:t xml:space="preserve">lūdzam izvērstu skaidrojumu anotācijā vai arī apstiprināt, ka esošā panta trešās daļas redakcija ļauj benzīnam pievienot ne tikai etanolu, bet arī ēterus, esterus u.tml. </w:t>
            </w:r>
          </w:p>
          <w:p w14:paraId="5EF708D0" w14:textId="77777777" w:rsidR="00780010" w:rsidRPr="001D7630" w:rsidRDefault="00780010" w:rsidP="00780010">
            <w:pPr>
              <w:ind w:firstLine="567"/>
              <w:jc w:val="both"/>
              <w:rPr>
                <w:rFonts w:eastAsiaTheme="minorHAnsi"/>
                <w:lang w:eastAsia="en-US"/>
              </w:rPr>
            </w:pPr>
            <w:r w:rsidRPr="001D7630">
              <w:t xml:space="preserve">[3.3.] lūdzam izvērtēt, vai likumprojekta izstrādē ņemta vērā Direktīvas 2018/2001 par no </w:t>
            </w:r>
            <w:r w:rsidRPr="001D7630">
              <w:lastRenderedPageBreak/>
              <w:t>atjaunojamajiem energoresursiem iegūtas enerģijas izmantošanas veicināšanu (turpmāk – Direktīva 2018/2001) 25.panta 1.punkta piektā daļa</w:t>
            </w:r>
            <w:r w:rsidRPr="001D7630">
              <w:rPr>
                <w:rStyle w:val="FootnoteReference"/>
              </w:rPr>
              <w:footnoteReference w:id="14"/>
            </w:r>
            <w:r w:rsidRPr="001D7630">
              <w:t xml:space="preserve"> un izvērtēt iespēju precizēt panta ceturto daļu vai papildināt pantu ar jaunu daļu, paredzot, ka panta ceturtajā daļā noteiktajos periodu mērķos ieskaita ne tikai moderno biodegvielu un biogāzes, kas iegūtas no šā likuma 1. pielikuma 1. punktā uzskaitītajām izejvielām, bet arī šā panta pirmās daļas 3. un 4. punktā minētās transporta enerģijas veidus - atjaunojamo elektroenerģiju un no atjaunojamiem energoresursiem ražotas nebioloģiskas izcelsmes šķidrās vai gāzveida degvielas, arī ja tās izmanto kā starpproduktus tradicionālo degvielu ražošanā;</w:t>
            </w:r>
          </w:p>
          <w:p w14:paraId="4619FCFD" w14:textId="77777777" w:rsidR="00780010" w:rsidRPr="001D7630" w:rsidRDefault="00780010" w:rsidP="00780010">
            <w:pPr>
              <w:ind w:firstLine="567"/>
              <w:jc w:val="both"/>
            </w:pPr>
            <w:r w:rsidRPr="001D7630">
              <w:t>[3.4.] lūdzam aizstāt panta ceturtajā daļā minēto periodu “01.01.2025 – 31.12.2027.” ar periodu “01.01.2025 – 31.12.2029” atbilstoši Direktīvas 2018/2001 25.panta ceturtajā daļā minētajam;</w:t>
            </w:r>
          </w:p>
          <w:p w14:paraId="6E0B3F30" w14:textId="77777777" w:rsidR="00780010" w:rsidRPr="001D7630" w:rsidRDefault="00780010" w:rsidP="00780010">
            <w:pPr>
              <w:pStyle w:val="CommentText"/>
              <w:ind w:firstLine="567"/>
              <w:jc w:val="both"/>
              <w:rPr>
                <w:sz w:val="24"/>
                <w:szCs w:val="24"/>
              </w:rPr>
            </w:pPr>
            <w:r w:rsidRPr="001D7630">
              <w:rPr>
                <w:sz w:val="24"/>
                <w:szCs w:val="24"/>
              </w:rPr>
              <w:t xml:space="preserve"> [3.5.] lūdzam precizēt sesto daļu, iekļaujot atsauci pēc vārdiem “platībās ar augstu oglekļa koncentrāciju” uz Komisijas deleģēto regulu (ES) 2019/807 (2019. gada 13. marts). Šāds </w:t>
            </w:r>
            <w:r w:rsidRPr="001D7630">
              <w:rPr>
                <w:sz w:val="24"/>
                <w:szCs w:val="24"/>
              </w:rPr>
              <w:lastRenderedPageBreak/>
              <w:t>papildinājums novērstu iespējamas domstarpības par attiecīgo izejvielu identificēšanu.</w:t>
            </w:r>
          </w:p>
          <w:p w14:paraId="40840701" w14:textId="77777777" w:rsidR="00780010" w:rsidRPr="001D7630" w:rsidRDefault="00780010" w:rsidP="00780010">
            <w:pPr>
              <w:ind w:firstLine="567"/>
              <w:jc w:val="both"/>
            </w:pPr>
            <w:r w:rsidRPr="001D7630">
              <w:t xml:space="preserve"> Vienlaikus, ja tiek saglabāti likumprojektā minētie periodi, lūdzam aizstāt 01.01.2021. ar 01.01.2022.</w:t>
            </w:r>
          </w:p>
          <w:p w14:paraId="240D80DD" w14:textId="77777777" w:rsidR="00780010" w:rsidRPr="001D7630" w:rsidRDefault="00780010" w:rsidP="00780010">
            <w:pPr>
              <w:ind w:firstLine="567"/>
              <w:jc w:val="both"/>
            </w:pPr>
            <w:r w:rsidRPr="001D7630">
              <w:t>[3.6.] lūdzam precizēt panta septītās daļas 2.punktu attiecībā uz īpatsvara ierobežošanu biodegvielai un biogāzei, kas ražota no 1. pielikuma 2. punktā minētajām izejvielām, līdz 3,4 procentiem no galapatēriņam transportā realizētā transporta enerģijas apjoma. Nav saprotama šāda atruna, ņemot vērā, ka šāda degviela AER mērķī netiek ieskaitīta. Secīgi lūdzam svītrot panta 16.daļu.</w:t>
            </w:r>
          </w:p>
        </w:tc>
        <w:tc>
          <w:tcPr>
            <w:tcW w:w="2976" w:type="dxa"/>
            <w:tcBorders>
              <w:top w:val="single" w:sz="6" w:space="0" w:color="000000"/>
              <w:left w:val="single" w:sz="6" w:space="0" w:color="000000"/>
              <w:bottom w:val="single" w:sz="6" w:space="0" w:color="000000"/>
              <w:right w:val="single" w:sz="6" w:space="0" w:color="000000"/>
            </w:tcBorders>
          </w:tcPr>
          <w:p w14:paraId="35156D69" w14:textId="77777777" w:rsidR="00780010" w:rsidRPr="001D7630" w:rsidRDefault="00780010" w:rsidP="00780010">
            <w:pPr>
              <w:jc w:val="center"/>
              <w:rPr>
                <w:b/>
                <w:bCs/>
                <w:iCs/>
              </w:rPr>
            </w:pPr>
            <w:r w:rsidRPr="001D7630">
              <w:rPr>
                <w:b/>
                <w:bCs/>
                <w:iCs/>
              </w:rPr>
              <w:lastRenderedPageBreak/>
              <w:t>Ņemts vērā</w:t>
            </w:r>
          </w:p>
          <w:p w14:paraId="121327CB" w14:textId="77777777" w:rsidR="00780010" w:rsidRPr="001D7630" w:rsidRDefault="00780010" w:rsidP="00780010">
            <w:pPr>
              <w:jc w:val="center"/>
              <w:rPr>
                <w:b/>
                <w:bCs/>
                <w:iCs/>
              </w:rPr>
            </w:pPr>
          </w:p>
          <w:p w14:paraId="03EA57A3" w14:textId="77777777" w:rsidR="00780010" w:rsidRPr="001D7630" w:rsidRDefault="00780010" w:rsidP="00780010">
            <w:pPr>
              <w:rPr>
                <w:iCs/>
              </w:rPr>
            </w:pPr>
            <w:r w:rsidRPr="001D7630">
              <w:rPr>
                <w:iCs/>
              </w:rPr>
              <w:t>3.2. likumprojekta 8.panta 3.daļa nosaka, ka benzīnam tiek pievienota biodegviela, kas saskaņā ar likumprojekta 1.pantu, ir šķidrā degviela, kas ir iegūta / saražota no biomasas. Ja minētie ēteri, esteri uc. klasificējas kā biodegviela, t.i., piemēram, bioēteri, tad tie atbilst likumprojekta 8.panta 3.daļā iekļautajiem nosacījumiem.</w:t>
            </w:r>
          </w:p>
        </w:tc>
        <w:tc>
          <w:tcPr>
            <w:tcW w:w="4291" w:type="dxa"/>
            <w:tcBorders>
              <w:top w:val="single" w:sz="4" w:space="0" w:color="auto"/>
              <w:left w:val="single" w:sz="4" w:space="0" w:color="auto"/>
              <w:bottom w:val="single" w:sz="4" w:space="0" w:color="auto"/>
            </w:tcBorders>
          </w:tcPr>
          <w:p w14:paraId="5030C73B" w14:textId="77777777" w:rsidR="00780010" w:rsidRPr="001D7630" w:rsidRDefault="00780010" w:rsidP="00780010">
            <w:pPr>
              <w:pStyle w:val="naisf"/>
              <w:spacing w:before="0" w:after="0"/>
              <w:ind w:firstLine="0"/>
            </w:pPr>
            <w:r w:rsidRPr="001D7630">
              <w:t>Likumprojekta 8.pants ir precizēts.</w:t>
            </w:r>
          </w:p>
          <w:p w14:paraId="7A57F30E" w14:textId="77777777" w:rsidR="00780010" w:rsidRPr="001D7630" w:rsidRDefault="00780010" w:rsidP="00780010">
            <w:pPr>
              <w:pStyle w:val="naisf"/>
              <w:spacing w:before="0" w:after="0"/>
              <w:ind w:firstLine="0"/>
            </w:pPr>
          </w:p>
          <w:p w14:paraId="1B144B03" w14:textId="77777777" w:rsidR="00780010" w:rsidRPr="001D7630" w:rsidRDefault="00780010" w:rsidP="00780010">
            <w:pPr>
              <w:ind w:right="80"/>
              <w:jc w:val="both"/>
            </w:pPr>
            <w:r w:rsidRPr="001D7630">
              <w:t>Likumprojekta anotācijas I sadaļas 2.punkta sadaļa “</w:t>
            </w:r>
            <w:r w:rsidRPr="001D7630">
              <w:rPr>
                <w:u w:val="single"/>
              </w:rPr>
              <w:t>Likumprojekta 8.pants</w:t>
            </w:r>
            <w:r w:rsidRPr="001D7630">
              <w:t>” ir būtiski papildināta.</w:t>
            </w:r>
          </w:p>
          <w:p w14:paraId="748E6D5B" w14:textId="77777777" w:rsidR="00780010" w:rsidRPr="001D7630" w:rsidRDefault="00780010" w:rsidP="00780010">
            <w:pPr>
              <w:pStyle w:val="naisf"/>
              <w:spacing w:before="0" w:after="0"/>
              <w:ind w:firstLine="0"/>
            </w:pPr>
          </w:p>
        </w:tc>
      </w:tr>
      <w:tr w:rsidR="00780010" w:rsidRPr="001D7630" w14:paraId="1E596FD8"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63685D80"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35D7D443"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33F6E33C" w14:textId="77777777" w:rsidR="00780010" w:rsidRPr="001D7630" w:rsidRDefault="00780010" w:rsidP="00780010">
            <w:pPr>
              <w:autoSpaceDE w:val="0"/>
              <w:autoSpaceDN w:val="0"/>
              <w:adjustRightInd w:val="0"/>
              <w:jc w:val="center"/>
              <w:rPr>
                <w:b/>
                <w:bCs/>
              </w:rPr>
            </w:pPr>
            <w:r w:rsidRPr="001D7630">
              <w:rPr>
                <w:b/>
                <w:bCs/>
              </w:rPr>
              <w:t>Latvijas Degvielas tirgotāju asociācija</w:t>
            </w:r>
          </w:p>
          <w:p w14:paraId="217846EC" w14:textId="77777777" w:rsidR="00780010" w:rsidRPr="001D7630" w:rsidRDefault="00780010" w:rsidP="00780010">
            <w:pPr>
              <w:autoSpaceDE w:val="0"/>
              <w:autoSpaceDN w:val="0"/>
              <w:adjustRightInd w:val="0"/>
              <w:jc w:val="center"/>
              <w:rPr>
                <w:b/>
                <w:bCs/>
              </w:rPr>
            </w:pPr>
            <w:r w:rsidRPr="001D7630">
              <w:rPr>
                <w:b/>
                <w:bCs/>
              </w:rPr>
              <w:t>(25.03.2021.)</w:t>
            </w:r>
          </w:p>
          <w:p w14:paraId="1E458236" w14:textId="77777777" w:rsidR="00780010" w:rsidRPr="001D7630" w:rsidRDefault="00780010" w:rsidP="00780010">
            <w:pPr>
              <w:jc w:val="both"/>
            </w:pPr>
            <w:r w:rsidRPr="001D7630">
              <w:t>[2.] Aicinām strukturēt 8.panta ceturto un septīto daļu, vai nu septīto daļu iekļaujot panta ceturtajā daļā vai secīgi kā panta piekto daļu, tas pantu padarītu skaidrāku un vieglāk uztveramu. Ja panta septītā daļa tiek saglabāta kā atsevišķa daļa, lūdzam iekļaut panta ceturtajā daļā atsauci uz šo daļu. Vienlaikus aicinām svītrot panta ceturtajā daļā atsauces uz panta 10.daļu, ņemot vērā, ka panta 10.daļa ietver deleģējumu Ministru kabinetam.</w:t>
            </w:r>
          </w:p>
        </w:tc>
        <w:tc>
          <w:tcPr>
            <w:tcW w:w="2976" w:type="dxa"/>
            <w:tcBorders>
              <w:top w:val="single" w:sz="6" w:space="0" w:color="000000"/>
              <w:left w:val="single" w:sz="6" w:space="0" w:color="000000"/>
              <w:bottom w:val="single" w:sz="6" w:space="0" w:color="000000"/>
              <w:right w:val="single" w:sz="6" w:space="0" w:color="000000"/>
            </w:tcBorders>
          </w:tcPr>
          <w:p w14:paraId="6BA1071D" w14:textId="77777777"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tcPr>
          <w:p w14:paraId="1B9AD7E7" w14:textId="77777777" w:rsidR="00780010" w:rsidRPr="001D7630" w:rsidRDefault="00780010" w:rsidP="00780010">
            <w:pPr>
              <w:pStyle w:val="naisf"/>
              <w:spacing w:before="0" w:after="0"/>
              <w:ind w:firstLine="0"/>
            </w:pPr>
            <w:r w:rsidRPr="001D7630">
              <w:t>Likumprojekta 8.panta 7.daļa ir iestrādāta likumprojekta 8.panta 4.daļā to attiecīgi precizējot</w:t>
            </w:r>
          </w:p>
        </w:tc>
      </w:tr>
      <w:tr w:rsidR="00780010" w:rsidRPr="001D7630" w14:paraId="6497984F"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68246A6A"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58134025"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7590AAE6" w14:textId="77777777" w:rsidR="00780010" w:rsidRPr="001D7630" w:rsidRDefault="00780010" w:rsidP="00780010">
            <w:pPr>
              <w:autoSpaceDE w:val="0"/>
              <w:autoSpaceDN w:val="0"/>
              <w:adjustRightInd w:val="0"/>
              <w:jc w:val="center"/>
              <w:rPr>
                <w:b/>
                <w:bCs/>
              </w:rPr>
            </w:pPr>
            <w:r w:rsidRPr="001D7630">
              <w:rPr>
                <w:b/>
                <w:bCs/>
              </w:rPr>
              <w:t>Latvijas tirdzniecības un rūpniecības kamera</w:t>
            </w:r>
          </w:p>
          <w:p w14:paraId="49F92321" w14:textId="77777777" w:rsidR="00780010" w:rsidRPr="001D7630" w:rsidRDefault="00780010" w:rsidP="00780010">
            <w:pPr>
              <w:autoSpaceDE w:val="0"/>
              <w:autoSpaceDN w:val="0"/>
              <w:adjustRightInd w:val="0"/>
              <w:jc w:val="center"/>
              <w:rPr>
                <w:b/>
                <w:bCs/>
              </w:rPr>
            </w:pPr>
            <w:r w:rsidRPr="001D7630">
              <w:rPr>
                <w:b/>
                <w:bCs/>
              </w:rPr>
              <w:lastRenderedPageBreak/>
              <w:t>(13.01.2021. atzinums)</w:t>
            </w:r>
          </w:p>
          <w:p w14:paraId="75C58047" w14:textId="77777777" w:rsidR="00780010" w:rsidRPr="001D7630" w:rsidRDefault="00780010" w:rsidP="00780010">
            <w:pPr>
              <w:jc w:val="both"/>
            </w:pPr>
            <w:r w:rsidRPr="001D7630">
              <w:t xml:space="preserve">[1.] Nepieciešams svītrot likumprojekta 8.panta trešo un ceturto daļu. LTRK ieskatā ir jābūt kopējam AER mērķim un nosacījumiem, kā šo mērķi var sasniegt, neizdalot pienākumu realizēt konkrētu apjomu 1.paaudzes biodegvielu. 1.paaudzes biodegviela var izrādīties dārgāka (ja ņem vērā, ka 2.paaudzes biodegvielas devumu līdzdalības mehānisma ietvaros var uzskatīt par divas reizes lielāku) nekā atsevišķi modernās biodegvielas veidi, kas draud ar to, ka saglabājot atsevišķus 1.paaudzes pienākumus tiktu radītas nevajadzīgas izmaksas degvielas tirgotājiem mērķa izpildei. LTRK ieskātā minētā dēļ degviela Latvijā kļūtu dārgāka nekā kaimiņvalstīs, kuras pieļauj AER mērķu izpildi, atbilstoši Piesārņojuma likuma 55.pantam, izmaksu ziņā efektīvākajā veidā, tomēr 1.paaudzes biodegvielu pienesums SEG samazināšanā ir lielāks, ņemot vērā lielāku izmantoto tilpumu, jo 2.paaudzes biodegvielas devumu līdzdalības mehānisma ietvaros uzskata par divas reizes lielāku, līdz ar to faktiskais tilpums ir divas reizes mazāks. Tādejādi degvielas tirgotājs pats varētu izvēlēties, kādā veidā viņš vēlas nodrošināt moderno biodegvielu un pirmās paaudzes biodegvielu īpatsvaru un nav neieciešams degvielas tirgotāju </w:t>
            </w:r>
            <w:r w:rsidRPr="001D7630">
              <w:lastRenderedPageBreak/>
              <w:t>ierobežot, liekot realizēt konkrētu apjomu pirmās paaudzes biodegvielas.</w:t>
            </w:r>
          </w:p>
          <w:p w14:paraId="34D71516" w14:textId="77777777" w:rsidR="00780010" w:rsidRPr="001D7630" w:rsidRDefault="00780010" w:rsidP="00780010">
            <w:pPr>
              <w:jc w:val="both"/>
            </w:pPr>
            <w:r w:rsidRPr="001D7630">
              <w:t>[2.] LTRK ieskatā ir jāparedz AER mērķa definēšanu katram gadam atsevišķi. Šobrīd esošajā redakcijā ir apšaubāms, ka 2030.gada 7% mērķi tiktu sasniegti, jo 2029. un 2030. gadā paredzētais pieaugums ir plānots ļoti straujš, savukārt 2024. un 2027.gadā AER kopējais īpatsvars, samazinoties 1.paaudzes biodegvielas mērķim, samazinās. Piemēram 2027.gadā AER kopējais mērķis (summējot 1.paaudzes un moderno biodegvielu) ir izvirzīts tikai 1.7%, lai gan 2022.gadā tas ir 4.2%. Tāpat šis mērķis ir jānosaka, likumprojektā. Iespējams, ka likumprojektā var noteikt deleģējumu MK apstiprināt konkrētu plānu un kārtību, kā nonāk pie 7% AER mērķa transportā, kā arī plānu kā valsts sasniedz 9.panta 1.daļā noteikto siltumnīcefekta gāzu emisiju uz enerģijas vienību samazinājumu vismaz par sešiem procentiem attiecībā pret degvielas pamatstandartu.</w:t>
            </w:r>
          </w:p>
          <w:p w14:paraId="3A50B90C" w14:textId="77777777" w:rsidR="00780010" w:rsidRPr="001D7630" w:rsidRDefault="00780010" w:rsidP="00780010">
            <w:pPr>
              <w:jc w:val="both"/>
            </w:pPr>
            <w:r w:rsidRPr="001D7630">
              <w:t xml:space="preserve">[3.] Vienlaikus LTRK norāda, ka Eiropas Savienības Direktīva 2018/2001 par no atjaunojamiem energoresursiem iegūtas enerģijas izmantošanas veicināšanu paredz, ka dalībvalstīm līdz 2030.gadam transporta sektorā ir jābūt vismaz 14% lielam AER īpatsvaram, vienlaikus </w:t>
            </w:r>
            <w:r w:rsidRPr="001D7630">
              <w:lastRenderedPageBreak/>
              <w:t xml:space="preserve">Eiropas institūcijas ir skaidri deklarējušas, ka klimata mērķi 2030.gadam būs vēl ambiciozāki. Likumprojekts paredz, ka Latvijai saistošs ir 7% AER īpatsvars, taču likumprojekta izstrādātāja pamatojums par atkāpi no AER direktīvas mērķiem nav pieejams. </w:t>
            </w:r>
          </w:p>
          <w:p w14:paraId="45D7C2D9" w14:textId="77777777" w:rsidR="00780010" w:rsidRPr="001D7630" w:rsidRDefault="00780010" w:rsidP="00780010">
            <w:pPr>
              <w:jc w:val="both"/>
            </w:pPr>
            <w:r w:rsidRPr="001D7630">
              <w:t>[4.] Likumprojekta 8. panta septītās daļas 2. punktā norādīts, ka īpatsvaru ir jāierobežo līdz 3,4 procentiem no galapatēriņam transportā realizētā transporta enerģijas apjoma. Savukārt Eiropas Parlamenta un Padomes direktīvā 2018/2001 attiecīgais rādītājs ir noteikts 1,7% apmērā. Lūdzam precizēt šo pantu atbilstoši direktīvas prasībām, ņemot vērā attiecīgo izejvielu pieejamību Latvijā.</w:t>
            </w:r>
          </w:p>
          <w:p w14:paraId="015ACF3C" w14:textId="77777777" w:rsidR="00780010" w:rsidRPr="001D7630" w:rsidRDefault="00780010" w:rsidP="00780010">
            <w:pPr>
              <w:jc w:val="both"/>
            </w:pPr>
            <w:r w:rsidRPr="001D7630">
              <w:t xml:space="preserve">[5.]  Likumprojekta 8.panta astotajā daļā aiz vārda “minēto” nepieciešams svītrot vārdu “moderno”. LTRK ieskatā likumprojekta 1.pielikuma 1.punktā ir uzskaitītas modernās biodegvielas, bet 2.punkts nosaka lietotas cepamās eļļas un dzīvnieku tauku izmantošanu biodegvielas ražošanā, kuru devumu līdzdalības mehānisma ietvaros var uzskatīt par divas reizes lielāku par 1.paaudzes biodegvielu. </w:t>
            </w:r>
          </w:p>
          <w:p w14:paraId="13CCE074" w14:textId="77777777" w:rsidR="00780010" w:rsidRPr="001D7630" w:rsidRDefault="00780010" w:rsidP="00780010">
            <w:pPr>
              <w:jc w:val="both"/>
            </w:pPr>
          </w:p>
        </w:tc>
        <w:tc>
          <w:tcPr>
            <w:tcW w:w="2976" w:type="dxa"/>
            <w:tcBorders>
              <w:top w:val="single" w:sz="6" w:space="0" w:color="000000"/>
              <w:left w:val="single" w:sz="6" w:space="0" w:color="000000"/>
              <w:bottom w:val="single" w:sz="6" w:space="0" w:color="000000"/>
              <w:right w:val="single" w:sz="6" w:space="0" w:color="000000"/>
            </w:tcBorders>
          </w:tcPr>
          <w:p w14:paraId="35CB89B3" w14:textId="77777777" w:rsidR="00780010" w:rsidRPr="001D7630" w:rsidRDefault="00780010" w:rsidP="00780010">
            <w:pPr>
              <w:jc w:val="center"/>
              <w:rPr>
                <w:b/>
                <w:bCs/>
                <w:iCs/>
              </w:rPr>
            </w:pPr>
            <w:r w:rsidRPr="001D7630">
              <w:rPr>
                <w:b/>
                <w:bCs/>
                <w:iCs/>
              </w:rPr>
              <w:lastRenderedPageBreak/>
              <w:t>Ņemts vērā</w:t>
            </w:r>
          </w:p>
          <w:p w14:paraId="5C6E68E9" w14:textId="77777777" w:rsidR="00780010" w:rsidRPr="001D7630" w:rsidRDefault="00780010" w:rsidP="00780010">
            <w:pPr>
              <w:rPr>
                <w:b/>
                <w:bCs/>
                <w:iCs/>
              </w:rPr>
            </w:pPr>
          </w:p>
          <w:p w14:paraId="12BBA2BE" w14:textId="77777777" w:rsidR="00780010" w:rsidRPr="001D7630" w:rsidRDefault="00780010" w:rsidP="00780010">
            <w:pPr>
              <w:rPr>
                <w:iCs/>
              </w:rPr>
            </w:pPr>
            <w:r w:rsidRPr="001D7630">
              <w:rPr>
                <w:iCs/>
              </w:rPr>
              <w:lastRenderedPageBreak/>
              <w:t>[1] Skaidrojam, ka likumprojekta 8.panta 4.daļā iekļautie mērķi ir obligātie saistoši direktīvā 2018/2001 noteiktie mērķi, kur dalībvalstīm nav dota izvēles brīvība tos piemērot vai nepiemērot.</w:t>
            </w:r>
          </w:p>
          <w:p w14:paraId="435EFC4F" w14:textId="77777777" w:rsidR="00780010" w:rsidRPr="001D7630" w:rsidRDefault="00780010" w:rsidP="00780010">
            <w:pPr>
              <w:rPr>
                <w:iCs/>
              </w:rPr>
            </w:pPr>
            <w:r w:rsidRPr="001D7630">
              <w:rPr>
                <w:iCs/>
              </w:rPr>
              <w:t>Tāpat norādām, ka šie mērķi ir jau noteikti spēkā esošajā politikas plānošanas dokumentā – NEKP2030.</w:t>
            </w:r>
          </w:p>
          <w:p w14:paraId="2E023FC3" w14:textId="77777777" w:rsidR="00780010" w:rsidRPr="001D7630" w:rsidRDefault="00780010" w:rsidP="00780010">
            <w:pPr>
              <w:rPr>
                <w:iCs/>
              </w:rPr>
            </w:pPr>
            <w:r w:rsidRPr="001D7630">
              <w:rPr>
                <w:iCs/>
              </w:rPr>
              <w:t>Vienlaikus, lai nodrošinātu pakāpenisku pāreju no spēkā esošās sistēmas – obligātā piejaukuma, uz līdzdalības mehānisma pienākumu, kā arī lai ievērotu tiesiskās paļāvības principus un lai atjaunojamās enerģijas īpatsvaru tuvinātu 2020.gada mērķu apjomam obligātā piejaukuma nosacījums terminētu periodu tiek saglabāts, vienlaikus nenosakot, ka šis piejaukums ir īstenojams ar 1.paaudzes biodegvielu vai moderno biodegvielu.</w:t>
            </w:r>
          </w:p>
          <w:p w14:paraId="2754E63F" w14:textId="77777777" w:rsidR="00780010" w:rsidRPr="001D7630" w:rsidRDefault="00780010" w:rsidP="00780010">
            <w:pPr>
              <w:rPr>
                <w:iCs/>
              </w:rPr>
            </w:pPr>
          </w:p>
          <w:p w14:paraId="7F11C085" w14:textId="77777777" w:rsidR="00780010" w:rsidRPr="001D7630" w:rsidRDefault="00780010" w:rsidP="00780010">
            <w:pPr>
              <w:rPr>
                <w:iCs/>
              </w:rPr>
            </w:pPr>
            <w:r w:rsidRPr="001D7630">
              <w:rPr>
                <w:iCs/>
              </w:rPr>
              <w:t xml:space="preserve">[2] skaidrojam, ka ikgadējo mērķu noteikšana pastiprinātu direktīvā </w:t>
            </w:r>
            <w:r w:rsidRPr="001D7630">
              <w:rPr>
                <w:iCs/>
              </w:rPr>
              <w:lastRenderedPageBreak/>
              <w:t>2018/2001 noteiktos nosacījumus, kur ir noteikti modernās biodegvielas mērķi 2022., 2025. un 2030.gadā un kopējais atjaunojamās transporta enerģijas mērķis 2030.gadam.</w:t>
            </w:r>
          </w:p>
          <w:p w14:paraId="6713B303" w14:textId="77777777" w:rsidR="00780010" w:rsidRPr="001D7630" w:rsidRDefault="00780010" w:rsidP="00780010">
            <w:pPr>
              <w:rPr>
                <w:iCs/>
              </w:rPr>
            </w:pPr>
            <w:r w:rsidRPr="001D7630">
              <w:rPr>
                <w:iCs/>
              </w:rPr>
              <w:t>Rīcībpolitika un pasākumi NEKP2030 noteikto mērķu sasniegšanai ir noteikti NEKP2030 4.pielikumā.</w:t>
            </w:r>
          </w:p>
          <w:p w14:paraId="79C76E4D" w14:textId="77777777" w:rsidR="00780010" w:rsidRPr="001D7630" w:rsidRDefault="00780010" w:rsidP="00780010">
            <w:pPr>
              <w:rPr>
                <w:iCs/>
              </w:rPr>
            </w:pPr>
            <w:r w:rsidRPr="001D7630">
              <w:rPr>
                <w:iCs/>
              </w:rPr>
              <w:t>Skaidrojam arī, ka transporta enerģijas aprites cikla SEG emisiju intensitātes samazināšanas mērķis nav valstij saistošs mērķis, bet tikai degvielas piegādātājiem saistošs mērķis – Direktīvas 98/70EK 7a.panta 2.punkts.</w:t>
            </w:r>
          </w:p>
          <w:p w14:paraId="72DF759B" w14:textId="77777777" w:rsidR="00780010" w:rsidRPr="001D7630" w:rsidRDefault="00780010" w:rsidP="00780010">
            <w:pPr>
              <w:rPr>
                <w:b/>
                <w:bCs/>
                <w:iCs/>
              </w:rPr>
            </w:pPr>
          </w:p>
          <w:p w14:paraId="01AFC269" w14:textId="77777777" w:rsidR="00780010" w:rsidRPr="001D7630" w:rsidRDefault="00780010" w:rsidP="00780010">
            <w:pPr>
              <w:rPr>
                <w:iCs/>
              </w:rPr>
            </w:pPr>
            <w:r w:rsidRPr="001D7630">
              <w:rPr>
                <w:iCs/>
              </w:rPr>
              <w:t>[3] Skaidrojam, ka direktīvas 2018/2001 25.panta 1.punkts ir jāskata kontekstā ar 26.panta 1.punktu.</w:t>
            </w:r>
          </w:p>
          <w:p w14:paraId="4EC1D670" w14:textId="77777777" w:rsidR="00780010" w:rsidRPr="001D7630" w:rsidRDefault="00780010" w:rsidP="00780010">
            <w:pPr>
              <w:rPr>
                <w:iCs/>
              </w:rPr>
            </w:pPr>
            <w:r w:rsidRPr="001D7630">
              <w:rPr>
                <w:iCs/>
              </w:rPr>
              <w:t xml:space="preserve">14% ir nosakāms, ja dalībvalsts arī 2030.gadā plāno mērķa izpildē izmantot tās biodegvielas vai biogāzi, kas netiek ražotas no likumprojekta pielikuma 1.punktā uzskaitītajām izejvielām. Tāpat direktīvā ir noteikts, ka to biodegvielu </w:t>
            </w:r>
            <w:r w:rsidRPr="001D7630">
              <w:rPr>
                <w:iCs/>
              </w:rPr>
              <w:lastRenderedPageBreak/>
              <w:t>vai biogāzes, kas netiek ražotas no likumprojekta pielikuma 1.punktā uzskaitītajām izejvielām, apjoms 2030.gadā nevar pārsniegt 7%.</w:t>
            </w:r>
          </w:p>
          <w:p w14:paraId="7D4C6B8A" w14:textId="77777777" w:rsidR="00780010" w:rsidRPr="001D7630" w:rsidRDefault="00780010" w:rsidP="00780010">
            <w:pPr>
              <w:rPr>
                <w:iCs/>
              </w:rPr>
            </w:pPr>
            <w:r w:rsidRPr="001D7630">
              <w:rPr>
                <w:iCs/>
              </w:rPr>
              <w:t>Vienlaikus Direktīvas 2018/2001 26.panta 1.punkta 4.rindkopā ir noteikts, ka dalībvalsts var samazināt direktīvas 2018/2001 25.panta 1.punktā minēto pienākumu par tādu apjomu, par kādu apjomu tiek samazināts pienākuma izpildē izmantojamais biodegvielu vai biogāzes, kas netiek ražotas no likumprojekta pielikuma 1.punktā uzskaitītajām izejvielām, apjoms.</w:t>
            </w:r>
          </w:p>
          <w:p w14:paraId="77C690B4" w14:textId="77777777" w:rsidR="00780010" w:rsidRPr="001D7630" w:rsidRDefault="00780010" w:rsidP="00780010">
            <w:pPr>
              <w:rPr>
                <w:iCs/>
              </w:rPr>
            </w:pPr>
            <w:r w:rsidRPr="001D7630">
              <w:rPr>
                <w:iCs/>
              </w:rPr>
              <w:t xml:space="preserve">Norādām, ka jau saistošajā politikas plānošanas dokumentā – NEKP2030, ir noteikti mērķi, kas izriet no Direktīvas 2018/2001 25. un 26.panta. Ievērojot direktīvas 2018/2001 26.panta 1.punkta 4.rindkopu ir noteikts, ka Latvijā degvielas piegādātājiem piemērojamais mērķis ir 7% un tātad šī mērķa izpildē nevar ieskaitīt </w:t>
            </w:r>
            <w:r w:rsidRPr="001D7630">
              <w:rPr>
                <w:iCs/>
              </w:rPr>
              <w:lastRenderedPageBreak/>
              <w:t>to biodegvielu vai biogāzes apjomu, kas netiek ražotas no likumprojekta pielikuma 1.punktā uzskaitītajām izejvielām.</w:t>
            </w:r>
          </w:p>
          <w:p w14:paraId="17AA4819" w14:textId="77777777" w:rsidR="00780010" w:rsidRPr="001D7630" w:rsidRDefault="00780010" w:rsidP="00780010">
            <w:pPr>
              <w:rPr>
                <w:iCs/>
              </w:rPr>
            </w:pPr>
            <w:r w:rsidRPr="001D7630">
              <w:rPr>
                <w:iCs/>
              </w:rPr>
              <w:t>Vienlaikus likumprojektā nav iekļauts ierobežojums degvielas piegādātājiem šādas biodegvielas vai biogāzi piegādāt galapatēriņam transportā tai skaitā arī, lai izpildītu likumprojekta 9.pantā noteikto pienākumu.</w:t>
            </w:r>
          </w:p>
        </w:tc>
        <w:tc>
          <w:tcPr>
            <w:tcW w:w="4291" w:type="dxa"/>
            <w:tcBorders>
              <w:top w:val="single" w:sz="4" w:space="0" w:color="auto"/>
              <w:left w:val="single" w:sz="4" w:space="0" w:color="auto"/>
              <w:bottom w:val="single" w:sz="4" w:space="0" w:color="auto"/>
            </w:tcBorders>
          </w:tcPr>
          <w:p w14:paraId="7A9CA08C" w14:textId="77777777" w:rsidR="00780010" w:rsidRPr="001D7630" w:rsidRDefault="00780010" w:rsidP="00780010">
            <w:pPr>
              <w:pStyle w:val="naisf"/>
              <w:spacing w:before="0" w:after="0"/>
              <w:ind w:firstLine="0"/>
            </w:pPr>
            <w:r w:rsidRPr="001D7630">
              <w:lastRenderedPageBreak/>
              <w:t>Likumprojekta 8.pants ir precizēts.</w:t>
            </w:r>
          </w:p>
          <w:p w14:paraId="65C82746" w14:textId="77777777" w:rsidR="00780010" w:rsidRPr="001D7630" w:rsidRDefault="00780010" w:rsidP="00780010">
            <w:pPr>
              <w:pStyle w:val="naisf"/>
              <w:spacing w:before="0" w:after="0"/>
              <w:ind w:firstLine="0"/>
            </w:pPr>
          </w:p>
          <w:p w14:paraId="4A97918E" w14:textId="77777777" w:rsidR="00780010" w:rsidRPr="001D7630" w:rsidRDefault="00780010" w:rsidP="00780010">
            <w:pPr>
              <w:jc w:val="both"/>
            </w:pPr>
            <w:r w:rsidRPr="001D7630">
              <w:lastRenderedPageBreak/>
              <w:t>Likumprojekta anotācijas I sadaļas 2.punkta sadaļa “</w:t>
            </w:r>
            <w:r w:rsidRPr="001D7630">
              <w:rPr>
                <w:u w:val="single"/>
              </w:rPr>
              <w:t>Likumprojekta 8.pants</w:t>
            </w:r>
            <w:r w:rsidRPr="001D7630">
              <w:t>” ir būtiski papildināta.</w:t>
            </w:r>
          </w:p>
          <w:p w14:paraId="33B7C85B" w14:textId="77777777" w:rsidR="00780010" w:rsidRPr="001D7630" w:rsidRDefault="00780010" w:rsidP="00780010">
            <w:pPr>
              <w:pStyle w:val="naisf"/>
              <w:spacing w:before="0" w:after="0"/>
              <w:ind w:firstLine="0"/>
            </w:pPr>
          </w:p>
          <w:p w14:paraId="2C8E27BF" w14:textId="77777777" w:rsidR="00780010" w:rsidRPr="001D7630" w:rsidRDefault="00780010" w:rsidP="00780010">
            <w:pPr>
              <w:pStyle w:val="naisf"/>
              <w:spacing w:before="0" w:after="0"/>
              <w:ind w:firstLine="0"/>
            </w:pPr>
            <w:r w:rsidRPr="001D7630">
              <w:t>Likumprojekta pielikums ir precizēts</w:t>
            </w:r>
          </w:p>
        </w:tc>
      </w:tr>
      <w:tr w:rsidR="00780010" w:rsidRPr="001D7630" w14:paraId="27121A6B"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26BB0B4F"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70AD8BCB"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4CD8F07E" w14:textId="77777777" w:rsidR="00780010" w:rsidRPr="001D7630" w:rsidRDefault="00780010" w:rsidP="00780010">
            <w:pPr>
              <w:jc w:val="center"/>
              <w:rPr>
                <w:b/>
                <w:bCs/>
              </w:rPr>
            </w:pPr>
            <w:r w:rsidRPr="001D7630">
              <w:rPr>
                <w:b/>
                <w:bCs/>
              </w:rPr>
              <w:t>Latvijas biogāzes asociācija</w:t>
            </w:r>
          </w:p>
          <w:p w14:paraId="398EF474" w14:textId="77777777" w:rsidR="00780010" w:rsidRPr="001D7630" w:rsidRDefault="00780010" w:rsidP="00780010">
            <w:pPr>
              <w:jc w:val="center"/>
              <w:rPr>
                <w:b/>
                <w:bCs/>
              </w:rPr>
            </w:pPr>
            <w:r w:rsidRPr="001D7630">
              <w:rPr>
                <w:b/>
                <w:bCs/>
              </w:rPr>
              <w:t>(22.01.2021.)</w:t>
            </w:r>
          </w:p>
          <w:p w14:paraId="3C44E872" w14:textId="77777777" w:rsidR="00780010" w:rsidRPr="001D7630" w:rsidRDefault="00780010" w:rsidP="00780010">
            <w:pPr>
              <w:autoSpaceDE w:val="0"/>
              <w:autoSpaceDN w:val="0"/>
              <w:adjustRightInd w:val="0"/>
              <w:rPr>
                <w:b/>
                <w:bCs/>
              </w:rPr>
            </w:pPr>
            <w:r w:rsidRPr="001D7630">
              <w:t xml:space="preserve">Latvijas biogāzes asociācija piedāvā grozīt Transporta enerģijas likumprojekta 8. panta. “Līdzdalības mehānisms” (6) punktu un izteikt sekojošā redakcijā: “Līdzdalības mehānisma ietvaros degvielas piegādātājs galapatēriņam transportā realizē no pārtikas un dzīvnieku barības kultūraugiem saražoto </w:t>
            </w:r>
            <w:r w:rsidRPr="001D7630">
              <w:rPr>
                <w:b/>
                <w:bCs/>
              </w:rPr>
              <w:t>biodegvielu, biomasas degvielu vai biogāzi</w:t>
            </w:r>
            <w:r w:rsidRPr="001D7630">
              <w:t xml:space="preserve">, kurām ir augsts netiešas zemes izmantošanas maiņas risks un kurām ir novērota ievērojama ražošanas platības izplešanās zemes platībās ar augstu oglekļa koncentrāciju, apjomu šādā īpatsvarā, kas aprēķināts ņemot vērā visu konkrētā degvielas piegādātāja galapatēriņam </w:t>
            </w:r>
            <w:r w:rsidRPr="001D7630">
              <w:lastRenderedPageBreak/>
              <w:t>transportā realizēto transporta enerģijas apjomu:…..”</w:t>
            </w:r>
          </w:p>
        </w:tc>
        <w:tc>
          <w:tcPr>
            <w:tcW w:w="2976" w:type="dxa"/>
            <w:tcBorders>
              <w:top w:val="single" w:sz="6" w:space="0" w:color="000000"/>
              <w:left w:val="single" w:sz="6" w:space="0" w:color="000000"/>
              <w:bottom w:val="single" w:sz="6" w:space="0" w:color="000000"/>
              <w:right w:val="single" w:sz="6" w:space="0" w:color="000000"/>
            </w:tcBorders>
          </w:tcPr>
          <w:p w14:paraId="3A96433E"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tcPr>
          <w:p w14:paraId="319E7598" w14:textId="77777777" w:rsidR="00780010" w:rsidRPr="001D7630" w:rsidRDefault="00780010" w:rsidP="00780010">
            <w:pPr>
              <w:pStyle w:val="naisf"/>
              <w:spacing w:before="0" w:after="0"/>
              <w:ind w:firstLine="0"/>
            </w:pPr>
            <w:r w:rsidRPr="001D7630">
              <w:t>Likumprojekta 8.panta 6.daļa ir precizēta</w:t>
            </w:r>
          </w:p>
        </w:tc>
      </w:tr>
      <w:tr w:rsidR="00780010" w:rsidRPr="001D7630" w14:paraId="36287B9E"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7C8C384F"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2A592CCE"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3A18A949" w14:textId="77777777" w:rsidR="00780010" w:rsidRPr="001D7630" w:rsidRDefault="00780010" w:rsidP="00780010">
            <w:pPr>
              <w:jc w:val="center"/>
              <w:rPr>
                <w:b/>
                <w:bCs/>
              </w:rPr>
            </w:pPr>
            <w:r w:rsidRPr="001D7630">
              <w:rPr>
                <w:b/>
                <w:bCs/>
              </w:rPr>
              <w:t>Latvijas biogāzes asociācija</w:t>
            </w:r>
          </w:p>
          <w:p w14:paraId="5F23362D" w14:textId="77777777" w:rsidR="00780010" w:rsidRPr="001D7630" w:rsidRDefault="00780010" w:rsidP="00780010">
            <w:pPr>
              <w:jc w:val="center"/>
              <w:rPr>
                <w:b/>
                <w:bCs/>
              </w:rPr>
            </w:pPr>
            <w:r w:rsidRPr="001D7630">
              <w:rPr>
                <w:b/>
                <w:bCs/>
              </w:rPr>
              <w:t>(29.03.2021.)</w:t>
            </w:r>
          </w:p>
          <w:p w14:paraId="64E24253" w14:textId="77777777" w:rsidR="00780010" w:rsidRPr="001D7630" w:rsidRDefault="00780010" w:rsidP="00780010">
            <w:pPr>
              <w:autoSpaceDE w:val="0"/>
              <w:autoSpaceDN w:val="0"/>
              <w:adjustRightInd w:val="0"/>
              <w:rPr>
                <w:color w:val="000000"/>
              </w:rPr>
            </w:pPr>
            <w:r w:rsidRPr="001D7630">
              <w:rPr>
                <w:color w:val="000000"/>
              </w:rPr>
              <w:t xml:space="preserve">1. 8. pants. Līdzdalības mehānisms. </w:t>
            </w:r>
          </w:p>
          <w:p w14:paraId="57174C28" w14:textId="77777777" w:rsidR="00780010" w:rsidRPr="001D7630" w:rsidRDefault="00780010" w:rsidP="00780010">
            <w:pPr>
              <w:autoSpaceDE w:val="0"/>
              <w:autoSpaceDN w:val="0"/>
              <w:adjustRightInd w:val="0"/>
              <w:rPr>
                <w:color w:val="000000"/>
              </w:rPr>
            </w:pPr>
            <w:r w:rsidRPr="001D7630">
              <w:rPr>
                <w:color w:val="000000"/>
              </w:rPr>
              <w:t xml:space="preserve">(6) daļā ir lieks prievārds “no” un teikumam būtu jāskan: “Līdzdalības mehānisma ietvaros degvielas piegādātājs galapatēriņam transportā realizē no biodegvielu, biomasas degvielu vai biogāzi, kas saražota no pārtikas un dzīvnieku barības kultūraugiem…..” </w:t>
            </w:r>
          </w:p>
          <w:p w14:paraId="33D18ADA" w14:textId="77777777" w:rsidR="00780010" w:rsidRPr="001D7630" w:rsidRDefault="00780010" w:rsidP="00780010">
            <w:pPr>
              <w:autoSpaceDE w:val="0"/>
              <w:autoSpaceDN w:val="0"/>
              <w:adjustRightInd w:val="0"/>
              <w:rPr>
                <w:color w:val="000000"/>
              </w:rPr>
            </w:pPr>
            <w:r w:rsidRPr="001D7630">
              <w:rPr>
                <w:color w:val="000000"/>
              </w:rPr>
              <w:t xml:space="preserve">2. 8. pants. Līdzdalības mehānisms. </w:t>
            </w:r>
          </w:p>
          <w:p w14:paraId="08C88B64" w14:textId="77777777" w:rsidR="00780010" w:rsidRPr="001D7630" w:rsidRDefault="00780010" w:rsidP="00780010">
            <w:pPr>
              <w:autoSpaceDE w:val="0"/>
              <w:autoSpaceDN w:val="0"/>
              <w:adjustRightInd w:val="0"/>
              <w:rPr>
                <w:color w:val="000000"/>
              </w:rPr>
            </w:pPr>
          </w:p>
          <w:p w14:paraId="109825AA" w14:textId="77777777" w:rsidR="00780010" w:rsidRPr="001D7630" w:rsidRDefault="00780010" w:rsidP="00780010">
            <w:pPr>
              <w:autoSpaceDE w:val="0"/>
              <w:autoSpaceDN w:val="0"/>
              <w:adjustRightInd w:val="0"/>
              <w:rPr>
                <w:color w:val="000000"/>
              </w:rPr>
            </w:pPr>
            <w:r w:rsidRPr="001D7630">
              <w:rPr>
                <w:color w:val="000000"/>
              </w:rPr>
              <w:t xml:space="preserve">(10) Ministru kabinets nosaka:…. </w:t>
            </w:r>
          </w:p>
          <w:p w14:paraId="37E9B649" w14:textId="77777777" w:rsidR="00780010" w:rsidRPr="001D7630" w:rsidRDefault="00780010" w:rsidP="00780010">
            <w:pPr>
              <w:rPr>
                <w:b/>
                <w:bCs/>
              </w:rPr>
            </w:pPr>
            <w:r w:rsidRPr="001D7630">
              <w:rPr>
                <w:color w:val="000000"/>
              </w:rPr>
              <w:t xml:space="preserve">MK vajadzētu noteikt arī nosacījumus no atjaunojamiem energoresursiem ražotas </w:t>
            </w:r>
            <w:r w:rsidRPr="001D7630">
              <w:rPr>
                <w:color w:val="000000"/>
                <w:u w:val="single"/>
              </w:rPr>
              <w:t>bioloģiskas izcelsmes</w:t>
            </w:r>
            <w:r w:rsidRPr="001D7630">
              <w:rPr>
                <w:color w:val="000000"/>
              </w:rPr>
              <w:t xml:space="preserve"> šķidrās vai gāzveida transporta degvielas izmantošanai līdzdalības mehānisma ietvaros; kā arī kā aprēķina atjaunojamās enerģijas pārsniegumu un nosacījumus, un kā degvielas piegādātājs var pamatot, ka realizējamā biodegviela vai biogāze ir iegūta no atjaunojamiem energoresursiem, kas ir bioloģiskas izcelsmes, taču nav minēti pielikuma 1.punktā. MK būtu jānosaka arī aprēķina mehānisms gadījumiem, kad ražotājs vienā iekārtā vienlaicīgi ražo pirmās paaudzes un modernās degvielas (biometānu).</w:t>
            </w:r>
          </w:p>
        </w:tc>
        <w:tc>
          <w:tcPr>
            <w:tcW w:w="2976" w:type="dxa"/>
            <w:tcBorders>
              <w:top w:val="single" w:sz="6" w:space="0" w:color="000000"/>
              <w:left w:val="single" w:sz="6" w:space="0" w:color="000000"/>
              <w:bottom w:val="single" w:sz="6" w:space="0" w:color="000000"/>
              <w:right w:val="single" w:sz="6" w:space="0" w:color="000000"/>
            </w:tcBorders>
          </w:tcPr>
          <w:p w14:paraId="1C02EBF5" w14:textId="77777777" w:rsidR="00780010" w:rsidRPr="001D7630" w:rsidRDefault="00780010" w:rsidP="00780010">
            <w:pPr>
              <w:jc w:val="center"/>
              <w:rPr>
                <w:b/>
                <w:bCs/>
                <w:iCs/>
              </w:rPr>
            </w:pPr>
            <w:r w:rsidRPr="001D7630">
              <w:rPr>
                <w:b/>
                <w:bCs/>
                <w:iCs/>
              </w:rPr>
              <w:t>Ņemts vērā</w:t>
            </w:r>
          </w:p>
          <w:p w14:paraId="3722DCE3" w14:textId="77777777" w:rsidR="00780010" w:rsidRPr="001D7630" w:rsidRDefault="00780010" w:rsidP="00780010">
            <w:pPr>
              <w:jc w:val="center"/>
              <w:rPr>
                <w:b/>
                <w:bCs/>
                <w:iCs/>
              </w:rPr>
            </w:pPr>
          </w:p>
          <w:p w14:paraId="4F80C3DC" w14:textId="77777777" w:rsidR="00780010" w:rsidRPr="001D7630" w:rsidRDefault="00780010" w:rsidP="00780010">
            <w:pPr>
              <w:rPr>
                <w:color w:val="000000"/>
              </w:rPr>
            </w:pPr>
            <w:r w:rsidRPr="001D7630">
              <w:rPr>
                <w:iCs/>
              </w:rPr>
              <w:t>Norādām, ka “</w:t>
            </w:r>
            <w:r w:rsidRPr="001D7630">
              <w:rPr>
                <w:color w:val="000000"/>
              </w:rPr>
              <w:t xml:space="preserve">no atjaunojamiem energoresursiem ražotas </w:t>
            </w:r>
            <w:r w:rsidRPr="001D7630">
              <w:rPr>
                <w:color w:val="000000"/>
                <w:u w:val="single"/>
              </w:rPr>
              <w:t>bioloģiskas izcelsmes</w:t>
            </w:r>
            <w:r w:rsidRPr="001D7630">
              <w:rPr>
                <w:color w:val="000000"/>
              </w:rPr>
              <w:t xml:space="preserve"> šķidrās vai gāzveida transporta” degvielas atbilst “biodegviela” definīcijai.</w:t>
            </w:r>
          </w:p>
          <w:p w14:paraId="19E6AF22" w14:textId="77777777" w:rsidR="00780010" w:rsidRPr="001D7630" w:rsidRDefault="00780010" w:rsidP="00780010">
            <w:pPr>
              <w:rPr>
                <w:color w:val="000000"/>
              </w:rPr>
            </w:pPr>
            <w:r w:rsidRPr="001D7630">
              <w:rPr>
                <w:color w:val="000000"/>
              </w:rPr>
              <w:t>8.pantā noteikto mērķu izpildei ir izmantojamas tikai tās biodegvielas vai biogāze, kas atbilst “modernā biogāze” vai “modernā biodegviela” definīcijai.</w:t>
            </w:r>
          </w:p>
          <w:p w14:paraId="41D96785" w14:textId="77777777" w:rsidR="00780010" w:rsidRPr="001D7630" w:rsidRDefault="00780010" w:rsidP="00780010">
            <w:pPr>
              <w:rPr>
                <w:color w:val="000000"/>
              </w:rPr>
            </w:pPr>
          </w:p>
          <w:p w14:paraId="4C652DAF" w14:textId="77777777" w:rsidR="00780010" w:rsidRPr="001D7630" w:rsidRDefault="00780010" w:rsidP="00780010">
            <w:pPr>
              <w:rPr>
                <w:color w:val="000000"/>
              </w:rPr>
            </w:pPr>
            <w:r w:rsidRPr="001D7630">
              <w:rPr>
                <w:color w:val="000000"/>
              </w:rPr>
              <w:t>Pārsniegums netiek aprēķināts, bet tiek aprēķināts attiecīgais īpatsvars un, to salīdzinot ar mērķi, var noteikt mērķa pārsnieguma apjomu.</w:t>
            </w:r>
          </w:p>
          <w:p w14:paraId="609680A4" w14:textId="77777777" w:rsidR="00780010" w:rsidRPr="001D7630" w:rsidRDefault="00780010" w:rsidP="00780010">
            <w:pPr>
              <w:rPr>
                <w:color w:val="000000"/>
              </w:rPr>
            </w:pPr>
          </w:p>
          <w:p w14:paraId="08D20D44" w14:textId="77777777" w:rsidR="00780010" w:rsidRPr="001D7630" w:rsidRDefault="00780010" w:rsidP="00780010">
            <w:pPr>
              <w:rPr>
                <w:color w:val="000000"/>
              </w:rPr>
            </w:pPr>
            <w:r w:rsidRPr="001D7630">
              <w:rPr>
                <w:color w:val="000000"/>
              </w:rPr>
              <w:t>Ja biodegvielas vai biogāzes izejvielas nav noteiktas likumprojekta pielikumā, tad tās būtu uzskatāmas par 1.paaudzes biodegvielām, kuru izcelsmes noteiktas izejvielas nav īpaši pamatojamas.</w:t>
            </w:r>
          </w:p>
          <w:p w14:paraId="7D539C93" w14:textId="77777777" w:rsidR="00780010" w:rsidRPr="001D7630" w:rsidRDefault="00780010" w:rsidP="00780010">
            <w:pPr>
              <w:rPr>
                <w:color w:val="000000"/>
              </w:rPr>
            </w:pPr>
            <w:r w:rsidRPr="001D7630">
              <w:rPr>
                <w:color w:val="000000"/>
              </w:rPr>
              <w:lastRenderedPageBreak/>
              <w:t>Vienlaicīgas 1. un modernās biogāzes ražošanas aprēķins (dalījums) tiek veikts, izmantojot masas bilances metodi, kas ir noteikta likumprojekta 10.pantā</w:t>
            </w:r>
          </w:p>
          <w:p w14:paraId="0BAAC06C" w14:textId="77777777" w:rsidR="00780010" w:rsidRPr="001D7630" w:rsidRDefault="00780010" w:rsidP="00780010">
            <w:pPr>
              <w:rPr>
                <w:b/>
                <w:bCs/>
                <w:iCs/>
              </w:rPr>
            </w:pPr>
          </w:p>
        </w:tc>
        <w:tc>
          <w:tcPr>
            <w:tcW w:w="4291" w:type="dxa"/>
            <w:tcBorders>
              <w:top w:val="single" w:sz="4" w:space="0" w:color="auto"/>
              <w:left w:val="single" w:sz="4" w:space="0" w:color="auto"/>
              <w:bottom w:val="single" w:sz="4" w:space="0" w:color="auto"/>
            </w:tcBorders>
          </w:tcPr>
          <w:p w14:paraId="30A49D04" w14:textId="77777777" w:rsidR="00780010" w:rsidRPr="001D7630" w:rsidRDefault="00780010" w:rsidP="00780010">
            <w:pPr>
              <w:pStyle w:val="naisf"/>
              <w:spacing w:before="0" w:after="0"/>
              <w:ind w:firstLine="0"/>
            </w:pPr>
          </w:p>
        </w:tc>
      </w:tr>
      <w:tr w:rsidR="00780010" w:rsidRPr="001D7630" w14:paraId="0DC63849"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4A1B3C15"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11DCC9BF"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5E346F3D" w14:textId="77777777" w:rsidR="00780010" w:rsidRPr="001D7630" w:rsidRDefault="00780010" w:rsidP="00780010">
            <w:pPr>
              <w:widowControl w:val="0"/>
              <w:jc w:val="center"/>
              <w:rPr>
                <w:b/>
                <w:bCs/>
              </w:rPr>
            </w:pPr>
            <w:r w:rsidRPr="001D7630">
              <w:rPr>
                <w:b/>
                <w:bCs/>
              </w:rPr>
              <w:t>Biedrība “Latvijas biodegvielu un bioenerģijas asociācija”</w:t>
            </w:r>
          </w:p>
          <w:p w14:paraId="1C9C629C" w14:textId="77777777" w:rsidR="00780010" w:rsidRPr="001D7630" w:rsidRDefault="00780010" w:rsidP="00780010">
            <w:pPr>
              <w:widowControl w:val="0"/>
              <w:jc w:val="center"/>
              <w:rPr>
                <w:b/>
                <w:bCs/>
              </w:rPr>
            </w:pPr>
            <w:r w:rsidRPr="001D7630">
              <w:rPr>
                <w:b/>
                <w:bCs/>
              </w:rPr>
              <w:t>(23.03.2021.)</w:t>
            </w:r>
          </w:p>
          <w:p w14:paraId="367FC048" w14:textId="77777777" w:rsidR="00780010" w:rsidRPr="001D7630" w:rsidRDefault="00780010" w:rsidP="00780010">
            <w:pPr>
              <w:rPr>
                <w:b/>
                <w:bCs/>
              </w:rPr>
            </w:pPr>
            <w:r w:rsidRPr="001D7630">
              <w:t xml:space="preserve">1. </w:t>
            </w:r>
            <w:r w:rsidRPr="001D7630">
              <w:rPr>
                <w:b/>
                <w:bCs/>
              </w:rPr>
              <w:t>Jauns iebildums</w:t>
            </w:r>
            <w:r w:rsidRPr="001D7630">
              <w:t>. Likumprojekta 8.panta pirmās daļas 1. un 2. apakšpunkts, 8.panta devītās daļas 2. apakšpunkts, 9.panta trešās daļas 1. apakšpunkts un 9.panta piektās daļas 2. apakšpunkts nosaka izmantot Enerģētikas likumā noteiktos izcelsmes apliecinājumus. Iebilstam pret šo apliecinājumu izmantošanu, jo tie nav piemērojami transporta jomai. Būtu nepieciešams piemērot ilgtspējas apliecinājumus kā tas noteikts Eiropas Parlamenta un Padomes direktīvā 2018/2001.</w:t>
            </w:r>
          </w:p>
        </w:tc>
        <w:tc>
          <w:tcPr>
            <w:tcW w:w="2976" w:type="dxa"/>
            <w:tcBorders>
              <w:top w:val="single" w:sz="6" w:space="0" w:color="000000"/>
              <w:left w:val="single" w:sz="6" w:space="0" w:color="000000"/>
              <w:bottom w:val="single" w:sz="6" w:space="0" w:color="000000"/>
              <w:right w:val="single" w:sz="6" w:space="0" w:color="000000"/>
            </w:tcBorders>
          </w:tcPr>
          <w:p w14:paraId="5E005A2E" w14:textId="77777777" w:rsidR="00780010" w:rsidRPr="001D7630" w:rsidRDefault="00780010" w:rsidP="00780010">
            <w:pPr>
              <w:jc w:val="center"/>
              <w:rPr>
                <w:b/>
                <w:bCs/>
                <w:iCs/>
              </w:rPr>
            </w:pPr>
            <w:r w:rsidRPr="001D7630">
              <w:rPr>
                <w:b/>
                <w:bCs/>
                <w:iCs/>
              </w:rPr>
              <w:t>Ņemts vērā</w:t>
            </w:r>
          </w:p>
          <w:p w14:paraId="4E907040" w14:textId="77777777" w:rsidR="00780010" w:rsidRPr="001D7630" w:rsidRDefault="00780010" w:rsidP="00780010">
            <w:pPr>
              <w:rPr>
                <w:iCs/>
              </w:rPr>
            </w:pPr>
          </w:p>
          <w:p w14:paraId="162F236A" w14:textId="77777777" w:rsidR="00780010" w:rsidRPr="001D7630" w:rsidRDefault="00780010" w:rsidP="00780010">
            <w:pPr>
              <w:rPr>
                <w:iCs/>
              </w:rPr>
            </w:pPr>
            <w:r w:rsidRPr="001D7630">
              <w:rPr>
                <w:iCs/>
              </w:rPr>
              <w:t>Direktīva 2018/2001 atļauj dalībvalstīm izveidot sistēmu, ar kuru būtu iespējams pamatot modernās biodegvielas vai modernās biogāzes izcelsmi.</w:t>
            </w:r>
          </w:p>
          <w:p w14:paraId="296E5D05" w14:textId="77777777" w:rsidR="00780010" w:rsidRPr="001D7630" w:rsidRDefault="00780010" w:rsidP="00780010">
            <w:pPr>
              <w:rPr>
                <w:iCs/>
              </w:rPr>
            </w:pPr>
            <w:r w:rsidRPr="001D7630">
              <w:rPr>
                <w:iCs/>
              </w:rPr>
              <w:t>Norādām, ka, lai gan šobrīd šāda sistēma ir aktuāla tieši biometānam, kā vienam no biogāzes veidiem, bet sistēma tiek veidota arī citām no atjaunojamiem energoresursiem veidotajām gāzveida degvielām (gāzēm), piemēram, ūgeņradim vai e-degvielām.</w:t>
            </w:r>
          </w:p>
          <w:p w14:paraId="09F3558C" w14:textId="77777777" w:rsidR="00780010" w:rsidRPr="001D7630" w:rsidRDefault="00780010" w:rsidP="00780010">
            <w:pPr>
              <w:rPr>
                <w:iCs/>
              </w:rPr>
            </w:pPr>
          </w:p>
          <w:p w14:paraId="57258F56" w14:textId="77777777" w:rsidR="00780010" w:rsidRPr="001D7630" w:rsidRDefault="00780010" w:rsidP="00780010">
            <w:pPr>
              <w:rPr>
                <w:iCs/>
              </w:rPr>
            </w:pPr>
            <w:r w:rsidRPr="001D7630">
              <w:rPr>
                <w:iCs/>
              </w:rPr>
              <w:t xml:space="preserve">Lai gan modernās biogāzes  izcelsmi var pamatot ar ilgtspējas apliecinājumiem (Proof of Sustainability), kur brīvprātīgās shēmas ietvaros tiek norādīts arī transporta enerģijas izcelsmes </w:t>
            </w:r>
            <w:r w:rsidRPr="001D7630">
              <w:rPr>
                <w:iCs/>
              </w:rPr>
              <w:lastRenderedPageBreak/>
              <w:t>izejvielas, SEG emisiju ietaupījumi un citi nepieciešamie rādītāji, tomēr šī sistēma nav izmantojama, ja izmantojot fosilās enerģijas pārvades un sadales sistēmu biodegviela/biogāze tiek sajaukta ar degvielu/dabasgāzi.</w:t>
            </w:r>
          </w:p>
          <w:p w14:paraId="56F8A7EA" w14:textId="77777777" w:rsidR="00780010" w:rsidRPr="001D7630" w:rsidRDefault="00780010" w:rsidP="00780010">
            <w:pPr>
              <w:rPr>
                <w:b/>
                <w:bCs/>
                <w:iCs/>
              </w:rPr>
            </w:pPr>
            <w:r w:rsidRPr="001D7630">
              <w:rPr>
                <w:iCs/>
              </w:rPr>
              <w:t>Izcelsmes pamatošana ir nepieciešama, lai degvielas piegādātājiem būtu iespējams pamatot, ka viņi galapatēriņam transportā izmanto tieši biometānu un nevis dabasgāzi</w:t>
            </w:r>
          </w:p>
        </w:tc>
        <w:tc>
          <w:tcPr>
            <w:tcW w:w="4291" w:type="dxa"/>
            <w:tcBorders>
              <w:top w:val="single" w:sz="4" w:space="0" w:color="auto"/>
              <w:left w:val="single" w:sz="4" w:space="0" w:color="auto"/>
              <w:bottom w:val="single" w:sz="4" w:space="0" w:color="auto"/>
            </w:tcBorders>
          </w:tcPr>
          <w:p w14:paraId="1C4E9566" w14:textId="77777777" w:rsidR="00780010" w:rsidRPr="001D7630" w:rsidRDefault="00780010" w:rsidP="00780010">
            <w:pPr>
              <w:pStyle w:val="naisf"/>
              <w:spacing w:before="0" w:after="0"/>
              <w:ind w:firstLine="0"/>
            </w:pPr>
            <w:r w:rsidRPr="001D7630">
              <w:lastRenderedPageBreak/>
              <w:t>Likumprojekta 8.pants un 9.pants ir precizēts</w:t>
            </w:r>
          </w:p>
        </w:tc>
      </w:tr>
      <w:tr w:rsidR="00780010" w:rsidRPr="001D7630" w14:paraId="1FE2FD0D"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5C03954A"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08312C6"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1145416" w14:textId="77777777" w:rsidR="00780010" w:rsidRPr="001D7630" w:rsidRDefault="00780010" w:rsidP="00780010">
            <w:pPr>
              <w:autoSpaceDE w:val="0"/>
              <w:autoSpaceDN w:val="0"/>
              <w:adjustRightInd w:val="0"/>
              <w:jc w:val="center"/>
              <w:rPr>
                <w:b/>
                <w:bCs/>
              </w:rPr>
            </w:pPr>
            <w:r w:rsidRPr="001D7630">
              <w:rPr>
                <w:b/>
                <w:bCs/>
              </w:rPr>
              <w:t>Latvijas Degvielas tirgotāju asociācija</w:t>
            </w:r>
          </w:p>
          <w:p w14:paraId="7FD26941" w14:textId="446F2947" w:rsidR="00780010" w:rsidRPr="001D7630" w:rsidRDefault="00780010" w:rsidP="00780010">
            <w:pPr>
              <w:widowControl w:val="0"/>
              <w:jc w:val="center"/>
              <w:rPr>
                <w:b/>
                <w:bCs/>
              </w:rPr>
            </w:pPr>
            <w:r w:rsidRPr="001D7630">
              <w:rPr>
                <w:b/>
                <w:bCs/>
              </w:rPr>
              <w:t>(14.06.2021. atzinums)</w:t>
            </w:r>
          </w:p>
          <w:p w14:paraId="3BE69390" w14:textId="52B0B38F" w:rsidR="00780010" w:rsidRPr="001D7630" w:rsidRDefault="00780010" w:rsidP="00780010">
            <w:pPr>
              <w:pStyle w:val="gmail-msobodytextindent"/>
              <w:spacing w:before="0" w:beforeAutospacing="0" w:after="0" w:afterAutospacing="0"/>
              <w:jc w:val="both"/>
              <w:rPr>
                <w:rFonts w:ascii="Times New Roman" w:hAnsi="Times New Roman" w:cs="Times New Roman"/>
                <w:sz w:val="24"/>
                <w:szCs w:val="24"/>
              </w:rPr>
            </w:pPr>
            <w:r w:rsidRPr="001D7630">
              <w:rPr>
                <w:rFonts w:ascii="Times New Roman" w:hAnsi="Times New Roman" w:cs="Times New Roman"/>
                <w:sz w:val="24"/>
                <w:szCs w:val="24"/>
              </w:rPr>
              <w:t>Papildus 14.06.2021 LDTA vēstulē par Transporta enerģijas likumprojektu norādītajam, LDTA lūdz TEL 8.panta trešās daļas 2.punktā saglabāt Ministru kabineta noteikumu Nr. 322 "</w:t>
            </w:r>
            <w:r w:rsidRPr="001D7630">
              <w:rPr>
                <w:rFonts w:ascii="Times New Roman" w:hAnsi="Times New Roman" w:cs="Times New Roman"/>
                <w:color w:val="414142"/>
                <w:sz w:val="24"/>
                <w:szCs w:val="24"/>
              </w:rPr>
              <w:t>Noteikumi par benzīna un dīzeļdegvielas atbilstības novērtēšanu" 8.1 punkta redakciju attiecībā uz biodegvielas piejaukumu 98.markas benzīnam, proti,</w:t>
            </w:r>
            <w:r w:rsidRPr="001D7630">
              <w:rPr>
                <w:rFonts w:ascii="Times New Roman" w:hAnsi="Times New Roman" w:cs="Times New Roman"/>
                <w:sz w:val="24"/>
                <w:szCs w:val="24"/>
              </w:rPr>
              <w:t xml:space="preserve"> 98.benzīnu </w:t>
            </w:r>
            <w:r w:rsidRPr="001D7630">
              <w:rPr>
                <w:rFonts w:ascii="Times New Roman" w:hAnsi="Times New Roman" w:cs="Times New Roman"/>
                <w:i/>
                <w:iCs/>
                <w:color w:val="414142"/>
                <w:sz w:val="24"/>
                <w:szCs w:val="24"/>
                <w:u w:val="single"/>
              </w:rPr>
              <w:t>atļauts realizēt tikai tad, ja tam ir pievienots</w:t>
            </w:r>
            <w:r w:rsidRPr="001D7630">
              <w:rPr>
                <w:rFonts w:ascii="Times New Roman" w:hAnsi="Times New Roman" w:cs="Times New Roman"/>
                <w:i/>
                <w:iCs/>
                <w:color w:val="414142"/>
                <w:sz w:val="24"/>
                <w:szCs w:val="24"/>
              </w:rPr>
              <w:t xml:space="preserve"> bioetanols </w:t>
            </w:r>
            <w:r w:rsidRPr="001D7630">
              <w:rPr>
                <w:rFonts w:ascii="Times New Roman" w:hAnsi="Times New Roman" w:cs="Times New Roman"/>
                <w:color w:val="414142"/>
                <w:sz w:val="24"/>
                <w:szCs w:val="24"/>
              </w:rPr>
              <w:t>(biodegviela)</w:t>
            </w:r>
            <w:r w:rsidRPr="001D7630">
              <w:rPr>
                <w:rFonts w:ascii="Times New Roman" w:hAnsi="Times New Roman" w:cs="Times New Roman"/>
                <w:i/>
                <w:iCs/>
                <w:color w:val="414142"/>
                <w:sz w:val="24"/>
                <w:szCs w:val="24"/>
              </w:rPr>
              <w:t>,</w:t>
            </w:r>
            <w:r w:rsidRPr="001D7630">
              <w:rPr>
                <w:rFonts w:ascii="Times New Roman" w:hAnsi="Times New Roman" w:cs="Times New Roman"/>
                <w:color w:val="414142"/>
                <w:sz w:val="24"/>
                <w:szCs w:val="24"/>
              </w:rPr>
              <w:t xml:space="preserve"> [..] </w:t>
            </w:r>
            <w:r w:rsidRPr="001D7630">
              <w:rPr>
                <w:rFonts w:ascii="Times New Roman" w:hAnsi="Times New Roman" w:cs="Times New Roman"/>
                <w:i/>
                <w:iCs/>
                <w:color w:val="414142"/>
                <w:sz w:val="24"/>
                <w:szCs w:val="24"/>
                <w:u w:val="single"/>
              </w:rPr>
              <w:t>ne vairāk kā 5 tilpumprocentu</w:t>
            </w:r>
            <w:r w:rsidRPr="001D7630">
              <w:rPr>
                <w:rFonts w:ascii="Times New Roman" w:hAnsi="Times New Roman" w:cs="Times New Roman"/>
                <w:i/>
                <w:iCs/>
                <w:color w:val="414142"/>
                <w:sz w:val="24"/>
                <w:szCs w:val="24"/>
              </w:rPr>
              <w:t xml:space="preserve"> apjomā no kopējā maisījuma tilpuma</w:t>
            </w:r>
            <w:r w:rsidRPr="001D7630">
              <w:rPr>
                <w:rFonts w:ascii="Times New Roman" w:hAnsi="Times New Roman" w:cs="Times New Roman"/>
                <w:color w:val="414142"/>
                <w:sz w:val="24"/>
                <w:szCs w:val="24"/>
              </w:rPr>
              <w:t>.</w:t>
            </w:r>
            <w:r w:rsidRPr="001D7630">
              <w:rPr>
                <w:rFonts w:ascii="Times New Roman" w:hAnsi="Times New Roman" w:cs="Times New Roman"/>
                <w:sz w:val="24"/>
                <w:szCs w:val="24"/>
              </w:rPr>
              <w:t> </w:t>
            </w:r>
          </w:p>
          <w:p w14:paraId="0F73F612" w14:textId="58DEE4BE" w:rsidR="00780010" w:rsidRPr="001D7630" w:rsidRDefault="00780010" w:rsidP="00780010">
            <w:pPr>
              <w:pStyle w:val="gmail-msobodytextindent"/>
              <w:spacing w:before="0" w:beforeAutospacing="0" w:after="0" w:afterAutospacing="0"/>
              <w:ind w:firstLine="567"/>
              <w:jc w:val="both"/>
              <w:rPr>
                <w:rFonts w:ascii="Times New Roman" w:hAnsi="Times New Roman" w:cs="Times New Roman"/>
                <w:sz w:val="24"/>
                <w:szCs w:val="24"/>
              </w:rPr>
            </w:pPr>
            <w:r w:rsidRPr="001D7630">
              <w:rPr>
                <w:rFonts w:ascii="Times New Roman" w:hAnsi="Times New Roman" w:cs="Times New Roman"/>
                <w:sz w:val="24"/>
                <w:szCs w:val="24"/>
              </w:rPr>
              <w:t xml:space="preserve">Tas saglabā degvielas piegādātājiem izvēles brīvību vai un cik </w:t>
            </w:r>
            <w:r w:rsidRPr="001D7630">
              <w:rPr>
                <w:rFonts w:ascii="Times New Roman" w:hAnsi="Times New Roman" w:cs="Times New Roman"/>
                <w:sz w:val="24"/>
                <w:szCs w:val="24"/>
              </w:rPr>
              <w:lastRenderedPageBreak/>
              <w:t>daudz pievienot biodegvielu 98.markas benzīnam, turklāt autoražotāji līdz šim ir rekomendējuši ierobežot biodegvielas piejaukumu tieši 98.markas benzīnam. Tas saglabātu arī līdzšinējo Ekonomikas ministrijas politiku attiecībā uz obligāto biodegvielas piejaukumu katrā litrā līdz 31.12.2023, to nepastiprinot, uzsvaru liekot uz biodegvielu  izvēles (tirgotāju izvēlēto instrumentu) brīvību AER un SEG mērķu sasniegšanā.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6EB3D698" w14:textId="56955661"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043C7F0E" w14:textId="57D04F4B" w:rsidR="00780010" w:rsidRPr="001D7630" w:rsidRDefault="00780010" w:rsidP="00780010">
            <w:pPr>
              <w:pStyle w:val="naisf"/>
              <w:spacing w:before="0" w:after="0"/>
              <w:ind w:firstLine="0"/>
            </w:pPr>
            <w:r w:rsidRPr="001D7630">
              <w:t>Likumprojekta 8.panta 3.daļa ir precizēta</w:t>
            </w:r>
          </w:p>
        </w:tc>
      </w:tr>
      <w:tr w:rsidR="00780010" w:rsidRPr="001D7630" w14:paraId="057B3E83"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03902341"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4BA52C5C"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D4BD5F2" w14:textId="77777777" w:rsidR="00780010" w:rsidRPr="001D7630" w:rsidRDefault="00780010" w:rsidP="00780010">
            <w:pPr>
              <w:widowControl w:val="0"/>
              <w:jc w:val="center"/>
              <w:rPr>
                <w:b/>
                <w:bCs/>
              </w:rPr>
            </w:pPr>
            <w:r w:rsidRPr="001D7630">
              <w:rPr>
                <w:b/>
                <w:bCs/>
              </w:rPr>
              <w:t>Degvielas tirgotāju ražotāju savienība</w:t>
            </w:r>
          </w:p>
          <w:p w14:paraId="0ABB5BDD" w14:textId="77777777" w:rsidR="00780010" w:rsidRPr="001D7630" w:rsidRDefault="00780010" w:rsidP="00780010">
            <w:pPr>
              <w:widowControl w:val="0"/>
              <w:jc w:val="center"/>
              <w:rPr>
                <w:b/>
                <w:bCs/>
              </w:rPr>
            </w:pPr>
            <w:r w:rsidRPr="001D7630">
              <w:rPr>
                <w:b/>
                <w:bCs/>
              </w:rPr>
              <w:t>(17.06.2021. atzinums)</w:t>
            </w:r>
          </w:p>
          <w:p w14:paraId="2EADD1C8" w14:textId="77777777" w:rsidR="00780010" w:rsidRPr="001D7630" w:rsidRDefault="00780010" w:rsidP="00780010">
            <w:r w:rsidRPr="001D7630">
              <w:t>1) Esošā likumprojekta 8.panta trešās daļas trešais punkts ir formulēts neprecīzi – likumprojekts neparedz izņēmumus, kas bija nostiprināti 2000.gada 26.septembra Ministru kabineta noteikumu Nr. 332 “Noteikumi par benzīna un dīzeļdegvielas abilstības novērtēšanu” 9.</w:t>
            </w:r>
            <w:r w:rsidRPr="001D7630">
              <w:rPr>
                <w:vertAlign w:val="superscript"/>
              </w:rPr>
              <w:t xml:space="preserve">2 </w:t>
            </w:r>
            <w:r w:rsidRPr="001D7630">
              <w:t xml:space="preserve">pantā. Ņemot vērā minēto, lūdzam iekļaut likumprojekta 8.panta trešās daļas trešo punktu šādā redakcijā: </w:t>
            </w:r>
          </w:p>
          <w:p w14:paraId="1AA3A4A9" w14:textId="3C53D712" w:rsidR="00780010" w:rsidRPr="001D7630" w:rsidRDefault="00780010" w:rsidP="00780010">
            <w:pPr>
              <w:rPr>
                <w:i/>
                <w:iCs/>
              </w:rPr>
            </w:pPr>
            <w:r w:rsidRPr="001D7630">
              <w:rPr>
                <w:i/>
                <w:iCs/>
              </w:rPr>
              <w:t xml:space="preserve">“galapatēriņam transportā realizētajai dīzeļdegvielai ir pievienota biodegviela vai modernā biodegviela vai biodegviela kopā ar moderno biodegvielu ne mazāk kā 6,5 tilpumprocentu apjomā no kopējā maisījuma tilpuma. Minētais neattiecas uz arktiskos un bargos ziemas apstākļos izmantojamu 0., 1., 2., 3. un 4.klases dīzeļdegvielu atbilstoštandartam LVS </w:t>
            </w:r>
            <w:r w:rsidRPr="001D7630">
              <w:rPr>
                <w:i/>
                <w:iCs/>
              </w:rPr>
              <w:lastRenderedPageBreak/>
              <w:t>EN 590+A1:2017 “Automobiļu degvielas. Dīzeļdegviela. Prasības un testēšanas metodes”, kura tiek realizēta mazumtirdzniecībā, ja degvielas mazumtirgotājs realizē no no degvielas vairumtirgotāja saņemto degvielu”.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2FE36E8D" w14:textId="2DFC2E5B" w:rsidR="00780010" w:rsidRPr="001D7630" w:rsidRDefault="00780010" w:rsidP="00780010">
            <w:pPr>
              <w:jc w:val="center"/>
              <w:rPr>
                <w:b/>
                <w:bCs/>
                <w:iCs/>
              </w:rPr>
            </w:pPr>
            <w:r w:rsidRPr="001D7630">
              <w:rPr>
                <w:b/>
                <w:bCs/>
                <w:iCs/>
              </w:rPr>
              <w:lastRenderedPageBreak/>
              <w:t>Ņemts vērā</w:t>
            </w:r>
          </w:p>
          <w:p w14:paraId="78EB043D" w14:textId="145BC4B2" w:rsidR="00780010" w:rsidRPr="001D7630" w:rsidRDefault="00780010" w:rsidP="00780010">
            <w:pPr>
              <w:rPr>
                <w:iCs/>
              </w:rPr>
            </w:pPr>
            <w:r w:rsidRPr="001D7630">
              <w:rPr>
                <w:iCs/>
              </w:rPr>
              <w:t>Norādām, ka izņēmumi no obligātā piejaukuma tiks noteikti deleģētajos Ministru kabineta noteikumos, kuriem deleģējums ir dots likumprojekta 8.panta 9.daļā -  “(9) Ministru kabinets nosaka gadījumus, kuros benzīnam vai dīzeļdegvielai nav piemērojamas šā panta trešajā daļā noteiktās obligātā piejaukuma prasības.” Minētie Ministru kabineta noteikumi tiks publicēti sabiedriskajai apspriedei pirms likumprojekta apstiprināšanas Ministru kabinetā.</w:t>
            </w:r>
          </w:p>
          <w:p w14:paraId="28402D65" w14:textId="77777777" w:rsidR="00780010" w:rsidRPr="001D7630" w:rsidRDefault="00780010" w:rsidP="00780010">
            <w:pPr>
              <w:rPr>
                <w:iCs/>
              </w:rPr>
            </w:pPr>
          </w:p>
          <w:p w14:paraId="5330975A" w14:textId="5B2823C8" w:rsidR="00780010" w:rsidRPr="001D7630" w:rsidRDefault="00780010" w:rsidP="00780010">
            <w:pPr>
              <w:rPr>
                <w:iCs/>
              </w:rPr>
            </w:pPr>
            <w:r w:rsidRPr="001D7630">
              <w:rPr>
                <w:iCs/>
              </w:rPr>
              <w:t xml:space="preserve">Izņēmumi likumprojektā nav noteikti, jo tie ir vairāki, kā </w:t>
            </w:r>
            <w:r w:rsidRPr="001D7630">
              <w:rPr>
                <w:iCs/>
              </w:rPr>
              <w:lastRenderedPageBreak/>
              <w:t>arī jo izņēmumu nosacījumi ir ļoti tehniski un arī var būt nepieciešams mainīt atsauces uz standartiem, kas arī mainās.</w:t>
            </w:r>
          </w:p>
          <w:p w14:paraId="12F095B4" w14:textId="2A01A580" w:rsidR="00780010" w:rsidRPr="001D7630" w:rsidRDefault="00780010" w:rsidP="00780010">
            <w:pPr>
              <w:rPr>
                <w:iCs/>
              </w:rPr>
            </w:pPr>
            <w:r w:rsidRPr="001D7630">
              <w:rPr>
                <w:iCs/>
              </w:rPr>
              <w:t>Piedevām jānorāda, ka piedāvātajai redakcijai arī būtu jābūt papildinātai ar tehnisku nosacījumu par periodu, kurā ir pieļauts dīzeļdegvielai nepievienot biodīzeļdegvielu.</w:t>
            </w:r>
          </w:p>
        </w:tc>
        <w:tc>
          <w:tcPr>
            <w:tcW w:w="4291" w:type="dxa"/>
            <w:tcBorders>
              <w:top w:val="single" w:sz="4" w:space="0" w:color="auto"/>
              <w:left w:val="single" w:sz="4" w:space="0" w:color="auto"/>
              <w:bottom w:val="single" w:sz="4" w:space="0" w:color="auto"/>
            </w:tcBorders>
            <w:shd w:val="clear" w:color="auto" w:fill="auto"/>
          </w:tcPr>
          <w:p w14:paraId="32ABD79C" w14:textId="35495216" w:rsidR="00780010" w:rsidRPr="001D7630" w:rsidRDefault="00780010" w:rsidP="00780010">
            <w:pPr>
              <w:pStyle w:val="naisf"/>
              <w:spacing w:before="0" w:after="0"/>
              <w:ind w:firstLine="0"/>
            </w:pPr>
            <w:r w:rsidRPr="001D7630">
              <w:lastRenderedPageBreak/>
              <w:t>Likumprojekta 8.panta 3.daļa ir precizēta</w:t>
            </w:r>
          </w:p>
        </w:tc>
      </w:tr>
      <w:tr w:rsidR="00780010" w:rsidRPr="001D7630" w14:paraId="62D8CF9F" w14:textId="77777777" w:rsidTr="005D0902">
        <w:trPr>
          <w:jc w:val="center"/>
        </w:trPr>
        <w:tc>
          <w:tcPr>
            <w:tcW w:w="14992" w:type="dxa"/>
            <w:gridSpan w:val="5"/>
            <w:tcBorders>
              <w:top w:val="single" w:sz="6" w:space="0" w:color="000000"/>
              <w:left w:val="single" w:sz="6" w:space="0" w:color="000000"/>
              <w:bottom w:val="single" w:sz="6" w:space="0" w:color="000000"/>
            </w:tcBorders>
          </w:tcPr>
          <w:p w14:paraId="0869EDEA" w14:textId="77777777" w:rsidR="00780010" w:rsidRPr="001D7630" w:rsidRDefault="00780010" w:rsidP="00780010">
            <w:pPr>
              <w:pStyle w:val="naisf"/>
              <w:spacing w:before="0" w:after="0"/>
              <w:ind w:firstLine="0"/>
              <w:jc w:val="center"/>
              <w:rPr>
                <w:b/>
                <w:bCs/>
              </w:rPr>
            </w:pPr>
            <w:r w:rsidRPr="001D7630">
              <w:rPr>
                <w:b/>
                <w:bCs/>
              </w:rPr>
              <w:t>9.PANTS</w:t>
            </w:r>
          </w:p>
        </w:tc>
      </w:tr>
      <w:tr w:rsidR="00780010" w:rsidRPr="001D7630" w14:paraId="2EF7FEC0"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32A1E7A5"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08407977"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2C807983" w14:textId="77777777" w:rsidR="00780010" w:rsidRPr="001D7630" w:rsidRDefault="00780010" w:rsidP="00780010">
            <w:pPr>
              <w:autoSpaceDE w:val="0"/>
              <w:autoSpaceDN w:val="0"/>
              <w:adjustRightInd w:val="0"/>
              <w:jc w:val="center"/>
              <w:rPr>
                <w:b/>
                <w:bCs/>
              </w:rPr>
            </w:pPr>
            <w:r w:rsidRPr="001D7630">
              <w:rPr>
                <w:b/>
                <w:bCs/>
              </w:rPr>
              <w:t>Latvijas Degvielas tirgotāju asociācija</w:t>
            </w:r>
          </w:p>
          <w:p w14:paraId="57C261AB" w14:textId="77777777" w:rsidR="00780010" w:rsidRPr="001D7630" w:rsidRDefault="00780010" w:rsidP="00780010">
            <w:pPr>
              <w:autoSpaceDE w:val="0"/>
              <w:autoSpaceDN w:val="0"/>
              <w:adjustRightInd w:val="0"/>
              <w:jc w:val="center"/>
              <w:rPr>
                <w:b/>
                <w:bCs/>
              </w:rPr>
            </w:pPr>
            <w:r w:rsidRPr="001D7630">
              <w:rPr>
                <w:b/>
                <w:bCs/>
              </w:rPr>
              <w:t>(13.01.2021.)</w:t>
            </w:r>
          </w:p>
          <w:p w14:paraId="5729B71C" w14:textId="77777777" w:rsidR="00780010" w:rsidRPr="001D7630" w:rsidRDefault="00780010" w:rsidP="00780010">
            <w:pPr>
              <w:pStyle w:val="CommentText"/>
              <w:ind w:firstLine="567"/>
              <w:rPr>
                <w:sz w:val="24"/>
                <w:szCs w:val="24"/>
              </w:rPr>
            </w:pPr>
            <w:r w:rsidRPr="001D7630">
              <w:rPr>
                <w:sz w:val="24"/>
                <w:szCs w:val="24"/>
              </w:rPr>
              <w:t>[4.] Likumprojekta 9.pants:</w:t>
            </w:r>
          </w:p>
          <w:p w14:paraId="76628CC7" w14:textId="77777777" w:rsidR="00780010" w:rsidRPr="001D7630" w:rsidRDefault="00780010" w:rsidP="00780010">
            <w:pPr>
              <w:pStyle w:val="CommentText"/>
              <w:ind w:firstLine="567"/>
              <w:jc w:val="both"/>
              <w:rPr>
                <w:sz w:val="24"/>
                <w:szCs w:val="24"/>
              </w:rPr>
            </w:pPr>
            <w:r w:rsidRPr="001D7630">
              <w:rPr>
                <w:sz w:val="24"/>
                <w:szCs w:val="24"/>
              </w:rPr>
              <w:t>[4.1.] lūdzam skaidri noteikt pantā, ka siltumnīcefekta gāzu emisiju samazinājumu var panākt tikai ar tādām degvielām, kas atbilst 10.pantā noteiktajiem ilgtspējas kritērijiem;</w:t>
            </w:r>
          </w:p>
          <w:p w14:paraId="3DBFA5CE" w14:textId="77777777" w:rsidR="00780010" w:rsidRPr="001D7630" w:rsidRDefault="00780010" w:rsidP="00780010">
            <w:pPr>
              <w:pStyle w:val="CommentText"/>
              <w:ind w:firstLine="567"/>
              <w:jc w:val="both"/>
              <w:rPr>
                <w:sz w:val="24"/>
                <w:szCs w:val="24"/>
              </w:rPr>
            </w:pPr>
            <w:r w:rsidRPr="001D7630">
              <w:rPr>
                <w:sz w:val="24"/>
                <w:szCs w:val="24"/>
              </w:rPr>
              <w:t>[4.2.] lūdzam anotācijā skaidrot panta trešās un ceturtās daļas praktisko izpildi;</w:t>
            </w:r>
          </w:p>
          <w:p w14:paraId="7C489EE2" w14:textId="77777777" w:rsidR="00780010" w:rsidRPr="001D7630" w:rsidRDefault="00780010" w:rsidP="00780010">
            <w:pPr>
              <w:pStyle w:val="CommentText"/>
              <w:ind w:firstLine="567"/>
              <w:jc w:val="both"/>
              <w:rPr>
                <w:sz w:val="24"/>
                <w:szCs w:val="24"/>
              </w:rPr>
            </w:pPr>
            <w:r w:rsidRPr="001D7630">
              <w:rPr>
                <w:sz w:val="24"/>
                <w:szCs w:val="24"/>
              </w:rPr>
              <w:t>[4.3.] lūdzam anotācijā skaidrot, kur un kā tiks ieskaitītas privātpersonu veiktās transportlīdzekļu privātās uzlādes mājās.</w:t>
            </w:r>
          </w:p>
        </w:tc>
        <w:tc>
          <w:tcPr>
            <w:tcW w:w="2976" w:type="dxa"/>
            <w:tcBorders>
              <w:top w:val="single" w:sz="6" w:space="0" w:color="000000"/>
              <w:left w:val="single" w:sz="6" w:space="0" w:color="000000"/>
              <w:bottom w:val="single" w:sz="6" w:space="0" w:color="000000"/>
              <w:right w:val="single" w:sz="6" w:space="0" w:color="000000"/>
            </w:tcBorders>
          </w:tcPr>
          <w:p w14:paraId="09043625" w14:textId="77777777"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tcPr>
          <w:p w14:paraId="019DEE9B" w14:textId="77777777" w:rsidR="00780010" w:rsidRPr="001D7630" w:rsidRDefault="00780010" w:rsidP="00780010">
            <w:pPr>
              <w:pStyle w:val="naisf"/>
              <w:spacing w:before="0" w:after="0"/>
              <w:ind w:firstLine="0"/>
            </w:pPr>
            <w:r w:rsidRPr="001D7630">
              <w:t>Likumprojekta 9.pants ir precizēts</w:t>
            </w:r>
          </w:p>
          <w:p w14:paraId="22D75686" w14:textId="77777777" w:rsidR="00780010" w:rsidRPr="001D7630" w:rsidRDefault="00780010" w:rsidP="00780010">
            <w:pPr>
              <w:pStyle w:val="naisf"/>
              <w:spacing w:before="0" w:after="0"/>
              <w:ind w:firstLine="0"/>
            </w:pPr>
          </w:p>
          <w:p w14:paraId="3A1F1E95" w14:textId="77777777" w:rsidR="00780010" w:rsidRPr="001D7630" w:rsidRDefault="00780010" w:rsidP="00780010">
            <w:pPr>
              <w:ind w:right="80"/>
              <w:jc w:val="both"/>
            </w:pPr>
            <w:r w:rsidRPr="001D7630">
              <w:t>Likumprojekta anotācijas sadaļa “</w:t>
            </w:r>
            <w:r w:rsidRPr="001D7630">
              <w:rPr>
                <w:u w:val="single"/>
              </w:rPr>
              <w:t>Likumprojekta 9.pants</w:t>
            </w:r>
            <w:r w:rsidRPr="001D7630">
              <w:t>” ir precizēta.</w:t>
            </w:r>
          </w:p>
          <w:p w14:paraId="56E51F8B" w14:textId="77777777" w:rsidR="00780010" w:rsidRPr="001D7630" w:rsidRDefault="00780010" w:rsidP="00780010">
            <w:pPr>
              <w:pStyle w:val="naisf"/>
              <w:spacing w:before="0" w:after="0"/>
              <w:ind w:firstLine="0"/>
            </w:pPr>
          </w:p>
        </w:tc>
      </w:tr>
      <w:tr w:rsidR="00780010" w:rsidRPr="001D7630" w14:paraId="2BA824E6"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7AF4CAC3"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1C1391D4"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35CE3693" w14:textId="77777777" w:rsidR="00780010" w:rsidRPr="001D7630" w:rsidRDefault="00780010" w:rsidP="00780010">
            <w:pPr>
              <w:autoSpaceDE w:val="0"/>
              <w:autoSpaceDN w:val="0"/>
              <w:adjustRightInd w:val="0"/>
              <w:jc w:val="center"/>
              <w:rPr>
                <w:b/>
                <w:bCs/>
              </w:rPr>
            </w:pPr>
            <w:r w:rsidRPr="001D7630">
              <w:rPr>
                <w:b/>
                <w:bCs/>
              </w:rPr>
              <w:t>Latvijas Degvielas tirgotāju asociācija</w:t>
            </w:r>
          </w:p>
          <w:p w14:paraId="431086F6" w14:textId="77777777" w:rsidR="00780010" w:rsidRPr="001D7630" w:rsidRDefault="00780010" w:rsidP="00780010">
            <w:pPr>
              <w:autoSpaceDE w:val="0"/>
              <w:autoSpaceDN w:val="0"/>
              <w:adjustRightInd w:val="0"/>
              <w:jc w:val="center"/>
              <w:rPr>
                <w:b/>
                <w:bCs/>
              </w:rPr>
            </w:pPr>
            <w:r w:rsidRPr="001D7630">
              <w:rPr>
                <w:b/>
                <w:bCs/>
              </w:rPr>
              <w:t>(25.03.2021.)</w:t>
            </w:r>
          </w:p>
          <w:p w14:paraId="6C1651DF" w14:textId="77777777" w:rsidR="00780010" w:rsidRPr="001D7630" w:rsidRDefault="00780010" w:rsidP="00780010">
            <w:pPr>
              <w:pStyle w:val="CommentText"/>
              <w:rPr>
                <w:sz w:val="24"/>
                <w:szCs w:val="24"/>
              </w:rPr>
            </w:pPr>
            <w:r w:rsidRPr="001D7630">
              <w:rPr>
                <w:sz w:val="24"/>
                <w:szCs w:val="24"/>
              </w:rPr>
              <w:t>[3.] Likumprojekta 9.pants:</w:t>
            </w:r>
          </w:p>
          <w:p w14:paraId="2F4FD54B" w14:textId="77777777" w:rsidR="00780010" w:rsidRPr="001D7630" w:rsidRDefault="00780010" w:rsidP="00780010">
            <w:pPr>
              <w:pStyle w:val="CommentText"/>
              <w:jc w:val="both"/>
              <w:rPr>
                <w:sz w:val="24"/>
                <w:szCs w:val="24"/>
              </w:rPr>
            </w:pPr>
            <w:r w:rsidRPr="001D7630">
              <w:rPr>
                <w:sz w:val="24"/>
                <w:szCs w:val="24"/>
              </w:rPr>
              <w:t xml:space="preserve">[3.1.] lūdzam precizēt panta trešās daļas 4.punktu vai skaidrot anotācijā, vai </w:t>
            </w:r>
            <w:r w:rsidRPr="001D7630">
              <w:rPr>
                <w:sz w:val="24"/>
                <w:szCs w:val="24"/>
              </w:rPr>
              <w:lastRenderedPageBreak/>
              <w:t>augšposma emisiju samazinājuma iegāde no cita komersanta aprobežojas ar Latviju vai tas aptver arī citas valstis;</w:t>
            </w:r>
          </w:p>
          <w:p w14:paraId="24B66CB3" w14:textId="77777777" w:rsidR="00780010" w:rsidRPr="001D7630" w:rsidRDefault="00780010" w:rsidP="00780010">
            <w:pPr>
              <w:pStyle w:val="CommentText"/>
              <w:jc w:val="both"/>
              <w:rPr>
                <w:sz w:val="24"/>
                <w:szCs w:val="24"/>
              </w:rPr>
            </w:pPr>
            <w:r w:rsidRPr="001D7630">
              <w:rPr>
                <w:sz w:val="24"/>
                <w:szCs w:val="24"/>
              </w:rPr>
              <w:t>[3.2.] lūdzam anotācijā skaidrot panta trešās daļas 4.punktu, kā tiks veikts augšposma emisiju samazinājuma aprēķins,</w:t>
            </w:r>
            <w:r w:rsidRPr="001D7630">
              <w:rPr>
                <w:color w:val="000000"/>
                <w:sz w:val="24"/>
                <w:szCs w:val="24"/>
                <w:shd w:val="clear" w:color="auto" w:fill="FFFFFF"/>
              </w:rPr>
              <w:t xml:space="preserve"> </w:t>
            </w:r>
            <w:r w:rsidRPr="001D7630">
              <w:rPr>
                <w:sz w:val="24"/>
                <w:szCs w:val="24"/>
              </w:rPr>
              <w:t>ierīkojot degvielas tirdzniecības vietās uzpildes vai uzlādes punktu transportlīdzekļa uzpildei ar ūdeņradi vai elektrotransportlīdzekļa uzlādei ar elektroenerģiju;</w:t>
            </w:r>
          </w:p>
          <w:p w14:paraId="0574C953" w14:textId="77777777" w:rsidR="00780010" w:rsidRPr="001D7630" w:rsidRDefault="00780010" w:rsidP="00780010">
            <w:pPr>
              <w:pStyle w:val="CommentText"/>
              <w:jc w:val="both"/>
              <w:rPr>
                <w:sz w:val="24"/>
                <w:szCs w:val="24"/>
              </w:rPr>
            </w:pPr>
            <w:r w:rsidRPr="001D7630">
              <w:rPr>
                <w:sz w:val="24"/>
                <w:szCs w:val="24"/>
              </w:rPr>
              <w:t>[3.3.] lūdzam piektās daļas 1.punkta kontekstā paredzēt, ka degvielas tirgotājs arī var būt elektrības tirgotājs.</w:t>
            </w:r>
          </w:p>
        </w:tc>
        <w:tc>
          <w:tcPr>
            <w:tcW w:w="2976" w:type="dxa"/>
            <w:tcBorders>
              <w:top w:val="single" w:sz="6" w:space="0" w:color="000000"/>
              <w:left w:val="single" w:sz="6" w:space="0" w:color="000000"/>
              <w:bottom w:val="single" w:sz="6" w:space="0" w:color="000000"/>
              <w:right w:val="single" w:sz="6" w:space="0" w:color="000000"/>
            </w:tcBorders>
          </w:tcPr>
          <w:p w14:paraId="6C5C34C4" w14:textId="77777777" w:rsidR="00780010" w:rsidRPr="001D7630" w:rsidRDefault="00780010" w:rsidP="00780010">
            <w:pPr>
              <w:jc w:val="center"/>
              <w:rPr>
                <w:b/>
                <w:bCs/>
                <w:iCs/>
              </w:rPr>
            </w:pPr>
            <w:r w:rsidRPr="001D7630">
              <w:rPr>
                <w:b/>
                <w:bCs/>
                <w:iCs/>
              </w:rPr>
              <w:lastRenderedPageBreak/>
              <w:t>Ņemts vērā</w:t>
            </w:r>
          </w:p>
          <w:p w14:paraId="28612536" w14:textId="77777777" w:rsidR="00780010" w:rsidRPr="001D7630" w:rsidRDefault="00780010" w:rsidP="00780010">
            <w:pPr>
              <w:rPr>
                <w:iCs/>
              </w:rPr>
            </w:pPr>
          </w:p>
          <w:p w14:paraId="31DD5293" w14:textId="77777777" w:rsidR="00780010" w:rsidRPr="001D7630" w:rsidRDefault="00780010" w:rsidP="00780010">
            <w:pPr>
              <w:ind w:right="80"/>
              <w:jc w:val="both"/>
              <w:rPr>
                <w:u w:val="single"/>
              </w:rPr>
            </w:pPr>
            <w:r w:rsidRPr="001D7630">
              <w:rPr>
                <w:iCs/>
              </w:rPr>
              <w:t xml:space="preserve">Likumprojekta 9.panta 5.daļas 1.punkts nav precizēts, jo degvielas </w:t>
            </w:r>
            <w:r w:rsidRPr="001D7630">
              <w:rPr>
                <w:iCs/>
              </w:rPr>
              <w:lastRenderedPageBreak/>
              <w:t>piegādātājs, kas ir arī elektroenerģijas tirgotājs, tāpat skaitīsies degvielas piegādātājs un tā transportā realizētais elektroenerģijas apjoms tiks ieskaitīts kopējā šī degvielas piegādātāja realizētajā transporta enerģijas apjomā. Vienlaikus ir veikts precizējums anotācijas II sadaļas 2.punkta sadaļās “</w:t>
            </w:r>
            <w:r w:rsidRPr="001D7630">
              <w:rPr>
                <w:u w:val="single"/>
              </w:rPr>
              <w:t>Likumprojekta 8.pants</w:t>
            </w:r>
            <w:r w:rsidRPr="001D7630">
              <w:t>” un “</w:t>
            </w:r>
            <w:r w:rsidRPr="001D7630">
              <w:rPr>
                <w:u w:val="single"/>
              </w:rPr>
              <w:t>Likumprojekta 9.pants”.</w:t>
            </w:r>
          </w:p>
          <w:p w14:paraId="12B58F99" w14:textId="77777777" w:rsidR="00780010" w:rsidRPr="001D7630" w:rsidRDefault="00780010" w:rsidP="00780010">
            <w:pPr>
              <w:ind w:right="80"/>
              <w:jc w:val="both"/>
              <w:rPr>
                <w:iCs/>
              </w:rPr>
            </w:pPr>
            <w:r w:rsidRPr="001D7630">
              <w:t>Minētais nosacījums tiks iekļauts MK noteikumos par līdzdalības mehānismu.</w:t>
            </w:r>
          </w:p>
        </w:tc>
        <w:tc>
          <w:tcPr>
            <w:tcW w:w="4291" w:type="dxa"/>
            <w:tcBorders>
              <w:top w:val="single" w:sz="4" w:space="0" w:color="auto"/>
              <w:left w:val="single" w:sz="4" w:space="0" w:color="auto"/>
              <w:bottom w:val="single" w:sz="4" w:space="0" w:color="auto"/>
            </w:tcBorders>
          </w:tcPr>
          <w:p w14:paraId="5A528AEA" w14:textId="77777777" w:rsidR="00780010" w:rsidRPr="001D7630" w:rsidRDefault="00780010" w:rsidP="00780010">
            <w:pPr>
              <w:pStyle w:val="naisf"/>
              <w:spacing w:before="0" w:after="0"/>
              <w:ind w:firstLine="0"/>
            </w:pPr>
            <w:r w:rsidRPr="001D7630">
              <w:lastRenderedPageBreak/>
              <w:t>Likumprojekta 9.pants ir precizēts</w:t>
            </w:r>
          </w:p>
        </w:tc>
      </w:tr>
      <w:tr w:rsidR="00780010" w:rsidRPr="001D7630" w14:paraId="47749F28" w14:textId="77777777" w:rsidTr="005D0902">
        <w:trPr>
          <w:jc w:val="center"/>
        </w:trPr>
        <w:tc>
          <w:tcPr>
            <w:tcW w:w="14992" w:type="dxa"/>
            <w:gridSpan w:val="5"/>
            <w:tcBorders>
              <w:top w:val="single" w:sz="6" w:space="0" w:color="000000"/>
              <w:left w:val="single" w:sz="6" w:space="0" w:color="000000"/>
              <w:bottom w:val="single" w:sz="6" w:space="0" w:color="000000"/>
            </w:tcBorders>
          </w:tcPr>
          <w:p w14:paraId="6C9C68FD" w14:textId="77777777" w:rsidR="00780010" w:rsidRPr="001D7630" w:rsidRDefault="00780010" w:rsidP="00780010">
            <w:pPr>
              <w:pStyle w:val="naisf"/>
              <w:spacing w:before="0" w:after="0"/>
              <w:ind w:firstLine="0"/>
              <w:jc w:val="center"/>
              <w:rPr>
                <w:b/>
                <w:bCs/>
              </w:rPr>
            </w:pPr>
            <w:r w:rsidRPr="001D7630">
              <w:rPr>
                <w:b/>
                <w:bCs/>
              </w:rPr>
              <w:t>10. PANTS</w:t>
            </w:r>
          </w:p>
        </w:tc>
      </w:tr>
      <w:tr w:rsidR="00780010" w:rsidRPr="001D7630" w14:paraId="178E6BC5"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600A9513"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1105E80D"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2AA3EEA6" w14:textId="77777777" w:rsidR="00780010" w:rsidRPr="001D7630" w:rsidRDefault="00780010" w:rsidP="00780010">
            <w:pPr>
              <w:autoSpaceDE w:val="0"/>
              <w:autoSpaceDN w:val="0"/>
              <w:adjustRightInd w:val="0"/>
              <w:jc w:val="center"/>
              <w:rPr>
                <w:b/>
                <w:bCs/>
              </w:rPr>
            </w:pPr>
            <w:r w:rsidRPr="001D7630">
              <w:rPr>
                <w:b/>
                <w:bCs/>
              </w:rPr>
              <w:t>Vides aizsardzības un reģionālās attīstības ministrija</w:t>
            </w:r>
          </w:p>
          <w:p w14:paraId="6E072B6C" w14:textId="77777777" w:rsidR="00780010" w:rsidRPr="001D7630" w:rsidRDefault="00780010" w:rsidP="00780010">
            <w:pPr>
              <w:autoSpaceDE w:val="0"/>
              <w:autoSpaceDN w:val="0"/>
              <w:adjustRightInd w:val="0"/>
              <w:jc w:val="center"/>
              <w:rPr>
                <w:b/>
                <w:bCs/>
              </w:rPr>
            </w:pPr>
            <w:r w:rsidRPr="001D7630">
              <w:rPr>
                <w:b/>
                <w:bCs/>
              </w:rPr>
              <w:t>(08.01.2021. atzinums)</w:t>
            </w:r>
          </w:p>
          <w:p w14:paraId="2419B543" w14:textId="77777777" w:rsidR="00780010" w:rsidRPr="001D7630" w:rsidRDefault="00780010" w:rsidP="00780010">
            <w:pPr>
              <w:pStyle w:val="CommentText"/>
              <w:ind w:firstLine="709"/>
              <w:jc w:val="both"/>
              <w:rPr>
                <w:sz w:val="24"/>
                <w:szCs w:val="24"/>
              </w:rPr>
            </w:pPr>
            <w:r w:rsidRPr="001D7630">
              <w:rPr>
                <w:sz w:val="24"/>
                <w:szCs w:val="24"/>
              </w:rPr>
              <w:t xml:space="preserve">7. Attiecībā uz likumprojekta 10. pantu: </w:t>
            </w:r>
          </w:p>
          <w:p w14:paraId="094B9BE4" w14:textId="77777777" w:rsidR="00780010" w:rsidRPr="001D7630" w:rsidRDefault="00780010" w:rsidP="00780010">
            <w:pPr>
              <w:pStyle w:val="CommentText"/>
              <w:ind w:firstLine="709"/>
              <w:jc w:val="both"/>
              <w:rPr>
                <w:sz w:val="24"/>
                <w:szCs w:val="24"/>
              </w:rPr>
            </w:pPr>
            <w:r w:rsidRPr="001D7630">
              <w:rPr>
                <w:sz w:val="24"/>
                <w:szCs w:val="24"/>
              </w:rPr>
              <w:t xml:space="preserve">7.1. skaidrot anotācijā otrās daļas 2. punktu, vai Latvijā tiks izveidota nacionālā shēma, lai nodrošinātu, ka biodegvielas, biomasas degvielas vai biogāzi var uzskatīt par atbilstošām ilgtspējas un siltumnīcefekta gāzu emisiju ietaupījuma kritērijiem, vai arī pamatot, kāpēc šāda nacionālā shēma netiks veidota un Latvija paļausies uz Eiropas Komisijas vai citu dalībvalstu </w:t>
            </w:r>
            <w:r w:rsidRPr="001D7630">
              <w:rPr>
                <w:sz w:val="24"/>
                <w:szCs w:val="24"/>
              </w:rPr>
              <w:lastRenderedPageBreak/>
              <w:t>izveidotām shēmām, lai noteiktu biodegvielas, biomasas degvielas vai biogāzes atbilstību ilgtspējas un siltumnīcefekta gāzu emisiju ietaupījuma kritērijiem;</w:t>
            </w:r>
          </w:p>
          <w:p w14:paraId="34A8376C" w14:textId="77777777" w:rsidR="00780010" w:rsidRPr="001D7630" w:rsidRDefault="00780010" w:rsidP="00780010">
            <w:pPr>
              <w:pStyle w:val="CommentText"/>
              <w:ind w:firstLine="709"/>
              <w:jc w:val="both"/>
              <w:rPr>
                <w:sz w:val="24"/>
                <w:szCs w:val="24"/>
              </w:rPr>
            </w:pPr>
            <w:r w:rsidRPr="001D7630">
              <w:rPr>
                <w:sz w:val="24"/>
                <w:szCs w:val="24"/>
              </w:rPr>
              <w:t>7.2. lai nodrošinātu tiesisko paļāvību, likumprojektā vai anotācijā norādīt personas, kurām ir jāveic likumprojekta 10. panta trešajā, ceturtajā un piektajā daļā minētās darbības;</w:t>
            </w:r>
          </w:p>
          <w:p w14:paraId="3462E98D" w14:textId="77777777" w:rsidR="00780010" w:rsidRPr="001D7630" w:rsidRDefault="00780010" w:rsidP="00780010">
            <w:pPr>
              <w:widowControl w:val="0"/>
              <w:tabs>
                <w:tab w:val="left" w:pos="993"/>
              </w:tabs>
              <w:jc w:val="center"/>
              <w:rPr>
                <w:b/>
                <w:bCs/>
              </w:rPr>
            </w:pPr>
          </w:p>
        </w:tc>
        <w:tc>
          <w:tcPr>
            <w:tcW w:w="2976" w:type="dxa"/>
            <w:tcBorders>
              <w:top w:val="single" w:sz="6" w:space="0" w:color="000000"/>
              <w:left w:val="single" w:sz="6" w:space="0" w:color="000000"/>
              <w:bottom w:val="single" w:sz="6" w:space="0" w:color="000000"/>
              <w:right w:val="single" w:sz="6" w:space="0" w:color="000000"/>
            </w:tcBorders>
          </w:tcPr>
          <w:p w14:paraId="51A68C5B" w14:textId="77777777" w:rsidR="00780010" w:rsidRPr="001D7630" w:rsidRDefault="00780010" w:rsidP="00780010">
            <w:pPr>
              <w:jc w:val="center"/>
              <w:rPr>
                <w:b/>
                <w:bCs/>
                <w:iCs/>
              </w:rPr>
            </w:pPr>
            <w:r w:rsidRPr="001D7630">
              <w:rPr>
                <w:b/>
                <w:bCs/>
                <w:iCs/>
              </w:rPr>
              <w:lastRenderedPageBreak/>
              <w:t>Ņemts vērā</w:t>
            </w:r>
          </w:p>
          <w:p w14:paraId="7D63597E" w14:textId="77777777" w:rsidR="00780010" w:rsidRPr="001D7630" w:rsidRDefault="00780010" w:rsidP="00780010">
            <w:pPr>
              <w:rPr>
                <w:iCs/>
              </w:rPr>
            </w:pPr>
          </w:p>
          <w:p w14:paraId="676D4031" w14:textId="77777777" w:rsidR="00780010" w:rsidRPr="001D7630" w:rsidRDefault="00780010" w:rsidP="00780010">
            <w:pPr>
              <w:rPr>
                <w:iCs/>
              </w:rPr>
            </w:pPr>
            <w:r w:rsidRPr="001D7630">
              <w:rPr>
                <w:iCs/>
              </w:rPr>
              <w:t>7.1. skaidrojam, ka šis jautājums ir skatāms deleģēto Ministru kabineta noteikumu izstrādē.</w:t>
            </w:r>
          </w:p>
          <w:p w14:paraId="654476BC" w14:textId="77777777" w:rsidR="00780010" w:rsidRPr="001D7630" w:rsidRDefault="00780010" w:rsidP="00780010">
            <w:pPr>
              <w:rPr>
                <w:iCs/>
              </w:rPr>
            </w:pPr>
            <w:r w:rsidRPr="001D7630">
              <w:rPr>
                <w:iCs/>
              </w:rPr>
              <w:t>Norādām, ka šobrīd EM neparedz iespēju izveidot nacionālo shēmu LV.</w:t>
            </w:r>
          </w:p>
          <w:p w14:paraId="0E8BE976" w14:textId="77777777" w:rsidR="00780010" w:rsidRPr="001D7630" w:rsidRDefault="00780010" w:rsidP="00780010">
            <w:pPr>
              <w:rPr>
                <w:iCs/>
              </w:rPr>
            </w:pPr>
          </w:p>
          <w:p w14:paraId="2887FB35" w14:textId="77777777" w:rsidR="00780010" w:rsidRPr="001D7630" w:rsidRDefault="00780010" w:rsidP="00780010">
            <w:pPr>
              <w:rPr>
                <w:iCs/>
              </w:rPr>
            </w:pPr>
            <w:r w:rsidRPr="001D7630">
              <w:rPr>
                <w:iCs/>
              </w:rPr>
              <w:t xml:space="preserve">7.2. direktīvas 2018/2001 30.panta 1.punktā kā personas, uz kurām attiecas masas bilances prasību izmantošana, ir noteiktas </w:t>
            </w:r>
            <w:r w:rsidRPr="001D7630">
              <w:rPr>
                <w:iCs/>
              </w:rPr>
              <w:lastRenderedPageBreak/>
              <w:t>“economic operators”, kas nav tikai degvielas piegādātāji.</w:t>
            </w:r>
          </w:p>
          <w:p w14:paraId="03BCE198" w14:textId="77777777" w:rsidR="00780010" w:rsidRPr="001D7630" w:rsidRDefault="00780010" w:rsidP="00780010">
            <w:pPr>
              <w:rPr>
                <w:iCs/>
              </w:rPr>
            </w:pPr>
            <w:r w:rsidRPr="001D7630">
              <w:rPr>
                <w:iCs/>
              </w:rPr>
              <w:t>Ministru kabineta noteikumu Nr.545 (05.07.2011.) 13.</w:t>
            </w:r>
            <w:r w:rsidRPr="001D7630">
              <w:rPr>
                <w:iCs/>
                <w:vertAlign w:val="superscript"/>
              </w:rPr>
              <w:t>1</w:t>
            </w:r>
            <w:r w:rsidRPr="001D7630">
              <w:rPr>
                <w:iCs/>
              </w:rPr>
              <w:t xml:space="preserve"> punktā, ar kuru ir pārņemti līdzvērtīgi nosacījumi, kas ir noteikti direktīvas 2009/28/EK 18.panta 1.punkta nosacījumi, minētās personas ir noteiktas šādi: “izejvielu vai starpproduktu audzētājs, pirmais savācējs, pārstrādātājs, pašpārstrādātājs vai piegādātājs”.</w:t>
            </w:r>
          </w:p>
          <w:p w14:paraId="002746AF" w14:textId="77777777" w:rsidR="00780010" w:rsidRPr="001D7630" w:rsidRDefault="00780010" w:rsidP="00780010">
            <w:pPr>
              <w:rPr>
                <w:iCs/>
              </w:rPr>
            </w:pPr>
            <w:r w:rsidRPr="001D7630">
              <w:rPr>
                <w:iCs/>
              </w:rPr>
              <w:t>Norādām, ka masas bilanci ir jāizmanto ne tikai degvielas piegādātājam, bet visiem tiem komersantiem, kas ir iesaistīti biodegvielas izejvielu piegādes ķēdē.</w:t>
            </w:r>
          </w:p>
        </w:tc>
        <w:tc>
          <w:tcPr>
            <w:tcW w:w="4291" w:type="dxa"/>
            <w:tcBorders>
              <w:top w:val="single" w:sz="4" w:space="0" w:color="auto"/>
              <w:left w:val="single" w:sz="4" w:space="0" w:color="auto"/>
              <w:bottom w:val="single" w:sz="4" w:space="0" w:color="auto"/>
            </w:tcBorders>
          </w:tcPr>
          <w:p w14:paraId="7DCF5F78" w14:textId="77777777" w:rsidR="00780010" w:rsidRPr="001D7630" w:rsidRDefault="00780010" w:rsidP="00780010">
            <w:pPr>
              <w:pStyle w:val="naisf"/>
              <w:spacing w:before="0" w:after="0"/>
              <w:ind w:firstLine="0"/>
            </w:pPr>
            <w:r w:rsidRPr="001D7630">
              <w:lastRenderedPageBreak/>
              <w:t>Likumprojekta 10.panta 9.punktā iekļautais deleģējums MK ir papildināts, nosakot, ka MK definē to personu loku, uz kurām attiecas masas bilances prasību izmantošana.</w:t>
            </w:r>
          </w:p>
        </w:tc>
      </w:tr>
      <w:tr w:rsidR="00780010" w:rsidRPr="001D7630" w14:paraId="0A182330"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4DC91917"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36D46DDC"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0E8756FC" w14:textId="77777777" w:rsidR="00780010" w:rsidRPr="001D7630" w:rsidRDefault="00780010" w:rsidP="00780010">
            <w:pPr>
              <w:widowControl w:val="0"/>
              <w:tabs>
                <w:tab w:val="left" w:pos="993"/>
              </w:tabs>
              <w:jc w:val="center"/>
              <w:rPr>
                <w:b/>
                <w:bCs/>
              </w:rPr>
            </w:pPr>
            <w:r w:rsidRPr="001D7630">
              <w:rPr>
                <w:b/>
                <w:bCs/>
              </w:rPr>
              <w:t>Tieslietu ministrija</w:t>
            </w:r>
          </w:p>
          <w:p w14:paraId="7920AEA7" w14:textId="77777777" w:rsidR="00780010" w:rsidRPr="001D7630" w:rsidRDefault="00780010" w:rsidP="00780010">
            <w:pPr>
              <w:widowControl w:val="0"/>
              <w:tabs>
                <w:tab w:val="left" w:pos="993"/>
              </w:tabs>
              <w:jc w:val="center"/>
              <w:rPr>
                <w:b/>
                <w:bCs/>
              </w:rPr>
            </w:pPr>
            <w:r w:rsidRPr="001D7630">
              <w:rPr>
                <w:b/>
                <w:bCs/>
              </w:rPr>
              <w:t>(08.01.2021. atzinums)</w:t>
            </w:r>
          </w:p>
          <w:p w14:paraId="75D923D7" w14:textId="77777777" w:rsidR="00780010" w:rsidRPr="001D7630" w:rsidRDefault="00780010" w:rsidP="00780010">
            <w:pPr>
              <w:widowControl w:val="0"/>
              <w:tabs>
                <w:tab w:val="left" w:pos="993"/>
              </w:tabs>
              <w:jc w:val="both"/>
            </w:pPr>
            <w:r w:rsidRPr="001D7630">
              <w:t>4. Projekta 10. panta trešā daļa paredz, ka, “</w:t>
            </w:r>
            <w:r w:rsidRPr="001D7630">
              <w:rPr>
                <w:i/>
              </w:rPr>
              <w:t xml:space="preserve">lai pamatotu, ka visā piegādes ķēdē, sākot no izejvielu iegūšanas līdz šā panta pirmajā daļā minētās transporta enerģijas realizēšanai galapatēriņam transportā, ir ievēroti šā panta pirmajā daļā minētie kritēriji, visā </w:t>
            </w:r>
            <w:r w:rsidRPr="001D7630">
              <w:rPr>
                <w:i/>
                <w:u w:val="single"/>
              </w:rPr>
              <w:t>piegādes ķēdē ir jāizmanto masas bilances sistēmu</w:t>
            </w:r>
            <w:r w:rsidRPr="001D7630">
              <w:t xml:space="preserve"> (..)”. </w:t>
            </w:r>
          </w:p>
          <w:p w14:paraId="2640F3F5" w14:textId="77777777" w:rsidR="00780010" w:rsidRPr="001D7630" w:rsidRDefault="00780010" w:rsidP="00780010">
            <w:pPr>
              <w:pStyle w:val="ListParagraph"/>
              <w:tabs>
                <w:tab w:val="left" w:pos="993"/>
              </w:tabs>
              <w:spacing w:after="0" w:line="240" w:lineRule="auto"/>
              <w:ind w:left="0" w:firstLine="720"/>
              <w:contextualSpacing w:val="0"/>
              <w:jc w:val="both"/>
              <w:rPr>
                <w:rFonts w:ascii="Times New Roman" w:hAnsi="Times New Roman"/>
                <w:sz w:val="24"/>
                <w:szCs w:val="24"/>
              </w:rPr>
            </w:pPr>
            <w:r w:rsidRPr="001D7630">
              <w:rPr>
                <w:rFonts w:ascii="Times New Roman" w:hAnsi="Times New Roman"/>
                <w:sz w:val="24"/>
                <w:szCs w:val="24"/>
              </w:rPr>
              <w:lastRenderedPageBreak/>
              <w:t xml:space="preserve">Vēršam uzmanību, ka no projekta šobrīd nav skaidrs, kā pienākums ir nodrošināt minētās masas bilances sistēmas darbību. </w:t>
            </w:r>
          </w:p>
          <w:p w14:paraId="24DBB36E" w14:textId="77777777" w:rsidR="00780010" w:rsidRPr="001D7630" w:rsidRDefault="00780010" w:rsidP="00780010">
            <w:pPr>
              <w:pStyle w:val="ListParagraph"/>
              <w:tabs>
                <w:tab w:val="left" w:pos="993"/>
              </w:tabs>
              <w:spacing w:after="0" w:line="240" w:lineRule="auto"/>
              <w:ind w:left="0" w:firstLine="720"/>
              <w:contextualSpacing w:val="0"/>
              <w:jc w:val="both"/>
              <w:rPr>
                <w:rFonts w:ascii="Times New Roman" w:hAnsi="Times New Roman"/>
                <w:sz w:val="24"/>
                <w:szCs w:val="24"/>
              </w:rPr>
            </w:pPr>
            <w:r w:rsidRPr="001D7630">
              <w:rPr>
                <w:rFonts w:ascii="Times New Roman" w:hAnsi="Times New Roman"/>
                <w:sz w:val="24"/>
                <w:szCs w:val="24"/>
              </w:rPr>
              <w:t xml:space="preserve">Saskaņā ar projekta anotācijas V sadaļas 1. tabulā norādīto, minētā projekta norma pārņem </w:t>
            </w:r>
            <w:r w:rsidRPr="001D7630">
              <w:rPr>
                <w:rFonts w:ascii="Times New Roman" w:hAnsi="Times New Roman"/>
                <w:i/>
                <w:sz w:val="24"/>
                <w:szCs w:val="24"/>
              </w:rPr>
              <w:t>Eiropas Parlamenta un Padomes 1998. gada 13. oktobra Direktīva 98/70/EK, kas attiecas uz benzīna un dīzeļdegvielu kvalitāti un ar ko groza Padomes Direktīvu 93/12/EEK</w:t>
            </w:r>
            <w:r w:rsidRPr="001D7630">
              <w:rPr>
                <w:rFonts w:ascii="Times New Roman" w:hAnsi="Times New Roman"/>
                <w:sz w:val="24"/>
                <w:szCs w:val="24"/>
              </w:rPr>
              <w:t>, (turpmāk – Direktīva 98) 7.c panta 1. punkta prasības. Vēršam uzmanību, ka Direktīvas 7.c panta 1. punkts paredz, ka “</w:t>
            </w:r>
            <w:r w:rsidRPr="001D7630">
              <w:rPr>
                <w:rFonts w:ascii="Times New Roman" w:hAnsi="Times New Roman"/>
                <w:i/>
                <w:sz w:val="24"/>
                <w:szCs w:val="24"/>
              </w:rPr>
              <w:t>dalībvalstis prasa uzņēmējiem pierādīt, ka ir ievēroti 7.b panta 2. līdz 5. punktā minētie ilgtspējības kritēriji. Tādā sakarā uzņēmējiem prasa izmantot masu bilances sistēmu</w:t>
            </w:r>
            <w:r w:rsidRPr="001D7630">
              <w:rPr>
                <w:rFonts w:ascii="Times New Roman" w:hAnsi="Times New Roman"/>
                <w:sz w:val="24"/>
                <w:szCs w:val="24"/>
              </w:rPr>
              <w:t>”.</w:t>
            </w:r>
          </w:p>
          <w:p w14:paraId="1B7F49FF" w14:textId="77777777" w:rsidR="00780010" w:rsidRPr="001D7630" w:rsidRDefault="00780010" w:rsidP="00780010">
            <w:pPr>
              <w:pStyle w:val="ListParagraph"/>
              <w:tabs>
                <w:tab w:val="left" w:pos="993"/>
              </w:tabs>
              <w:spacing w:after="0" w:line="240" w:lineRule="auto"/>
              <w:ind w:left="0" w:firstLine="720"/>
              <w:contextualSpacing w:val="0"/>
              <w:jc w:val="both"/>
              <w:rPr>
                <w:rFonts w:ascii="Times New Roman" w:hAnsi="Times New Roman"/>
                <w:sz w:val="24"/>
                <w:szCs w:val="24"/>
              </w:rPr>
            </w:pPr>
            <w:r w:rsidRPr="001D7630">
              <w:rPr>
                <w:rFonts w:ascii="Times New Roman" w:hAnsi="Times New Roman"/>
                <w:sz w:val="24"/>
                <w:szCs w:val="24"/>
              </w:rPr>
              <w:t>Ievērojot minēto, lūdzam precizēt projekta 10. panta trešo daļu atbilstoši Direktīvā 98 noteiktajam.</w:t>
            </w:r>
          </w:p>
        </w:tc>
        <w:tc>
          <w:tcPr>
            <w:tcW w:w="2976" w:type="dxa"/>
            <w:tcBorders>
              <w:top w:val="single" w:sz="6" w:space="0" w:color="000000"/>
              <w:left w:val="single" w:sz="6" w:space="0" w:color="000000"/>
              <w:bottom w:val="single" w:sz="6" w:space="0" w:color="000000"/>
              <w:right w:val="single" w:sz="6" w:space="0" w:color="000000"/>
            </w:tcBorders>
          </w:tcPr>
          <w:p w14:paraId="7D46769A" w14:textId="77777777" w:rsidR="00780010" w:rsidRPr="001D7630" w:rsidRDefault="00780010" w:rsidP="00780010">
            <w:pPr>
              <w:jc w:val="center"/>
              <w:rPr>
                <w:b/>
                <w:bCs/>
                <w:iCs/>
              </w:rPr>
            </w:pPr>
            <w:r w:rsidRPr="001D7630">
              <w:rPr>
                <w:b/>
                <w:bCs/>
                <w:iCs/>
              </w:rPr>
              <w:lastRenderedPageBreak/>
              <w:t>Ņemts vērā</w:t>
            </w:r>
          </w:p>
          <w:p w14:paraId="1340F047" w14:textId="77777777" w:rsidR="00780010" w:rsidRPr="001D7630" w:rsidRDefault="00780010" w:rsidP="00780010">
            <w:pPr>
              <w:rPr>
                <w:iCs/>
              </w:rPr>
            </w:pPr>
            <w:r w:rsidRPr="001D7630">
              <w:rPr>
                <w:iCs/>
              </w:rPr>
              <w:t>Skatīt iepriekšējo komentāru uz VARAM iebildumu</w:t>
            </w:r>
          </w:p>
        </w:tc>
        <w:tc>
          <w:tcPr>
            <w:tcW w:w="4291" w:type="dxa"/>
            <w:tcBorders>
              <w:top w:val="single" w:sz="4" w:space="0" w:color="auto"/>
              <w:left w:val="single" w:sz="4" w:space="0" w:color="auto"/>
              <w:bottom w:val="single" w:sz="4" w:space="0" w:color="auto"/>
            </w:tcBorders>
          </w:tcPr>
          <w:p w14:paraId="3D4E90DC" w14:textId="77777777" w:rsidR="00780010" w:rsidRPr="001D7630" w:rsidRDefault="00780010" w:rsidP="00780010">
            <w:pPr>
              <w:pStyle w:val="naisf"/>
              <w:spacing w:before="0" w:after="0"/>
              <w:ind w:firstLine="0"/>
            </w:pPr>
            <w:r w:rsidRPr="001D7630">
              <w:t>Likumprojekta 10.panta 9.punktā iekļautais deleģējums MK ir papildināts, nosakot, ka MK definē to personu loku, uz kurām attiecas masas bilances prasību izmantošana.</w:t>
            </w:r>
          </w:p>
        </w:tc>
      </w:tr>
      <w:tr w:rsidR="00780010" w:rsidRPr="001D7630" w14:paraId="48CDAF4D"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5B0AA50E"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426AE1E7"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19693044" w14:textId="77777777" w:rsidR="00780010" w:rsidRPr="001D7630" w:rsidRDefault="00780010" w:rsidP="00780010">
            <w:pPr>
              <w:widowControl w:val="0"/>
              <w:tabs>
                <w:tab w:val="left" w:pos="993"/>
              </w:tabs>
              <w:jc w:val="center"/>
              <w:rPr>
                <w:b/>
                <w:bCs/>
              </w:rPr>
            </w:pPr>
            <w:r w:rsidRPr="001D7630">
              <w:rPr>
                <w:b/>
                <w:bCs/>
              </w:rPr>
              <w:t>Tieslietu ministrija</w:t>
            </w:r>
          </w:p>
          <w:p w14:paraId="736D4FE8" w14:textId="77777777" w:rsidR="00780010" w:rsidRPr="001D7630" w:rsidRDefault="00780010" w:rsidP="00780010">
            <w:pPr>
              <w:widowControl w:val="0"/>
              <w:tabs>
                <w:tab w:val="left" w:pos="993"/>
              </w:tabs>
              <w:jc w:val="center"/>
              <w:rPr>
                <w:b/>
                <w:bCs/>
              </w:rPr>
            </w:pPr>
            <w:r w:rsidRPr="001D7630">
              <w:rPr>
                <w:b/>
                <w:bCs/>
              </w:rPr>
              <w:t>(26.03.2021. atzinums)</w:t>
            </w:r>
          </w:p>
          <w:p w14:paraId="439F61C1" w14:textId="77777777" w:rsidR="00780010" w:rsidRPr="001D7630" w:rsidRDefault="00780010" w:rsidP="00780010">
            <w:pPr>
              <w:jc w:val="both"/>
            </w:pPr>
            <w:r w:rsidRPr="001D7630">
              <w:t>2. Lūdzam precizēt projekta 10.panta piektajā daļā nosacījumu “</w:t>
            </w:r>
            <w:r w:rsidRPr="001D7630">
              <w:rPr>
                <w:i/>
                <w:iCs/>
              </w:rPr>
              <w:t>vai sūtījuma ražošanai ir ticis sniegts atbalsts, un, ja tā ir, atbalsta shēmas tips.”</w:t>
            </w:r>
            <w:r w:rsidRPr="001D7630">
              <w:t xml:space="preserve"> Norādām, ka nav skaidrs, kas šīs normas izpratnē ir “sūtījums”, kā arī, vai ar atbalstu ir jāsaprot valsts atbalsts (Līguma par </w:t>
            </w:r>
            <w:r w:rsidRPr="001D7630">
              <w:lastRenderedPageBreak/>
              <w:t>Eiropas Savienības darbību 107.panta izpratnē).</w:t>
            </w:r>
          </w:p>
        </w:tc>
        <w:tc>
          <w:tcPr>
            <w:tcW w:w="2976" w:type="dxa"/>
            <w:tcBorders>
              <w:top w:val="single" w:sz="6" w:space="0" w:color="000000"/>
              <w:left w:val="single" w:sz="6" w:space="0" w:color="000000"/>
              <w:bottom w:val="single" w:sz="6" w:space="0" w:color="000000"/>
              <w:right w:val="single" w:sz="6" w:space="0" w:color="000000"/>
            </w:tcBorders>
          </w:tcPr>
          <w:p w14:paraId="5476074C" w14:textId="77777777" w:rsidR="00780010" w:rsidRPr="001D7630" w:rsidRDefault="00780010" w:rsidP="00780010">
            <w:pPr>
              <w:jc w:val="center"/>
              <w:rPr>
                <w:b/>
                <w:bCs/>
                <w:iCs/>
              </w:rPr>
            </w:pPr>
            <w:r w:rsidRPr="001D7630">
              <w:rPr>
                <w:b/>
                <w:bCs/>
                <w:iCs/>
              </w:rPr>
              <w:lastRenderedPageBreak/>
              <w:t>Ņemts vērā</w:t>
            </w:r>
          </w:p>
          <w:p w14:paraId="4F02D4D0" w14:textId="77777777" w:rsidR="00780010" w:rsidRPr="001D7630" w:rsidRDefault="00780010" w:rsidP="00780010">
            <w:pPr>
              <w:jc w:val="center"/>
              <w:rPr>
                <w:b/>
                <w:bCs/>
                <w:iCs/>
              </w:rPr>
            </w:pPr>
          </w:p>
          <w:p w14:paraId="3AAB001C" w14:textId="77777777" w:rsidR="00780010" w:rsidRPr="001D7630" w:rsidRDefault="00780010" w:rsidP="00780010">
            <w:pPr>
              <w:rPr>
                <w:iCs/>
              </w:rPr>
            </w:pPr>
            <w:r w:rsidRPr="001D7630">
              <w:rPr>
                <w:iCs/>
              </w:rPr>
              <w:t>Norādām, ka “atbalsta shēma” definīcija ir noteikta likumprojekta 1.panta 2.punktā, no kuras var spriest, kāds atbalsts ir minēts likumprojekta 10.panta 5.daļā</w:t>
            </w:r>
          </w:p>
        </w:tc>
        <w:tc>
          <w:tcPr>
            <w:tcW w:w="4291" w:type="dxa"/>
            <w:tcBorders>
              <w:top w:val="single" w:sz="4" w:space="0" w:color="auto"/>
              <w:left w:val="single" w:sz="4" w:space="0" w:color="auto"/>
              <w:bottom w:val="single" w:sz="4" w:space="0" w:color="auto"/>
            </w:tcBorders>
          </w:tcPr>
          <w:p w14:paraId="4D301620" w14:textId="77777777" w:rsidR="00780010" w:rsidRPr="001D7630" w:rsidRDefault="00780010" w:rsidP="00780010">
            <w:pPr>
              <w:pStyle w:val="naisf"/>
              <w:spacing w:before="0" w:after="0"/>
              <w:ind w:firstLine="0"/>
            </w:pPr>
            <w:r w:rsidRPr="001D7630">
              <w:t>Likumprojekta 10.panta 5.daļa ir precizēta</w:t>
            </w:r>
          </w:p>
        </w:tc>
      </w:tr>
      <w:tr w:rsidR="00780010" w:rsidRPr="001D7630" w14:paraId="29371B09" w14:textId="77777777" w:rsidTr="005D0902">
        <w:trPr>
          <w:jc w:val="center"/>
        </w:trPr>
        <w:tc>
          <w:tcPr>
            <w:tcW w:w="14992" w:type="dxa"/>
            <w:gridSpan w:val="5"/>
            <w:tcBorders>
              <w:top w:val="single" w:sz="6" w:space="0" w:color="000000"/>
              <w:left w:val="single" w:sz="6" w:space="0" w:color="000000"/>
              <w:bottom w:val="single" w:sz="6" w:space="0" w:color="000000"/>
            </w:tcBorders>
          </w:tcPr>
          <w:p w14:paraId="15CB0979" w14:textId="77777777" w:rsidR="00780010" w:rsidRPr="001D7630" w:rsidRDefault="00780010" w:rsidP="00780010">
            <w:pPr>
              <w:pStyle w:val="naisf"/>
              <w:spacing w:before="0" w:after="0"/>
              <w:ind w:firstLine="0"/>
              <w:jc w:val="center"/>
              <w:rPr>
                <w:b/>
                <w:bCs/>
              </w:rPr>
            </w:pPr>
            <w:r w:rsidRPr="001D7630">
              <w:rPr>
                <w:b/>
                <w:bCs/>
              </w:rPr>
              <w:t>11.PANTS</w:t>
            </w:r>
          </w:p>
        </w:tc>
      </w:tr>
      <w:tr w:rsidR="00780010" w:rsidRPr="001D7630" w14:paraId="3C7E3A9E"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4214E4F6"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36A09027"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48C6F964" w14:textId="77777777" w:rsidR="00780010" w:rsidRPr="001D7630" w:rsidRDefault="00780010" w:rsidP="00780010">
            <w:pPr>
              <w:autoSpaceDE w:val="0"/>
              <w:autoSpaceDN w:val="0"/>
              <w:adjustRightInd w:val="0"/>
              <w:jc w:val="center"/>
              <w:rPr>
                <w:b/>
                <w:bCs/>
              </w:rPr>
            </w:pPr>
            <w:r w:rsidRPr="001D7630">
              <w:rPr>
                <w:b/>
                <w:bCs/>
              </w:rPr>
              <w:t>Latvijas Degvielas tirgotāju asociācija</w:t>
            </w:r>
          </w:p>
          <w:p w14:paraId="145A4746" w14:textId="77777777" w:rsidR="00780010" w:rsidRPr="001D7630" w:rsidRDefault="00780010" w:rsidP="00780010">
            <w:pPr>
              <w:autoSpaceDE w:val="0"/>
              <w:autoSpaceDN w:val="0"/>
              <w:adjustRightInd w:val="0"/>
              <w:jc w:val="center"/>
              <w:rPr>
                <w:b/>
                <w:bCs/>
              </w:rPr>
            </w:pPr>
            <w:r w:rsidRPr="001D7630">
              <w:rPr>
                <w:b/>
                <w:bCs/>
              </w:rPr>
              <w:t>(13.01.2021.)</w:t>
            </w:r>
          </w:p>
          <w:p w14:paraId="666D0904" w14:textId="77777777" w:rsidR="00780010" w:rsidRPr="001D7630" w:rsidRDefault="00780010" w:rsidP="00780010">
            <w:pPr>
              <w:pStyle w:val="CommentText"/>
              <w:ind w:firstLine="567"/>
              <w:jc w:val="both"/>
              <w:rPr>
                <w:sz w:val="24"/>
                <w:szCs w:val="24"/>
              </w:rPr>
            </w:pPr>
            <w:r w:rsidRPr="001D7630">
              <w:rPr>
                <w:sz w:val="24"/>
                <w:szCs w:val="24"/>
              </w:rPr>
              <w:t>[5.] Lūdzam saskaņot 11.panta pirmajā un ceturtajā daļā minētos ziņošanas termiņus, tāpat lūdzam precizēt panta sesto daļu un aizstāt vārdus “katra degvielas piegādātāja” ar vārdiem “visu degvielas piegādātāju”, pretējā gadījumā pēc esošās redakcijas sanāk publicēt informāciju par katru degvielas piegādātāju atsevišķi, to identificējot.</w:t>
            </w:r>
          </w:p>
        </w:tc>
        <w:tc>
          <w:tcPr>
            <w:tcW w:w="2976" w:type="dxa"/>
            <w:tcBorders>
              <w:top w:val="single" w:sz="6" w:space="0" w:color="000000"/>
              <w:left w:val="single" w:sz="6" w:space="0" w:color="000000"/>
              <w:bottom w:val="single" w:sz="6" w:space="0" w:color="000000"/>
              <w:right w:val="single" w:sz="6" w:space="0" w:color="000000"/>
            </w:tcBorders>
          </w:tcPr>
          <w:p w14:paraId="7FFFCE51" w14:textId="77777777"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tcPr>
          <w:p w14:paraId="139B00E6" w14:textId="77777777" w:rsidR="00780010" w:rsidRPr="001D7630" w:rsidRDefault="00780010" w:rsidP="00780010">
            <w:pPr>
              <w:pStyle w:val="naisf"/>
              <w:spacing w:before="0" w:after="0"/>
              <w:ind w:firstLine="0"/>
            </w:pPr>
            <w:r w:rsidRPr="001D7630">
              <w:t>Likumprojekta 11.panta 4. un 6.daļa ir precizēta.</w:t>
            </w:r>
          </w:p>
        </w:tc>
      </w:tr>
      <w:tr w:rsidR="00780010" w:rsidRPr="001D7630" w14:paraId="2B343A78"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519B88AD"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56D74769" w14:textId="77777777" w:rsidR="00780010" w:rsidRPr="001D7630" w:rsidRDefault="00780010" w:rsidP="00780010">
            <w:pPr>
              <w:pStyle w:val="naisf"/>
              <w:spacing w:before="0" w:after="0"/>
              <w:ind w:firstLine="0"/>
            </w:pPr>
            <w:r w:rsidRPr="001D7630">
              <w:t>Likumprojekta 11.panta 4.daļa</w:t>
            </w:r>
          </w:p>
        </w:tc>
        <w:tc>
          <w:tcPr>
            <w:tcW w:w="4047" w:type="dxa"/>
            <w:tcBorders>
              <w:top w:val="single" w:sz="6" w:space="0" w:color="000000"/>
              <w:left w:val="single" w:sz="6" w:space="0" w:color="000000"/>
              <w:bottom w:val="single" w:sz="6" w:space="0" w:color="000000"/>
              <w:right w:val="single" w:sz="6" w:space="0" w:color="000000"/>
            </w:tcBorders>
          </w:tcPr>
          <w:p w14:paraId="1BDB7CEF" w14:textId="77777777" w:rsidR="00780010" w:rsidRPr="001D7630" w:rsidRDefault="00780010" w:rsidP="00780010">
            <w:pPr>
              <w:autoSpaceDE w:val="0"/>
              <w:autoSpaceDN w:val="0"/>
              <w:adjustRightInd w:val="0"/>
              <w:jc w:val="center"/>
              <w:rPr>
                <w:b/>
                <w:bCs/>
              </w:rPr>
            </w:pPr>
            <w:r w:rsidRPr="001D7630">
              <w:rPr>
                <w:b/>
                <w:bCs/>
              </w:rPr>
              <w:t>Latvijas Biogāzes asociācija</w:t>
            </w:r>
          </w:p>
          <w:p w14:paraId="4E54A4FB" w14:textId="77777777" w:rsidR="00780010" w:rsidRPr="001D7630" w:rsidRDefault="00780010" w:rsidP="00780010">
            <w:pPr>
              <w:autoSpaceDE w:val="0"/>
              <w:autoSpaceDN w:val="0"/>
              <w:adjustRightInd w:val="0"/>
              <w:jc w:val="center"/>
              <w:rPr>
                <w:b/>
                <w:bCs/>
              </w:rPr>
            </w:pPr>
            <w:r w:rsidRPr="001D7630">
              <w:rPr>
                <w:b/>
                <w:bCs/>
              </w:rPr>
              <w:t>(29.03.2021.)</w:t>
            </w:r>
          </w:p>
          <w:p w14:paraId="204A07F4" w14:textId="77777777" w:rsidR="00780010" w:rsidRPr="001D7630" w:rsidRDefault="00780010" w:rsidP="00780010">
            <w:pPr>
              <w:autoSpaceDE w:val="0"/>
              <w:autoSpaceDN w:val="0"/>
              <w:adjustRightInd w:val="0"/>
              <w:rPr>
                <w:color w:val="000000"/>
              </w:rPr>
            </w:pPr>
            <w:r w:rsidRPr="001D7630">
              <w:rPr>
                <w:color w:val="000000"/>
              </w:rPr>
              <w:t xml:space="preserve">11.pants. Ziņošanas pienākumi </w:t>
            </w:r>
          </w:p>
          <w:p w14:paraId="531FDC27" w14:textId="77777777" w:rsidR="00780010" w:rsidRPr="001D7630" w:rsidRDefault="00780010" w:rsidP="00780010">
            <w:pPr>
              <w:autoSpaceDE w:val="0"/>
              <w:autoSpaceDN w:val="0"/>
              <w:adjustRightInd w:val="0"/>
              <w:rPr>
                <w:b/>
                <w:bCs/>
              </w:rPr>
            </w:pPr>
            <w:r w:rsidRPr="001D7630">
              <w:rPr>
                <w:color w:val="000000"/>
              </w:rPr>
              <w:t>(4) ir kļūdaini nosauktas 8. panta daļas. Pareizi būtu: “Ministru kabineta noteikta institūcija 30 dienu laikā pēc vispārīgā ziņojuma saņemšanas pārbauda, vai degvielas piegādātājs ir izpildījis šā likuma 8. panta piektajā un sestajā daļā vai 9. panta pirmajā daļā noteikto pienākumu un katru gadu līdz 1. jūlijam par to informē Ekonomikas ministriju.</w:t>
            </w:r>
          </w:p>
        </w:tc>
        <w:tc>
          <w:tcPr>
            <w:tcW w:w="2976" w:type="dxa"/>
            <w:tcBorders>
              <w:top w:val="single" w:sz="6" w:space="0" w:color="000000"/>
              <w:left w:val="single" w:sz="6" w:space="0" w:color="000000"/>
              <w:bottom w:val="single" w:sz="6" w:space="0" w:color="000000"/>
              <w:right w:val="single" w:sz="6" w:space="0" w:color="000000"/>
            </w:tcBorders>
          </w:tcPr>
          <w:p w14:paraId="084DAD12" w14:textId="77777777"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tcPr>
          <w:p w14:paraId="26F54A68" w14:textId="77777777" w:rsidR="00780010" w:rsidRPr="001D7630" w:rsidRDefault="00780010" w:rsidP="00780010">
            <w:pPr>
              <w:pStyle w:val="naisf"/>
              <w:spacing w:before="0" w:after="0"/>
              <w:ind w:firstLine="0"/>
            </w:pPr>
            <w:r w:rsidRPr="001D7630">
              <w:t>Likumprojekta 11.panta 4.daļa ir precizēta</w:t>
            </w:r>
          </w:p>
        </w:tc>
      </w:tr>
      <w:tr w:rsidR="00780010" w:rsidRPr="001D7630" w14:paraId="20474223"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061A1B20"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328F408A"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15A7A0D" w14:textId="77777777" w:rsidR="00780010" w:rsidRPr="001D7630" w:rsidRDefault="00780010" w:rsidP="00780010">
            <w:pPr>
              <w:autoSpaceDE w:val="0"/>
              <w:autoSpaceDN w:val="0"/>
              <w:adjustRightInd w:val="0"/>
              <w:jc w:val="center"/>
              <w:rPr>
                <w:b/>
                <w:bCs/>
              </w:rPr>
            </w:pPr>
            <w:r w:rsidRPr="001D7630">
              <w:rPr>
                <w:b/>
                <w:bCs/>
              </w:rPr>
              <w:t>Būvniecības valsts kontroles birojs</w:t>
            </w:r>
          </w:p>
          <w:p w14:paraId="71B89042" w14:textId="77777777" w:rsidR="00780010" w:rsidRPr="001D7630" w:rsidRDefault="00780010" w:rsidP="00780010">
            <w:pPr>
              <w:autoSpaceDE w:val="0"/>
              <w:autoSpaceDN w:val="0"/>
              <w:adjustRightInd w:val="0"/>
              <w:jc w:val="center"/>
              <w:rPr>
                <w:b/>
                <w:bCs/>
              </w:rPr>
            </w:pPr>
            <w:r w:rsidRPr="001D7630">
              <w:rPr>
                <w:b/>
                <w:bCs/>
              </w:rPr>
              <w:t>(16.06.2021.)</w:t>
            </w:r>
          </w:p>
          <w:p w14:paraId="50833334" w14:textId="77777777" w:rsidR="00780010" w:rsidRPr="001D7630" w:rsidRDefault="00780010" w:rsidP="00780010">
            <w:pPr>
              <w:pStyle w:val="ListParagraph"/>
              <w:spacing w:after="0" w:line="240" w:lineRule="auto"/>
              <w:ind w:left="0"/>
              <w:contextualSpacing w:val="0"/>
              <w:jc w:val="both"/>
              <w:rPr>
                <w:rFonts w:ascii="Times New Roman" w:hAnsi="Times New Roman"/>
                <w:sz w:val="24"/>
                <w:szCs w:val="24"/>
              </w:rPr>
            </w:pPr>
            <w:r w:rsidRPr="001D7630">
              <w:rPr>
                <w:rFonts w:ascii="Times New Roman" w:hAnsi="Times New Roman"/>
                <w:sz w:val="24"/>
                <w:szCs w:val="24"/>
              </w:rPr>
              <w:t xml:space="preserve">[3] </w:t>
            </w:r>
            <w:r w:rsidRPr="001D7630">
              <w:rPr>
                <w:rFonts w:ascii="Times New Roman" w:hAnsi="Times New Roman"/>
                <w:i/>
                <w:iCs/>
                <w:sz w:val="24"/>
                <w:szCs w:val="24"/>
              </w:rPr>
              <w:t>Likumprojekta 11.panta ceturtajā daļā</w:t>
            </w:r>
            <w:r w:rsidRPr="001D7630">
              <w:rPr>
                <w:rFonts w:ascii="Times New Roman" w:hAnsi="Times New Roman"/>
                <w:sz w:val="24"/>
                <w:szCs w:val="24"/>
              </w:rPr>
              <w:t xml:space="preserve"> noteikts, ka Ministru kabineta noteiktai institūcijai ir tiesības veikt </w:t>
            </w:r>
            <w:r w:rsidRPr="001D7630">
              <w:rPr>
                <w:rFonts w:ascii="Times New Roman" w:hAnsi="Times New Roman"/>
                <w:sz w:val="24"/>
                <w:szCs w:val="24"/>
              </w:rPr>
              <w:lastRenderedPageBreak/>
              <w:t>degvielas piegādātāju datu pārbaudi. Birojs:</w:t>
            </w:r>
          </w:p>
          <w:p w14:paraId="54503C37" w14:textId="77777777" w:rsidR="00780010" w:rsidRPr="001D7630" w:rsidRDefault="00780010" w:rsidP="00780010">
            <w:pPr>
              <w:pStyle w:val="ListParagraph"/>
              <w:numPr>
                <w:ilvl w:val="0"/>
                <w:numId w:val="18"/>
              </w:numPr>
              <w:spacing w:after="0" w:line="240" w:lineRule="auto"/>
              <w:ind w:left="361"/>
              <w:contextualSpacing w:val="0"/>
              <w:jc w:val="both"/>
              <w:rPr>
                <w:rFonts w:ascii="Times New Roman" w:hAnsi="Times New Roman"/>
                <w:sz w:val="24"/>
                <w:szCs w:val="24"/>
              </w:rPr>
            </w:pPr>
            <w:r w:rsidRPr="001D7630">
              <w:rPr>
                <w:rFonts w:ascii="Times New Roman" w:hAnsi="Times New Roman"/>
                <w:sz w:val="24"/>
                <w:szCs w:val="24"/>
              </w:rPr>
              <w:t>lūdz skaidrot, vai minētā Likumprojekta norma dod tiesības arī neveikt degvielas piegādātāju datu pārbaudi, un kā normā minētās tiesības ir samērojamas ar Likumprojekta 13.panta pirmajā daļā noteikto pienākumu pieņemt lēmumu par Likumprojekta 8.panta ceturtās daļas 1. vai 2.punktā noteiktā mērķa nesasniegšanu;</w:t>
            </w:r>
          </w:p>
          <w:p w14:paraId="2522DA28" w14:textId="77777777" w:rsidR="00780010" w:rsidRPr="001D7630" w:rsidRDefault="00780010" w:rsidP="00780010">
            <w:pPr>
              <w:pStyle w:val="ListParagraph"/>
              <w:numPr>
                <w:ilvl w:val="0"/>
                <w:numId w:val="18"/>
              </w:numPr>
              <w:spacing w:after="0" w:line="240" w:lineRule="auto"/>
              <w:ind w:left="361"/>
              <w:contextualSpacing w:val="0"/>
              <w:jc w:val="both"/>
              <w:rPr>
                <w:rFonts w:ascii="Times New Roman" w:hAnsi="Times New Roman"/>
                <w:sz w:val="24"/>
                <w:szCs w:val="24"/>
              </w:rPr>
            </w:pPr>
            <w:r w:rsidRPr="001D7630">
              <w:rPr>
                <w:rFonts w:ascii="Times New Roman" w:hAnsi="Times New Roman"/>
                <w:sz w:val="24"/>
                <w:szCs w:val="24"/>
              </w:rPr>
              <w:t>vērš uzmanību, ka minētā norma nosaka, ka Birojam ir tiesības pārbaudīt degvielas piegādātāju datus, nevis pašu degvielas piegādātāja iesniegto ziņojumu. Līdz ar to lūdzam skaidrot, kāds ir termina “datu pārbaude” tvērums;</w:t>
            </w:r>
          </w:p>
          <w:p w14:paraId="4517F1A5" w14:textId="236CB530" w:rsidR="00780010" w:rsidRPr="001D7630" w:rsidRDefault="00780010" w:rsidP="00780010">
            <w:pPr>
              <w:pStyle w:val="ListParagraph"/>
              <w:numPr>
                <w:ilvl w:val="0"/>
                <w:numId w:val="18"/>
              </w:numPr>
              <w:spacing w:after="0" w:line="240" w:lineRule="auto"/>
              <w:ind w:left="361"/>
              <w:contextualSpacing w:val="0"/>
              <w:jc w:val="both"/>
              <w:rPr>
                <w:rFonts w:ascii="Times New Roman" w:hAnsi="Times New Roman"/>
                <w:sz w:val="24"/>
                <w:szCs w:val="24"/>
              </w:rPr>
            </w:pPr>
            <w:r w:rsidRPr="001D7630">
              <w:rPr>
                <w:rFonts w:ascii="Times New Roman" w:hAnsi="Times New Roman"/>
                <w:sz w:val="24"/>
                <w:szCs w:val="24"/>
              </w:rPr>
              <w:t xml:space="preserve">vērš uzmanību, ka Ministru kabineta 2019.gada 16.jūnija sēdē tika izskatīts un atbalstīts informatīvais ziņojums “Informatīvais ziņojums “Par elektroenerģijas obligātā iepirkuma komponentes problemātikas iespējamajiem risinājumiem un enerģētikas politikas īstenošanas funkcijām”” (Nr.33, 88.§). Savukārt, Birojam kā viens no sasniedzamajiem rezultatīvajiem rādītājiem ir noteiktas 70 degvielas piegādātāju ziņojumu pārbaudes. </w:t>
            </w:r>
            <w:r w:rsidRPr="001D7630">
              <w:rPr>
                <w:rFonts w:ascii="Times New Roman" w:hAnsi="Times New Roman"/>
                <w:sz w:val="24"/>
                <w:szCs w:val="24"/>
                <w:u w:val="single"/>
              </w:rPr>
              <w:t xml:space="preserve">Līdz ar to ir aktuāls un svarīgs </w:t>
            </w:r>
            <w:r w:rsidRPr="001D7630">
              <w:rPr>
                <w:rFonts w:ascii="Times New Roman" w:hAnsi="Times New Roman"/>
                <w:sz w:val="24"/>
                <w:szCs w:val="24"/>
                <w:u w:val="single"/>
              </w:rPr>
              <w:lastRenderedPageBreak/>
              <w:t>jautājums, kādā veidā vienlaicīgi jāizpilda Likumprojekta 11.panta ceturtajā daļā noteiktais un Birojam noteiktā rezultatīvā rādītāja izpilde</w:t>
            </w:r>
            <w:r w:rsidRPr="001D7630">
              <w:rPr>
                <w:rFonts w:ascii="Times New Roman" w:hAnsi="Times New Roman"/>
                <w:sz w:val="24"/>
                <w:szCs w:val="24"/>
              </w:rPr>
              <w:t>.</w:t>
            </w:r>
          </w:p>
          <w:p w14:paraId="0425826F" w14:textId="77777777" w:rsidR="00780010" w:rsidRPr="001D7630" w:rsidRDefault="00780010" w:rsidP="00780010">
            <w:pPr>
              <w:jc w:val="both"/>
            </w:pPr>
          </w:p>
          <w:p w14:paraId="5F2267D5" w14:textId="0F387678" w:rsidR="00780010" w:rsidRPr="001D7630" w:rsidRDefault="00780010" w:rsidP="00780010">
            <w:pPr>
              <w:jc w:val="both"/>
            </w:pPr>
            <w:r w:rsidRPr="001D7630">
              <w:t xml:space="preserve">Birojs aicina </w:t>
            </w:r>
            <w:r w:rsidRPr="001D7630">
              <w:rPr>
                <w:i/>
                <w:iCs/>
              </w:rPr>
              <w:t>Likumprojekta 11.panta piekto daļu</w:t>
            </w:r>
            <w:r w:rsidRPr="001D7630">
              <w:t xml:space="preserve"> izteikt šādā redakcijā:</w:t>
            </w:r>
          </w:p>
          <w:p w14:paraId="1C6FBB32" w14:textId="5285989D" w:rsidR="00780010" w:rsidRPr="001D7630" w:rsidRDefault="00780010" w:rsidP="00780010">
            <w:pPr>
              <w:jc w:val="both"/>
            </w:pPr>
            <w:r w:rsidRPr="001D7630">
              <w:t xml:space="preserve">“(5) Ministru kabineta noteikta institūcija savā tīmekļa vietnē katru </w:t>
            </w:r>
            <w:r w:rsidRPr="001D7630">
              <w:rPr>
                <w:u w:val="single"/>
              </w:rPr>
              <w:t>gadu publicē</w:t>
            </w:r>
            <w:r w:rsidRPr="001D7630">
              <w:t xml:space="preserve"> apkopotu informāciju par degvielas piegādātāju galapatēriņam transportā realizētās biodegvielas, biogāzes un biomasas degvielas ģeogrāfisko izcelsmi un izejvielu veidu;”.</w:t>
            </w:r>
          </w:p>
          <w:p w14:paraId="0631CCF3" w14:textId="77777777" w:rsidR="00780010" w:rsidRPr="001D7630" w:rsidRDefault="00780010" w:rsidP="00780010">
            <w:pPr>
              <w:jc w:val="both"/>
            </w:pPr>
          </w:p>
          <w:p w14:paraId="3CABC487" w14:textId="18AE8DB0" w:rsidR="00780010" w:rsidRPr="001D7630" w:rsidRDefault="00780010" w:rsidP="00780010">
            <w:pPr>
              <w:jc w:val="both"/>
              <w:rPr>
                <w:b/>
                <w:bCs/>
              </w:rPr>
            </w:pPr>
            <w:r w:rsidRPr="001D7630">
              <w:t xml:space="preserve">Vienlaikus Birojs lūdz skaidrot, vai </w:t>
            </w:r>
            <w:r w:rsidRPr="001D7630">
              <w:rPr>
                <w:i/>
                <w:iCs/>
              </w:rPr>
              <w:t>Likumprojekta 11.panta septītajā daļā</w:t>
            </w:r>
            <w:r w:rsidRPr="001D7630">
              <w:t xml:space="preserve"> noteiktajā deleģējumā Ministru kabineta noteikumu izstrādei būs noteikts arī termiņš Likumprojekta 11.panta sestajā daļā minēto ziņojumu iesniegšanai.</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50BDB89B" w14:textId="0ECC11BF" w:rsidR="00780010" w:rsidRPr="001D7630" w:rsidRDefault="00780010" w:rsidP="00780010">
            <w:pPr>
              <w:jc w:val="center"/>
              <w:rPr>
                <w:b/>
                <w:bCs/>
                <w:iCs/>
              </w:rPr>
            </w:pPr>
            <w:r w:rsidRPr="001D7630">
              <w:rPr>
                <w:b/>
                <w:bCs/>
                <w:iCs/>
              </w:rPr>
              <w:lastRenderedPageBreak/>
              <w:t>Ņemts vērā</w:t>
            </w:r>
          </w:p>
          <w:p w14:paraId="19D6CD66" w14:textId="77777777" w:rsidR="00780010" w:rsidRPr="001D7630" w:rsidRDefault="00780010" w:rsidP="00780010">
            <w:pPr>
              <w:rPr>
                <w:iCs/>
              </w:rPr>
            </w:pPr>
            <w:r w:rsidRPr="001D7630">
              <w:rPr>
                <w:iCs/>
              </w:rPr>
              <w:t xml:space="preserve">1) likumprojekta 11.panta 4.daļā iekļautais nosacījums dod BVKB tiesības veikt ne tikai ziņojuma pārbaudi, bet arī visu datu, kas ir izmantoti </w:t>
            </w:r>
            <w:r w:rsidRPr="001D7630">
              <w:rPr>
                <w:iCs/>
              </w:rPr>
              <w:lastRenderedPageBreak/>
              <w:t>par ziņojumā iekļauto aprēķinu un rezultātu, pārbaudei, tai skaitā, pārbaudei uz vietas pie degvielas piegādātāja.</w:t>
            </w:r>
          </w:p>
          <w:p w14:paraId="463885B2" w14:textId="77777777" w:rsidR="00780010" w:rsidRPr="001D7630" w:rsidRDefault="00780010" w:rsidP="00780010">
            <w:pPr>
              <w:rPr>
                <w:iCs/>
              </w:rPr>
            </w:pPr>
            <w:r w:rsidRPr="001D7630">
              <w:rPr>
                <w:iCs/>
              </w:rPr>
              <w:t>Piemēram, ja BVKB konstatē, ka kāda degvielas piegādātāja ziņojumā iekļautā informācija neatbilst informācijai, ko par degvielas piegādātāju BVKB ir ieguvusi, veicot transporta enerģijas tirgus uzraudzības darbības, vai ka kāda degvielas piegādātāja ziņojumi vairākus gadus pēc kārtas ir neprecīzi utt., BVKB var pieprasīt degvielas piegādātājam sniegt ne tikai ziņojumu, kurā ir iekļauti kopējie realizētie transporta enerģijas apjomi, bet arī iesniegt visus detalizētos datus (pavadzīmes, aprites preču uzskaites dokumentus, visus ilgtspējas apliecinājuma dokumentus uc).</w:t>
            </w:r>
          </w:p>
          <w:p w14:paraId="3755B092" w14:textId="77777777" w:rsidR="00780010" w:rsidRPr="001D7630" w:rsidRDefault="00780010" w:rsidP="00780010">
            <w:pPr>
              <w:rPr>
                <w:iCs/>
              </w:rPr>
            </w:pPr>
            <w:r w:rsidRPr="001D7630">
              <w:rPr>
                <w:iCs/>
              </w:rPr>
              <w:t xml:space="preserve">2) informējam, ka ziņojumā tiek iekļauti jau agregētie dati, kas izriet no degvielas piegādātāja uzskaites dokumentiem. BVKB ar šo </w:t>
            </w:r>
            <w:r w:rsidRPr="001D7630">
              <w:rPr>
                <w:iCs/>
              </w:rPr>
              <w:lastRenderedPageBreak/>
              <w:t>nosacījumu tiek dotas pilnvaras piekļūt arī detalizētiem datiem, lai pārbaudītu, vai ziņojumā iekļautie agregētie dati ir atbilstoši.</w:t>
            </w:r>
          </w:p>
          <w:p w14:paraId="5A411F83" w14:textId="77777777" w:rsidR="00780010" w:rsidRPr="001D7630" w:rsidRDefault="00780010" w:rsidP="00780010">
            <w:pPr>
              <w:rPr>
                <w:iCs/>
              </w:rPr>
            </w:pPr>
            <w:r w:rsidRPr="001D7630">
              <w:rPr>
                <w:iCs/>
              </w:rPr>
              <w:t>4) informējam, ka konkrētas BVKB pilnvaras ziņojumu izvērtēšanā tiks noteiktas pakārtotajos MK noteikumos.</w:t>
            </w:r>
          </w:p>
          <w:p w14:paraId="5C3E5BF7" w14:textId="77777777" w:rsidR="00780010" w:rsidRPr="001D7630" w:rsidRDefault="00780010" w:rsidP="00780010">
            <w:pPr>
              <w:rPr>
                <w:iCs/>
              </w:rPr>
            </w:pPr>
          </w:p>
          <w:p w14:paraId="247BEFDF" w14:textId="77777777" w:rsidR="00780010" w:rsidRPr="001D7630" w:rsidRDefault="00780010" w:rsidP="00780010">
            <w:pPr>
              <w:rPr>
                <w:iCs/>
              </w:rPr>
            </w:pPr>
            <w:r w:rsidRPr="001D7630">
              <w:rPr>
                <w:iCs/>
              </w:rPr>
              <w:t>Informējam, ka likumprojekta 11.panta 6.daļas:</w:t>
            </w:r>
          </w:p>
          <w:p w14:paraId="0AB72B40" w14:textId="77777777" w:rsidR="00780010" w:rsidRPr="001D7630" w:rsidRDefault="00780010" w:rsidP="00780010">
            <w:pPr>
              <w:pStyle w:val="ListParagraph"/>
              <w:numPr>
                <w:ilvl w:val="0"/>
                <w:numId w:val="20"/>
              </w:numPr>
              <w:spacing w:after="0" w:line="240" w:lineRule="auto"/>
              <w:ind w:left="227" w:hanging="227"/>
              <w:contextualSpacing w:val="0"/>
              <w:rPr>
                <w:rFonts w:ascii="Times New Roman" w:hAnsi="Times New Roman"/>
                <w:b/>
                <w:bCs/>
                <w:iCs/>
                <w:sz w:val="24"/>
                <w:szCs w:val="24"/>
              </w:rPr>
            </w:pPr>
            <w:r w:rsidRPr="001D7630">
              <w:rPr>
                <w:rFonts w:ascii="Times New Roman" w:hAnsi="Times New Roman"/>
                <w:iCs/>
                <w:sz w:val="24"/>
                <w:szCs w:val="24"/>
              </w:rPr>
              <w:t>1.punktā minētais termiņš tiks noteikts pakārtotajos MK noteikumos par transporta enerģijas kvalitāti</w:t>
            </w:r>
          </w:p>
          <w:p w14:paraId="145E8C01" w14:textId="77777777" w:rsidR="00780010" w:rsidRPr="001D7630" w:rsidRDefault="00780010" w:rsidP="00780010">
            <w:pPr>
              <w:pStyle w:val="ListParagraph"/>
              <w:numPr>
                <w:ilvl w:val="0"/>
                <w:numId w:val="20"/>
              </w:numPr>
              <w:spacing w:after="0" w:line="240" w:lineRule="auto"/>
              <w:ind w:left="227" w:hanging="227"/>
              <w:contextualSpacing w:val="0"/>
              <w:rPr>
                <w:rFonts w:ascii="Times New Roman" w:hAnsi="Times New Roman"/>
                <w:b/>
                <w:bCs/>
                <w:iCs/>
                <w:sz w:val="24"/>
                <w:szCs w:val="24"/>
              </w:rPr>
            </w:pPr>
            <w:r w:rsidRPr="001D7630">
              <w:rPr>
                <w:rFonts w:ascii="Times New Roman" w:hAnsi="Times New Roman"/>
                <w:iCs/>
                <w:sz w:val="24"/>
                <w:szCs w:val="24"/>
              </w:rPr>
              <w:t>2.punktā minētais termiņš tiks noteikts likuma “Grozījumi Enerģētikas likumā” pakārtotajos MK noteikumos</w:t>
            </w:r>
          </w:p>
          <w:p w14:paraId="249F3314" w14:textId="4252119B" w:rsidR="00780010" w:rsidRPr="001D7630" w:rsidRDefault="00780010" w:rsidP="00780010">
            <w:pPr>
              <w:pStyle w:val="ListParagraph"/>
              <w:numPr>
                <w:ilvl w:val="0"/>
                <w:numId w:val="20"/>
              </w:numPr>
              <w:spacing w:after="0" w:line="240" w:lineRule="auto"/>
              <w:ind w:left="227" w:hanging="227"/>
              <w:contextualSpacing w:val="0"/>
              <w:rPr>
                <w:rFonts w:ascii="Times New Roman" w:hAnsi="Times New Roman"/>
                <w:b/>
                <w:bCs/>
                <w:iCs/>
                <w:sz w:val="24"/>
                <w:szCs w:val="24"/>
              </w:rPr>
            </w:pPr>
            <w:r w:rsidRPr="001D7630">
              <w:rPr>
                <w:rFonts w:ascii="Times New Roman" w:hAnsi="Times New Roman"/>
                <w:iCs/>
                <w:sz w:val="24"/>
                <w:szCs w:val="24"/>
              </w:rPr>
              <w:t>3.punktā minētais termiņš tiks noteikts pakārotajos MK noteikumos par līdzdalības mehānismu</w:t>
            </w:r>
          </w:p>
        </w:tc>
        <w:tc>
          <w:tcPr>
            <w:tcW w:w="4291" w:type="dxa"/>
            <w:tcBorders>
              <w:top w:val="single" w:sz="4" w:space="0" w:color="auto"/>
              <w:left w:val="single" w:sz="4" w:space="0" w:color="auto"/>
              <w:bottom w:val="single" w:sz="4" w:space="0" w:color="auto"/>
            </w:tcBorders>
            <w:shd w:val="clear" w:color="auto" w:fill="auto"/>
          </w:tcPr>
          <w:p w14:paraId="0A775D69" w14:textId="09A31A1C" w:rsidR="00780010" w:rsidRPr="001D7630" w:rsidRDefault="00780010" w:rsidP="00780010">
            <w:pPr>
              <w:pStyle w:val="naisf"/>
              <w:spacing w:before="0" w:after="0"/>
              <w:ind w:firstLine="0"/>
            </w:pPr>
            <w:r w:rsidRPr="001D7630">
              <w:lastRenderedPageBreak/>
              <w:t>Likumprojekta 11.panta 4. un 5.daļa ir precizēta</w:t>
            </w:r>
          </w:p>
        </w:tc>
      </w:tr>
      <w:tr w:rsidR="00780010" w:rsidRPr="001D7630" w14:paraId="47CE3580" w14:textId="77777777" w:rsidTr="005D0902">
        <w:trPr>
          <w:jc w:val="center"/>
        </w:trPr>
        <w:tc>
          <w:tcPr>
            <w:tcW w:w="14992" w:type="dxa"/>
            <w:gridSpan w:val="5"/>
            <w:tcBorders>
              <w:top w:val="single" w:sz="6" w:space="0" w:color="000000"/>
              <w:left w:val="single" w:sz="6" w:space="0" w:color="000000"/>
              <w:bottom w:val="single" w:sz="6" w:space="0" w:color="000000"/>
            </w:tcBorders>
          </w:tcPr>
          <w:p w14:paraId="0DB3DA66" w14:textId="77777777" w:rsidR="00780010" w:rsidRPr="001D7630" w:rsidRDefault="00780010" w:rsidP="00780010">
            <w:pPr>
              <w:pStyle w:val="naisf"/>
              <w:spacing w:before="0" w:after="0"/>
              <w:ind w:firstLine="0"/>
              <w:jc w:val="center"/>
              <w:rPr>
                <w:b/>
                <w:bCs/>
              </w:rPr>
            </w:pPr>
            <w:r w:rsidRPr="001D7630">
              <w:rPr>
                <w:b/>
                <w:bCs/>
              </w:rPr>
              <w:lastRenderedPageBreak/>
              <w:t>12. PANTS</w:t>
            </w:r>
          </w:p>
        </w:tc>
      </w:tr>
      <w:tr w:rsidR="00780010" w:rsidRPr="001D7630" w14:paraId="64AFEF4F"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4CE73D0D"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5E1DF57C"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tcPr>
          <w:p w14:paraId="3E5F871D" w14:textId="77777777" w:rsidR="00780010" w:rsidRPr="001D7630" w:rsidRDefault="00780010" w:rsidP="00780010">
            <w:pPr>
              <w:autoSpaceDE w:val="0"/>
              <w:autoSpaceDN w:val="0"/>
              <w:adjustRightInd w:val="0"/>
              <w:jc w:val="center"/>
              <w:rPr>
                <w:b/>
                <w:bCs/>
              </w:rPr>
            </w:pPr>
            <w:r w:rsidRPr="001D7630">
              <w:rPr>
                <w:b/>
                <w:bCs/>
              </w:rPr>
              <w:t>Vides aizsardzības un reģionālās attīstības ministrija</w:t>
            </w:r>
          </w:p>
          <w:p w14:paraId="71CF410B" w14:textId="77777777" w:rsidR="00780010" w:rsidRPr="001D7630" w:rsidRDefault="00780010" w:rsidP="00780010">
            <w:pPr>
              <w:autoSpaceDE w:val="0"/>
              <w:autoSpaceDN w:val="0"/>
              <w:adjustRightInd w:val="0"/>
              <w:jc w:val="center"/>
              <w:rPr>
                <w:b/>
                <w:bCs/>
              </w:rPr>
            </w:pPr>
            <w:r w:rsidRPr="001D7630">
              <w:rPr>
                <w:b/>
                <w:bCs/>
              </w:rPr>
              <w:t>(08.01.2021. atzinums)</w:t>
            </w:r>
          </w:p>
          <w:p w14:paraId="36FF3736" w14:textId="77777777" w:rsidR="00780010" w:rsidRPr="001D7630" w:rsidRDefault="00780010" w:rsidP="00780010">
            <w:pPr>
              <w:jc w:val="both"/>
            </w:pPr>
            <w:r w:rsidRPr="001D7630">
              <w:rPr>
                <w:color w:val="201F1E"/>
              </w:rPr>
              <w:lastRenderedPageBreak/>
              <w:t>8</w:t>
            </w:r>
            <w:r w:rsidRPr="001D7630">
              <w:t xml:space="preserve">. Precizēt, uz kāda veida transportu attiecas likumprojekts. Ja likumprojekta prasības attiecināmas arī uz kuģniecībā izmantoto degvielu, tad aicinām skaidrot, vai likumprojekta 12. pantā noteiktais, ka Ministru kabineta noteikta institūcija veic ikgadēju degvielas un biodegvielas kvalitātes uzraudzību un nodrošina transporta enerģijas tirgus uzraudzību nevar nonākt pretrunā ar Ministru kabineta 2006. gada 26. septembra noteikumos Nr. 801 “Noteikumi par sēra satura ierobežošanu atsevišķiem šķidrās degvielas veidiem” noteikto. </w:t>
            </w:r>
          </w:p>
          <w:p w14:paraId="77F5E1F7" w14:textId="77777777" w:rsidR="00780010" w:rsidRPr="001D7630" w:rsidRDefault="00780010" w:rsidP="00780010">
            <w:pPr>
              <w:ind w:firstLine="720"/>
              <w:jc w:val="both"/>
            </w:pPr>
            <w:r w:rsidRPr="001D7630">
              <w:t>Vēršam uzmanību, ka atbilstoši MK noteikumu Nr. 801 prasībām dīzeļdegvielas (gāzeļļas), flotes dīzeļdegvielas un flotes gāzeļļas tirgus uzraudzību veic Valsts ieņēmumu dienests. Savukārt likumprojekta anotācijā noteikts, ka transporta degvielas kvalitātes uzraudzību un monitoringu varētu veikt Būvniecības valsts kontroles birojs. Aicinām anotācijā iekļaut atbilstošu skaidrojumu.</w:t>
            </w:r>
          </w:p>
        </w:tc>
        <w:tc>
          <w:tcPr>
            <w:tcW w:w="2976" w:type="dxa"/>
            <w:tcBorders>
              <w:top w:val="single" w:sz="6" w:space="0" w:color="000000"/>
              <w:left w:val="single" w:sz="6" w:space="0" w:color="000000"/>
              <w:bottom w:val="single" w:sz="6" w:space="0" w:color="000000"/>
              <w:right w:val="single" w:sz="6" w:space="0" w:color="000000"/>
            </w:tcBorders>
          </w:tcPr>
          <w:p w14:paraId="2EEAA848" w14:textId="77777777" w:rsidR="00780010" w:rsidRPr="001D7630" w:rsidRDefault="00780010" w:rsidP="00780010">
            <w:pPr>
              <w:jc w:val="center"/>
              <w:rPr>
                <w:b/>
                <w:bCs/>
                <w:iCs/>
              </w:rPr>
            </w:pPr>
            <w:r w:rsidRPr="001D7630">
              <w:rPr>
                <w:b/>
                <w:bCs/>
                <w:iCs/>
              </w:rPr>
              <w:lastRenderedPageBreak/>
              <w:t>Ņemts vērā</w:t>
            </w:r>
          </w:p>
          <w:p w14:paraId="7B46AD31" w14:textId="77777777" w:rsidR="00780010" w:rsidRPr="001D7630" w:rsidRDefault="00780010" w:rsidP="00780010">
            <w:pPr>
              <w:rPr>
                <w:iCs/>
              </w:rPr>
            </w:pPr>
            <w:r w:rsidRPr="001D7630">
              <w:rPr>
                <w:iCs/>
              </w:rPr>
              <w:t xml:space="preserve">Likumprojektā ir skaidri definēts, ka tas attiecas uz “transporta enerģiju”. </w:t>
            </w:r>
          </w:p>
          <w:p w14:paraId="616F253D" w14:textId="77777777" w:rsidR="00780010" w:rsidRPr="001D7630" w:rsidRDefault="00780010" w:rsidP="00780010">
            <w:pPr>
              <w:rPr>
                <w:iCs/>
              </w:rPr>
            </w:pPr>
          </w:p>
          <w:p w14:paraId="7FF4797C" w14:textId="77777777" w:rsidR="00780010" w:rsidRPr="001D7630" w:rsidRDefault="00780010" w:rsidP="00780010">
            <w:pPr>
              <w:rPr>
                <w:iCs/>
              </w:rPr>
            </w:pPr>
            <w:r w:rsidRPr="001D7630">
              <w:rPr>
                <w:iCs/>
              </w:rPr>
              <w:t>Likumprojekta 8.pantā ir iekļauti nosacījumi, kādi transporta enerģijas veidi ir ieskaitāmi mērķu izpildē.</w:t>
            </w:r>
          </w:p>
          <w:p w14:paraId="60E59291" w14:textId="77777777" w:rsidR="00780010" w:rsidRPr="001D7630" w:rsidRDefault="00780010" w:rsidP="00780010">
            <w:pPr>
              <w:rPr>
                <w:iCs/>
              </w:rPr>
            </w:pPr>
            <w:r w:rsidRPr="001D7630">
              <w:rPr>
                <w:iCs/>
              </w:rPr>
              <w:t>Savukārt degvielas kvalitātes nosacījumu aptvērums jau šobrīd ir noteikts MK noteikumos Nr.332 (26.09.2000) un MK noteikumos Nr.772 (18.10.2005.)</w:t>
            </w:r>
          </w:p>
        </w:tc>
        <w:tc>
          <w:tcPr>
            <w:tcW w:w="4291" w:type="dxa"/>
            <w:tcBorders>
              <w:top w:val="single" w:sz="4" w:space="0" w:color="auto"/>
              <w:left w:val="single" w:sz="4" w:space="0" w:color="auto"/>
              <w:bottom w:val="single" w:sz="4" w:space="0" w:color="auto"/>
            </w:tcBorders>
          </w:tcPr>
          <w:p w14:paraId="62349CB7" w14:textId="77777777" w:rsidR="00780010" w:rsidRPr="001D7630" w:rsidRDefault="00780010" w:rsidP="00780010">
            <w:pPr>
              <w:pStyle w:val="naisf"/>
              <w:spacing w:before="0" w:after="0"/>
              <w:ind w:firstLine="0"/>
            </w:pPr>
            <w:r w:rsidRPr="001D7630">
              <w:lastRenderedPageBreak/>
              <w:t>Likumprojekta 2.pants ir precizēts</w:t>
            </w:r>
          </w:p>
          <w:p w14:paraId="176D02BB" w14:textId="77777777" w:rsidR="00780010" w:rsidRPr="001D7630" w:rsidRDefault="00780010" w:rsidP="00780010">
            <w:pPr>
              <w:pStyle w:val="naisf"/>
              <w:spacing w:before="0" w:after="0"/>
              <w:ind w:firstLine="0"/>
            </w:pPr>
          </w:p>
          <w:p w14:paraId="4C0E8923" w14:textId="77777777" w:rsidR="00780010" w:rsidRPr="001D7630" w:rsidRDefault="00780010" w:rsidP="00780010">
            <w:pPr>
              <w:pStyle w:val="naisf"/>
              <w:spacing w:before="0" w:after="0"/>
              <w:ind w:firstLine="0"/>
            </w:pPr>
            <w:r w:rsidRPr="001D7630">
              <w:t>Likumprojekta anotācija (sadaļā “Tiesiskā regulējuma būtība”) ir precizēta</w:t>
            </w:r>
          </w:p>
        </w:tc>
      </w:tr>
      <w:tr w:rsidR="00780010" w:rsidRPr="001D7630" w14:paraId="41F700C1"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EE7711F"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FEB8E80"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1A30B78F" w14:textId="77777777" w:rsidR="00780010" w:rsidRPr="001D7630" w:rsidRDefault="00780010" w:rsidP="00780010">
            <w:pPr>
              <w:autoSpaceDE w:val="0"/>
              <w:autoSpaceDN w:val="0"/>
              <w:adjustRightInd w:val="0"/>
              <w:jc w:val="center"/>
              <w:rPr>
                <w:b/>
                <w:bCs/>
              </w:rPr>
            </w:pPr>
            <w:r w:rsidRPr="001D7630">
              <w:rPr>
                <w:b/>
                <w:bCs/>
              </w:rPr>
              <w:t>Būvniecības valsts kontroles birojs</w:t>
            </w:r>
          </w:p>
          <w:p w14:paraId="742F4567" w14:textId="77777777" w:rsidR="00780010" w:rsidRPr="001D7630" w:rsidRDefault="00780010" w:rsidP="00780010">
            <w:pPr>
              <w:autoSpaceDE w:val="0"/>
              <w:autoSpaceDN w:val="0"/>
              <w:adjustRightInd w:val="0"/>
              <w:jc w:val="center"/>
              <w:rPr>
                <w:b/>
                <w:bCs/>
              </w:rPr>
            </w:pPr>
            <w:r w:rsidRPr="001D7630">
              <w:rPr>
                <w:b/>
                <w:bCs/>
              </w:rPr>
              <w:t>(16.06.2021.)</w:t>
            </w:r>
          </w:p>
          <w:p w14:paraId="5486650C" w14:textId="77777777" w:rsidR="00780010" w:rsidRPr="001D7630" w:rsidRDefault="00780010" w:rsidP="00780010">
            <w:pPr>
              <w:jc w:val="both"/>
            </w:pPr>
            <w:r w:rsidRPr="001D7630">
              <w:t xml:space="preserve">[4] No </w:t>
            </w:r>
            <w:r w:rsidRPr="001D7630">
              <w:rPr>
                <w:i/>
                <w:iCs/>
              </w:rPr>
              <w:t>Likumprojekta 12.panta pirmās daļas</w:t>
            </w:r>
            <w:r w:rsidRPr="001D7630">
              <w:t xml:space="preserve"> nav viennozīmīgi skaidrs un saprotams, vai </w:t>
            </w:r>
            <w:r w:rsidRPr="001D7630">
              <w:rPr>
                <w:u w:val="single"/>
              </w:rPr>
              <w:t xml:space="preserve">Biroja pienākums būs kontrolēt tikai dīzeļdegvielas, benzīna (93., 95.markas) un biodegvielas  kvalitātes un tirgus uzraudzību, vai veikt </w:t>
            </w:r>
            <w:r w:rsidRPr="001D7630">
              <w:rPr>
                <w:u w:val="single"/>
              </w:rPr>
              <w:lastRenderedPageBreak/>
              <w:t>visu transporta degvielas veidu tirgus uzraudzību</w:t>
            </w:r>
            <w:r w:rsidRPr="001D7630">
              <w:t xml:space="preserve">.  </w:t>
            </w:r>
          </w:p>
          <w:p w14:paraId="42DF551A" w14:textId="77777777" w:rsidR="00780010" w:rsidRPr="001D7630" w:rsidRDefault="00780010" w:rsidP="00780010">
            <w:pPr>
              <w:ind w:firstLine="709"/>
              <w:jc w:val="both"/>
            </w:pPr>
            <w:r w:rsidRPr="001D7630">
              <w:t xml:space="preserve">Ja tiek paplašināts degvielas tirgus uzraudzības tvērums, </w:t>
            </w:r>
            <w:r w:rsidRPr="001D7630">
              <w:rPr>
                <w:u w:val="single"/>
              </w:rPr>
              <w:t>Birojam būs nepieciešami papildu finanšu līdzekļi minētās funkcijas īstenošanai</w:t>
            </w:r>
            <w:r w:rsidRPr="001D7630">
              <w:t>. Attiecīgi nepieciešams papildināt Anotācijas attiecīgo sadaļu.</w:t>
            </w:r>
          </w:p>
          <w:p w14:paraId="2AC69A72" w14:textId="23087601" w:rsidR="00780010" w:rsidRPr="001D7630" w:rsidRDefault="00780010" w:rsidP="00780010">
            <w:pPr>
              <w:ind w:firstLine="709"/>
              <w:jc w:val="both"/>
            </w:pPr>
            <w:r w:rsidRPr="001D7630">
              <w:t>Ja Biroja funkcijas netiek paplašinātas, ir aktuāls jautājums, kura institūcija veiks alternatīvo degvielu atbilstības uzraudzību.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0E2366EB" w14:textId="2139F3CE" w:rsidR="00780010" w:rsidRPr="001D7630" w:rsidRDefault="00780010" w:rsidP="00780010">
            <w:pPr>
              <w:jc w:val="center"/>
              <w:rPr>
                <w:b/>
                <w:bCs/>
                <w:iCs/>
              </w:rPr>
            </w:pPr>
            <w:r w:rsidRPr="001D7630">
              <w:rPr>
                <w:b/>
                <w:bCs/>
                <w:iCs/>
              </w:rPr>
              <w:lastRenderedPageBreak/>
              <w:t>Ņemts vērā</w:t>
            </w:r>
          </w:p>
          <w:p w14:paraId="604F2D2D" w14:textId="77777777" w:rsidR="00780010" w:rsidRPr="001D7630" w:rsidRDefault="00780010" w:rsidP="00780010">
            <w:pPr>
              <w:rPr>
                <w:iCs/>
              </w:rPr>
            </w:pPr>
            <w:r w:rsidRPr="001D7630">
              <w:rPr>
                <w:iCs/>
              </w:rPr>
              <w:t xml:space="preserve">Informējam, ka likumprojekta 12.panta 1.daļa viennozīmīgi pasaka, ka BVKB “veic ikgadēju </w:t>
            </w:r>
            <w:r w:rsidRPr="001D7630">
              <w:rPr>
                <w:iCs/>
                <w:u w:val="single"/>
              </w:rPr>
              <w:t>transporta enerģijas</w:t>
            </w:r>
            <w:r w:rsidRPr="001D7630">
              <w:rPr>
                <w:iCs/>
              </w:rPr>
              <w:t xml:space="preserve"> kvalitātes uzraudzību un nodrošina </w:t>
            </w:r>
            <w:r w:rsidRPr="001D7630">
              <w:rPr>
                <w:iCs/>
                <w:u w:val="single"/>
              </w:rPr>
              <w:t xml:space="preserve">transporta </w:t>
            </w:r>
            <w:r w:rsidRPr="001D7630">
              <w:rPr>
                <w:iCs/>
                <w:u w:val="single"/>
              </w:rPr>
              <w:lastRenderedPageBreak/>
              <w:t>enerģijas tirgus</w:t>
            </w:r>
            <w:r w:rsidRPr="001D7630">
              <w:rPr>
                <w:iCs/>
              </w:rPr>
              <w:t xml:space="preserve"> uzraudzību”. Detalizēti nosacījumi tiks iekļauti MKN par transporta enerģijas kvalitāti.</w:t>
            </w:r>
          </w:p>
          <w:p w14:paraId="0333416D" w14:textId="77777777" w:rsidR="00780010" w:rsidRPr="001D7630" w:rsidRDefault="00780010" w:rsidP="00780010">
            <w:pPr>
              <w:rPr>
                <w:iCs/>
              </w:rPr>
            </w:pPr>
          </w:p>
          <w:p w14:paraId="3813E2B0" w14:textId="1A8856CF" w:rsidR="00780010" w:rsidRPr="001D7630" w:rsidRDefault="00780010" w:rsidP="00780010">
            <w:pPr>
              <w:rPr>
                <w:bCs/>
              </w:rPr>
            </w:pPr>
            <w:r w:rsidRPr="001D7630">
              <w:rPr>
                <w:iCs/>
              </w:rPr>
              <w:t xml:space="preserve">Attiecībā uz papildu finansējumu jautājums </w:t>
            </w:r>
            <w:r w:rsidRPr="001D7630">
              <w:rPr>
                <w:bCs/>
              </w:rPr>
              <w:t>būtu risināms arī MK noteikumu par transporta enerģijas kvalitātes ietvaros.</w:t>
            </w:r>
          </w:p>
          <w:p w14:paraId="201FC801" w14:textId="6DEC3A60" w:rsidR="00780010" w:rsidRPr="001D7630" w:rsidRDefault="00780010" w:rsidP="00780010">
            <w:pPr>
              <w:rPr>
                <w:iCs/>
              </w:rPr>
            </w:pPr>
            <w:r w:rsidRPr="001D7630">
              <w:rPr>
                <w:bCs/>
              </w:rPr>
              <w:t>Vienlaikus norādām, ka likumprojekta 15.pantā minētais finansējums arī būs izmantojams arī likumprojektā noteikto kontroles, uzraudzības un ziņošanas funkciju un pienākumu finansēšanai. Tā kā ir paredzēts, ka šis finansējums ir uzkrājošs finansējums, kur katru gadu kopējais finansējuma apjoms varētu palielināties par vairākiem miljoniem eiro, tad nepieciešamo papildus finansējums BVKB, ja tāds būs nepieciešams transporta enerģijas kvalitātes uzraudzības pasākumiem, varētu piešķirt arī no šī finansējuma.</w:t>
            </w:r>
          </w:p>
        </w:tc>
        <w:tc>
          <w:tcPr>
            <w:tcW w:w="4291" w:type="dxa"/>
            <w:tcBorders>
              <w:top w:val="single" w:sz="4" w:space="0" w:color="auto"/>
              <w:left w:val="single" w:sz="4" w:space="0" w:color="auto"/>
              <w:bottom w:val="single" w:sz="4" w:space="0" w:color="auto"/>
            </w:tcBorders>
            <w:shd w:val="clear" w:color="auto" w:fill="auto"/>
          </w:tcPr>
          <w:p w14:paraId="7E4897DD" w14:textId="3EC65648" w:rsidR="00780010" w:rsidRPr="001D7630" w:rsidRDefault="00780010" w:rsidP="00780010">
            <w:pPr>
              <w:pStyle w:val="naisf"/>
              <w:spacing w:before="0" w:after="0"/>
              <w:ind w:firstLine="0"/>
            </w:pPr>
            <w:r w:rsidRPr="001D7630">
              <w:lastRenderedPageBreak/>
              <w:t>Likumprojekta anotācijas III sadaļas 6.punkts ir papildināts</w:t>
            </w:r>
          </w:p>
        </w:tc>
      </w:tr>
      <w:tr w:rsidR="00780010" w:rsidRPr="001D7630" w14:paraId="370B4F39"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3CCC6DEF"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09A235CE"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47EB17B2" w14:textId="77777777" w:rsidR="00780010" w:rsidRPr="001D7630" w:rsidRDefault="00780010" w:rsidP="00780010">
            <w:pPr>
              <w:autoSpaceDE w:val="0"/>
              <w:autoSpaceDN w:val="0"/>
              <w:adjustRightInd w:val="0"/>
              <w:jc w:val="center"/>
              <w:rPr>
                <w:b/>
                <w:bCs/>
              </w:rPr>
            </w:pPr>
            <w:r w:rsidRPr="001D7630">
              <w:rPr>
                <w:b/>
                <w:bCs/>
              </w:rPr>
              <w:t>Finanšu ministrija</w:t>
            </w:r>
          </w:p>
          <w:p w14:paraId="20F8E746" w14:textId="77777777" w:rsidR="00780010" w:rsidRPr="001D7630" w:rsidRDefault="00780010" w:rsidP="00780010">
            <w:pPr>
              <w:autoSpaceDE w:val="0"/>
              <w:autoSpaceDN w:val="0"/>
              <w:adjustRightInd w:val="0"/>
              <w:jc w:val="center"/>
              <w:rPr>
                <w:b/>
                <w:bCs/>
              </w:rPr>
            </w:pPr>
            <w:r w:rsidRPr="001D7630">
              <w:rPr>
                <w:b/>
                <w:bCs/>
              </w:rPr>
              <w:t>(16.06.2021. atzinums)</w:t>
            </w:r>
          </w:p>
          <w:p w14:paraId="2EF6DA5B" w14:textId="4B3DF94B" w:rsidR="00780010" w:rsidRPr="001D7630" w:rsidRDefault="00780010" w:rsidP="00780010">
            <w:pPr>
              <w:jc w:val="both"/>
            </w:pPr>
            <w:r w:rsidRPr="001D7630">
              <w:lastRenderedPageBreak/>
              <w:t>4. Valsts ieņēmumu dienests neveic degvielas kvalitātes uzraudzību, tādēļ nav skaidrs likumprojekta 12.pantā minētais, ka attiecīgajos gadījumos, izvērtējot degvielas kvalitātes tirgus monitoringa ietvaros pieejamo informāciju, Ministru kabineta noteikta institūcija informē Valsts ieņēmumu dienestu par degvielas vai biodegvielas neatbilstību normatīvajos aktos noteiktajām prasībām. Lūdzam izvērtēt, un nepieciešamības gadījumā papildināt anotāciju par šīs informācijas sniegšanas Valsts ieņēmumu dienestam mērķi.</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4F23A994" w14:textId="0928EB5B"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262D6869" w14:textId="616DC57B" w:rsidR="00780010" w:rsidRPr="001D7630" w:rsidRDefault="00780010" w:rsidP="00780010">
            <w:pPr>
              <w:pStyle w:val="naisf"/>
              <w:spacing w:before="0" w:after="0"/>
              <w:ind w:firstLine="0"/>
            </w:pPr>
            <w:r w:rsidRPr="001D7630">
              <w:t>Likumprojekta 12.panta 1.daļa ir precizēta</w:t>
            </w:r>
          </w:p>
        </w:tc>
      </w:tr>
      <w:tr w:rsidR="00780010" w:rsidRPr="001D7630" w14:paraId="649D5F74" w14:textId="77777777" w:rsidTr="005D0902">
        <w:trPr>
          <w:jc w:val="center"/>
        </w:trPr>
        <w:tc>
          <w:tcPr>
            <w:tcW w:w="14992" w:type="dxa"/>
            <w:gridSpan w:val="5"/>
            <w:tcBorders>
              <w:top w:val="single" w:sz="6" w:space="0" w:color="000000"/>
              <w:left w:val="single" w:sz="6" w:space="0" w:color="000000"/>
              <w:bottom w:val="single" w:sz="6" w:space="0" w:color="000000"/>
            </w:tcBorders>
          </w:tcPr>
          <w:p w14:paraId="4C7CA39B" w14:textId="77777777" w:rsidR="00780010" w:rsidRPr="001D7630" w:rsidRDefault="00780010" w:rsidP="00780010">
            <w:pPr>
              <w:pStyle w:val="ListParagraph"/>
              <w:tabs>
                <w:tab w:val="left" w:pos="3195"/>
              </w:tabs>
              <w:spacing w:after="0" w:line="240" w:lineRule="auto"/>
              <w:ind w:left="0"/>
              <w:contextualSpacing w:val="0"/>
              <w:jc w:val="center"/>
              <w:rPr>
                <w:rFonts w:ascii="Times New Roman" w:hAnsi="Times New Roman"/>
                <w:b/>
                <w:bCs/>
                <w:sz w:val="24"/>
                <w:szCs w:val="24"/>
              </w:rPr>
            </w:pPr>
            <w:r w:rsidRPr="001D7630">
              <w:rPr>
                <w:rFonts w:ascii="Times New Roman" w:hAnsi="Times New Roman"/>
                <w:b/>
                <w:bCs/>
                <w:sz w:val="24"/>
                <w:szCs w:val="24"/>
              </w:rPr>
              <w:t>13.PANTS</w:t>
            </w:r>
          </w:p>
        </w:tc>
      </w:tr>
      <w:tr w:rsidR="00780010" w:rsidRPr="001D7630" w14:paraId="37A256D9" w14:textId="77777777" w:rsidTr="005D0902">
        <w:trPr>
          <w:jc w:val="center"/>
        </w:trPr>
        <w:tc>
          <w:tcPr>
            <w:tcW w:w="637" w:type="dxa"/>
            <w:vMerge w:val="restart"/>
            <w:tcBorders>
              <w:top w:val="single" w:sz="6" w:space="0" w:color="000000"/>
              <w:left w:val="single" w:sz="6" w:space="0" w:color="000000"/>
              <w:right w:val="single" w:sz="6" w:space="0" w:color="000000"/>
            </w:tcBorders>
          </w:tcPr>
          <w:p w14:paraId="0463BF6F" w14:textId="77777777" w:rsidR="00780010" w:rsidRPr="001D7630" w:rsidRDefault="00780010" w:rsidP="00780010">
            <w:pPr>
              <w:pStyle w:val="naisc"/>
              <w:numPr>
                <w:ilvl w:val="0"/>
                <w:numId w:val="16"/>
              </w:numPr>
              <w:spacing w:before="0" w:after="0"/>
              <w:ind w:left="0" w:firstLine="0"/>
              <w:rPr>
                <w:b/>
              </w:rPr>
            </w:pPr>
          </w:p>
        </w:tc>
        <w:tc>
          <w:tcPr>
            <w:tcW w:w="3041" w:type="dxa"/>
            <w:vMerge w:val="restart"/>
            <w:tcBorders>
              <w:top w:val="single" w:sz="6" w:space="0" w:color="000000"/>
              <w:left w:val="single" w:sz="6" w:space="0" w:color="000000"/>
              <w:right w:val="single" w:sz="6" w:space="0" w:color="000000"/>
            </w:tcBorders>
          </w:tcPr>
          <w:p w14:paraId="01B3B415" w14:textId="77777777" w:rsidR="00780010" w:rsidRPr="001D7630" w:rsidRDefault="00780010" w:rsidP="00780010">
            <w:pPr>
              <w:tabs>
                <w:tab w:val="left" w:pos="709"/>
                <w:tab w:val="left" w:pos="993"/>
                <w:tab w:val="left" w:pos="1560"/>
              </w:tabs>
              <w:rPr>
                <w:bCs/>
                <w:iCs/>
              </w:rPr>
            </w:pPr>
            <w:r w:rsidRPr="001D7630">
              <w:rPr>
                <w:bCs/>
                <w:iCs/>
              </w:rPr>
              <w:t>Likumprojekta 13.pants</w:t>
            </w:r>
          </w:p>
        </w:tc>
        <w:tc>
          <w:tcPr>
            <w:tcW w:w="4047" w:type="dxa"/>
            <w:tcBorders>
              <w:top w:val="single" w:sz="6" w:space="0" w:color="000000"/>
              <w:left w:val="single" w:sz="6" w:space="0" w:color="000000"/>
              <w:bottom w:val="single" w:sz="6" w:space="0" w:color="000000"/>
              <w:right w:val="single" w:sz="6" w:space="0" w:color="000000"/>
            </w:tcBorders>
          </w:tcPr>
          <w:p w14:paraId="66104A4A" w14:textId="77777777" w:rsidR="00780010" w:rsidRPr="001D7630" w:rsidRDefault="00780010" w:rsidP="00780010">
            <w:pPr>
              <w:tabs>
                <w:tab w:val="left" w:pos="709"/>
                <w:tab w:val="left" w:pos="993"/>
                <w:tab w:val="left" w:pos="1560"/>
              </w:tabs>
              <w:jc w:val="center"/>
              <w:rPr>
                <w:b/>
                <w:iCs/>
              </w:rPr>
            </w:pPr>
            <w:r w:rsidRPr="001D7630">
              <w:rPr>
                <w:b/>
                <w:iCs/>
              </w:rPr>
              <w:t>Tieslietu ministrija</w:t>
            </w:r>
          </w:p>
          <w:p w14:paraId="19FEEFB9" w14:textId="77777777" w:rsidR="00780010" w:rsidRPr="001D7630" w:rsidRDefault="00780010" w:rsidP="00780010">
            <w:pPr>
              <w:tabs>
                <w:tab w:val="left" w:pos="709"/>
                <w:tab w:val="left" w:pos="993"/>
                <w:tab w:val="left" w:pos="1560"/>
              </w:tabs>
              <w:jc w:val="center"/>
              <w:rPr>
                <w:b/>
                <w:iCs/>
              </w:rPr>
            </w:pPr>
            <w:r w:rsidRPr="001D7630">
              <w:rPr>
                <w:b/>
                <w:iCs/>
              </w:rPr>
              <w:t>(08.01.2021. atzinums)</w:t>
            </w:r>
          </w:p>
          <w:p w14:paraId="643F59D5" w14:textId="77777777" w:rsidR="00780010" w:rsidRPr="001D7630" w:rsidRDefault="00780010" w:rsidP="00780010">
            <w:pPr>
              <w:tabs>
                <w:tab w:val="left" w:pos="709"/>
                <w:tab w:val="left" w:pos="993"/>
                <w:tab w:val="left" w:pos="1560"/>
              </w:tabs>
              <w:jc w:val="both"/>
              <w:rPr>
                <w:bCs/>
                <w:iCs/>
              </w:rPr>
            </w:pPr>
            <w:r w:rsidRPr="001D7630">
              <w:rPr>
                <w:bCs/>
                <w:iCs/>
              </w:rPr>
              <w:t>5.</w:t>
            </w:r>
            <w:r w:rsidRPr="001D7630">
              <w:rPr>
                <w:bCs/>
                <w:iCs/>
              </w:rPr>
              <w:tab/>
              <w:t xml:space="preserve">Projekta 13. pants noteic, ka par šā likuma 8. panta sestajā daļā vai 8. panta septītajā daļā noteiktā pienākuma neizpildi Ministru kabineta noteikta institūcija pieņem lēmumu, kurā nosaka degvielas piegādātājam veikt maksājumu valsts budžetā. </w:t>
            </w:r>
          </w:p>
          <w:p w14:paraId="6D66211C" w14:textId="77777777" w:rsidR="00780010" w:rsidRPr="001D7630" w:rsidRDefault="00780010" w:rsidP="00780010">
            <w:pPr>
              <w:tabs>
                <w:tab w:val="left" w:pos="709"/>
                <w:tab w:val="left" w:pos="993"/>
                <w:tab w:val="left" w:pos="1560"/>
              </w:tabs>
              <w:jc w:val="both"/>
              <w:rPr>
                <w:bCs/>
                <w:iCs/>
              </w:rPr>
            </w:pPr>
            <w:r w:rsidRPr="001D7630">
              <w:rPr>
                <w:bCs/>
                <w:iCs/>
              </w:rPr>
              <w:t>5.1.</w:t>
            </w:r>
            <w:r w:rsidRPr="001D7630">
              <w:rPr>
                <w:bCs/>
                <w:iCs/>
              </w:rPr>
              <w:tab/>
              <w:t xml:space="preserve">Norādām, ka minētie maksājumi varētu tikt uzskatīti par </w:t>
            </w:r>
            <w:bookmarkStart w:id="15" w:name="_Hlk61949530"/>
            <w:r w:rsidRPr="001D7630">
              <w:rPr>
                <w:bCs/>
                <w:iCs/>
              </w:rPr>
              <w:t>administratīvajai atbildībai līdzīgiem piespiedu ietekmēšanas līdzekļiem jeb administratīvajām sankcijām</w:t>
            </w:r>
            <w:bookmarkEnd w:id="15"/>
            <w:r w:rsidRPr="001D7630">
              <w:rPr>
                <w:bCs/>
                <w:iCs/>
              </w:rPr>
              <w:t xml:space="preserve">.  Norādām, ka tiek izšķirtas represīva (sodoša) rakstura administratīvās sankcijas, atjaunojošās (kompensējošās) un preventīvās administratīvās sankcijas. </w:t>
            </w:r>
            <w:r w:rsidRPr="001D7630">
              <w:rPr>
                <w:bCs/>
                <w:iCs/>
              </w:rPr>
              <w:lastRenderedPageBreak/>
              <w:t>Lai identificētu represīva (sodoša, krimināltiesiska) rakstura administratīvās sankcijas, izmantojami Eiropas Cilvēktiesību tiesas attīstītie t.s. Engel kritēriji: 1) nodarījuma kvalifikācija valsts tiesību aktos; 2) nodarījuma raksturs – regulējuma adresāti, mērķis, tiesiski aizsargātās intereses; 3) personai draudošās sankcijas bardzība. Tāpat sodoša rakstura administratīvā sankcija ir reakcija uz personas izdarītu tiesību normas vai individuālā tiesību akta pārkāpumu. Administratīvajai atbildībai līdzīgi piespiedu ietekmēšanas līdzekļi no citām represīva rakstura administratīvajām sankcijām atšķiras ar to, ka tie formāli nav iekļauti Administratīvās atbildības likuma izveidotajā administratīvās atbildības sistēmā. Tādējādi attiecīgi sagatavojot normatīvā akta projektu, anotācijā argumentēti norādāms projektā paredzētās administratīvās sankcijas veids, izvērtējot tās atbilstību visām represīva rakstura administratīvajai sankcijai piemītošajām pazīmēm.</w:t>
            </w:r>
          </w:p>
          <w:p w14:paraId="02111C1F" w14:textId="77777777" w:rsidR="00780010" w:rsidRPr="001D7630" w:rsidRDefault="00780010" w:rsidP="00780010">
            <w:pPr>
              <w:tabs>
                <w:tab w:val="left" w:pos="709"/>
                <w:tab w:val="left" w:pos="993"/>
                <w:tab w:val="left" w:pos="1560"/>
              </w:tabs>
              <w:jc w:val="both"/>
              <w:rPr>
                <w:bCs/>
                <w:iCs/>
              </w:rPr>
            </w:pPr>
            <w:r w:rsidRPr="001D7630">
              <w:rPr>
                <w:bCs/>
                <w:iCs/>
              </w:rPr>
              <w:t>5.2.</w:t>
            </w:r>
            <w:r w:rsidRPr="001D7630">
              <w:rPr>
                <w:bCs/>
                <w:iCs/>
              </w:rPr>
              <w:tab/>
              <w:t xml:space="preserve">Papildus sagatavojot tiesību normu, kas noteiks pārkāpumu, kura/ gadījumā piemērojams  administratīvajai atbildībai līdzīgs piespiedu ietekmēšanas līdzeklis, vispirms jāizvērtē tā pieļaujamība un nepieciešamība – atbilstība (nesodoša rakstura) </w:t>
            </w:r>
            <w:r w:rsidRPr="001D7630">
              <w:rPr>
                <w:bCs/>
                <w:iCs/>
              </w:rPr>
              <w:lastRenderedPageBreak/>
              <w:t>administratīvā akta prioritātes principam, aizliegums paredzēt sodus par administratīvā akta nepildīšanu vai procesuālo pienākumu nepildīšanu. Tāpat tiesību normā jābūt pietiekami skaidri un paredzami noteiktam, kāda veida darbība vai bezdarbība ir atzīstama par sodāmu un kāda sankcija par to piemērojama, kā arī precīzām vadlīnijām sankcijas veida un apmēra izvēlei.</w:t>
            </w:r>
          </w:p>
          <w:p w14:paraId="657088EE" w14:textId="77777777" w:rsidR="00780010" w:rsidRPr="001D7630" w:rsidRDefault="00780010" w:rsidP="00780010">
            <w:pPr>
              <w:tabs>
                <w:tab w:val="left" w:pos="709"/>
                <w:tab w:val="left" w:pos="993"/>
                <w:tab w:val="left" w:pos="1560"/>
              </w:tabs>
              <w:jc w:val="both"/>
              <w:rPr>
                <w:bCs/>
                <w:iCs/>
              </w:rPr>
            </w:pPr>
            <w:r w:rsidRPr="001D7630">
              <w:rPr>
                <w:bCs/>
                <w:iCs/>
              </w:rPr>
              <w:t>5.3.</w:t>
            </w:r>
            <w:r w:rsidRPr="001D7630">
              <w:rPr>
                <w:bCs/>
                <w:iCs/>
              </w:rPr>
              <w:tab/>
              <w:t xml:space="preserve">Anotācijā, skaidrojot šāda regulējuma vajadzību, ir norādīts, ka </w:t>
            </w:r>
            <w:r w:rsidRPr="001D7630">
              <w:rPr>
                <w:bCs/>
                <w:i/>
              </w:rPr>
              <w:t>Administratīvās atbildības likuma 16. pantā ir noteikts, ka maksimālais naudas soda apmērs juridiskām personām ir 4000 naudas soda vienības, t.i., 20 tūkst. euro. Ņemot vērā Direktīvā 2018/2001 juridiski saistošā (obligātā) AER transporta mērķa raksturu, kā arī Direktīvas 98/70/EK prasības attiecībā uz samērojamu soda sankciju noteikšanu, un ņemot vērā [likumā] noteiktos maksimālos naudas soda apmērus, likumprojekts paredz degvielas piegādātājiem par pienākuma nesasniegšanu noteikt [pienākumu veikt] maksājumu un par to nepiemērot administratīvo atbildību</w:t>
            </w:r>
            <w:r w:rsidRPr="001D7630">
              <w:rPr>
                <w:bCs/>
                <w:iCs/>
              </w:rPr>
              <w:t>.</w:t>
            </w:r>
          </w:p>
          <w:p w14:paraId="29421118" w14:textId="77777777" w:rsidR="00780010" w:rsidRPr="001D7630" w:rsidRDefault="00780010" w:rsidP="00780010">
            <w:pPr>
              <w:tabs>
                <w:tab w:val="left" w:pos="709"/>
                <w:tab w:val="left" w:pos="993"/>
                <w:tab w:val="left" w:pos="1560"/>
              </w:tabs>
              <w:jc w:val="both"/>
              <w:rPr>
                <w:bCs/>
                <w:iCs/>
              </w:rPr>
            </w:pPr>
            <w:r w:rsidRPr="001D7630">
              <w:rPr>
                <w:bCs/>
                <w:iCs/>
              </w:rPr>
              <w:t xml:space="preserve">Norādām, ka ar šādu argumentāciju nav pamata paredzēt projektā noteiktos administratīvajai atbildībai līdzīgos piespiedu ietekmēšanas līdzekļus. Aicinām minēto regulējumu izvērtēt </w:t>
            </w:r>
            <w:r w:rsidRPr="001D7630">
              <w:rPr>
                <w:bCs/>
                <w:iCs/>
              </w:rPr>
              <w:lastRenderedPageBreak/>
              <w:t>kontekstā ar Administratīvās atbildības likuma 16. panta piekto un sesto daļu (izņēmumi no maksimālā naudas soda).</w:t>
            </w:r>
          </w:p>
          <w:p w14:paraId="66968F25" w14:textId="77777777" w:rsidR="00780010" w:rsidRPr="001D7630" w:rsidRDefault="00780010" w:rsidP="00780010">
            <w:pPr>
              <w:tabs>
                <w:tab w:val="left" w:pos="1350"/>
              </w:tabs>
              <w:rPr>
                <w:b/>
                <w:bCs/>
                <w:iCs/>
              </w:rPr>
            </w:pPr>
            <w:r w:rsidRPr="001D7630">
              <w:rPr>
                <w:bCs/>
                <w:iCs/>
              </w:rPr>
              <w:t>Vienlaikus norādām, ka nacionālajos tiesību aktos nav pamatoti paredzēt lielākus naudas sodus, nekā pamatā tiek paredzēts par šādiem pārkāpumiem, ievērojot vien to, ka direktīva paredz noteikt "samērīgas, atturošas un efektīvas sankcijas". Minēto sankciju ieviešana nacionālajās tiesībās ir jāvērtē esošās sistēmas ietvaros, turklāt ne tikai sodošās sistēmas ietvaros (administratīvā pārkāpuma process, kriminālprocess), bet arī, piemēram, administratīvā procesa ietvaros. Norādām, ka arī administratīvā akta un tā nosacījumu (uzdevumu) piespiedu izpilde, administratīvā akta (atļaujas, licences, u.tml.) apturēšana, grozīšana vai atcelšana (ieskaitot t.s. pārreģistrācijas atteikumu) arī var tikt uzskatītas par samērīgām, atturošām un efektīvām sankcijām.</w:t>
            </w:r>
          </w:p>
        </w:tc>
        <w:tc>
          <w:tcPr>
            <w:tcW w:w="2976" w:type="dxa"/>
            <w:vMerge w:val="restart"/>
            <w:tcBorders>
              <w:top w:val="single" w:sz="6" w:space="0" w:color="000000"/>
              <w:left w:val="single" w:sz="6" w:space="0" w:color="000000"/>
              <w:right w:val="single" w:sz="6" w:space="0" w:color="000000"/>
            </w:tcBorders>
          </w:tcPr>
          <w:p w14:paraId="38FE7EF2" w14:textId="77777777" w:rsidR="00780010" w:rsidRPr="001D7630" w:rsidRDefault="00780010" w:rsidP="00780010">
            <w:pPr>
              <w:jc w:val="center"/>
              <w:rPr>
                <w:b/>
                <w:bCs/>
                <w:iCs/>
              </w:rPr>
            </w:pPr>
            <w:r w:rsidRPr="001D7630">
              <w:rPr>
                <w:b/>
                <w:bCs/>
                <w:iCs/>
              </w:rPr>
              <w:lastRenderedPageBreak/>
              <w:t>Panākta vienošanās saskaņošanas laikā</w:t>
            </w:r>
          </w:p>
          <w:p w14:paraId="1658D119" w14:textId="77777777" w:rsidR="00780010" w:rsidRPr="001D7630" w:rsidRDefault="00780010" w:rsidP="00780010">
            <w:pPr>
              <w:jc w:val="center"/>
              <w:rPr>
                <w:b/>
                <w:bCs/>
              </w:rPr>
            </w:pPr>
          </w:p>
        </w:tc>
        <w:tc>
          <w:tcPr>
            <w:tcW w:w="4291" w:type="dxa"/>
            <w:vMerge w:val="restart"/>
            <w:tcBorders>
              <w:top w:val="single" w:sz="4" w:space="0" w:color="auto"/>
              <w:left w:val="single" w:sz="4" w:space="0" w:color="auto"/>
            </w:tcBorders>
          </w:tcPr>
          <w:p w14:paraId="685A74FC" w14:textId="77777777" w:rsidR="00780010" w:rsidRPr="001D7630" w:rsidRDefault="00780010" w:rsidP="00780010">
            <w:pPr>
              <w:rPr>
                <w:bCs/>
                <w:iCs/>
              </w:rPr>
            </w:pPr>
            <w:r w:rsidRPr="001D7630">
              <w:rPr>
                <w:bCs/>
                <w:iCs/>
              </w:rPr>
              <w:t>Likumprojekta 13.pants ir pilnībā pārstrādāts.</w:t>
            </w:r>
          </w:p>
          <w:p w14:paraId="7146DDA2" w14:textId="77777777" w:rsidR="00780010" w:rsidRPr="001D7630" w:rsidRDefault="00780010" w:rsidP="00780010">
            <w:pPr>
              <w:rPr>
                <w:bCs/>
                <w:iCs/>
              </w:rPr>
            </w:pPr>
            <w:r w:rsidRPr="001D7630">
              <w:rPr>
                <w:bCs/>
                <w:iCs/>
              </w:rPr>
              <w:t>Ir izstrādāts jauns likumprojekta 14.pants</w:t>
            </w:r>
          </w:p>
          <w:p w14:paraId="46B173E1" w14:textId="77777777" w:rsidR="00780010" w:rsidRPr="001D7630" w:rsidRDefault="00780010" w:rsidP="00780010">
            <w:pPr>
              <w:rPr>
                <w:bCs/>
                <w:iCs/>
              </w:rPr>
            </w:pPr>
          </w:p>
          <w:p w14:paraId="20B76B76" w14:textId="77777777" w:rsidR="00780010" w:rsidRPr="001D7630" w:rsidRDefault="00780010" w:rsidP="00780010">
            <w:pPr>
              <w:rPr>
                <w:iCs/>
              </w:rPr>
            </w:pPr>
            <w:r w:rsidRPr="001D7630">
              <w:rPr>
                <w:iCs/>
              </w:rPr>
              <w:t>Anotācijas I sadaļas 2.punkta sadaļa “</w:t>
            </w:r>
            <w:r w:rsidRPr="001D7630">
              <w:rPr>
                <w:iCs/>
                <w:u w:val="single"/>
              </w:rPr>
              <w:t>Likumprojekta 13.pants</w:t>
            </w:r>
            <w:r w:rsidRPr="001D7630">
              <w:rPr>
                <w:iCs/>
              </w:rPr>
              <w:t>” ir grozīta</w:t>
            </w:r>
          </w:p>
        </w:tc>
      </w:tr>
      <w:tr w:rsidR="00780010" w:rsidRPr="001D7630" w14:paraId="7CB9DF69" w14:textId="77777777" w:rsidTr="005D0902">
        <w:trPr>
          <w:jc w:val="center"/>
        </w:trPr>
        <w:tc>
          <w:tcPr>
            <w:tcW w:w="637" w:type="dxa"/>
            <w:vMerge/>
            <w:tcBorders>
              <w:left w:val="single" w:sz="6" w:space="0" w:color="000000"/>
              <w:bottom w:val="single" w:sz="6" w:space="0" w:color="000000"/>
              <w:right w:val="single" w:sz="6" w:space="0" w:color="000000"/>
            </w:tcBorders>
          </w:tcPr>
          <w:p w14:paraId="69EA9986" w14:textId="77777777" w:rsidR="00780010" w:rsidRPr="001D7630" w:rsidRDefault="00780010" w:rsidP="00780010">
            <w:pPr>
              <w:pStyle w:val="naisc"/>
              <w:numPr>
                <w:ilvl w:val="0"/>
                <w:numId w:val="16"/>
              </w:numPr>
              <w:spacing w:before="0" w:after="0"/>
              <w:ind w:left="0" w:firstLine="0"/>
              <w:rPr>
                <w:b/>
              </w:rPr>
            </w:pPr>
          </w:p>
        </w:tc>
        <w:tc>
          <w:tcPr>
            <w:tcW w:w="3041" w:type="dxa"/>
            <w:vMerge/>
            <w:tcBorders>
              <w:left w:val="single" w:sz="6" w:space="0" w:color="000000"/>
              <w:bottom w:val="single" w:sz="6" w:space="0" w:color="000000"/>
              <w:right w:val="single" w:sz="6" w:space="0" w:color="000000"/>
            </w:tcBorders>
          </w:tcPr>
          <w:p w14:paraId="68108996" w14:textId="77777777" w:rsidR="00780010" w:rsidRPr="001D7630" w:rsidRDefault="00780010" w:rsidP="00780010">
            <w:pPr>
              <w:tabs>
                <w:tab w:val="left" w:pos="709"/>
                <w:tab w:val="left" w:pos="993"/>
                <w:tab w:val="left" w:pos="1560"/>
              </w:tabs>
              <w:jc w:val="center"/>
              <w:rPr>
                <w:b/>
                <w:iCs/>
              </w:rPr>
            </w:pPr>
          </w:p>
        </w:tc>
        <w:tc>
          <w:tcPr>
            <w:tcW w:w="4047" w:type="dxa"/>
            <w:tcBorders>
              <w:top w:val="single" w:sz="6" w:space="0" w:color="000000"/>
              <w:left w:val="single" w:sz="6" w:space="0" w:color="000000"/>
              <w:bottom w:val="single" w:sz="6" w:space="0" w:color="000000"/>
              <w:right w:val="single" w:sz="6" w:space="0" w:color="000000"/>
            </w:tcBorders>
          </w:tcPr>
          <w:p w14:paraId="5D7B2C83" w14:textId="77777777" w:rsidR="00780010" w:rsidRPr="001D7630" w:rsidRDefault="00780010" w:rsidP="00780010">
            <w:pPr>
              <w:tabs>
                <w:tab w:val="left" w:pos="709"/>
                <w:tab w:val="left" w:pos="993"/>
                <w:tab w:val="left" w:pos="1560"/>
              </w:tabs>
              <w:jc w:val="center"/>
              <w:rPr>
                <w:b/>
                <w:iCs/>
              </w:rPr>
            </w:pPr>
            <w:r w:rsidRPr="001D7630">
              <w:rPr>
                <w:b/>
                <w:iCs/>
              </w:rPr>
              <w:t>Tieslietu ministrija</w:t>
            </w:r>
          </w:p>
          <w:p w14:paraId="59678271" w14:textId="77777777" w:rsidR="00780010" w:rsidRPr="001D7630" w:rsidRDefault="00780010" w:rsidP="00780010">
            <w:pPr>
              <w:jc w:val="center"/>
              <w:rPr>
                <w:b/>
                <w:bCs/>
              </w:rPr>
            </w:pPr>
            <w:r w:rsidRPr="001D7630">
              <w:rPr>
                <w:b/>
                <w:bCs/>
              </w:rPr>
              <w:t>(26.03.2021. atzinums)</w:t>
            </w:r>
          </w:p>
          <w:p w14:paraId="7304159E" w14:textId="77777777" w:rsidR="00780010" w:rsidRPr="001D7630" w:rsidRDefault="00780010" w:rsidP="00780010">
            <w:pPr>
              <w:jc w:val="both"/>
            </w:pPr>
            <w:r w:rsidRPr="001D7630">
              <w:t xml:space="preserve">3. Projekta 13. pants paredz, ka par projekta 8. panta ceturtajā daļā, 8. panta piektajā daļā vai 9. panta pirmajā daļā noteiktā pienākuma neizpildi degvielas piegādātājam Ministru kabineta noteikta institūcija pieņem lēmumu, kurā nosaka pienākumu degvielas piegādātājam veikt </w:t>
            </w:r>
            <w:r w:rsidRPr="001D7630">
              <w:lastRenderedPageBreak/>
              <w:t xml:space="preserve">noteikta apmēra maksājumu valsts budžetā. </w:t>
            </w:r>
          </w:p>
          <w:p w14:paraId="7EBE562A" w14:textId="77777777" w:rsidR="00780010" w:rsidRPr="001D7630" w:rsidRDefault="00780010" w:rsidP="00780010">
            <w:pPr>
              <w:jc w:val="both"/>
            </w:pPr>
            <w:r w:rsidRPr="001D7630">
              <w:t>3.1. Tieslietu ministrijas iepriekšējā atzinumā bija norādīts, ka ir nepieciešams izvērtēt šādu maksājumu atbilstību administratīvajai atbildībai līdzīgiem piespiedu ietekmēšanas līdzekļiem jeb sodoša (krimināltiesiska) rakstura administratīvajām sankcijām. Vienkāršoti sakot, nepieciešams atbildēt uz jautājumu, vai minētais maksājums nav sods?</w:t>
            </w:r>
          </w:p>
          <w:p w14:paraId="66FC8E8E" w14:textId="77777777" w:rsidR="00780010" w:rsidRPr="001D7630" w:rsidRDefault="00780010" w:rsidP="00780010">
            <w:pPr>
              <w:jc w:val="both"/>
            </w:pPr>
            <w:r w:rsidRPr="001D7630">
              <w:t>Projekta anotācija ir papildināta, tomēr nav pienācīgi izvērtēti visi kritēriji, kā arī tajā minētie apgalvojumi par sankcijas preventīvo mērķi paši par sevi neizslēdz sodošā elementa esību.</w:t>
            </w:r>
          </w:p>
          <w:p w14:paraId="01F5BCD3" w14:textId="77777777" w:rsidR="00780010" w:rsidRPr="001D7630" w:rsidRDefault="00780010" w:rsidP="00780010">
            <w:pPr>
              <w:jc w:val="both"/>
              <w:rPr>
                <w:lang w:eastAsia="en-GB"/>
              </w:rPr>
            </w:pPr>
            <w:r w:rsidRPr="001D7630">
              <w:rPr>
                <w:lang w:eastAsia="en-GB"/>
              </w:rPr>
              <w:t>Kā Tieslietu ministrija iepriekš ir norādījusi, lai noskaidrotu, vai paredzētie pasākumi atbilst soda jeb krimināltiesiska rakstura administratīvo sankciju pazīmēm, pamatā izmantojami Eiropas Cilvēktiesību tiesas un Eiropas Savienības Tiesas judikatūrā attīstītie kritēriji (</w:t>
            </w:r>
            <w:r w:rsidRPr="001D7630">
              <w:rPr>
                <w:i/>
                <w:iCs/>
                <w:lang w:eastAsia="en-GB"/>
              </w:rPr>
              <w:t>sk., piemēram, ģenerāladvokāta Manuela Kamposa Sančesa-Bordonas secinājumu, sniegti 2017. gada 12. septembrī, lietā C-524/15 47. punktu; ģenerāladvokātes Julianas Kokotes secinājumu, sniegti 2011. gada 15. decembrī, lietā C-489/10 71. punktu</w:t>
            </w:r>
            <w:r w:rsidRPr="001D7630">
              <w:rPr>
                <w:lang w:eastAsia="en-GB"/>
              </w:rPr>
              <w:t>): </w:t>
            </w:r>
          </w:p>
          <w:p w14:paraId="4B5998F5" w14:textId="77777777" w:rsidR="00780010" w:rsidRPr="001D7630" w:rsidRDefault="00780010" w:rsidP="00780010">
            <w:pPr>
              <w:jc w:val="both"/>
              <w:rPr>
                <w:lang w:eastAsia="en-GB"/>
              </w:rPr>
            </w:pPr>
            <w:r w:rsidRPr="001D7630">
              <w:rPr>
                <w:lang w:eastAsia="en-GB"/>
              </w:rPr>
              <w:lastRenderedPageBreak/>
              <w:t>1) vai tā ir institūcijas reakcija uz personas izdarītu tiesību aktu pārkāpumu; </w:t>
            </w:r>
          </w:p>
          <w:p w14:paraId="474DD296" w14:textId="77777777" w:rsidR="00780010" w:rsidRPr="001D7630" w:rsidRDefault="00780010" w:rsidP="00780010">
            <w:pPr>
              <w:jc w:val="both"/>
              <w:rPr>
                <w:lang w:eastAsia="en-GB"/>
              </w:rPr>
            </w:pPr>
            <w:r w:rsidRPr="001D7630">
              <w:rPr>
                <w:lang w:eastAsia="en-GB"/>
              </w:rPr>
              <w:t>2) pārkāpuma raksturs: </w:t>
            </w:r>
          </w:p>
          <w:p w14:paraId="0F949E56" w14:textId="77777777" w:rsidR="00780010" w:rsidRPr="001D7630" w:rsidRDefault="00780010" w:rsidP="00780010">
            <w:pPr>
              <w:jc w:val="both"/>
              <w:rPr>
                <w:lang w:eastAsia="en-GB"/>
              </w:rPr>
            </w:pPr>
            <w:r w:rsidRPr="001D7630">
              <w:rPr>
                <w:lang w:eastAsia="en-GB"/>
              </w:rPr>
              <w:t>a) attiecīgā regulējuma adresāti (ja tas ir vērsts uz sabiedrību kopumā, nevis uz stingri noteiktu adresātu grupu, tam parasti būs "krimināltiesisks raksturs");  </w:t>
            </w:r>
          </w:p>
          <w:p w14:paraId="538AF48D" w14:textId="77777777" w:rsidR="00780010" w:rsidRPr="001D7630" w:rsidRDefault="00780010" w:rsidP="00780010">
            <w:pPr>
              <w:jc w:val="both"/>
              <w:rPr>
                <w:lang w:eastAsia="en-GB"/>
              </w:rPr>
            </w:pPr>
            <w:r w:rsidRPr="001D7630">
              <w:rPr>
                <w:lang w:eastAsia="en-GB"/>
              </w:rPr>
              <w:t>b) normas mērķis (pārkāpumam nebūs krimināltiesiska rakstura, ja sankcija ir paredzēta kaitējuma atlīdzināšanai vai tamlīdzīgi, bet būs krimināltiesisks raksturs, ja atbildība tiks noteikta represijas un prevencijas nolūkā); </w:t>
            </w:r>
          </w:p>
          <w:p w14:paraId="14D49E9D" w14:textId="77777777" w:rsidR="00780010" w:rsidRPr="001D7630" w:rsidRDefault="00780010" w:rsidP="00780010">
            <w:pPr>
              <w:jc w:val="both"/>
              <w:rPr>
                <w:lang w:eastAsia="en-GB"/>
              </w:rPr>
            </w:pPr>
            <w:r w:rsidRPr="001D7630">
              <w:rPr>
                <w:lang w:eastAsia="en-GB"/>
              </w:rPr>
              <w:t>c) tiesiski aizsargātās intereses (ja normas mērķis ir nodrošināt tiesiskās intereses, kuru aizsardzība parasti ir garantēta ar krimināltiesību normām, tai būs krimināltiesisks raksturs); </w:t>
            </w:r>
          </w:p>
          <w:p w14:paraId="3BD5BB43" w14:textId="77777777" w:rsidR="00780010" w:rsidRPr="001D7630" w:rsidRDefault="00780010" w:rsidP="00780010">
            <w:pPr>
              <w:jc w:val="both"/>
              <w:rPr>
                <w:lang w:eastAsia="en-GB"/>
              </w:rPr>
            </w:pPr>
            <w:r w:rsidRPr="001D7630">
              <w:rPr>
                <w:lang w:eastAsia="en-GB"/>
              </w:rPr>
              <w:t>3) sankcijas bardzība (draudošo negatīvo seku kopējais smagums, tostarp nelabvēlīgas ekonomiskās sekas, apdraudējums kādām no attiecīgās personas aizsargājamajām interesēm). </w:t>
            </w:r>
          </w:p>
          <w:p w14:paraId="117DC518" w14:textId="77777777" w:rsidR="00780010" w:rsidRPr="001D7630" w:rsidRDefault="00780010" w:rsidP="00780010">
            <w:pPr>
              <w:jc w:val="both"/>
              <w:rPr>
                <w:lang w:eastAsia="en-US"/>
              </w:rPr>
            </w:pPr>
            <w:r w:rsidRPr="001D7630">
              <w:t xml:space="preserve">Otrais un trešais kritērijs ir alternatīvi (pietiek, ja tiek konstatēta atbilstība kaut vienam no šiem kritērijiem). Piemēram, sankcijas bardzība ne vienmēr ir izšķiroša. Ja attiecīgā sankcija pēc sava rakstura un būtības atbilst otrajam kritērijam, tās smagumam nav jāsasniedz trešajā kritērijā paredzētais apmērs, lai to varētu atzīt par krimināltiesiska rakstura </w:t>
            </w:r>
            <w:r w:rsidRPr="001D7630">
              <w:lastRenderedPageBreak/>
              <w:t>sankciju (</w:t>
            </w:r>
            <w:r w:rsidRPr="001D7630">
              <w:rPr>
                <w:i/>
                <w:iCs/>
              </w:rPr>
              <w:t>Satversmes tiesas 2013. gada 28. marta sprieduma lietā Nr. 2012-15-01 13.2.2. punkts</w:t>
            </w:r>
            <w:r w:rsidRPr="001D7630">
              <w:t>). Ja katra atsevišķa kritērija izvērtēšanas rezultātā nav iespējams nonākt pie skaidra secinājuma, tad šo kritēriju pārbaudē pieļaujams izmantot arī kumulatīvu pieeju (</w:t>
            </w:r>
            <w:r w:rsidRPr="001D7630">
              <w:rPr>
                <w:i/>
                <w:iCs/>
              </w:rPr>
              <w:t>Satversmes tiesas 2017. gada 15. marta sprieduma lietā Nr. 2017-16-01 9.2. punkts</w:t>
            </w:r>
            <w:r w:rsidRPr="001D7630">
              <w:t>).</w:t>
            </w:r>
          </w:p>
          <w:p w14:paraId="20FEF5B3" w14:textId="77777777" w:rsidR="00780010" w:rsidRPr="001D7630" w:rsidRDefault="00780010" w:rsidP="00780010">
            <w:pPr>
              <w:jc w:val="both"/>
            </w:pPr>
            <w:r w:rsidRPr="001D7630">
              <w:t>Projektā anotācijā liela uzmanība veltīta dalībvalsts pienākumiem, kam šajā aspektā nav nekādas nozīmes. Pieņemot, ka regulējuma adresāti ir degvielas piegādātāji, tad šajā gadījumā tā nebūs stingri noteikta (ierobežota, noslēgta, brīvprātīga) personu grupa. Līdz ar to šis kritērijs nebūs pamatojums soda neesībai. Tāpat no projekta anotācijas secināms, ka ir mēģināts pamatot, ka sankcijai piemīt vien preventīvs, nevis represīvs (sodošs) mērķis. Nenoliedzam, ka sankcijai ir preventīvs mērķis, tomēr jebkurš sods ir preventīvs (atturošs). Preventīvais mērķis pats par sevi izriet tieši no sodīšanas (</w:t>
            </w:r>
            <w:r w:rsidRPr="001D7630">
              <w:rPr>
                <w:i/>
                <w:iCs/>
              </w:rPr>
              <w:t>Ģenerāladvokāta Manuela Kamposa Sančesa-Bordonas secinājumu, sniegti 2017. gada 12. septembrī, lietā C-524/15 113. punkts</w:t>
            </w:r>
            <w:r w:rsidRPr="001D7630">
              <w:t xml:space="preserve">). Tas nozīmē, ka preventīvā elementa klātbūtne neizslēdz sodošā (represīvā) elementa esību. Līdz ar to būtu nepieciešams pamatojums, ka projektā </w:t>
            </w:r>
            <w:r w:rsidRPr="001D7630">
              <w:lastRenderedPageBreak/>
              <w:t xml:space="preserve">paredzētai sankcijai nepiemīt (arī) sodošs raksturs. </w:t>
            </w:r>
          </w:p>
          <w:p w14:paraId="70248E8B" w14:textId="77777777" w:rsidR="00780010" w:rsidRPr="001D7630" w:rsidRDefault="00780010" w:rsidP="00780010">
            <w:pPr>
              <w:jc w:val="both"/>
            </w:pPr>
            <w:r w:rsidRPr="001D7630">
              <w:t>Sankcijas bardzība kā soda kritērijs nav saistīts ar dalībvalsts iespējamu atbildību par direktīvā noteiktā pienākuma neizpildi. Tas ir jautājums par sankcijas veidu un smagumu attiecībā pret personu, kurai potenciāli varētu piemērot attiecīgo sankciju. Sankcijas bardzība aptver soda potenciālo ietekmi uz konkrēto personu, kas ir atkarīga no soda veida (piemēram, naudas sods, tiesību ierobežošana), paredzētā soda iespējamās augstākās robežas un tā piemērošanas īpatnībām. Šis kritērijs aptver personai draudošo negatīvo seku kopējo smagumu (</w:t>
            </w:r>
            <w:r w:rsidRPr="001D7630">
              <w:rPr>
                <w:i/>
                <w:iCs/>
              </w:rPr>
              <w:t>Satversmes tiesas 2008. gada 5. novembra sprieduma lietā Nr. 2008-04-01 10.1.3. punkts</w:t>
            </w:r>
            <w:r w:rsidRPr="001D7630">
              <w:t>). Tas nav arī saistīts ar to, kāds naudas soda apmērs ir paredzēts Administratīvās atbildības likumā (vienlaikus gan vēršam uzmanību uz šā likuma 16. panta sesto daļu).</w:t>
            </w:r>
          </w:p>
          <w:p w14:paraId="457D6561" w14:textId="77777777" w:rsidR="00780010" w:rsidRPr="001D7630" w:rsidRDefault="00780010" w:rsidP="00780010">
            <w:pPr>
              <w:jc w:val="both"/>
            </w:pPr>
            <w:r w:rsidRPr="001D7630">
              <w:t xml:space="preserve">Ievērojot minēto, no projekta anotācijā ietvertā pamatojuma neizriet, ka projekta 13. pantā nav paredzēta sodoša (krimināltiesiska) rakstura administratīva sankcija. Tieslietu ministrija neatbalsta jaunu šāda veida sankciju veidošanu. Ārpus administratīvās atbildības sistēmas turklāt nav piemērota procesa regulējuma sodoša rakstura administratīvo sankciju piemērošanai. </w:t>
            </w:r>
            <w:r w:rsidRPr="001D7630">
              <w:lastRenderedPageBreak/>
              <w:t>Administratīvā procesa regulējums nav veidots, balstoties uz sodu un sodoša rakstura administratīvo sankciju piemērošanas procesam raksturīgajiem principiem. Tā pamatā ir pavisam atšķirīga veida tiesiskās attiecības valsts pārvaldē. Līdz ar to sankciju piemērošanas process nav pienācīgi noregulēts. Sodošiem pasākumiem ir izmantojama Administratīvās atbildības likuma izveidotās administratīvās atbildības sistēma.</w:t>
            </w:r>
          </w:p>
          <w:p w14:paraId="76A70FE1" w14:textId="77777777" w:rsidR="00780010" w:rsidRPr="001D7630" w:rsidRDefault="00780010" w:rsidP="00780010">
            <w:pPr>
              <w:jc w:val="both"/>
            </w:pPr>
            <w:r w:rsidRPr="001D7630">
              <w:t>3.2. Projekta anotācija nav atrodams izvērtējums par iespēju risināt konkrēto problēmsituāciju, izmantojot ne-sodoša rakstura administratīvos līdzekļus.</w:t>
            </w:r>
          </w:p>
          <w:p w14:paraId="02191C2F" w14:textId="77777777" w:rsidR="00780010" w:rsidRPr="001D7630" w:rsidRDefault="00780010" w:rsidP="00780010">
            <w:pPr>
              <w:jc w:val="both"/>
            </w:pPr>
            <w:r w:rsidRPr="001D7630">
              <w:t xml:space="preserve">3.3. Atkārtoti norādām, ka nacionālajos tiesību aktos nav pamatoti paredzēt lielākus naudas sodus, nekā pamatā tiek paredzēts par šādiem pārkāpumiem, ievērojot vien to, ka Eiropas Savienības tiesību akti paredz noteikt "samērīgas, atturošas un efektīvas sankcijas". Minēto sankciju ieviešana nacionālajās tiesībās ir jāvērtē esošās sistēmas ietvaros, turklāt ne tikai sodošās sistēmas ietvaros (administratīvā pārkāpuma process, kriminālprocess), bet arī, piemēram, administratīvā procesa ietvaros. Norādām, ka arī administratīvā akta un tā nosacījumu (uzdevumu) piespiedu izpilde, administratīvā akta (atļaujas, licences, u.tml.) apturēšana vai </w:t>
            </w:r>
            <w:r w:rsidRPr="001D7630">
              <w:lastRenderedPageBreak/>
              <w:t>tamlīdzīga rakstura pasākumi arī var tikt uzskatītas par samērīgām, atturošām un efektīvām sankcijām.</w:t>
            </w:r>
          </w:p>
          <w:p w14:paraId="185AEADA" w14:textId="77777777" w:rsidR="00780010" w:rsidRPr="001D7630" w:rsidRDefault="00780010" w:rsidP="00780010">
            <w:pPr>
              <w:jc w:val="both"/>
            </w:pPr>
            <w:r w:rsidRPr="001D7630">
              <w:t>3.4. Ievērojot visu iepriekšminēto, vispirms izvērtējama iespēja konstatēto problēmu risināt ar ne-sodošiem administratīviem līdzekļiem. Ja nav pārliecinoša pamatojuma, kāpēc projekta 13. pantā paredzētie pasākumi nav sodi, un nepastāv citi piemēroti administratīvi līdzekļi, tad vērtējama iespēja paredzēt atbilstošus administratīvus pārkāpumus.</w:t>
            </w:r>
          </w:p>
          <w:p w14:paraId="72F07460" w14:textId="77777777" w:rsidR="00780010" w:rsidRPr="001D7630" w:rsidRDefault="00780010" w:rsidP="00780010">
            <w:pPr>
              <w:jc w:val="both"/>
            </w:pPr>
            <w:r w:rsidRPr="001D7630">
              <w:t>4. Sodoša rakstura pasākumi varētu būt paredzēti arī citviet projektā. Jebkura institūcijas negatīva (nelabvēlīga) reakcija uz personas izdarītu pārkāpumu (neatbilstību) izvērtējama, ievērojot iepriekšminētos krimināltiesiska rakstura administratīvās sankcijas kritērijus. Piemēram, projekta 12. panta otrajā daļā ir paredzēts pienākums segt ar uzraudzību saistītos izdevumus, ja tiek konstatēts, ka transporta enerģijas kvalitāte neatbilst izvirzītajām prasībām. Projekta anotācijā nav atrodams pamatojums šādam regulējumam.</w:t>
            </w:r>
          </w:p>
          <w:p w14:paraId="0DAD8D26" w14:textId="77777777" w:rsidR="00780010" w:rsidRPr="001D7630" w:rsidRDefault="00780010" w:rsidP="00780010">
            <w:pPr>
              <w:jc w:val="both"/>
              <w:rPr>
                <w:b/>
                <w:bCs/>
                <w:iCs/>
              </w:rPr>
            </w:pPr>
            <w:r w:rsidRPr="001D7630">
              <w:t>5. Projekta 13.panta trešās daļas otrais teikums paredz, ka, “</w:t>
            </w:r>
            <w:r w:rsidRPr="001D7630">
              <w:rPr>
                <w:i/>
                <w:iCs/>
              </w:rPr>
              <w:t xml:space="preserve">ja šajā termiņā maksājums nav veikts vai nav veikts pilnā apmērā, Ministru kabineta noteiktā institūcija </w:t>
            </w:r>
            <w:r w:rsidRPr="001D7630">
              <w:rPr>
                <w:i/>
                <w:iCs/>
                <w:u w:val="single"/>
              </w:rPr>
              <w:t>attiecīgo summu piedzen bezstrīda kārtībā</w:t>
            </w:r>
            <w:r w:rsidRPr="001D7630">
              <w:t xml:space="preserve">”. Lūdzam precizēt minēto regulējumu, jo nav pašreizējā </w:t>
            </w:r>
            <w:r w:rsidRPr="001D7630">
              <w:lastRenderedPageBreak/>
              <w:t>formulējuma nav viennozīmīgi skaidrs, vai ar minēto “bezstrīdus kārtību” jāsaprot Civilprocesa likuma 400.pantā regulētā saistību bezstrīdus piespiedu izpildīšana, vai kāds cits piespiedu izpildes mehānisms.</w:t>
            </w:r>
          </w:p>
        </w:tc>
        <w:tc>
          <w:tcPr>
            <w:tcW w:w="2976" w:type="dxa"/>
            <w:vMerge/>
            <w:tcBorders>
              <w:left w:val="single" w:sz="6" w:space="0" w:color="000000"/>
              <w:bottom w:val="single" w:sz="6" w:space="0" w:color="000000"/>
              <w:right w:val="single" w:sz="6" w:space="0" w:color="000000"/>
            </w:tcBorders>
          </w:tcPr>
          <w:p w14:paraId="560CB176" w14:textId="77777777" w:rsidR="00780010" w:rsidRPr="001D7630" w:rsidRDefault="00780010" w:rsidP="00780010">
            <w:pPr>
              <w:jc w:val="center"/>
              <w:rPr>
                <w:b/>
                <w:bCs/>
              </w:rPr>
            </w:pPr>
          </w:p>
        </w:tc>
        <w:tc>
          <w:tcPr>
            <w:tcW w:w="4291" w:type="dxa"/>
            <w:vMerge/>
            <w:tcBorders>
              <w:left w:val="single" w:sz="4" w:space="0" w:color="auto"/>
              <w:bottom w:val="single" w:sz="4" w:space="0" w:color="auto"/>
            </w:tcBorders>
          </w:tcPr>
          <w:p w14:paraId="4000E0B9" w14:textId="77777777" w:rsidR="00780010" w:rsidRPr="001D7630" w:rsidRDefault="00780010" w:rsidP="00780010">
            <w:pPr>
              <w:rPr>
                <w:iCs/>
              </w:rPr>
            </w:pPr>
          </w:p>
        </w:tc>
      </w:tr>
      <w:tr w:rsidR="00780010" w:rsidRPr="001D7630" w14:paraId="036C1942"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01BCC6EB"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4227DDF1" w14:textId="77777777" w:rsidR="00780010" w:rsidRPr="001D7630" w:rsidRDefault="00780010" w:rsidP="00780010">
            <w:pPr>
              <w:pStyle w:val="naisc"/>
              <w:spacing w:before="0" w:after="0"/>
              <w:jc w:val="both"/>
            </w:pPr>
          </w:p>
        </w:tc>
        <w:tc>
          <w:tcPr>
            <w:tcW w:w="4047" w:type="dxa"/>
            <w:tcBorders>
              <w:top w:val="single" w:sz="6" w:space="0" w:color="000000"/>
              <w:left w:val="single" w:sz="6" w:space="0" w:color="000000"/>
              <w:bottom w:val="single" w:sz="6" w:space="0" w:color="000000"/>
              <w:right w:val="single" w:sz="6" w:space="0" w:color="000000"/>
            </w:tcBorders>
          </w:tcPr>
          <w:p w14:paraId="0E7A45B7" w14:textId="77777777" w:rsidR="00780010" w:rsidRPr="001D7630" w:rsidRDefault="00780010" w:rsidP="00780010">
            <w:pPr>
              <w:tabs>
                <w:tab w:val="left" w:pos="709"/>
                <w:tab w:val="left" w:pos="993"/>
                <w:tab w:val="left" w:pos="1560"/>
              </w:tabs>
              <w:jc w:val="center"/>
              <w:rPr>
                <w:b/>
                <w:iCs/>
              </w:rPr>
            </w:pPr>
            <w:r w:rsidRPr="001D7630">
              <w:rPr>
                <w:b/>
                <w:iCs/>
              </w:rPr>
              <w:t>Finanšu ministrija</w:t>
            </w:r>
          </w:p>
          <w:p w14:paraId="03D13BD3" w14:textId="77777777" w:rsidR="00780010" w:rsidRPr="001D7630" w:rsidRDefault="00780010" w:rsidP="00780010">
            <w:pPr>
              <w:tabs>
                <w:tab w:val="left" w:pos="709"/>
                <w:tab w:val="left" w:pos="993"/>
                <w:tab w:val="left" w:pos="1560"/>
              </w:tabs>
              <w:jc w:val="center"/>
              <w:rPr>
                <w:b/>
                <w:iCs/>
              </w:rPr>
            </w:pPr>
            <w:r w:rsidRPr="001D7630">
              <w:rPr>
                <w:b/>
                <w:iCs/>
              </w:rPr>
              <w:t>(08.01.2021. atzinums)</w:t>
            </w:r>
          </w:p>
          <w:p w14:paraId="0CF0C5ED" w14:textId="77777777" w:rsidR="00780010" w:rsidRPr="001D7630" w:rsidRDefault="00780010" w:rsidP="00780010">
            <w:pPr>
              <w:tabs>
                <w:tab w:val="left" w:pos="851"/>
              </w:tabs>
              <w:jc w:val="both"/>
            </w:pPr>
            <w:r w:rsidRPr="001D7630">
              <w:t xml:space="preserve">4. Likumprojektā ir iekļauta pretrunīga norma, jo likumprojekta 13. panta pirmā daļa nosaka, ka degvielas piegādātājam jāveic maksājums valsts budžetā, savukārt 13. panta otrā daļa nosaka, ka minēto maksājumu jāiemaksā atjaunojamās transporta enerģijas veicināšanas fondā, ko izveido attīstības finanšu institūcija. No anotācijas izriet, ka ar “attīstības finanšu institūcija” domāta akciju sabiedrība "Attīstības finanšu institūcija Altum", kas pēc tiesiskā statusa ir komersants. Līdz ar to, veicot maksājumu komersanta kontā, šāds maksājums netiktu veikts valsts budžetā. Lūdzam precizēt likumprojekta 13. panta redakciju un anotāciju. Uzskatām, ka anotācijā jāpapildina ar informāciju par minētā fonda finansēšanas modeli, tā izveidei un darbības nodrošināšanai nepieciešamo ieguldījumu apmēriem un ietekmi uz valsts budžetu. </w:t>
            </w:r>
          </w:p>
        </w:tc>
        <w:tc>
          <w:tcPr>
            <w:tcW w:w="2976" w:type="dxa"/>
            <w:tcBorders>
              <w:top w:val="single" w:sz="6" w:space="0" w:color="000000"/>
              <w:left w:val="single" w:sz="6" w:space="0" w:color="000000"/>
              <w:bottom w:val="single" w:sz="6" w:space="0" w:color="000000"/>
              <w:right w:val="single" w:sz="6" w:space="0" w:color="000000"/>
            </w:tcBorders>
          </w:tcPr>
          <w:p w14:paraId="0BE5D863" w14:textId="77777777"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tcPr>
          <w:p w14:paraId="0BAB05CA" w14:textId="77777777" w:rsidR="00780010" w:rsidRPr="001D7630" w:rsidRDefault="00780010" w:rsidP="00780010">
            <w:r w:rsidRPr="001D7630">
              <w:t>Likumprojekta 13.pants ir pārstrādāts.</w:t>
            </w:r>
          </w:p>
          <w:p w14:paraId="3B09D639" w14:textId="77777777" w:rsidR="00780010" w:rsidRPr="001D7630" w:rsidRDefault="00780010" w:rsidP="00780010">
            <w:r w:rsidRPr="001D7630">
              <w:t>Likumprojekta 16.pants (jaunais 15.pants) ir pārstrādāts</w:t>
            </w:r>
          </w:p>
        </w:tc>
      </w:tr>
      <w:tr w:rsidR="00780010" w:rsidRPr="001D7630" w14:paraId="586C2352"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6511B691"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7395BE5A"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52B46F31" w14:textId="77777777" w:rsidR="00780010" w:rsidRPr="001D7630" w:rsidRDefault="00780010" w:rsidP="00780010">
            <w:pPr>
              <w:tabs>
                <w:tab w:val="left" w:pos="709"/>
                <w:tab w:val="left" w:pos="993"/>
                <w:tab w:val="left" w:pos="1560"/>
              </w:tabs>
              <w:jc w:val="center"/>
              <w:rPr>
                <w:b/>
                <w:iCs/>
              </w:rPr>
            </w:pPr>
            <w:r w:rsidRPr="001D7630">
              <w:rPr>
                <w:b/>
                <w:iCs/>
              </w:rPr>
              <w:t>Finanšu ministrija</w:t>
            </w:r>
          </w:p>
          <w:p w14:paraId="6F1A853D" w14:textId="77777777" w:rsidR="00780010" w:rsidRPr="001D7630" w:rsidRDefault="00780010" w:rsidP="00780010">
            <w:pPr>
              <w:tabs>
                <w:tab w:val="left" w:pos="709"/>
                <w:tab w:val="left" w:pos="993"/>
                <w:tab w:val="left" w:pos="1560"/>
              </w:tabs>
              <w:jc w:val="center"/>
              <w:rPr>
                <w:b/>
                <w:iCs/>
              </w:rPr>
            </w:pPr>
            <w:r w:rsidRPr="001D7630">
              <w:rPr>
                <w:b/>
                <w:iCs/>
              </w:rPr>
              <w:t>(08.01.2021. atzinums)</w:t>
            </w:r>
          </w:p>
          <w:p w14:paraId="67765837" w14:textId="77777777" w:rsidR="00780010" w:rsidRPr="001D7630" w:rsidRDefault="00780010" w:rsidP="00780010">
            <w:pPr>
              <w:jc w:val="both"/>
            </w:pPr>
            <w:r w:rsidRPr="001D7630">
              <w:lastRenderedPageBreak/>
              <w:t xml:space="preserve">11. Lūdzam likumprojekta 13.panta pirmajā daļā veikt precizējumus, lai būtu skaidrs, uz kurām 8.panta daļām attiecas noteikto pienākumu izpilde. Uzskatām, ka 13.panta pirmā daļā ir jāattiecina gan uz 8.panta ceturtajā daļā par moderno degvielu apjomu, gan uz 8.panta piektajā daļā noteikto par atjaunojamās elektroenerģijas, pārstrādāto oglekļa degvielu un no atjaunojamiem energoresursiem ražoto nebioloģiskas izcelsmes šķidro vai gāzveida degvielu apjomu. Turklāt ir jāsvītro atsauce uz 8.panta septīto daļu, kurā nav noteikts līdzdalības pienākums. Papildus aicinām precizēt 13.panta daļu numerāciju, jo likumprojekta tekstā ir divas otrās daļas.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422314EA"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56E6342A"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 xml:space="preserve"> Likumprojekta 13.pants ir pārstrādāts</w:t>
            </w:r>
          </w:p>
        </w:tc>
      </w:tr>
      <w:tr w:rsidR="00780010" w:rsidRPr="001D7630" w14:paraId="4E9A4347"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793E87D"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04AEC3D"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2555980F" w14:textId="77777777" w:rsidR="00780010" w:rsidRPr="001D7630" w:rsidRDefault="00780010" w:rsidP="00780010">
            <w:pPr>
              <w:autoSpaceDE w:val="0"/>
              <w:autoSpaceDN w:val="0"/>
              <w:adjustRightInd w:val="0"/>
              <w:jc w:val="center"/>
              <w:rPr>
                <w:b/>
                <w:bCs/>
              </w:rPr>
            </w:pPr>
            <w:r w:rsidRPr="001D7630">
              <w:rPr>
                <w:b/>
                <w:bCs/>
              </w:rPr>
              <w:t>Latvijas Degvielas tirgotāju asociācija</w:t>
            </w:r>
          </w:p>
          <w:p w14:paraId="5FB73E41" w14:textId="77777777" w:rsidR="00780010" w:rsidRPr="001D7630" w:rsidRDefault="00780010" w:rsidP="00780010">
            <w:pPr>
              <w:autoSpaceDE w:val="0"/>
              <w:autoSpaceDN w:val="0"/>
              <w:adjustRightInd w:val="0"/>
              <w:jc w:val="center"/>
              <w:rPr>
                <w:b/>
                <w:bCs/>
              </w:rPr>
            </w:pPr>
            <w:r w:rsidRPr="001D7630">
              <w:rPr>
                <w:b/>
                <w:bCs/>
              </w:rPr>
              <w:t>(13.01.2021. atzinums)</w:t>
            </w:r>
          </w:p>
          <w:p w14:paraId="13DC3668" w14:textId="77777777" w:rsidR="00780010" w:rsidRPr="001D7630" w:rsidRDefault="00780010" w:rsidP="00780010">
            <w:pPr>
              <w:pStyle w:val="CommentText"/>
              <w:ind w:firstLine="567"/>
              <w:jc w:val="both"/>
              <w:rPr>
                <w:sz w:val="24"/>
                <w:szCs w:val="24"/>
              </w:rPr>
            </w:pPr>
            <w:r w:rsidRPr="001D7630">
              <w:rPr>
                <w:sz w:val="24"/>
                <w:szCs w:val="24"/>
              </w:rPr>
              <w:t>[6.] Lūdzam precizēt 13.panta pirmajā daļā atsauces uz 8.pantu, proti, aizstāt panta pirmās daļas ievadā vārdus “sestajā” un “septītajā” ar vārdiem “ceturtajā” un “piektajā”.</w:t>
            </w:r>
          </w:p>
          <w:p w14:paraId="021FF1C0" w14:textId="77777777" w:rsidR="00780010" w:rsidRPr="001D7630" w:rsidRDefault="00780010" w:rsidP="00780010">
            <w:pPr>
              <w:pStyle w:val="CommentText"/>
              <w:ind w:firstLine="567"/>
              <w:jc w:val="both"/>
              <w:rPr>
                <w:sz w:val="24"/>
                <w:szCs w:val="24"/>
              </w:rPr>
            </w:pPr>
            <w:r w:rsidRPr="001D7630">
              <w:rPr>
                <w:sz w:val="24"/>
                <w:szCs w:val="24"/>
              </w:rPr>
              <w:t xml:space="preserve">Tāpat lūdzam 13.panta pirmajā daļā un otrajā daļā minētos maksājumus valsts budžetā gradēt vēl sīkāk, jo neizpildes diapazons no 20,01 procenta līdz 70 procentu apmērā pirmajā daļā un 15,01 procenta līdz 65 procentu apmērā otrajā daļā ir ļoti plašs. Ierosinām panta pirmās daļas 2.punktu un neizpildi 20,1 procenta līdz 70 procentu apmērā  gradēt </w:t>
            </w:r>
            <w:r w:rsidRPr="001D7630">
              <w:rPr>
                <w:sz w:val="24"/>
                <w:szCs w:val="24"/>
              </w:rPr>
              <w:lastRenderedPageBreak/>
              <w:t>neizpildē 20,01 procenta līdz 50 procentu apmērā un neizpilde 50,01 procenta līdz 70 procentu apmērā. Savukārt, otrās daļas 2.punktu un neizpildi 15,1 procenta līdz 65 procentu apmērā  gradēt neizpildē 15,01 procenta līdz 45 procentu apmērā un neizpildē 45,01 procenta līdz 65 procentu apmērā.</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1E8A0E8C"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315CC264"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13.pants ir pārstrādāts</w:t>
            </w:r>
          </w:p>
        </w:tc>
      </w:tr>
      <w:tr w:rsidR="00780010" w:rsidRPr="001D7630" w14:paraId="3C7C9FFA"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0F13E98A"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09F31872"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r w:rsidRPr="001D7630">
              <w:rPr>
                <w:rFonts w:ascii="Times New Roman" w:hAnsi="Times New Roman"/>
                <w:sz w:val="24"/>
                <w:szCs w:val="24"/>
                <w:lang w:eastAsia="lv-LV"/>
              </w:rPr>
              <w:t>Likumprojekta 13.pants ir precizēts</w:t>
            </w: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4DFD8190" w14:textId="77777777" w:rsidR="00780010" w:rsidRPr="001D7630" w:rsidRDefault="00780010" w:rsidP="00780010">
            <w:pPr>
              <w:autoSpaceDE w:val="0"/>
              <w:autoSpaceDN w:val="0"/>
              <w:adjustRightInd w:val="0"/>
              <w:jc w:val="center"/>
              <w:rPr>
                <w:b/>
                <w:bCs/>
              </w:rPr>
            </w:pPr>
            <w:r w:rsidRPr="001D7630">
              <w:rPr>
                <w:b/>
                <w:bCs/>
              </w:rPr>
              <w:t>Latvijas Biogāzes asociācija</w:t>
            </w:r>
          </w:p>
          <w:p w14:paraId="11605B57" w14:textId="77777777" w:rsidR="00780010" w:rsidRPr="001D7630" w:rsidRDefault="00780010" w:rsidP="00780010">
            <w:pPr>
              <w:autoSpaceDE w:val="0"/>
              <w:autoSpaceDN w:val="0"/>
              <w:adjustRightInd w:val="0"/>
              <w:jc w:val="center"/>
              <w:rPr>
                <w:b/>
                <w:bCs/>
              </w:rPr>
            </w:pPr>
            <w:r w:rsidRPr="001D7630">
              <w:rPr>
                <w:b/>
                <w:bCs/>
              </w:rPr>
              <w:t>(29.03.2021.)</w:t>
            </w:r>
          </w:p>
          <w:p w14:paraId="389CCCE8" w14:textId="77777777" w:rsidR="00780010" w:rsidRPr="001D7630" w:rsidRDefault="00780010" w:rsidP="00780010">
            <w:pPr>
              <w:autoSpaceDE w:val="0"/>
              <w:autoSpaceDN w:val="0"/>
              <w:adjustRightInd w:val="0"/>
              <w:jc w:val="both"/>
              <w:rPr>
                <w:color w:val="000000"/>
              </w:rPr>
            </w:pPr>
            <w:r w:rsidRPr="001D7630">
              <w:rPr>
                <w:color w:val="000000"/>
              </w:rPr>
              <w:t xml:space="preserve">13. pants. “Līdzdalības mehānisma ietvaros noteikto pienākumu un transporta enerģijas aprites cikla siltumnīcefekta gāzu emisiju samazinājuma nodrošināšana </w:t>
            </w:r>
          </w:p>
          <w:p w14:paraId="726DB1E0" w14:textId="77777777" w:rsidR="00780010" w:rsidRPr="001D7630" w:rsidRDefault="00780010" w:rsidP="00780010">
            <w:pPr>
              <w:autoSpaceDE w:val="0"/>
              <w:autoSpaceDN w:val="0"/>
              <w:adjustRightInd w:val="0"/>
              <w:jc w:val="both"/>
              <w:rPr>
                <w:b/>
                <w:bCs/>
              </w:rPr>
            </w:pPr>
            <w:r w:rsidRPr="001D7630">
              <w:rPr>
                <w:color w:val="000000"/>
              </w:rPr>
              <w:t>Visās 13. panta daļās, kur tiek rakstīts “….noteiktais pienākums netiek izpildīts mazāk nekā… procentu apmērā” loģiski būtu rakstīt “…. tiek izpildīts mazāk nekā…” vai arī “…netiek izpildīts vairāk nekā…)</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54DD728" w14:textId="77777777"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shd w:val="clear" w:color="auto" w:fill="auto"/>
          </w:tcPr>
          <w:p w14:paraId="4644123E"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13.pants ir pārstrādāts</w:t>
            </w:r>
          </w:p>
        </w:tc>
      </w:tr>
      <w:tr w:rsidR="00780010" w:rsidRPr="001D7630" w14:paraId="526C54CE"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1412104A"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407B1E4"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0640247D" w14:textId="77777777" w:rsidR="00780010" w:rsidRPr="001D7630" w:rsidRDefault="00780010" w:rsidP="00780010">
            <w:pPr>
              <w:autoSpaceDE w:val="0"/>
              <w:autoSpaceDN w:val="0"/>
              <w:adjustRightInd w:val="0"/>
              <w:jc w:val="center"/>
              <w:rPr>
                <w:b/>
                <w:bCs/>
              </w:rPr>
            </w:pPr>
            <w:r w:rsidRPr="001D7630">
              <w:rPr>
                <w:b/>
                <w:bCs/>
              </w:rPr>
              <w:t>Latvijas Degvielas tirgotāju asociācija</w:t>
            </w:r>
          </w:p>
          <w:p w14:paraId="65C48CC6" w14:textId="77777777" w:rsidR="00780010" w:rsidRPr="001D7630" w:rsidRDefault="00780010" w:rsidP="00780010">
            <w:pPr>
              <w:autoSpaceDE w:val="0"/>
              <w:autoSpaceDN w:val="0"/>
              <w:adjustRightInd w:val="0"/>
              <w:jc w:val="center"/>
              <w:rPr>
                <w:b/>
                <w:bCs/>
              </w:rPr>
            </w:pPr>
            <w:r w:rsidRPr="001D7630">
              <w:rPr>
                <w:b/>
                <w:bCs/>
              </w:rPr>
              <w:t>(14.06.2021.)</w:t>
            </w:r>
          </w:p>
          <w:p w14:paraId="40597F11" w14:textId="77777777" w:rsidR="00780010" w:rsidRPr="001D7630" w:rsidRDefault="00780010" w:rsidP="00780010">
            <w:pPr>
              <w:jc w:val="both"/>
              <w:rPr>
                <w:b/>
                <w:bCs/>
              </w:rPr>
            </w:pPr>
            <w:r w:rsidRPr="001D7630">
              <w:t xml:space="preserve">[3.] Lūdzam precizēt likumprojekta 13.pantu, paredzot ziņošanas pienākumu un piespiedu naudas aprēķinu, ja mērķis nav sasniegts, iepriekšējā likumprojekta redakcijā noteiktajā periodā, proti, ziņojuma pienākums un piespiedu naudas aprēķins un maksājums  vienu reizi gadā. Paredzot ziņošanas pienākumu ik pēc sešiem mēnešiem, ja mērķis netiek izpildīts, rodas </w:t>
            </w:r>
            <w:r w:rsidRPr="001D7630">
              <w:lastRenderedPageBreak/>
              <w:t>neskaidrības par ziņošanas periodiem, to atskaites datumiem un piespiedu naudas aprēķinu. Tāpat lūdzam atgriezties pie iepriekšējā likumprojekta redakcijā noteiktā, ka piespiedu naudu aprēķina pēc finanšu gada neto apgrozījuma, kas attiecas uz degvielas apriti, tai skaitā iegādi un tirdzniecību.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446C81AC" w14:textId="03601FA9" w:rsidR="00780010" w:rsidRPr="001D7630" w:rsidRDefault="00780010" w:rsidP="00780010">
            <w:pPr>
              <w:jc w:val="center"/>
              <w:rPr>
                <w:b/>
                <w:bCs/>
                <w:iCs/>
              </w:rPr>
            </w:pPr>
            <w:r w:rsidRPr="001D7630">
              <w:rPr>
                <w:b/>
                <w:bCs/>
                <w:iCs/>
              </w:rPr>
              <w:lastRenderedPageBreak/>
              <w:t>Ņemts vērā</w:t>
            </w:r>
          </w:p>
          <w:p w14:paraId="781DC9E4" w14:textId="6616D72A" w:rsidR="00780010" w:rsidRPr="001D7630" w:rsidRDefault="00780010" w:rsidP="00780010">
            <w:r w:rsidRPr="001D7630">
              <w:t xml:space="preserve">Iesniegšanas termiņi būtu: pārbaudīts vispārīgais ziņojums – 15.05.2030. par periodu 01.01.2029.-31.12.2029.; nepārbaudīts pusgada ziņojums 15.11.2030 par periodu 01.01.2030.-30.06.2030.; pārbaudīts vispārīgais ziņojums 15.05.2031. par </w:t>
            </w:r>
            <w:r w:rsidRPr="001D7630">
              <w:lastRenderedPageBreak/>
              <w:t>periodu 01.01.2030.-31.12.2030.</w:t>
            </w:r>
          </w:p>
          <w:p w14:paraId="3D6EEAB1" w14:textId="77777777" w:rsidR="00780010" w:rsidRPr="001D7630" w:rsidRDefault="00780010" w:rsidP="00780010"/>
          <w:p w14:paraId="11B77CCD" w14:textId="632E6FDA" w:rsidR="00780010" w:rsidRPr="001D7630" w:rsidRDefault="00780010" w:rsidP="00780010">
            <w:pPr>
              <w:rPr>
                <w:b/>
                <w:bCs/>
                <w:iCs/>
              </w:rPr>
            </w:pPr>
            <w:r w:rsidRPr="001D7630">
              <w:rPr>
                <w:iCs/>
              </w:rPr>
              <w:t>Norādām, ka piespiedu naudas piemērošana pēc finanšu gada neto apgrozījuma tika izvēlēta, jo “</w:t>
            </w:r>
            <w:r w:rsidRPr="001D7630">
              <w:t xml:space="preserve">finanšu gada neto apgrozījuma, kas attiecas uz degvielas apriti, tai skaitā iegādi un tirdzniecību” būtiski sarežģīs piespiedu naudas piemērošanas  procedūru un, iespējams, to padarīs neiespējamu. Tāpat tas būtiski samazinās piespiedu naudas efektivitāti, jo ir komersanti, kuriem “degvielas aprite, tai skaitā iegāde un tirdzniecība” ir mazāka daļa no finanšu gada neto apgrozījuma, līdz ar to šādiem komersantiem noteiktā piespiedu nauda būs mazāk efektīva. Tāpat netiktu ievērots līdzvērtības princips, jo degvielas piegādātājiem, kuriem neto apgrozījumu lielāko vai visu daļu veido degvielas aprite, piemērotā soda īpatsvars kopējā apgrozījumā būs lielāks nekā tiem degvielas piegādātājiem, </w:t>
            </w:r>
            <w:r w:rsidRPr="001D7630">
              <w:lastRenderedPageBreak/>
              <w:t>kuriem apgrozījums, kas attiecas uz degvielas apriti, ir būtiski mazāks un līdz ar to piemērotā soda īpatsvar kopējā apgrozījumā būs būtiski mazāks.</w:t>
            </w:r>
          </w:p>
        </w:tc>
        <w:tc>
          <w:tcPr>
            <w:tcW w:w="4291" w:type="dxa"/>
            <w:tcBorders>
              <w:top w:val="single" w:sz="4" w:space="0" w:color="auto"/>
              <w:left w:val="single" w:sz="4" w:space="0" w:color="auto"/>
              <w:bottom w:val="single" w:sz="4" w:space="0" w:color="auto"/>
            </w:tcBorders>
            <w:shd w:val="clear" w:color="auto" w:fill="auto"/>
          </w:tcPr>
          <w:p w14:paraId="5ED304BE"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lastRenderedPageBreak/>
              <w:t>Likumprojekta 13.panta 5.daļa ir svītrota.</w:t>
            </w:r>
          </w:p>
          <w:p w14:paraId="55BF754B"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p w14:paraId="473B8BBB" w14:textId="7549568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13.panta 4.daļa ir precizēta nosakot pienākumu iesniegt vispārīgo ziņojumu reizi pusgadā (pēc 2030.gada), ko nav pārbaudījusi akreditēta inspicēšanas institūcija</w:t>
            </w:r>
          </w:p>
        </w:tc>
      </w:tr>
      <w:tr w:rsidR="00780010" w:rsidRPr="001D7630" w14:paraId="2F24A6F1"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8A34F4F"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3C266A5B"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0132F169" w14:textId="77777777" w:rsidR="00780010" w:rsidRPr="001D7630" w:rsidRDefault="00780010" w:rsidP="00780010">
            <w:pPr>
              <w:autoSpaceDE w:val="0"/>
              <w:autoSpaceDN w:val="0"/>
              <w:adjustRightInd w:val="0"/>
              <w:jc w:val="center"/>
              <w:rPr>
                <w:b/>
                <w:bCs/>
              </w:rPr>
            </w:pPr>
            <w:r w:rsidRPr="001D7630">
              <w:rPr>
                <w:b/>
                <w:bCs/>
              </w:rPr>
              <w:t>Degvielas tirgotāju un ražotāju savienība</w:t>
            </w:r>
          </w:p>
          <w:p w14:paraId="76DCEFF1" w14:textId="77777777" w:rsidR="00780010" w:rsidRPr="001D7630" w:rsidRDefault="00780010" w:rsidP="00780010">
            <w:pPr>
              <w:autoSpaceDE w:val="0"/>
              <w:autoSpaceDN w:val="0"/>
              <w:adjustRightInd w:val="0"/>
              <w:jc w:val="center"/>
              <w:rPr>
                <w:b/>
                <w:bCs/>
              </w:rPr>
            </w:pPr>
            <w:r w:rsidRPr="001D7630">
              <w:rPr>
                <w:b/>
                <w:bCs/>
              </w:rPr>
              <w:t>(17.06.2021. atzinums)</w:t>
            </w:r>
          </w:p>
          <w:p w14:paraId="28CB0B0A" w14:textId="154956CE" w:rsidR="00780010" w:rsidRPr="001D7630" w:rsidRDefault="00780010" w:rsidP="00780010">
            <w:pPr>
              <w:rPr>
                <w:i/>
                <w:iCs/>
              </w:rPr>
            </w:pPr>
            <w:r w:rsidRPr="001D7630">
              <w:t>4) Lūdzam precizēt likumprojekta 13.pantu, paredzot ziņošanas pienākumu un piespiedu naudas aprēķinu, ja mērķis nav sasniegts, iepriekšējā likumprojekta redakcijā noteiktajā periodā, proti, ziņojuma pienākums un piespiedu naudas aprēķins un maksājums vienu reizi gadā. Paredzot ziņošanas pienākumu ik pēc sešiem mēnešiem, ja mērķis netiek izpildīts, rodas neskaidrības par ziņošanas periodiem, to atskaites datumiem un piespiedu naudas aprēķinu. Lūdzam atgriezties pie iepriekšējā likumprojekta redakcijā noteiktā, ka piespiedu naudu aprēķina pēc finanšu gada neto apgrozījuma, kas attiecas uz degvielas apriti, tai skaitā piegādi un tirdzniecību.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2AE38D99" w14:textId="0F6B32B1" w:rsidR="00780010" w:rsidRPr="001D7630" w:rsidRDefault="00780010" w:rsidP="00780010">
            <w:pPr>
              <w:jc w:val="center"/>
              <w:rPr>
                <w:b/>
                <w:bCs/>
                <w:iCs/>
              </w:rPr>
            </w:pPr>
            <w:r w:rsidRPr="001D7630">
              <w:rPr>
                <w:b/>
                <w:bCs/>
                <w:iCs/>
              </w:rPr>
              <w:t>Ņemts vērā</w:t>
            </w:r>
          </w:p>
          <w:p w14:paraId="56930ADF" w14:textId="77777777" w:rsidR="00780010" w:rsidRPr="001D7630" w:rsidRDefault="00780010" w:rsidP="00780010">
            <w:pPr>
              <w:rPr>
                <w:b/>
                <w:bCs/>
                <w:iCs/>
              </w:rPr>
            </w:pPr>
          </w:p>
          <w:p w14:paraId="10733A47" w14:textId="1E845A90" w:rsidR="00780010" w:rsidRPr="001D7630" w:rsidRDefault="00780010" w:rsidP="00780010">
            <w:pPr>
              <w:rPr>
                <w:iCs/>
              </w:rPr>
            </w:pPr>
            <w:r w:rsidRPr="001D7630">
              <w:rPr>
                <w:iCs/>
              </w:rPr>
              <w:t>Lūgums skatīties skaidrojumu pie iepriekšējā iebilduma</w:t>
            </w:r>
          </w:p>
        </w:tc>
        <w:tc>
          <w:tcPr>
            <w:tcW w:w="4291" w:type="dxa"/>
            <w:tcBorders>
              <w:top w:val="single" w:sz="4" w:space="0" w:color="auto"/>
              <w:left w:val="single" w:sz="4" w:space="0" w:color="auto"/>
              <w:bottom w:val="single" w:sz="4" w:space="0" w:color="auto"/>
            </w:tcBorders>
            <w:shd w:val="clear" w:color="auto" w:fill="auto"/>
          </w:tcPr>
          <w:p w14:paraId="6BB6EB09"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13.panta 5.daļa ir svītrota.</w:t>
            </w:r>
          </w:p>
          <w:p w14:paraId="6363BACB"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p w14:paraId="2F8F7FC0" w14:textId="0401E7C6"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13.panta 4.daļa ir precizēta nosakot pienākumu iesniegt vispārīgo ziņojumu, ko nav pārbaudījusi akreditēta inspicēšanas institūcija</w:t>
            </w:r>
          </w:p>
        </w:tc>
      </w:tr>
      <w:tr w:rsidR="00780010" w:rsidRPr="001D7630" w14:paraId="3ABFFA76"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00E378D"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7C75E427"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3A17D629" w14:textId="77777777" w:rsidR="00780010" w:rsidRPr="001D7630" w:rsidRDefault="00780010" w:rsidP="00780010">
            <w:pPr>
              <w:autoSpaceDE w:val="0"/>
              <w:autoSpaceDN w:val="0"/>
              <w:adjustRightInd w:val="0"/>
              <w:jc w:val="center"/>
              <w:rPr>
                <w:b/>
                <w:bCs/>
              </w:rPr>
            </w:pPr>
            <w:r w:rsidRPr="001D7630">
              <w:rPr>
                <w:b/>
                <w:bCs/>
              </w:rPr>
              <w:t>Būvniecības valsts kontroles birojs</w:t>
            </w:r>
          </w:p>
          <w:p w14:paraId="70C0FE06" w14:textId="77777777" w:rsidR="00780010" w:rsidRPr="001D7630" w:rsidRDefault="00780010" w:rsidP="00780010">
            <w:pPr>
              <w:autoSpaceDE w:val="0"/>
              <w:autoSpaceDN w:val="0"/>
              <w:adjustRightInd w:val="0"/>
              <w:jc w:val="center"/>
              <w:rPr>
                <w:b/>
                <w:bCs/>
              </w:rPr>
            </w:pPr>
            <w:r w:rsidRPr="001D7630">
              <w:rPr>
                <w:b/>
                <w:bCs/>
              </w:rPr>
              <w:t>(16.06.2021.)</w:t>
            </w:r>
          </w:p>
          <w:p w14:paraId="36DE245E" w14:textId="77777777" w:rsidR="00780010" w:rsidRPr="001D7630" w:rsidRDefault="00780010" w:rsidP="00780010">
            <w:pPr>
              <w:ind w:firstLine="709"/>
              <w:jc w:val="both"/>
              <w:rPr>
                <w:u w:val="single"/>
              </w:rPr>
            </w:pPr>
            <w:r w:rsidRPr="001D7630">
              <w:t xml:space="preserve">[5] </w:t>
            </w:r>
            <w:r w:rsidRPr="001D7630">
              <w:rPr>
                <w:i/>
                <w:iCs/>
              </w:rPr>
              <w:t>Likumprojekta 13.panta otrajā daļā</w:t>
            </w:r>
            <w:r w:rsidRPr="001D7630">
              <w:t xml:space="preserve"> nav viennozīmīgi skaidrs par piespiedu naudas apjoma noteikšanas kārtību. Proti, vai piespiedu nauda būs </w:t>
            </w:r>
            <w:r w:rsidRPr="001D7630">
              <w:lastRenderedPageBreak/>
              <w:t xml:space="preserve">jāaprēķina no konkrētā degvielas piegādātāja pēdējā finanšu gada neto apgrozījuma. Vai ar šo normu ir jāsaprot, ja degvielas piegādātājs paralēli degvielas realizācijas uzņēmējdarbībai nodarbojas ar citiem komercdarbības veidiem, tad </w:t>
            </w:r>
            <w:r w:rsidRPr="001D7630">
              <w:rPr>
                <w:u w:val="single"/>
              </w:rPr>
              <w:t>piespiedu nauda Ministru kabineta noteiktai institūcijai būs jāaprēķina no degvielas piegādātāja kopējā neto apgrozījuma, arī no tā apgrozījuma, kas nav saistīts ar degvielas realizāciju</w:t>
            </w:r>
            <w:r w:rsidRPr="001D7630">
              <w:t xml:space="preserve">. </w:t>
            </w:r>
          </w:p>
          <w:p w14:paraId="0325EB1E" w14:textId="77777777" w:rsidR="00780010" w:rsidRPr="001D7630" w:rsidRDefault="00780010" w:rsidP="00780010">
            <w:pPr>
              <w:ind w:firstLine="709"/>
              <w:jc w:val="both"/>
            </w:pPr>
            <w:r w:rsidRPr="001D7630">
              <w:t xml:space="preserve">Birojs lūdz papildināt Anotāciju ar skaidrojumu, kas Likumprojekta 13.panta otrajā daļā tiek saprasts ar </w:t>
            </w:r>
            <w:r w:rsidRPr="001D7630">
              <w:rPr>
                <w:i/>
                <w:iCs/>
              </w:rPr>
              <w:t>pēdējo finanšu gada neto apgrozījumu</w:t>
            </w:r>
            <w:r w:rsidRPr="001D7630">
              <w:t xml:space="preserve"> – tikai degvielas cena, vai degvielas cena ar nodokļiem un nodevām, citiem izdevumiem. </w:t>
            </w:r>
          </w:p>
          <w:p w14:paraId="60B97D84" w14:textId="77777777" w:rsidR="00780010" w:rsidRPr="001D7630" w:rsidRDefault="00780010" w:rsidP="00780010">
            <w:pPr>
              <w:ind w:firstLine="709"/>
              <w:jc w:val="both"/>
            </w:pPr>
            <w:r w:rsidRPr="001D7630">
              <w:t xml:space="preserve">Vienlaikus saistībā ar iepriekš minēto </w:t>
            </w:r>
            <w:bookmarkStart w:id="16" w:name="_Hlk74579803"/>
            <w:r w:rsidRPr="001D7630">
              <w:t xml:space="preserve">Birojs lūdz sniegt skaidrojumu, no kāda transporta enerģijas apjoma degvielas piegādātajam noteikts pienākums Likumprojekta 8.panta ceturtās daļas 1. vai 2. punktā, t.i., vai tikai no tā </w:t>
            </w:r>
            <w:bookmarkStart w:id="17" w:name="_Hlk74579267"/>
            <w:r w:rsidRPr="001D7630">
              <w:t>apjoma</w:t>
            </w:r>
            <w:bookmarkEnd w:id="17"/>
            <w:r w:rsidRPr="001D7630">
              <w:t xml:space="preserve">, ko komersants piedāvā galapatērētājam no savā īpašumā esošās (iepirktās) degvielas, kuru pārdod mazumtirdzniecībā. Savukārt piespiedu nauda saskaņā ar Likumprojekta 13.panta otro daļu tiks aprēķināta no degvielas piegādātāja kopējā pēdējā finanšu gada </w:t>
            </w:r>
            <w:r w:rsidRPr="001D7630">
              <w:lastRenderedPageBreak/>
              <w:t>neto apgrozījuma, kas attiecas uz degvielas apriti.</w:t>
            </w:r>
          </w:p>
          <w:bookmarkEnd w:id="16"/>
          <w:p w14:paraId="77980B39" w14:textId="77777777" w:rsidR="00780010" w:rsidRPr="001D7630" w:rsidRDefault="00780010" w:rsidP="00780010">
            <w:pPr>
              <w:ind w:firstLine="709"/>
              <w:jc w:val="both"/>
            </w:pPr>
            <w:r w:rsidRPr="001D7630">
              <w:t xml:space="preserve">Likumprojekta 8.panta ceturtās daļas 2.punktā ir noteikts, ka līdzdalības mehānisma ietvaros degvielas piegādātājs līdz 2030.gada 1.janvārim nodrošina, ka tā galapatēriņam transportā realizētais šī likuma pirmajā daļā minētās </w:t>
            </w:r>
            <w:r w:rsidRPr="001D7630">
              <w:rPr>
                <w:u w:val="single"/>
              </w:rPr>
              <w:t>atjaunojamās transporta enerģijas īpatsvars</w:t>
            </w:r>
            <w:r w:rsidRPr="001D7630">
              <w:t xml:space="preserve">, ievērojot arī šā panta sestajā un septītajā daļā noteiktos nosacījumus un ņemot vērā koeficientus konkrētiem transporta enerģijas veidiem un atjaunojamās elektroenerģijas ieskaitei, </w:t>
            </w:r>
            <w:r w:rsidRPr="001D7630">
              <w:rPr>
                <w:u w:val="single"/>
              </w:rPr>
              <w:t>ir vismaz 7 enerģijas procenti no kopējā realizētā transporta enerģijas apjoma</w:t>
            </w:r>
            <w:r w:rsidRPr="001D7630">
              <w:t xml:space="preserve">, kas sasniegti, </w:t>
            </w:r>
            <w:r w:rsidRPr="001D7630">
              <w:rPr>
                <w:u w:val="single"/>
              </w:rPr>
              <w:t>sākot no 2029. gada 1. janvāra</w:t>
            </w:r>
            <w:r w:rsidRPr="001D7630">
              <w:t xml:space="preserve"> galapatēriņam transportā realizējot moderno biodegvielu un modernās biogāzes, atjaunojamās elektroenerģijas, pārstrādāto oglekļa degvielu un no atjaunojamiem energoresursiem ražoto nebioloģiskas izcelsmes šķidro vai gāzveida degvielu apjomu – </w:t>
            </w:r>
            <w:r w:rsidRPr="001D7630">
              <w:rPr>
                <w:u w:val="single"/>
              </w:rPr>
              <w:t>ne mazāk kā 3,5 enerģijas procenti no visa konkrētā degvielas piegādātāja galapatēriņam transportā realizētā transporta enerģijas apjoma</w:t>
            </w:r>
            <w:r w:rsidRPr="001D7630">
              <w:t>.</w:t>
            </w:r>
          </w:p>
          <w:p w14:paraId="7F43A9DE" w14:textId="3993C992" w:rsidR="00780010" w:rsidRPr="001D7630" w:rsidRDefault="00780010" w:rsidP="00780010">
            <w:pPr>
              <w:ind w:firstLine="709"/>
              <w:jc w:val="both"/>
            </w:pPr>
            <w:r w:rsidRPr="001D7630">
              <w:t xml:space="preserve"> Birojs lūdz sniegt skaidrojumu, vai no </w:t>
            </w:r>
            <w:r w:rsidRPr="001D7630">
              <w:rPr>
                <w:i/>
                <w:iCs/>
              </w:rPr>
              <w:t>Likumprojekta 13.panta ceturtās daļas</w:t>
            </w:r>
            <w:r w:rsidRPr="001D7630">
              <w:t xml:space="preserve"> ir saprotams, ka </w:t>
            </w:r>
            <w:r w:rsidRPr="001D7630">
              <w:rPr>
                <w:u w:val="single"/>
              </w:rPr>
              <w:t xml:space="preserve">līdz 2029.gadam degvielas piegādātājs Ministru kabineta noteiktajai institūcijai par šā likuma </w:t>
            </w:r>
            <w:r w:rsidRPr="001D7630">
              <w:rPr>
                <w:u w:val="single"/>
              </w:rPr>
              <w:lastRenderedPageBreak/>
              <w:t>8.panta ceturtās daļas 2.punktā noteiktā mērķa izpildi neziņo</w:t>
            </w:r>
            <w:r w:rsidRPr="001D7630">
              <w:t>.</w:t>
            </w:r>
          </w:p>
          <w:p w14:paraId="51E46BE7" w14:textId="77777777" w:rsidR="00780010" w:rsidRPr="001D7630" w:rsidRDefault="00780010" w:rsidP="00780010">
            <w:pPr>
              <w:ind w:firstLine="709"/>
              <w:jc w:val="both"/>
            </w:pPr>
            <w:r w:rsidRPr="001D7630">
              <w:t xml:space="preserve">Birojs lūdz sniegt skaidrojumu par </w:t>
            </w:r>
            <w:r w:rsidRPr="001D7630">
              <w:rPr>
                <w:i/>
                <w:iCs/>
              </w:rPr>
              <w:t xml:space="preserve">Likumprojekta 13.panta septītās daļas </w:t>
            </w:r>
            <w:r w:rsidRPr="001D7630">
              <w:t xml:space="preserve">piemērošanu, proti, gadījumā, </w:t>
            </w:r>
            <w:r w:rsidRPr="001D7630">
              <w:rPr>
                <w:u w:val="single"/>
              </w:rPr>
              <w:t>ja degvielas piegādātājs neiesniedz Likumprojekta 11.panta pirmajā daļā noteikto ziņojumu</w:t>
            </w:r>
            <w:r w:rsidRPr="001D7630">
              <w:t xml:space="preserve">, tad Ministru kabineta noteiktā institūcija pieņem </w:t>
            </w:r>
            <w:r w:rsidRPr="001D7630">
              <w:rPr>
                <w:u w:val="single"/>
              </w:rPr>
              <w:t>lēmumu par piespiedu naudas piemērošanu</w:t>
            </w:r>
            <w:r w:rsidRPr="001D7630">
              <w:t xml:space="preserve">, savukārt gadījumā, </w:t>
            </w:r>
            <w:r w:rsidRPr="001D7630">
              <w:rPr>
                <w:u w:val="single"/>
              </w:rPr>
              <w:t>ja degvielas piegādātājs neizpilda noteikto mērķi, tiek piemērota valsts nodeva</w:t>
            </w:r>
            <w:r w:rsidRPr="001D7630">
              <w:t>.</w:t>
            </w:r>
          </w:p>
          <w:p w14:paraId="430C5615" w14:textId="77777777" w:rsidR="00780010" w:rsidRPr="001D7630" w:rsidRDefault="00780010" w:rsidP="00780010">
            <w:pPr>
              <w:ind w:firstLine="709"/>
              <w:jc w:val="both"/>
            </w:pPr>
            <w:r w:rsidRPr="001D7630">
              <w:t xml:space="preserve">Birojs vērš uzmanību, ka Likumprojekta 13.panta otrajā daļā noteiktie piespiedu naudas piemērošanas kritēriji attiecas uz Likumprojekta 8.pantā noteikto pienākumu neizpildi. Līdz ar to lūdzam skaidrot, </w:t>
            </w:r>
            <w:r w:rsidRPr="001D7630">
              <w:rPr>
                <w:u w:val="single"/>
              </w:rPr>
              <w:t>pēc kādiem kritērijiem Ministru kabineta noteiktā institūcija noteiks Likumprojekta 13.panta septītajā daļā noteiktās uzliekamās piespiedu naudas apmēru</w:t>
            </w:r>
            <w:r w:rsidRPr="001D7630">
              <w:t>.</w:t>
            </w:r>
          </w:p>
          <w:p w14:paraId="4B4F4350" w14:textId="77777777" w:rsidR="00780010" w:rsidRPr="001D7630" w:rsidRDefault="00780010" w:rsidP="00780010">
            <w:pPr>
              <w:ind w:firstLine="709"/>
              <w:jc w:val="both"/>
            </w:pPr>
            <w:r w:rsidRPr="001D7630">
              <w:t xml:space="preserve">Saistībā ar iepriekš minēto </w:t>
            </w:r>
            <w:r w:rsidRPr="001D7630">
              <w:rPr>
                <w:b/>
                <w:bCs/>
              </w:rPr>
              <w:t>Birojs iebilst</w:t>
            </w:r>
            <w:r w:rsidRPr="001D7630">
              <w:t xml:space="preserve">, ka Likumprojekta 13.panta septītajā daļā nav noteikts </w:t>
            </w:r>
            <w:r w:rsidRPr="001D7630">
              <w:rPr>
                <w:b/>
                <w:bCs/>
              </w:rPr>
              <w:t xml:space="preserve">un attiecīgi lūdz </w:t>
            </w:r>
            <w:r w:rsidRPr="001D7630">
              <w:rPr>
                <w:b/>
                <w:bCs/>
                <w:u w:val="single"/>
              </w:rPr>
              <w:t>papildināt</w:t>
            </w:r>
            <w:r w:rsidRPr="001D7630">
              <w:rPr>
                <w:u w:val="single"/>
              </w:rPr>
              <w:t xml:space="preserve"> minētā panta daļu</w:t>
            </w:r>
            <w:r w:rsidRPr="001D7630">
              <w:t xml:space="preserve"> ar teikumu, ka </w:t>
            </w:r>
            <w:r w:rsidRPr="001D7630">
              <w:rPr>
                <w:u w:val="single"/>
              </w:rPr>
              <w:t>piespiedu naudas samaksas uzlikšana neatbrīvo degvielas piegādātāju no likumā noteiktā pienākuma izpildes</w:t>
            </w:r>
            <w:r w:rsidRPr="001D7630">
              <w:t xml:space="preserve">, t.i., iesniegt Likumprojekta 11.panta pirmajā daļā noteikto vispārīgo ziņojumu. </w:t>
            </w:r>
          </w:p>
          <w:p w14:paraId="51BE9464" w14:textId="15945FCE" w:rsidR="00780010" w:rsidRPr="001D7630" w:rsidRDefault="00780010" w:rsidP="00780010">
            <w:pPr>
              <w:ind w:firstLine="709"/>
              <w:jc w:val="both"/>
            </w:pPr>
            <w:r w:rsidRPr="001D7630">
              <w:lastRenderedPageBreak/>
              <w:t xml:space="preserve">Tāpat Birojs saskaņā ar Administratīvā procesa likuma (turpmāk – APL) 185.panta ceturtās daļas 2.punktu lūdz papildināt </w:t>
            </w:r>
            <w:r w:rsidRPr="001D7630">
              <w:rPr>
                <w:i/>
                <w:iCs/>
              </w:rPr>
              <w:t>Likumprojekta 13.panta astoto daļu</w:t>
            </w:r>
            <w:r w:rsidRPr="001D7630">
              <w:t xml:space="preserve"> ar norādi, ka </w:t>
            </w:r>
            <w:r w:rsidRPr="001D7630">
              <w:rPr>
                <w:u w:val="single"/>
              </w:rPr>
              <w:t>Ministru kabineta noteiktās institūcijas lēmuma pārsūdzēšana neaptur šī lēmuma darbību</w:t>
            </w:r>
            <w:r w:rsidRPr="001D7630">
              <w:rPr>
                <w:i/>
                <w:iCs/>
              </w:rPr>
              <w:t xml:space="preserve">, </w:t>
            </w:r>
            <w:r w:rsidRPr="001D7630">
              <w:t>tādējādi veicinot minētās normas izpratni un mērķi, ka degvielas piegādātājam uzliktā piespiedu nauda ir jāsamaksā neatkarīgi no lēmuma pārsūdzēšanas fakta.</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5B391210" w14:textId="370D1AAA" w:rsidR="00780010" w:rsidRPr="001D7630" w:rsidRDefault="00780010" w:rsidP="00780010">
            <w:pPr>
              <w:jc w:val="center"/>
              <w:rPr>
                <w:b/>
                <w:bCs/>
                <w:iCs/>
              </w:rPr>
            </w:pPr>
            <w:r w:rsidRPr="001D7630">
              <w:rPr>
                <w:b/>
                <w:bCs/>
                <w:iCs/>
              </w:rPr>
              <w:lastRenderedPageBreak/>
              <w:t>Ņemts vērā</w:t>
            </w:r>
          </w:p>
          <w:p w14:paraId="3A3E6056" w14:textId="08CC6103" w:rsidR="00780010" w:rsidRPr="001D7630" w:rsidRDefault="00780010" w:rsidP="00780010">
            <w:pPr>
              <w:rPr>
                <w:iCs/>
              </w:rPr>
            </w:pPr>
            <w:r w:rsidRPr="001D7630">
              <w:rPr>
                <w:iCs/>
              </w:rPr>
              <w:t xml:space="preserve">Informējam, ka piespiedu nauda ir piemērojama no kopējā finanšu gada neto apgrozījuma, arī no tā, kas nav saistītas ar degvielas </w:t>
            </w:r>
            <w:r w:rsidRPr="001D7630">
              <w:rPr>
                <w:iCs/>
              </w:rPr>
              <w:lastRenderedPageBreak/>
              <w:t>aprites darbībām, jo piespiedu naudas piemērošana pēc būtības ietekmēs visu komersantu, līdz ar to piespiedu naudas piemērošana tikai par kādu daļu no neto apgrozījuma mazina šādas piespiedu naudas efektivitāti, jo ietekmēs minēto komersantu daudz mazākā apjomā, kā arī ietekmēs šo komersantu mazākā apjomā nekā tos komersantus, kuru vienīgā darbība ir saistīta ar transporta enerģijas realizāciju.</w:t>
            </w:r>
          </w:p>
          <w:p w14:paraId="23B270E8" w14:textId="0FA22C55" w:rsidR="00780010" w:rsidRPr="001D7630" w:rsidRDefault="00780010" w:rsidP="00780010">
            <w:pPr>
              <w:rPr>
                <w:iCs/>
              </w:rPr>
            </w:pPr>
          </w:p>
          <w:p w14:paraId="5B8B6742" w14:textId="54A406B8" w:rsidR="00780010" w:rsidRPr="001D7630" w:rsidRDefault="00780010" w:rsidP="00780010">
            <w:pPr>
              <w:rPr>
                <w:iCs/>
              </w:rPr>
            </w:pPr>
            <w:r w:rsidRPr="001D7630">
              <w:rPr>
                <w:iCs/>
              </w:rPr>
              <w:t xml:space="preserve">Attiecībā uz ziņošanu skaidrojam, ka degvielas piegādātājs katru gadu iesniegs vispārīgo ziņojumu, kurā ziņos par galapatēriņam transportā realizēto fosilās degvielas, biodegvielas (sadalījumā pa moderno biodegvielu vai moderno biogāzi un citu biodegvielu vai biogāzi), elektroenerģiju, pārstrādātajām oglekļa degvielām, RFNBOs, no citiem degvielas piegādātājiem vai </w:t>
            </w:r>
            <w:r w:rsidRPr="001D7630">
              <w:rPr>
                <w:iCs/>
              </w:rPr>
              <w:lastRenderedPageBreak/>
              <w:t>komersantiem, kas nav degvielas piegādātāji, iegādāto biometāna vai elektroenerģijas statstiku. Vienlaikus ziņošanas formā ir plānots uzreiz iekļaut arī formulas, kas aprēķinās ne tikai ikgadējā mērķa – transporta enerģijas aprites cikla SEG emisiju intensitātes samazinājumu, bet aprēķinās arī moderno biodegvielu / biogāzes īpatsvaru (saistošie mērķi 2022., 2025. un 2030.gadā), kā arī aprēķinās kopējo atjaunojamās transporta enerģijas īpatsvaru. līdz ar to šie dati degvielas piegādātājam būs pieejami un būs zināmi arī BVKB, kas ļaus izsekot arī situāciju ar 2030.gada saistošā mērķa izpildes progresu. Vienlaikus minētais mērķis ir saistošs tikai sākot ar 2029. kalendāro gadu un arī mērķa izpildes uzraudzības darbības likumprojekta 8.panta 4.daļas 2.punktā noteiktā mērķa izpildei ir jāsāk veikt sākot ar 2030.gadu.</w:t>
            </w:r>
          </w:p>
          <w:p w14:paraId="33A29A3C" w14:textId="0003BE07" w:rsidR="00780010" w:rsidRPr="001D7630" w:rsidRDefault="00780010" w:rsidP="00780010">
            <w:pPr>
              <w:rPr>
                <w:iCs/>
              </w:rPr>
            </w:pPr>
          </w:p>
          <w:p w14:paraId="2A9DB7EF" w14:textId="7CA6C372" w:rsidR="00780010" w:rsidRPr="001D7630" w:rsidRDefault="00780010" w:rsidP="00780010">
            <w:pPr>
              <w:rPr>
                <w:iCs/>
              </w:rPr>
            </w:pPr>
            <w:r w:rsidRPr="001D7630">
              <w:rPr>
                <w:iCs/>
              </w:rPr>
              <w:lastRenderedPageBreak/>
              <w:t>Likumprojekta 13.panta 7.daļa nosaka, ka gadījumā, ja degvielas piegādātājs neiesniedz vispārīgo ziņojumu, tad BVKB prasa minētā degvielas piegādātāja realizētos degvielas apjomus no VID. Tālāk BVKB izmanto šos datus, lai aprēķinātu atjaunojamās transporta enerģijas mērķa izpildi, un šī mērķa neizpildes gadījumā piemēro piespiedu naudu, un lai aprēķinātu transporta enerģijas aprites cikla SEG emisiju apjomu un piemērotu valsts nodevu (likumprojekta 14.pants).</w:t>
            </w:r>
          </w:p>
          <w:p w14:paraId="24A4E679" w14:textId="652A85BF" w:rsidR="00780010" w:rsidRPr="001D7630" w:rsidRDefault="00780010" w:rsidP="00780010">
            <w:pPr>
              <w:rPr>
                <w:iCs/>
              </w:rPr>
            </w:pPr>
          </w:p>
          <w:p w14:paraId="2B59EFC4" w14:textId="195B9A3E" w:rsidR="00780010" w:rsidRPr="001D7630" w:rsidRDefault="00780010" w:rsidP="00780010">
            <w:pPr>
              <w:rPr>
                <w:iCs/>
              </w:rPr>
            </w:pPr>
            <w:r w:rsidRPr="001D7630">
              <w:rPr>
                <w:iCs/>
              </w:rPr>
              <w:t xml:space="preserve">Papildus lūgums skatīt skaidrojumu izziņas sadaļā par BVKB 6.punktu īpaši attiecībā uz to, ka likumprojekta 13.panta 7.daļa un likumprojekta 14.panta 3.daļa nekādā veidā nepasaka, ka piespiedu naudas vai nodevas piemērošana atbrīvotu degvielas piegādātāju no ziņojumu nesniegšanas. </w:t>
            </w:r>
          </w:p>
          <w:p w14:paraId="174FB3A5" w14:textId="34E7C35C" w:rsidR="00780010" w:rsidRPr="001D7630" w:rsidRDefault="00780010" w:rsidP="00780010">
            <w:pPr>
              <w:rPr>
                <w:b/>
                <w:bCs/>
                <w:iCs/>
              </w:rPr>
            </w:pPr>
          </w:p>
        </w:tc>
        <w:tc>
          <w:tcPr>
            <w:tcW w:w="4291" w:type="dxa"/>
            <w:tcBorders>
              <w:top w:val="single" w:sz="4" w:space="0" w:color="auto"/>
              <w:left w:val="single" w:sz="4" w:space="0" w:color="auto"/>
              <w:bottom w:val="single" w:sz="4" w:space="0" w:color="auto"/>
            </w:tcBorders>
            <w:shd w:val="clear" w:color="auto" w:fill="auto"/>
          </w:tcPr>
          <w:p w14:paraId="2775897D"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lastRenderedPageBreak/>
              <w:t>Likumprojekta anotācijas I sadaļas 2.punkta sadaļa “</w:t>
            </w:r>
            <w:r w:rsidRPr="001D7630">
              <w:rPr>
                <w:rFonts w:ascii="Times New Roman" w:hAnsi="Times New Roman"/>
                <w:sz w:val="24"/>
                <w:szCs w:val="24"/>
                <w:u w:val="single"/>
                <w:lang w:eastAsia="lv-LV"/>
              </w:rPr>
              <w:t>Likumprojekta 13.pants</w:t>
            </w:r>
            <w:r w:rsidRPr="001D7630">
              <w:rPr>
                <w:rFonts w:ascii="Times New Roman" w:hAnsi="Times New Roman"/>
                <w:sz w:val="24"/>
                <w:szCs w:val="24"/>
                <w:lang w:eastAsia="lv-LV"/>
              </w:rPr>
              <w:t>” ir papildināta.</w:t>
            </w:r>
          </w:p>
          <w:p w14:paraId="1D888185"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p w14:paraId="67AB8952" w14:textId="7E50B060"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13.pants ir precizēts</w:t>
            </w:r>
          </w:p>
        </w:tc>
      </w:tr>
      <w:tr w:rsidR="00780010" w:rsidRPr="001D7630" w14:paraId="10BA7E3E"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7F790FC1"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625E6515"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5D89CECA" w14:textId="77777777" w:rsidR="00780010" w:rsidRPr="001D7630" w:rsidRDefault="00780010" w:rsidP="00780010">
            <w:pPr>
              <w:autoSpaceDE w:val="0"/>
              <w:autoSpaceDN w:val="0"/>
              <w:adjustRightInd w:val="0"/>
              <w:jc w:val="center"/>
              <w:rPr>
                <w:b/>
                <w:bCs/>
              </w:rPr>
            </w:pPr>
            <w:r w:rsidRPr="001D7630">
              <w:rPr>
                <w:b/>
                <w:bCs/>
              </w:rPr>
              <w:t>Finanšu ministrija</w:t>
            </w:r>
          </w:p>
          <w:p w14:paraId="0ACEF30D" w14:textId="77777777" w:rsidR="00780010" w:rsidRPr="001D7630" w:rsidRDefault="00780010" w:rsidP="00780010">
            <w:pPr>
              <w:autoSpaceDE w:val="0"/>
              <w:autoSpaceDN w:val="0"/>
              <w:adjustRightInd w:val="0"/>
              <w:jc w:val="center"/>
              <w:rPr>
                <w:b/>
                <w:bCs/>
              </w:rPr>
            </w:pPr>
            <w:r w:rsidRPr="001D7630">
              <w:rPr>
                <w:b/>
                <w:bCs/>
              </w:rPr>
              <w:t>(16.06.2021. atzinums)</w:t>
            </w:r>
          </w:p>
          <w:p w14:paraId="5A58CE23" w14:textId="54B498B8" w:rsidR="00780010" w:rsidRPr="001D7630" w:rsidRDefault="00780010" w:rsidP="00780010">
            <w:pPr>
              <w:jc w:val="both"/>
            </w:pPr>
            <w:r w:rsidRPr="001D7630">
              <w:t>5. Saistībā ar likumprojekta 13.panta sesto daļu informācija par komersantu neto apgrozījumu ir publiski pieejama. Turklāt uzņēmuma gada pārskatu iesniegšanas termiņi ir 30.aprīlis (šogad 31.jūlijs) un 31.jūlijs (šogad 31.oktobris) un Valsts ieņēmumu dienests neapkopo informāciju par degvielas piegādātāju iepriekšējā finanšu gada neto apgrozījumu. Tāpēc lūdzam svītrot likumprojekta 13.panta sestajā daļā Valsts ieņēmumu dienestam uzlikto pienākumu.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BE1763E" w14:textId="735C5DFD" w:rsidR="00780010" w:rsidRPr="001D7630" w:rsidRDefault="00780010" w:rsidP="00780010">
            <w:pPr>
              <w:jc w:val="center"/>
              <w:rPr>
                <w:b/>
                <w:bCs/>
                <w:iCs/>
              </w:rPr>
            </w:pPr>
            <w:r w:rsidRPr="001D7630">
              <w:rPr>
                <w:b/>
                <w:bCs/>
                <w:iCs/>
              </w:rPr>
              <w:t>Ņemts vērā</w:t>
            </w:r>
          </w:p>
          <w:p w14:paraId="1BE90A0E" w14:textId="7E86A9AD" w:rsidR="00780010" w:rsidRPr="001D7630" w:rsidRDefault="00780010" w:rsidP="00780010">
            <w:pPr>
              <w:rPr>
                <w:b/>
                <w:bCs/>
                <w:iCs/>
              </w:rPr>
            </w:pPr>
          </w:p>
        </w:tc>
        <w:tc>
          <w:tcPr>
            <w:tcW w:w="4291" w:type="dxa"/>
            <w:tcBorders>
              <w:top w:val="single" w:sz="4" w:space="0" w:color="auto"/>
              <w:left w:val="single" w:sz="4" w:space="0" w:color="auto"/>
              <w:bottom w:val="single" w:sz="4" w:space="0" w:color="auto"/>
            </w:tcBorders>
            <w:shd w:val="clear" w:color="auto" w:fill="auto"/>
          </w:tcPr>
          <w:p w14:paraId="56337FCB" w14:textId="4E859504"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13.panta 6.daļa ir svītrota</w:t>
            </w:r>
          </w:p>
        </w:tc>
      </w:tr>
      <w:tr w:rsidR="00780010" w:rsidRPr="001D7630" w14:paraId="2ECC7964"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28A8655"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57504B4F"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7559B31D" w14:textId="77777777" w:rsidR="00780010" w:rsidRPr="001D7630" w:rsidRDefault="00780010" w:rsidP="00780010">
            <w:pPr>
              <w:autoSpaceDE w:val="0"/>
              <w:autoSpaceDN w:val="0"/>
              <w:adjustRightInd w:val="0"/>
              <w:jc w:val="center"/>
              <w:rPr>
                <w:b/>
                <w:bCs/>
              </w:rPr>
            </w:pPr>
            <w:r w:rsidRPr="001D7630">
              <w:rPr>
                <w:b/>
                <w:bCs/>
              </w:rPr>
              <w:t>Finanšu ministrija</w:t>
            </w:r>
          </w:p>
          <w:p w14:paraId="0D394BCF" w14:textId="77777777" w:rsidR="00780010" w:rsidRPr="001D7630" w:rsidRDefault="00780010" w:rsidP="00780010">
            <w:pPr>
              <w:autoSpaceDE w:val="0"/>
              <w:autoSpaceDN w:val="0"/>
              <w:adjustRightInd w:val="0"/>
              <w:jc w:val="center"/>
              <w:rPr>
                <w:b/>
                <w:bCs/>
              </w:rPr>
            </w:pPr>
            <w:r w:rsidRPr="001D7630">
              <w:rPr>
                <w:b/>
                <w:bCs/>
              </w:rPr>
              <w:t>(16.06.2021. atzinums)</w:t>
            </w:r>
          </w:p>
          <w:p w14:paraId="3E660D23" w14:textId="1A94ACC4" w:rsidR="00780010" w:rsidRPr="001D7630" w:rsidRDefault="00780010" w:rsidP="00780010">
            <w:pPr>
              <w:jc w:val="both"/>
            </w:pPr>
            <w:r w:rsidRPr="001D7630">
              <w:rPr>
                <w:b/>
                <w:bCs/>
              </w:rPr>
              <w:t xml:space="preserve">6. </w:t>
            </w:r>
            <w:r w:rsidRPr="001D7630">
              <w:t xml:space="preserve">Saistībā ar likumprojekta 13.panta septīto daļu nav skaidrs, kādu konkrēti informāciju Valsts ieņēmumu dienestam būs jāsniedz pēc pieprasījuma, lūdzam </w:t>
            </w:r>
            <w:r w:rsidRPr="001D7630">
              <w:lastRenderedPageBreak/>
              <w:t>papildināt anotāciju ar skaidrojumu, tajā skaitā aizpildot anotācijas II sadaļas 2. un 3.punktu.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41E8F8CC" w14:textId="77777777" w:rsidR="00780010" w:rsidRPr="001D7630" w:rsidRDefault="00780010" w:rsidP="00780010">
            <w:pPr>
              <w:jc w:val="center"/>
              <w:rPr>
                <w:b/>
                <w:bCs/>
                <w:iCs/>
              </w:rPr>
            </w:pPr>
            <w:r w:rsidRPr="001D7630">
              <w:rPr>
                <w:b/>
                <w:bCs/>
                <w:iCs/>
              </w:rPr>
              <w:lastRenderedPageBreak/>
              <w:t>Ņemts vērā</w:t>
            </w:r>
          </w:p>
          <w:p w14:paraId="6C12BFB8" w14:textId="77777777" w:rsidR="00780010" w:rsidRPr="001D7630" w:rsidRDefault="00780010" w:rsidP="00780010">
            <w:pPr>
              <w:jc w:val="center"/>
              <w:rPr>
                <w:b/>
                <w:bCs/>
                <w:iCs/>
              </w:rPr>
            </w:pPr>
          </w:p>
        </w:tc>
        <w:tc>
          <w:tcPr>
            <w:tcW w:w="4291" w:type="dxa"/>
            <w:tcBorders>
              <w:top w:val="single" w:sz="4" w:space="0" w:color="auto"/>
              <w:left w:val="single" w:sz="4" w:space="0" w:color="auto"/>
              <w:bottom w:val="single" w:sz="4" w:space="0" w:color="auto"/>
            </w:tcBorders>
            <w:shd w:val="clear" w:color="auto" w:fill="auto"/>
          </w:tcPr>
          <w:p w14:paraId="2651E50A" w14:textId="70CD48A2"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13.panta 7.daļa ir svītrota</w:t>
            </w:r>
          </w:p>
        </w:tc>
      </w:tr>
      <w:tr w:rsidR="00780010" w:rsidRPr="001D7630" w14:paraId="587BA810" w14:textId="77777777" w:rsidTr="00D13A0B">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678F41FC"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7DE35F79"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43B896AF" w14:textId="77777777" w:rsidR="00780010" w:rsidRPr="001D7630" w:rsidRDefault="00780010" w:rsidP="00780010">
            <w:pPr>
              <w:autoSpaceDE w:val="0"/>
              <w:autoSpaceDN w:val="0"/>
              <w:adjustRightInd w:val="0"/>
              <w:jc w:val="center"/>
              <w:rPr>
                <w:b/>
                <w:bCs/>
              </w:rPr>
            </w:pPr>
            <w:r w:rsidRPr="001D7630">
              <w:rPr>
                <w:b/>
                <w:bCs/>
              </w:rPr>
              <w:t>Tieslietu ministrija</w:t>
            </w:r>
          </w:p>
          <w:p w14:paraId="749A5149" w14:textId="77777777" w:rsidR="00780010" w:rsidRPr="001D7630" w:rsidRDefault="00780010" w:rsidP="00780010">
            <w:pPr>
              <w:autoSpaceDE w:val="0"/>
              <w:autoSpaceDN w:val="0"/>
              <w:adjustRightInd w:val="0"/>
              <w:jc w:val="center"/>
              <w:rPr>
                <w:b/>
                <w:bCs/>
              </w:rPr>
            </w:pPr>
            <w:r w:rsidRPr="001D7630">
              <w:rPr>
                <w:b/>
                <w:bCs/>
              </w:rPr>
              <w:t>(16.06.2021. atzinums)</w:t>
            </w:r>
          </w:p>
          <w:p w14:paraId="16D299A0" w14:textId="470BF03D" w:rsidR="00780010" w:rsidRPr="001D7630" w:rsidRDefault="00780010" w:rsidP="00780010">
            <w:pPr>
              <w:jc w:val="both"/>
            </w:pPr>
            <w:r w:rsidRPr="001D7630">
              <w:t>1. Lūdzam projekta 13. panta piektajā daļā vārdus "piespiedu naudu uzliek reizi pusgadā" aizstāt ar vārdiem "piespiedu naudu var uzlikt reizi pusgadā". Piespiedu līdzekļu piemērošanā vajadzētu būt zināmai rīcības brīvībai, lai varētu izvērtēt samērīgumu un citus kritērijus, kā arī piespiedu līdzekļu piemērošana nekļūtu formāla, bez nepieciešamības noteiktā mērķa sasniegšanai. Turklāt jāievēro, ka piespiedu naudu var piemērot vien tikmēr, kamēr pastāv iespēja, ka persona pienākumu faktiski var izpildīt. Ja pienākums vairs reāli nav īstenojams (piemēram, pastāv tiesiski vai faktiski šķēršļi), tad šāda "piespiedu nauda" jau iegūst sodošu raksturu.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285C3B8F" w14:textId="02A62E3D"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shd w:val="clear" w:color="auto" w:fill="auto"/>
          </w:tcPr>
          <w:p w14:paraId="7565ABC5" w14:textId="554AB5F6"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13.panta 5.daļa ir svītrota</w:t>
            </w:r>
          </w:p>
        </w:tc>
      </w:tr>
      <w:tr w:rsidR="00780010" w:rsidRPr="001D7630" w14:paraId="3A743952"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05E2A9D2"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63997FD4"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1B8E1380" w14:textId="77777777" w:rsidR="00780010" w:rsidRPr="001D7630" w:rsidRDefault="00780010" w:rsidP="00780010">
            <w:pPr>
              <w:autoSpaceDE w:val="0"/>
              <w:autoSpaceDN w:val="0"/>
              <w:adjustRightInd w:val="0"/>
              <w:jc w:val="center"/>
              <w:rPr>
                <w:b/>
                <w:bCs/>
              </w:rPr>
            </w:pPr>
            <w:r w:rsidRPr="001D7630">
              <w:rPr>
                <w:b/>
                <w:bCs/>
              </w:rPr>
              <w:t>Tieslietu ministrija</w:t>
            </w:r>
          </w:p>
          <w:p w14:paraId="348EE4C6" w14:textId="77777777" w:rsidR="00780010" w:rsidRPr="001D7630" w:rsidRDefault="00780010" w:rsidP="00780010">
            <w:pPr>
              <w:autoSpaceDE w:val="0"/>
              <w:autoSpaceDN w:val="0"/>
              <w:adjustRightInd w:val="0"/>
              <w:jc w:val="center"/>
              <w:rPr>
                <w:b/>
                <w:bCs/>
              </w:rPr>
            </w:pPr>
            <w:r w:rsidRPr="001D7630">
              <w:rPr>
                <w:b/>
                <w:bCs/>
              </w:rPr>
              <w:t>(16.06.2021. atzinums)</w:t>
            </w:r>
          </w:p>
          <w:p w14:paraId="12C9DE1B" w14:textId="0C279EB2" w:rsidR="00780010" w:rsidRPr="001D7630" w:rsidRDefault="00780010" w:rsidP="00780010">
            <w:pPr>
              <w:jc w:val="both"/>
              <w:rPr>
                <w:b/>
                <w:bCs/>
              </w:rPr>
            </w:pPr>
            <w:r w:rsidRPr="001D7630">
              <w:t xml:space="preserve">2. Lūdzam svītrot projekta 13. panta astoto daļu un devītās daļas otro teikumu, kā arī projekta 14. panta ceturto daļu. Šajā gadījumā nav pamata paredzēt izņēmumus no Administratīvā procesa likumā noteiktās vispārīgās kārtības. Arī projekta anotācijā nav nekāda </w:t>
            </w:r>
            <w:r w:rsidRPr="001D7630">
              <w:lastRenderedPageBreak/>
              <w:t>skaidrojuma par šādu izņēmumu būtību un to nepieciešamību.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2E0936E3" w14:textId="77777777" w:rsidR="00780010" w:rsidRPr="001D7630" w:rsidRDefault="00780010" w:rsidP="00780010">
            <w:pPr>
              <w:jc w:val="center"/>
              <w:rPr>
                <w:b/>
                <w:bCs/>
                <w:iCs/>
              </w:rPr>
            </w:pPr>
            <w:r w:rsidRPr="001D7630">
              <w:rPr>
                <w:b/>
                <w:bCs/>
                <w:iCs/>
              </w:rPr>
              <w:lastRenderedPageBreak/>
              <w:t>Ņemts vērā</w:t>
            </w:r>
          </w:p>
          <w:p w14:paraId="655A6F79" w14:textId="539C5DB0" w:rsidR="00780010" w:rsidRPr="001D7630" w:rsidRDefault="00780010" w:rsidP="00780010">
            <w:pPr>
              <w:rPr>
                <w:iCs/>
              </w:rPr>
            </w:pPr>
            <w:r w:rsidRPr="001D7630">
              <w:rPr>
                <w:iCs/>
              </w:rPr>
              <w:t>Attiecīgais nosacījums svītrots.</w:t>
            </w:r>
          </w:p>
        </w:tc>
        <w:tc>
          <w:tcPr>
            <w:tcW w:w="4291" w:type="dxa"/>
            <w:tcBorders>
              <w:top w:val="single" w:sz="4" w:space="0" w:color="auto"/>
              <w:left w:val="single" w:sz="4" w:space="0" w:color="auto"/>
              <w:bottom w:val="single" w:sz="4" w:space="0" w:color="auto"/>
            </w:tcBorders>
            <w:shd w:val="clear" w:color="auto" w:fill="auto"/>
          </w:tcPr>
          <w:p w14:paraId="3C22BB37" w14:textId="54081229"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13. un 14.pants ir precizēts (arī ņemot vērā BVKB iebildumus)</w:t>
            </w:r>
          </w:p>
          <w:p w14:paraId="2AA87F78" w14:textId="1D2EE4E1"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p w14:paraId="2B0F4DC0" w14:textId="3A68D4FC"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anotācijas I sadaļas 2.punkta sadaļas “</w:t>
            </w:r>
            <w:r w:rsidRPr="001D7630">
              <w:rPr>
                <w:rFonts w:ascii="Times New Roman" w:hAnsi="Times New Roman"/>
                <w:sz w:val="24"/>
                <w:szCs w:val="24"/>
                <w:u w:val="single"/>
                <w:lang w:eastAsia="lv-LV"/>
              </w:rPr>
              <w:t>Likumprojekta 13.pants</w:t>
            </w:r>
            <w:r w:rsidRPr="001D7630">
              <w:rPr>
                <w:rFonts w:ascii="Times New Roman" w:hAnsi="Times New Roman"/>
                <w:sz w:val="24"/>
                <w:szCs w:val="24"/>
                <w:lang w:eastAsia="lv-LV"/>
              </w:rPr>
              <w:t>” un “</w:t>
            </w:r>
            <w:r w:rsidRPr="001D7630">
              <w:rPr>
                <w:rFonts w:ascii="Times New Roman" w:hAnsi="Times New Roman"/>
                <w:sz w:val="24"/>
                <w:szCs w:val="24"/>
                <w:u w:val="single"/>
                <w:lang w:eastAsia="lv-LV"/>
              </w:rPr>
              <w:t>Likumprojekta 14.pants</w:t>
            </w:r>
            <w:r w:rsidRPr="001D7630">
              <w:rPr>
                <w:rFonts w:ascii="Times New Roman" w:hAnsi="Times New Roman"/>
                <w:sz w:val="24"/>
                <w:szCs w:val="24"/>
                <w:lang w:eastAsia="lv-LV"/>
              </w:rPr>
              <w:t>” ir papildinātas.</w:t>
            </w:r>
          </w:p>
          <w:p w14:paraId="5973619A" w14:textId="6041172B"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r>
      <w:tr w:rsidR="00780010" w:rsidRPr="001D7630" w14:paraId="3B0CA378"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CB659A0"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0A992A9E"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3BD88A5A" w14:textId="77777777" w:rsidR="00780010" w:rsidRDefault="00780010" w:rsidP="00780010">
            <w:pPr>
              <w:autoSpaceDE w:val="0"/>
              <w:autoSpaceDN w:val="0"/>
              <w:adjustRightInd w:val="0"/>
              <w:jc w:val="center"/>
              <w:rPr>
                <w:b/>
                <w:bCs/>
              </w:rPr>
            </w:pPr>
            <w:r>
              <w:rPr>
                <w:b/>
                <w:bCs/>
              </w:rPr>
              <w:t>Tieslietu ministrija</w:t>
            </w:r>
          </w:p>
          <w:p w14:paraId="3C800561" w14:textId="77777777" w:rsidR="00780010" w:rsidRDefault="00780010" w:rsidP="00780010">
            <w:pPr>
              <w:autoSpaceDE w:val="0"/>
              <w:autoSpaceDN w:val="0"/>
              <w:adjustRightInd w:val="0"/>
              <w:jc w:val="center"/>
              <w:rPr>
                <w:b/>
                <w:bCs/>
              </w:rPr>
            </w:pPr>
            <w:r>
              <w:rPr>
                <w:b/>
                <w:bCs/>
              </w:rPr>
              <w:t>(15.07.2021. atzinums)</w:t>
            </w:r>
          </w:p>
          <w:p w14:paraId="31049A8F" w14:textId="39ADFA67" w:rsidR="00780010" w:rsidRPr="009A5411" w:rsidRDefault="00780010" w:rsidP="009A5411">
            <w:pPr>
              <w:jc w:val="both"/>
              <w:rPr>
                <w:sz w:val="22"/>
                <w:szCs w:val="22"/>
              </w:rPr>
            </w:pPr>
            <w:r>
              <w:t xml:space="preserve">1. Lūdzam precizēt projekta 13. pantu, norādot, ka attiecīgā institūcija </w:t>
            </w:r>
            <w:r>
              <w:rPr>
                <w:u w:val="single"/>
              </w:rPr>
              <w:t>var</w:t>
            </w:r>
            <w:r>
              <w:t xml:space="preserve"> pieņemt lēmumu par piespiedu naudas uzlikšanu (pašreizējā projekta 13. panta pirmā, trešā, ceturtā daļa). Kā norādīts iepriekšējā Tieslietu ministrijas atzinumā, piespiedu līdzekļu piemērošanā vajadzētu būt zināmai rīcības brīvībai, lai varētu izvērtēt samērīgumu un citus kritērijus, kā arī piespiedu līdzekļu piemērošana nekļūtu formāla, bez nepieciešamības noteiktā mērķa sasniegšanai. Turklāt jāievēro, ka piespiedu naudu var piemērot vien tikmēr, kamēr pastāv iespēja, ka persona pienākumu faktiski var izpildīt. Ja pienākums vairs reāli nav īstenojams (piemēram, pastāv tiesiski vai faktiski šķēršļi), tad šāda "piespiedu nauda" jau iegūst sodošu raksturu.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18AA2B68" w14:textId="1E927537" w:rsidR="00780010" w:rsidRPr="001D7630" w:rsidRDefault="00780010" w:rsidP="00780010">
            <w:pPr>
              <w:jc w:val="center"/>
              <w:rPr>
                <w:b/>
                <w:bCs/>
                <w:iCs/>
              </w:rPr>
            </w:pPr>
            <w:r>
              <w:rPr>
                <w:b/>
                <w:bCs/>
                <w:iCs/>
              </w:rPr>
              <w:t>Ņemts vērā</w:t>
            </w:r>
          </w:p>
        </w:tc>
        <w:tc>
          <w:tcPr>
            <w:tcW w:w="4291" w:type="dxa"/>
            <w:tcBorders>
              <w:top w:val="single" w:sz="4" w:space="0" w:color="auto"/>
              <w:left w:val="single" w:sz="4" w:space="0" w:color="auto"/>
              <w:bottom w:val="single" w:sz="4" w:space="0" w:color="auto"/>
            </w:tcBorders>
            <w:shd w:val="clear" w:color="auto" w:fill="auto"/>
          </w:tcPr>
          <w:p w14:paraId="534FE4E2" w14:textId="75B826D0"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Pr>
                <w:rFonts w:ascii="Times New Roman" w:hAnsi="Times New Roman"/>
                <w:sz w:val="24"/>
                <w:szCs w:val="24"/>
                <w:lang w:eastAsia="lv-LV"/>
              </w:rPr>
              <w:t>Likumprojekta 13.pants ir precizēts</w:t>
            </w:r>
          </w:p>
        </w:tc>
      </w:tr>
      <w:tr w:rsidR="00780010" w:rsidRPr="001D7630" w14:paraId="69A89A21"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34B4C65A"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62A3EC5"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58571090" w14:textId="77777777" w:rsidR="00780010" w:rsidRDefault="00780010" w:rsidP="00780010">
            <w:pPr>
              <w:autoSpaceDE w:val="0"/>
              <w:autoSpaceDN w:val="0"/>
              <w:adjustRightInd w:val="0"/>
              <w:jc w:val="center"/>
              <w:rPr>
                <w:b/>
                <w:bCs/>
              </w:rPr>
            </w:pPr>
            <w:r>
              <w:rPr>
                <w:b/>
                <w:bCs/>
              </w:rPr>
              <w:t>Tieslietu ministrija</w:t>
            </w:r>
          </w:p>
          <w:p w14:paraId="1F23583B" w14:textId="77777777" w:rsidR="00780010" w:rsidRDefault="00780010" w:rsidP="00780010">
            <w:pPr>
              <w:autoSpaceDE w:val="0"/>
              <w:autoSpaceDN w:val="0"/>
              <w:adjustRightInd w:val="0"/>
              <w:jc w:val="center"/>
              <w:rPr>
                <w:b/>
                <w:bCs/>
              </w:rPr>
            </w:pPr>
            <w:r>
              <w:rPr>
                <w:b/>
                <w:bCs/>
              </w:rPr>
              <w:t>(15.07.2021. atzinums)</w:t>
            </w:r>
          </w:p>
          <w:p w14:paraId="327D2499" w14:textId="77777777" w:rsidR="00780010" w:rsidRDefault="00780010" w:rsidP="009A5411">
            <w:pPr>
              <w:jc w:val="both"/>
              <w:rPr>
                <w:sz w:val="22"/>
                <w:szCs w:val="22"/>
              </w:rPr>
            </w:pPr>
            <w:r>
              <w:t xml:space="preserve">2. Projekta 13. panta sestajā daļā un 14. panta ceturtajā daļā paredzēts, ka attiecīgā lēmuma apstrīdēšana un pārsūdzēšana neaptur tā izpildi. Projekta anotācijā nav ietverts pamatojums izņēmumam no Administratīvā procesa likumā noteiktā apstrīdēšanas </w:t>
            </w:r>
            <w:r>
              <w:lastRenderedPageBreak/>
              <w:t>regulējuma. Ievērojot vispārpieņemtos kritērijus, pirmšķietami nav arī saskatāma nepieciešamība paredzēt, ka lēmuma apstrīdēšana neaptur tā izpildi.</w:t>
            </w:r>
          </w:p>
          <w:p w14:paraId="05F1CB2A" w14:textId="77777777" w:rsidR="00780010" w:rsidRDefault="00780010" w:rsidP="009A5411">
            <w:pPr>
              <w:jc w:val="both"/>
            </w:pPr>
            <w:r>
              <w:t>Savukārt saskaņā ar Administratīvā procesa likuma 185. panta ceturto daļu pieteikuma iesniegšana tiesā par administratīvā akta atcelšanu, atzīšanu par spēku zaudējušu vai spēkā neesošu neaptur administratīvā akta darbību, ja administratīvais akts uzliek pienākumu samaksāt nodokli, nodevu vai veikt citu maksājumu valsts vai pašvaldības budžetā, izņemot sodoša rakstura maksājumus (naudas sodus un soda naudas).</w:t>
            </w:r>
          </w:p>
          <w:p w14:paraId="6DB6B766" w14:textId="6F3A56CC" w:rsidR="00780010" w:rsidRPr="009A5411" w:rsidRDefault="00780010" w:rsidP="009A5411">
            <w:pPr>
              <w:jc w:val="both"/>
            </w:pPr>
            <w:r>
              <w:t>Ievērojot minēto, lūdzam svītrot projekta 13. panta sesto daļu un 14. panta ceturto daļu.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15A6A7DD" w14:textId="29697F36" w:rsidR="00780010" w:rsidRDefault="00780010" w:rsidP="00780010">
            <w:pPr>
              <w:jc w:val="center"/>
              <w:rPr>
                <w:b/>
                <w:bCs/>
                <w:iCs/>
              </w:rPr>
            </w:pPr>
            <w:r>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0C25116D" w14:textId="77777777" w:rsidR="00780010" w:rsidRDefault="00780010" w:rsidP="00780010">
            <w:pPr>
              <w:pStyle w:val="ListParagraph"/>
              <w:spacing w:after="0" w:line="240" w:lineRule="auto"/>
              <w:ind w:left="0"/>
              <w:contextualSpacing w:val="0"/>
              <w:rPr>
                <w:rFonts w:ascii="Times New Roman" w:hAnsi="Times New Roman"/>
                <w:sz w:val="24"/>
                <w:szCs w:val="24"/>
                <w:lang w:eastAsia="lv-LV"/>
              </w:rPr>
            </w:pPr>
            <w:r>
              <w:rPr>
                <w:rFonts w:ascii="Times New Roman" w:hAnsi="Times New Roman"/>
                <w:sz w:val="24"/>
                <w:szCs w:val="24"/>
                <w:lang w:eastAsia="lv-LV"/>
              </w:rPr>
              <w:t>Likumprojekta 13.pants un 14.pants (jaunais) ir attiecīgi precizēti.</w:t>
            </w:r>
          </w:p>
          <w:p w14:paraId="47E309D4" w14:textId="77777777" w:rsidR="00780010" w:rsidRDefault="00780010" w:rsidP="00780010">
            <w:pPr>
              <w:pStyle w:val="ListParagraph"/>
              <w:spacing w:after="0" w:line="240" w:lineRule="auto"/>
              <w:ind w:left="0"/>
              <w:contextualSpacing w:val="0"/>
              <w:rPr>
                <w:rFonts w:ascii="Times New Roman" w:hAnsi="Times New Roman"/>
                <w:sz w:val="24"/>
                <w:szCs w:val="24"/>
                <w:lang w:eastAsia="lv-LV"/>
              </w:rPr>
            </w:pPr>
          </w:p>
          <w:p w14:paraId="35827AAA" w14:textId="230422ED" w:rsidR="00780010" w:rsidRDefault="00780010" w:rsidP="00780010">
            <w:pPr>
              <w:pStyle w:val="ListParagraph"/>
              <w:spacing w:after="0" w:line="240" w:lineRule="auto"/>
              <w:ind w:left="0"/>
              <w:contextualSpacing w:val="0"/>
              <w:rPr>
                <w:rFonts w:ascii="Times New Roman" w:hAnsi="Times New Roman"/>
                <w:sz w:val="24"/>
                <w:szCs w:val="24"/>
                <w:lang w:eastAsia="lv-LV"/>
              </w:rPr>
            </w:pPr>
            <w:r>
              <w:rPr>
                <w:rFonts w:ascii="Times New Roman" w:hAnsi="Times New Roman"/>
                <w:sz w:val="24"/>
                <w:szCs w:val="24"/>
                <w:lang w:eastAsia="lv-LV"/>
              </w:rPr>
              <w:t>Likumprojekta anotācijas I sadaļas 2.punkta sadaļas “</w:t>
            </w:r>
            <w:r>
              <w:rPr>
                <w:rFonts w:ascii="Times New Roman" w:hAnsi="Times New Roman"/>
                <w:sz w:val="24"/>
                <w:szCs w:val="24"/>
                <w:u w:val="single"/>
                <w:lang w:eastAsia="lv-LV"/>
              </w:rPr>
              <w:t>Likumprojekta 13.</w:t>
            </w:r>
            <w:r w:rsidRPr="009A5411">
              <w:rPr>
                <w:rFonts w:ascii="Times New Roman" w:hAnsi="Times New Roman"/>
                <w:sz w:val="24"/>
                <w:szCs w:val="24"/>
                <w:lang w:eastAsia="lv-LV"/>
              </w:rPr>
              <w:t>pants</w:t>
            </w:r>
            <w:r>
              <w:rPr>
                <w:rFonts w:ascii="Times New Roman" w:hAnsi="Times New Roman"/>
                <w:sz w:val="24"/>
                <w:szCs w:val="24"/>
                <w:lang w:eastAsia="lv-LV"/>
              </w:rPr>
              <w:t>” un “</w:t>
            </w:r>
            <w:r>
              <w:rPr>
                <w:rFonts w:ascii="Times New Roman" w:hAnsi="Times New Roman"/>
                <w:sz w:val="24"/>
                <w:szCs w:val="24"/>
                <w:u w:val="single"/>
                <w:lang w:eastAsia="lv-LV"/>
              </w:rPr>
              <w:t>Likumprojekta 14.</w:t>
            </w:r>
            <w:r w:rsidRPr="009A5411">
              <w:rPr>
                <w:rFonts w:ascii="Times New Roman" w:hAnsi="Times New Roman"/>
                <w:sz w:val="24"/>
                <w:szCs w:val="24"/>
                <w:lang w:eastAsia="lv-LV"/>
              </w:rPr>
              <w:t>pant</w:t>
            </w:r>
            <w:r>
              <w:rPr>
                <w:rFonts w:ascii="Times New Roman" w:hAnsi="Times New Roman"/>
                <w:sz w:val="24"/>
                <w:szCs w:val="24"/>
                <w:lang w:eastAsia="lv-LV"/>
              </w:rPr>
              <w:t>” ir precizētas.</w:t>
            </w:r>
          </w:p>
        </w:tc>
      </w:tr>
      <w:tr w:rsidR="00780010" w:rsidRPr="001D7630" w14:paraId="580820E0" w14:textId="77777777" w:rsidTr="005D0902">
        <w:trPr>
          <w:jc w:val="center"/>
        </w:trPr>
        <w:tc>
          <w:tcPr>
            <w:tcW w:w="14992" w:type="dxa"/>
            <w:gridSpan w:val="5"/>
            <w:tcBorders>
              <w:top w:val="single" w:sz="6" w:space="0" w:color="000000"/>
              <w:left w:val="single" w:sz="6" w:space="0" w:color="000000"/>
              <w:bottom w:val="single" w:sz="6" w:space="0" w:color="000000"/>
            </w:tcBorders>
            <w:shd w:val="clear" w:color="auto" w:fill="auto"/>
          </w:tcPr>
          <w:p w14:paraId="20FE54CE" w14:textId="77777777" w:rsidR="00780010" w:rsidRPr="001D7630" w:rsidRDefault="00780010" w:rsidP="00780010">
            <w:pPr>
              <w:pStyle w:val="ListParagraph"/>
              <w:spacing w:after="0" w:line="240" w:lineRule="auto"/>
              <w:ind w:left="0"/>
              <w:contextualSpacing w:val="0"/>
              <w:jc w:val="center"/>
              <w:rPr>
                <w:rFonts w:ascii="Times New Roman" w:hAnsi="Times New Roman"/>
                <w:b/>
                <w:bCs/>
                <w:sz w:val="24"/>
                <w:szCs w:val="24"/>
                <w:lang w:eastAsia="lv-LV"/>
              </w:rPr>
            </w:pPr>
            <w:r w:rsidRPr="001D7630">
              <w:rPr>
                <w:rFonts w:ascii="Times New Roman" w:hAnsi="Times New Roman"/>
                <w:b/>
                <w:bCs/>
                <w:sz w:val="24"/>
                <w:szCs w:val="24"/>
                <w:lang w:eastAsia="lv-LV"/>
              </w:rPr>
              <w:t>14. PANTS</w:t>
            </w:r>
          </w:p>
        </w:tc>
      </w:tr>
      <w:tr w:rsidR="00780010" w:rsidRPr="001D7630" w14:paraId="3E3FCF22"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AE21A80"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5F1F7445"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54BC57C0" w14:textId="77777777" w:rsidR="00780010" w:rsidRPr="001D7630" w:rsidRDefault="00780010" w:rsidP="00780010">
            <w:pPr>
              <w:tabs>
                <w:tab w:val="left" w:pos="709"/>
                <w:tab w:val="left" w:pos="993"/>
                <w:tab w:val="left" w:pos="1560"/>
              </w:tabs>
              <w:jc w:val="center"/>
              <w:rPr>
                <w:b/>
                <w:iCs/>
              </w:rPr>
            </w:pPr>
            <w:bookmarkStart w:id="18" w:name="_Hlk61275820"/>
            <w:r w:rsidRPr="001D7630">
              <w:rPr>
                <w:b/>
                <w:iCs/>
              </w:rPr>
              <w:t>Tieslietu ministrija</w:t>
            </w:r>
          </w:p>
          <w:p w14:paraId="587F550A" w14:textId="77777777" w:rsidR="00780010" w:rsidRPr="001D7630" w:rsidRDefault="00780010" w:rsidP="00780010">
            <w:pPr>
              <w:tabs>
                <w:tab w:val="left" w:pos="709"/>
                <w:tab w:val="left" w:pos="993"/>
                <w:tab w:val="left" w:pos="1560"/>
              </w:tabs>
              <w:jc w:val="center"/>
              <w:rPr>
                <w:b/>
                <w:iCs/>
              </w:rPr>
            </w:pPr>
            <w:r w:rsidRPr="001D7630">
              <w:rPr>
                <w:b/>
                <w:iCs/>
              </w:rPr>
              <w:t>(08.01.2021. atzinums)</w:t>
            </w:r>
          </w:p>
          <w:bookmarkEnd w:id="18"/>
          <w:p w14:paraId="27EE36E1" w14:textId="77777777" w:rsidR="00780010" w:rsidRPr="001D7630" w:rsidRDefault="00780010" w:rsidP="00780010">
            <w:pPr>
              <w:jc w:val="both"/>
            </w:pPr>
            <w:r w:rsidRPr="001D7630">
              <w:t xml:space="preserve">6. Projekta 14. panta pirmā daļa paredz noteikt administratīvo atbildību par informācijas nenodrošināšanu iestādēm vai privātpersonām. </w:t>
            </w:r>
          </w:p>
          <w:p w14:paraId="78BC0BD5" w14:textId="77777777" w:rsidR="00780010" w:rsidRPr="001D7630" w:rsidRDefault="00780010" w:rsidP="00780010">
            <w:pPr>
              <w:jc w:val="both"/>
            </w:pPr>
            <w:r w:rsidRPr="001D7630">
              <w:t xml:space="preserve">Norādām, ka </w:t>
            </w:r>
            <w:r w:rsidRPr="001D7630">
              <w:tab/>
              <w:t xml:space="preserve">izstrādājot jaunas administratīvo atbildību regulējošas tiesību normas, jāņem vērā šādi kritēriji: 1) administratīvā akta prioritātes princips; 2) sabiedriskās kārtības mērķa sasniegšanas efektivitāte; 3) problēmsituācijas attiecināmība uz </w:t>
            </w:r>
            <w:r w:rsidRPr="001D7630">
              <w:lastRenderedPageBreak/>
              <w:t xml:space="preserve">publiski tiesiskajām attiecībām; 4) problēmsituācijas bīstamība un kaitīgums; 5) aizliegums paredzēt administratīvos sodus par administratīvā akta labprātīgu neizpildīšanu; 6) atbildības normas citos normatīvajos aktos. Attiecīgi izstrādājot jaunas administratīvo atbildību regulējošas tiesību normas, visiem šiem kritērijiem ir jābūt izvērtētiem anotācijā. </w:t>
            </w:r>
          </w:p>
          <w:p w14:paraId="611EF020" w14:textId="77777777" w:rsidR="00780010" w:rsidRPr="001D7630" w:rsidRDefault="00780010" w:rsidP="00780010">
            <w:pPr>
              <w:jc w:val="both"/>
            </w:pPr>
            <w:r w:rsidRPr="001D7630">
              <w:t xml:space="preserve">Vienlaikus vēršam uzmanību, ka šobrīd vispārīgu administratīvo atbildību informācijas sniegšanas jomā jau noteic Administratīvo sodu likuma par pārkāpumiem pārvaldes, sabiedriskās kārtības un valsts valodas lietošanas jomā 3. pants. Attiecīgi normatīvajos aktos nebūtu paredzami panti ar  līdzīgu vai identisku administratīvā pārkāpuma sastāvu. Tādējādi būtu izvērtējams, vai nav pietiekoši ar administratīvo atbildību, kas paredzēta minētajā likumā. </w:t>
            </w:r>
          </w:p>
          <w:p w14:paraId="7AEEDE4D" w14:textId="77777777" w:rsidR="00780010" w:rsidRPr="001D7630" w:rsidRDefault="00780010" w:rsidP="00780010">
            <w:pPr>
              <w:jc w:val="both"/>
            </w:pPr>
            <w:r w:rsidRPr="001D7630">
              <w:t xml:space="preserve">Administratīvo atbildību normatīvajos aktos var paredzēt, ja  pārkāpums skar ievērojamu sabiedrības daļu (problēmsituācijas attiecināmība uz publiski tiesiskajām attiecībām) . Proti, administratīvās atbildības regulējums nav paredzēts civiltiesisku strīdu risināšanai (piemēram, ja privātpersonas savā starpā nesniedz solīto informāciju). </w:t>
            </w:r>
          </w:p>
          <w:p w14:paraId="38D338A5" w14:textId="77777777" w:rsidR="00780010" w:rsidRPr="001D7630" w:rsidRDefault="00780010" w:rsidP="00780010">
            <w:pPr>
              <w:jc w:val="both"/>
            </w:pPr>
            <w:r w:rsidRPr="001D7630">
              <w:t xml:space="preserve">Vēršam uzmanību arī uz to, ka papildus iepriekš minētajiem kritērijiem, </w:t>
            </w:r>
            <w:r w:rsidRPr="001D7630">
              <w:lastRenderedPageBreak/>
              <w:t xml:space="preserve">izstrādājot administratīvo atbildību regulējošas tiesību normas, jāņem vērā arī citi Administratīvās atbildības likumā nostiprinātie pamatprincipi, tostarp prakse, kādā tiek izstrādātas šādas tiesību normas. Piemēram, sodus "piemēro", nevis "uzliek". Tāpat paredzot naudas sodu apmēru par pārkāpumu, jāievēro Administratīvās atbildības likumā paredzētie maksimālie naudas soda apmēri fiziskām un juridiskām personām. </w:t>
            </w:r>
          </w:p>
          <w:p w14:paraId="1A30D169" w14:textId="77777777" w:rsidR="00780010" w:rsidRPr="001D7630" w:rsidRDefault="00780010" w:rsidP="00780010">
            <w:pPr>
              <w:jc w:val="both"/>
              <w:rPr>
                <w:b/>
                <w:bCs/>
              </w:rPr>
            </w:pPr>
            <w:r w:rsidRPr="001D7630">
              <w:t>Norādām, ka nav atbalstāma pieeja noteikt vienādu naudas sodu fiziskām un juridiskām personām, ievērojot, ka pamatā tām ir atšķirīgs finansiālais stāvoklis (sk. kontekstā ar Administratīvās atbildības likuma 19. panta otro daļu).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5DDE56D9"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35B6BB65"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14.pants ir svītrots</w:t>
            </w:r>
          </w:p>
        </w:tc>
      </w:tr>
      <w:tr w:rsidR="00780010" w:rsidRPr="001D7630" w14:paraId="1F18CACB"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30FA2318"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07211E19"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1C8C5869" w14:textId="77777777" w:rsidR="00780010" w:rsidRPr="001D7630" w:rsidRDefault="00780010" w:rsidP="00780010">
            <w:pPr>
              <w:tabs>
                <w:tab w:val="left" w:pos="709"/>
                <w:tab w:val="left" w:pos="993"/>
                <w:tab w:val="left" w:pos="1560"/>
              </w:tabs>
              <w:jc w:val="center"/>
              <w:rPr>
                <w:b/>
                <w:iCs/>
              </w:rPr>
            </w:pPr>
            <w:r w:rsidRPr="001D7630">
              <w:rPr>
                <w:b/>
                <w:iCs/>
              </w:rPr>
              <w:t>Tieslietu ministrija</w:t>
            </w:r>
          </w:p>
          <w:p w14:paraId="4F2877E1" w14:textId="77777777" w:rsidR="00780010" w:rsidRPr="001D7630" w:rsidRDefault="00780010" w:rsidP="00780010">
            <w:pPr>
              <w:tabs>
                <w:tab w:val="left" w:pos="709"/>
                <w:tab w:val="left" w:pos="993"/>
                <w:tab w:val="left" w:pos="1560"/>
              </w:tabs>
              <w:jc w:val="center"/>
              <w:rPr>
                <w:b/>
                <w:iCs/>
              </w:rPr>
            </w:pPr>
            <w:r w:rsidRPr="001D7630">
              <w:rPr>
                <w:b/>
                <w:iCs/>
              </w:rPr>
              <w:t>(08.01.2021. atzinums)</w:t>
            </w:r>
          </w:p>
          <w:p w14:paraId="5E8BD45E" w14:textId="77777777" w:rsidR="00780010" w:rsidRPr="001D7630" w:rsidRDefault="00780010" w:rsidP="00780010">
            <w:pPr>
              <w:widowControl w:val="0"/>
              <w:tabs>
                <w:tab w:val="left" w:pos="993"/>
                <w:tab w:val="left" w:pos="1276"/>
              </w:tabs>
              <w:jc w:val="both"/>
            </w:pPr>
            <w:r w:rsidRPr="001D7630">
              <w:t xml:space="preserve">7. Projekta 14. panta otrā daļa paredz noteikt administratīvo atbildību par normatīvajos aktos noteiktās informācijas par transporta enerģijas nenodrošināšanu tās tirdzniecības vietās.  Norādām, ka, ja persona pieļāvusi pārkāpumu, un nepieciešams panākt, lai persona izpilda noteiktas normatīvo aktu prasības, prioritāte būtu administratīvā akta izdošanai, nosakot pienākumu atbilstošā termiņā novērst neatbilstības un izpildīt prasības. Savukārt, ja persona turpina nepildīt noteiktās prasības, </w:t>
            </w:r>
            <w:r w:rsidRPr="001D7630">
              <w:lastRenderedPageBreak/>
              <w:t>administratīvā procesa kārtībā var tikt piemēroti dažādi tiesiskie līdzekļi (administratīvā akta un tā nosacījumu (uzdevumu) piespiedu izpilde - konkrētajā gadījumā varētu būt piespiedu nauda vai aizvietotājizpilde, administratīvā akta (atļaujas, licences, u.tml.) apturēšana, grozīšana vai atcelšana (ieskaitot t.s. pārreģistrācijas atteikumu)).</w:t>
            </w:r>
          </w:p>
          <w:p w14:paraId="355F0DFD" w14:textId="77777777" w:rsidR="00780010" w:rsidRPr="001D7630" w:rsidRDefault="00780010" w:rsidP="00780010">
            <w:pPr>
              <w:tabs>
                <w:tab w:val="left" w:pos="993"/>
                <w:tab w:val="left" w:pos="1276"/>
              </w:tabs>
            </w:pPr>
            <w:r w:rsidRPr="001D7630">
              <w:t>Attiecīgi aicinām izslēgt no projekta tajā paredzēto 14. panta otro daļu.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1AA875B5" w14:textId="77777777" w:rsidR="00780010" w:rsidRPr="001D7630" w:rsidRDefault="00780010" w:rsidP="00780010">
            <w:pPr>
              <w:jc w:val="center"/>
              <w:rPr>
                <w:b/>
                <w:bCs/>
                <w:iCs/>
              </w:rPr>
            </w:pPr>
            <w:r w:rsidRPr="001D7630">
              <w:rPr>
                <w:b/>
                <w:bCs/>
                <w:iCs/>
              </w:rPr>
              <w:lastRenderedPageBreak/>
              <w:t>Ņemts vērā</w:t>
            </w:r>
          </w:p>
          <w:p w14:paraId="4BB86F94" w14:textId="77777777" w:rsidR="00780010" w:rsidRPr="001D7630" w:rsidRDefault="00780010" w:rsidP="00780010">
            <w:pPr>
              <w:rPr>
                <w:iCs/>
              </w:rPr>
            </w:pPr>
          </w:p>
          <w:p w14:paraId="7D9D5DE6" w14:textId="77777777" w:rsidR="00780010" w:rsidRPr="001D7630" w:rsidRDefault="00780010" w:rsidP="00780010">
            <w:pPr>
              <w:ind w:right="80"/>
              <w:jc w:val="both"/>
              <w:rPr>
                <w:iCs/>
              </w:rPr>
            </w:pPr>
          </w:p>
        </w:tc>
        <w:tc>
          <w:tcPr>
            <w:tcW w:w="4291" w:type="dxa"/>
            <w:tcBorders>
              <w:top w:val="single" w:sz="4" w:space="0" w:color="auto"/>
              <w:left w:val="single" w:sz="4" w:space="0" w:color="auto"/>
              <w:bottom w:val="single" w:sz="4" w:space="0" w:color="auto"/>
            </w:tcBorders>
            <w:shd w:val="clear" w:color="auto" w:fill="auto"/>
          </w:tcPr>
          <w:p w14:paraId="1928384B"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14.pants ir svītrots.</w:t>
            </w:r>
          </w:p>
          <w:p w14:paraId="370452EA"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p w14:paraId="3BEDA14B" w14:textId="77777777" w:rsidR="00780010" w:rsidRPr="001D7630" w:rsidRDefault="00780010" w:rsidP="00780010">
            <w:pPr>
              <w:ind w:right="80"/>
              <w:jc w:val="both"/>
            </w:pPr>
            <w:r w:rsidRPr="001D7630">
              <w:t>Likumprojekta anotācijas I sadaļas 2.punkta sadaļa “</w:t>
            </w:r>
            <w:r w:rsidRPr="001D7630">
              <w:rPr>
                <w:u w:val="single"/>
              </w:rPr>
              <w:t>Likumprojekta 7.pants</w:t>
            </w:r>
            <w:r w:rsidRPr="001D7630">
              <w:t>” ir papildināta ar informāciju par darbībām nosacījumu neizpildes konstatācijas gadījumā.</w:t>
            </w:r>
          </w:p>
          <w:p w14:paraId="26517C43"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r>
      <w:tr w:rsidR="00780010" w:rsidRPr="001D7630" w14:paraId="28088578"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152886EB"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4ECCAF8D"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1D778752" w14:textId="77777777" w:rsidR="00780010" w:rsidRPr="001D7630" w:rsidRDefault="00780010" w:rsidP="00780010">
            <w:pPr>
              <w:jc w:val="center"/>
              <w:rPr>
                <w:b/>
                <w:bCs/>
              </w:rPr>
            </w:pPr>
            <w:r w:rsidRPr="001D7630">
              <w:rPr>
                <w:b/>
                <w:bCs/>
              </w:rPr>
              <w:t>Satiksmes ministrija</w:t>
            </w:r>
          </w:p>
          <w:p w14:paraId="0D8F1921" w14:textId="77777777" w:rsidR="00780010" w:rsidRPr="001D7630" w:rsidRDefault="00780010" w:rsidP="00780010">
            <w:pPr>
              <w:jc w:val="center"/>
              <w:rPr>
                <w:b/>
                <w:bCs/>
              </w:rPr>
            </w:pPr>
            <w:r w:rsidRPr="001D7630">
              <w:rPr>
                <w:b/>
                <w:bCs/>
              </w:rPr>
              <w:t>(08.01.2021. atzinums)</w:t>
            </w:r>
          </w:p>
          <w:p w14:paraId="45C3AD47" w14:textId="77777777" w:rsidR="00780010" w:rsidRPr="001D7630" w:rsidRDefault="00780010" w:rsidP="00780010">
            <w:pPr>
              <w:tabs>
                <w:tab w:val="left" w:pos="993"/>
              </w:tabs>
              <w:jc w:val="both"/>
            </w:pPr>
            <w:r w:rsidRPr="001D7630">
              <w:t xml:space="preserve">3. Likumprojekta 14.panta pirmajā un otrajā daļā noteikta administratīvā atbildība par normatīvajos aktos noteiktās informācijas nenodrošināšanu iestādēm un privātpersonām, tādējādi regulējums paredz, ka par normatīvajos aktos noteiktās informācijas par transporta enerģiju nenodrošināšanu un par transporta enerģijas informācijas nenodrošināšanu tās tirdzniecības vietās  iestādēm vai privātpersonām var izteikt gan brīdinājumu, gan arī piemērot  naudas sodu fiziskajām personām vai juridiskajām personām apmērā no četrdesmit divām līdz divtūkstoš astoņsimt naudas soda vienībām. Vienlaikus no likumprojekta redakcijas nav saprotams, kādos gadījumos par pārkāpumiem piemēro brīdinājumu, kā </w:t>
            </w:r>
            <w:r w:rsidRPr="001D7630">
              <w:lastRenderedPageBreak/>
              <w:t xml:space="preserve">arī kādos gadījumos piemēro maksimālo naudas soda apmēru. </w:t>
            </w:r>
          </w:p>
          <w:p w14:paraId="7EDB4FA9" w14:textId="77777777" w:rsidR="00780010" w:rsidRPr="001D7630" w:rsidRDefault="00780010" w:rsidP="00780010">
            <w:pPr>
              <w:ind w:firstLine="720"/>
              <w:jc w:val="both"/>
            </w:pPr>
            <w:r w:rsidRPr="001D7630">
              <w:t>Satiksmes ministrija arī norāda, ka harmonizētas un ilgstpējīgas alternatīvo degvielu attīstības veicināšanai, tostarp veicinot publiski pieejamu uzlādes punktu attīstību, kas izveidoti par privāto finansējumu (gan  tādu, par kuriem ir noteikta uzlādes maksa, gan arī tostarp tādu, kuri ir bezmaksas), ir jāvērtē, vai potenciāliem publiski pieejamo uzlādes punktu attīstītājiem (uzņēmējiem, komersantiem u.c.), neskaidrība par faktoriem, kad un kādus soda apmērus var piemērot, nebūs kavējošs faktors un tiks izdarīta izvēle šādus punktus neveidot. Jāņem vērā, ka nav samērīgi sodīt par neziņošanu, ja infrastruktūras attīstītājs pēc brīvas iniciatīvas ir izveidojis uzlādes punktu.</w:t>
            </w:r>
          </w:p>
          <w:p w14:paraId="3E8C028D" w14:textId="77777777" w:rsidR="00780010" w:rsidRPr="001D7630" w:rsidRDefault="00780010" w:rsidP="00780010">
            <w:pPr>
              <w:ind w:firstLine="720"/>
              <w:jc w:val="both"/>
            </w:pPr>
            <w:r w:rsidRPr="001D7630">
              <w:t>Ņemot vērā minēto, lūdzam precizēt likumprojekta 14.panta pirmo un otro daļu, kā arī atbilstoši papildināt likumprojekta anotāciju.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1C4AB451" w14:textId="77777777" w:rsidR="00780010" w:rsidRPr="001D7630" w:rsidRDefault="00780010" w:rsidP="00780010">
            <w:pPr>
              <w:jc w:val="center"/>
              <w:rPr>
                <w:b/>
                <w:bCs/>
                <w:iCs/>
              </w:rPr>
            </w:pPr>
            <w:r w:rsidRPr="001D7630">
              <w:rPr>
                <w:b/>
                <w:bCs/>
                <w:iCs/>
              </w:rPr>
              <w:lastRenderedPageBreak/>
              <w:t>Ņemts vērā</w:t>
            </w:r>
          </w:p>
          <w:p w14:paraId="78F439C6" w14:textId="77777777" w:rsidR="00780010" w:rsidRPr="001D7630" w:rsidRDefault="00780010" w:rsidP="00780010">
            <w:pPr>
              <w:rPr>
                <w:iCs/>
              </w:rPr>
            </w:pPr>
            <w:r w:rsidRPr="001D7630">
              <w:rPr>
                <w:iCs/>
              </w:rPr>
              <w:t>Norādām, ka administratīvā pārkāpuma veida piemērošanas nosacījumi ir iekļauti anotācijā:</w:t>
            </w:r>
          </w:p>
          <w:p w14:paraId="4C596387" w14:textId="77777777" w:rsidR="00780010" w:rsidRPr="001D7630" w:rsidRDefault="00780010" w:rsidP="00780010">
            <w:pPr>
              <w:ind w:right="80"/>
              <w:jc w:val="both"/>
            </w:pPr>
            <w:r w:rsidRPr="001D7630">
              <w:t>“Soda apjoma piemērošanā tiks izvērtēts administratīvā pārkāpuma biežums un ietekme, ievērojot arī “konsultē vispirms” principu.”</w:t>
            </w:r>
          </w:p>
          <w:p w14:paraId="1C4C22F6" w14:textId="77777777" w:rsidR="00780010" w:rsidRPr="001D7630" w:rsidRDefault="00780010" w:rsidP="00780010">
            <w:pPr>
              <w:ind w:right="80"/>
              <w:jc w:val="both"/>
            </w:pPr>
            <w:r w:rsidRPr="001D7630">
              <w:t xml:space="preserve">“Gan likumprojekta 13., gan 14. daļā ir iekļauti maksājuma vai administratīvā soda sankciju apjoma diapazoni. Attiecīgi maksājuma vai naudas soda apjoma noteikšanā tiks izmantoti AAL 19.panta 2.daļas nosacījumi, kā arī soda samērīgums un </w:t>
            </w:r>
            <w:r w:rsidRPr="001D7630">
              <w:lastRenderedPageBreak/>
              <w:t>lietderīgums un vairāki papildus apstākļi</w:t>
            </w:r>
            <w:r w:rsidRPr="001D7630">
              <w:rPr>
                <w:rStyle w:val="FootnoteReference"/>
              </w:rPr>
              <w:footnoteReference w:id="15"/>
            </w:r>
            <w:r w:rsidRPr="001D7630">
              <w:t>.”</w:t>
            </w:r>
          </w:p>
          <w:p w14:paraId="2FE606F1" w14:textId="77777777" w:rsidR="00780010" w:rsidRPr="001D7630" w:rsidRDefault="00780010" w:rsidP="00780010">
            <w:pPr>
              <w:rPr>
                <w:iCs/>
              </w:rPr>
            </w:pPr>
          </w:p>
        </w:tc>
        <w:tc>
          <w:tcPr>
            <w:tcW w:w="4291" w:type="dxa"/>
            <w:tcBorders>
              <w:top w:val="single" w:sz="4" w:space="0" w:color="auto"/>
              <w:left w:val="single" w:sz="4" w:space="0" w:color="auto"/>
              <w:bottom w:val="single" w:sz="4" w:space="0" w:color="auto"/>
            </w:tcBorders>
            <w:shd w:val="clear" w:color="auto" w:fill="auto"/>
          </w:tcPr>
          <w:p w14:paraId="26A521A5"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lastRenderedPageBreak/>
              <w:t>Likumprojekta 14.pants ir svītrots</w:t>
            </w:r>
          </w:p>
        </w:tc>
      </w:tr>
      <w:tr w:rsidR="00780010" w:rsidRPr="001D7630" w14:paraId="10AF78C0"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69F50DDB"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79216C69"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124900E4" w14:textId="77777777" w:rsidR="00780010" w:rsidRPr="001D7630" w:rsidRDefault="00780010" w:rsidP="00780010">
            <w:pPr>
              <w:tabs>
                <w:tab w:val="left" w:pos="709"/>
                <w:tab w:val="left" w:pos="993"/>
                <w:tab w:val="left" w:pos="1560"/>
              </w:tabs>
              <w:jc w:val="center"/>
              <w:rPr>
                <w:b/>
                <w:iCs/>
              </w:rPr>
            </w:pPr>
            <w:r w:rsidRPr="001D7630">
              <w:rPr>
                <w:b/>
                <w:iCs/>
              </w:rPr>
              <w:t>Tieslietu ministrija</w:t>
            </w:r>
          </w:p>
          <w:p w14:paraId="15B3F157" w14:textId="77777777" w:rsidR="00780010" w:rsidRPr="001D7630" w:rsidRDefault="00780010" w:rsidP="00780010">
            <w:pPr>
              <w:tabs>
                <w:tab w:val="left" w:pos="709"/>
                <w:tab w:val="left" w:pos="993"/>
                <w:tab w:val="left" w:pos="1560"/>
              </w:tabs>
              <w:jc w:val="center"/>
              <w:rPr>
                <w:b/>
                <w:iCs/>
              </w:rPr>
            </w:pPr>
            <w:r w:rsidRPr="001D7630">
              <w:rPr>
                <w:b/>
                <w:iCs/>
              </w:rPr>
              <w:t>(08.01.2021. atzinums)</w:t>
            </w:r>
          </w:p>
          <w:p w14:paraId="333E4729" w14:textId="77777777" w:rsidR="00780010" w:rsidRPr="001D7630" w:rsidRDefault="00780010" w:rsidP="00780010">
            <w:pPr>
              <w:widowControl w:val="0"/>
              <w:tabs>
                <w:tab w:val="left" w:pos="993"/>
                <w:tab w:val="left" w:pos="1276"/>
              </w:tabs>
              <w:jc w:val="both"/>
            </w:pPr>
            <w:r w:rsidRPr="001D7630">
              <w:t>8. Lūdzam izslēgt projekta 14. panta trešo daļu (</w:t>
            </w:r>
            <w:r w:rsidRPr="001D7630">
              <w:rPr>
                <w:i/>
                <w:iCs/>
              </w:rPr>
              <w:t>lēmuma pārsūdzība</w:t>
            </w:r>
            <w:r w:rsidRPr="001D7630">
              <w:t>) un 15. panta trešo daļu (</w:t>
            </w:r>
            <w:r w:rsidRPr="001D7630">
              <w:rPr>
                <w:i/>
                <w:iCs/>
              </w:rPr>
              <w:t>administratīvo sodu samaksas kārtība</w:t>
            </w:r>
            <w:r w:rsidRPr="001D7630">
              <w:t xml:space="preserve">). </w:t>
            </w:r>
          </w:p>
          <w:p w14:paraId="773CBE57" w14:textId="77777777" w:rsidR="00780010" w:rsidRPr="001D7630" w:rsidRDefault="00780010" w:rsidP="00780010">
            <w:pPr>
              <w:widowControl w:val="0"/>
              <w:tabs>
                <w:tab w:val="left" w:pos="993"/>
                <w:tab w:val="left" w:pos="1276"/>
              </w:tabs>
              <w:jc w:val="both"/>
            </w:pPr>
            <w:r w:rsidRPr="001D7630">
              <w:t xml:space="preserve">Norādām, ka administratīvās atbildības </w:t>
            </w:r>
            <w:r w:rsidRPr="001D7630">
              <w:lastRenderedPageBreak/>
              <w:t xml:space="preserve">vispārīgos noteikumus, administratīvā pārkāpuma jēdzienu, administratīvo sodu veidus un to piemērošanas noteikumus, kompetentās iestādes un amatpersonas, administratīvā pārkāpuma procesa norisi iestādē un tiesā, administratīvo sodu izpildi, kā arī starptautisko sadarbību administratīvo pārkāpumu procesā nosaka Administratīvās atbildības likums (sk. minētā likuma 2. panta otro daļu). Tas nozīmē, ka nevienā citā likumā nevar būt paredzēti kādi citi noteikumi.  </w:t>
            </w:r>
          </w:p>
          <w:p w14:paraId="705F16A0" w14:textId="77777777" w:rsidR="00780010" w:rsidRPr="001D7630" w:rsidRDefault="00780010" w:rsidP="00780010">
            <w:pPr>
              <w:widowControl w:val="0"/>
              <w:tabs>
                <w:tab w:val="left" w:pos="993"/>
                <w:tab w:val="left" w:pos="1276"/>
              </w:tabs>
              <w:jc w:val="both"/>
            </w:pPr>
            <w:r w:rsidRPr="001D7630">
              <w:t xml:space="preserve">Papildus vēršam uzmanību, ka soda mērķis galvenokārt ir represija un prevencija </w:t>
            </w:r>
            <w:r w:rsidRPr="001D7630">
              <w:rPr>
                <w:i/>
                <w:iCs/>
              </w:rPr>
              <w:t>(Eiropas Savienības tiesas 2012. gada 5. jūlija spriedums lietā C-489/10).</w:t>
            </w:r>
            <w:r w:rsidRPr="001D7630">
              <w:t xml:space="preserve"> Tādējādi ieņēmumu novirzīšana (konkrētam mērķim) no iekasētajiem naudas sodiem, nonāk pretrunā soda mērķim. Turklāt šādai sistēmai saskatāmi riski, kad sankcijas apmēri tiks palielināti, lai attiecīgais subjekts varētu saņemt ienākumus no piemērotajiem sodiem. Attiecīgi nav atbalstāma šādas sistēmas ieviešana nacionālajos tiesību aktos.</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0AF3DE41"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48A22D45"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14.pants un 15.pants ir svītrots</w:t>
            </w:r>
          </w:p>
        </w:tc>
      </w:tr>
      <w:tr w:rsidR="00780010" w:rsidRPr="001D7630" w14:paraId="475AAFA1"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36B81892"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4F936311"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44C6EB2" w14:textId="77777777" w:rsidR="00780010" w:rsidRPr="001D7630" w:rsidRDefault="00780010" w:rsidP="00780010">
            <w:pPr>
              <w:autoSpaceDE w:val="0"/>
              <w:autoSpaceDN w:val="0"/>
              <w:adjustRightInd w:val="0"/>
              <w:jc w:val="center"/>
              <w:rPr>
                <w:b/>
                <w:bCs/>
              </w:rPr>
            </w:pPr>
            <w:r w:rsidRPr="001D7630">
              <w:rPr>
                <w:b/>
                <w:bCs/>
              </w:rPr>
              <w:t>Latvijas Degvielas tirgotāju asociācija</w:t>
            </w:r>
          </w:p>
          <w:p w14:paraId="633F959A" w14:textId="77777777" w:rsidR="00780010" w:rsidRPr="001D7630" w:rsidRDefault="00780010" w:rsidP="00780010">
            <w:pPr>
              <w:autoSpaceDE w:val="0"/>
              <w:autoSpaceDN w:val="0"/>
              <w:adjustRightInd w:val="0"/>
              <w:jc w:val="center"/>
              <w:rPr>
                <w:b/>
                <w:bCs/>
              </w:rPr>
            </w:pPr>
            <w:r w:rsidRPr="001D7630">
              <w:rPr>
                <w:b/>
                <w:bCs/>
              </w:rPr>
              <w:t>(13.01.2021. atzinums)</w:t>
            </w:r>
          </w:p>
          <w:p w14:paraId="195B2737" w14:textId="77777777" w:rsidR="00780010" w:rsidRPr="001D7630" w:rsidRDefault="00780010" w:rsidP="00780010">
            <w:pPr>
              <w:pStyle w:val="CommentText"/>
              <w:ind w:firstLine="567"/>
              <w:jc w:val="both"/>
              <w:rPr>
                <w:sz w:val="24"/>
                <w:szCs w:val="24"/>
              </w:rPr>
            </w:pPr>
            <w:r w:rsidRPr="001D7630">
              <w:rPr>
                <w:sz w:val="24"/>
                <w:szCs w:val="24"/>
              </w:rPr>
              <w:t>[7.] Lūdzam papildināt 14.panta otro daļu pēc vārdiem “tirdzniecības vietās” ar vārdiem “</w:t>
            </w:r>
            <w:bookmarkStart w:id="19" w:name="_Hlk61612145"/>
            <w:r w:rsidRPr="001D7630">
              <w:rPr>
                <w:sz w:val="24"/>
                <w:szCs w:val="24"/>
              </w:rPr>
              <w:t>vai to elektroniskajās platformās</w:t>
            </w:r>
            <w:bookmarkEnd w:id="19"/>
            <w:r w:rsidRPr="001D7630">
              <w:rPr>
                <w:sz w:val="24"/>
                <w:szCs w:val="24"/>
              </w:rPr>
              <w:t xml:space="preserve">”, ņemot vērā mūsdienās </w:t>
            </w:r>
            <w:r w:rsidRPr="001D7630">
              <w:rPr>
                <w:sz w:val="24"/>
                <w:szCs w:val="24"/>
              </w:rPr>
              <w:lastRenderedPageBreak/>
              <w:t>pieejamos informācijas atspoguļošanas līdzekļus.</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58FC1C88"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5ADF660C"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14.pants ir svītrots</w:t>
            </w:r>
          </w:p>
        </w:tc>
      </w:tr>
      <w:tr w:rsidR="00780010" w:rsidRPr="001D7630" w14:paraId="7D5B7495" w14:textId="77777777" w:rsidTr="00584B46">
        <w:trPr>
          <w:jc w:val="center"/>
        </w:trPr>
        <w:tc>
          <w:tcPr>
            <w:tcW w:w="14992" w:type="dxa"/>
            <w:gridSpan w:val="5"/>
            <w:tcBorders>
              <w:top w:val="single" w:sz="6" w:space="0" w:color="000000"/>
              <w:left w:val="single" w:sz="6" w:space="0" w:color="000000"/>
              <w:bottom w:val="single" w:sz="6" w:space="0" w:color="000000"/>
            </w:tcBorders>
            <w:shd w:val="clear" w:color="auto" w:fill="auto"/>
          </w:tcPr>
          <w:p w14:paraId="7D108216" w14:textId="77777777" w:rsidR="00780010" w:rsidRPr="001D7630" w:rsidRDefault="00780010" w:rsidP="00780010">
            <w:pPr>
              <w:pStyle w:val="ListParagraph"/>
              <w:spacing w:after="0" w:line="240" w:lineRule="auto"/>
              <w:ind w:left="0"/>
              <w:contextualSpacing w:val="0"/>
              <w:jc w:val="center"/>
              <w:rPr>
                <w:rFonts w:ascii="Times New Roman" w:hAnsi="Times New Roman"/>
                <w:b/>
                <w:bCs/>
                <w:sz w:val="24"/>
                <w:szCs w:val="24"/>
                <w:lang w:eastAsia="lv-LV"/>
              </w:rPr>
            </w:pPr>
            <w:r w:rsidRPr="001D7630">
              <w:rPr>
                <w:rFonts w:ascii="Times New Roman" w:hAnsi="Times New Roman"/>
                <w:b/>
                <w:bCs/>
                <w:sz w:val="24"/>
                <w:szCs w:val="24"/>
                <w:lang w:eastAsia="lv-LV"/>
              </w:rPr>
              <w:t>JAUNAIS 14. PANTS</w:t>
            </w:r>
          </w:p>
        </w:tc>
      </w:tr>
      <w:tr w:rsidR="00780010" w:rsidRPr="001D7630" w14:paraId="4D1FCCFC"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95BC1D4"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6027B0FD"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32D5A0BD" w14:textId="77777777" w:rsidR="00780010" w:rsidRPr="001D7630" w:rsidRDefault="00780010" w:rsidP="00780010">
            <w:pPr>
              <w:autoSpaceDE w:val="0"/>
              <w:autoSpaceDN w:val="0"/>
              <w:adjustRightInd w:val="0"/>
              <w:jc w:val="center"/>
              <w:rPr>
                <w:b/>
                <w:bCs/>
              </w:rPr>
            </w:pPr>
            <w:r w:rsidRPr="001D7630">
              <w:rPr>
                <w:b/>
                <w:bCs/>
              </w:rPr>
              <w:t>Būvniecības valsts kontroles birojs</w:t>
            </w:r>
          </w:p>
          <w:p w14:paraId="184397B1" w14:textId="77777777" w:rsidR="00780010" w:rsidRPr="001D7630" w:rsidRDefault="00780010" w:rsidP="00780010">
            <w:pPr>
              <w:autoSpaceDE w:val="0"/>
              <w:autoSpaceDN w:val="0"/>
              <w:adjustRightInd w:val="0"/>
              <w:jc w:val="center"/>
              <w:rPr>
                <w:b/>
                <w:bCs/>
              </w:rPr>
            </w:pPr>
            <w:r w:rsidRPr="001D7630">
              <w:rPr>
                <w:b/>
                <w:bCs/>
              </w:rPr>
              <w:t>(16.06.2021.)</w:t>
            </w:r>
          </w:p>
          <w:p w14:paraId="741F30B9" w14:textId="77777777" w:rsidR="00780010" w:rsidRPr="001D7630" w:rsidRDefault="00780010" w:rsidP="00780010">
            <w:pPr>
              <w:jc w:val="both"/>
            </w:pPr>
            <w:r w:rsidRPr="001D7630">
              <w:t xml:space="preserve">[6] Saskaņā ar </w:t>
            </w:r>
            <w:r w:rsidRPr="001D7630">
              <w:rPr>
                <w:i/>
                <w:iCs/>
              </w:rPr>
              <w:t>Likumprojekta 14.panta pirmo daļu</w:t>
            </w:r>
            <w:r w:rsidRPr="001D7630">
              <w:t xml:space="preserve"> un 13.panta septīto daļu pastāv iespēja, ka </w:t>
            </w:r>
            <w:r w:rsidRPr="001D7630">
              <w:rPr>
                <w:u w:val="single"/>
              </w:rPr>
              <w:t>vienlaicīgi Ministru kabineta noteiktā institūcija var pieņemt lēmumu par piespiedu naudas un par valsts nodevas piemērošanu</w:t>
            </w:r>
            <w:r w:rsidRPr="001D7630">
              <w:t>. Ņemot vērā minēto Birojs vērš uzmanību, ka nepieciešams veikt aprēķinus par ietekmi uz degvielas piegādātāju komercdarbību, ņemot vērā, ka degvielas piegādātājiem ir nepieciešams veikt arī citus maksājumus, piemēram, valsts nodevu par valsts naftas produktu drošības rezervju uzturēšanu, un šīs valsts nodevas apmērs ir mainīgs lielums.</w:t>
            </w:r>
          </w:p>
          <w:p w14:paraId="081689CA" w14:textId="77777777" w:rsidR="00780010" w:rsidRPr="001D7630" w:rsidRDefault="00780010" w:rsidP="00780010">
            <w:pPr>
              <w:jc w:val="both"/>
            </w:pPr>
            <w:r w:rsidRPr="001D7630">
              <w:t xml:space="preserve">Birojs lūdz </w:t>
            </w:r>
            <w:r w:rsidRPr="001D7630">
              <w:rPr>
                <w:u w:val="single"/>
              </w:rPr>
              <w:t xml:space="preserve">sniegt skaidrojumu par </w:t>
            </w:r>
            <w:r w:rsidRPr="001D7630">
              <w:rPr>
                <w:i/>
                <w:iCs/>
                <w:u w:val="single"/>
              </w:rPr>
              <w:t>Likumprojekta 14.panta trešajā daļā</w:t>
            </w:r>
            <w:r w:rsidRPr="001D7630">
              <w:rPr>
                <w:u w:val="single"/>
              </w:rPr>
              <w:t xml:space="preserve"> noteikto attiecībā uz valsts nodevas piemērošanu kopsakarībā ar Likumprojekta 13.panta septītajā daļā noteikto piespiedu naudas piemērošanu</w:t>
            </w:r>
            <w:r w:rsidRPr="001D7630">
              <w:t>. Proti, vai Ministru kabineta noteiktajai institūcijai par vienu un to pašu Likumprojektā noteiktā pienākuma neizpildi jāpieņem divi lēmumi – viens par piespiedu naudu un otrs par valsts nodevu.</w:t>
            </w:r>
          </w:p>
          <w:p w14:paraId="63B0B35E" w14:textId="77777777" w:rsidR="00780010" w:rsidRPr="001D7630" w:rsidRDefault="00780010" w:rsidP="00780010">
            <w:pPr>
              <w:jc w:val="both"/>
            </w:pPr>
            <w:r w:rsidRPr="001D7630">
              <w:lastRenderedPageBreak/>
              <w:t xml:space="preserve">Vienlaikus saistībā ar iepriekš minēto </w:t>
            </w:r>
            <w:r w:rsidRPr="001D7630">
              <w:rPr>
                <w:b/>
                <w:bCs/>
              </w:rPr>
              <w:t>Birojs iebilst</w:t>
            </w:r>
            <w:r w:rsidRPr="001D7630">
              <w:t xml:space="preserve">, ka Likumprojekta 14.panta trešajā daļā nav noteikts </w:t>
            </w:r>
            <w:r w:rsidRPr="001D7630">
              <w:rPr>
                <w:b/>
                <w:bCs/>
              </w:rPr>
              <w:t>un attiecīgi lūdz papildināt</w:t>
            </w:r>
            <w:r w:rsidRPr="001D7630">
              <w:t xml:space="preserve"> minētā panta daļu ar teikumu, ka valsts nodevas piemērošana neatbrīvo degvielas piegādātāju no likumā noteiktā pienākuma izpildes, t.i., iesniegt Likumprojekta 11.panta pirmajā daļā noteikto vispārīgo ziņojumu.</w:t>
            </w:r>
          </w:p>
          <w:p w14:paraId="3C6721EA" w14:textId="77777777" w:rsidR="00780010" w:rsidRPr="001D7630" w:rsidRDefault="00780010" w:rsidP="00780010">
            <w:pPr>
              <w:jc w:val="both"/>
            </w:pPr>
            <w:r w:rsidRPr="001D7630">
              <w:t xml:space="preserve">Saskaņā ar APL 185.panta ceturtās daļas 2.punktu Birojs lūdz papildināt </w:t>
            </w:r>
            <w:r w:rsidRPr="001D7630">
              <w:rPr>
                <w:i/>
                <w:iCs/>
              </w:rPr>
              <w:t>Likumprojekta 14.panta ceturto daļu</w:t>
            </w:r>
            <w:r w:rsidRPr="001D7630">
              <w:t xml:space="preserve"> ar teikumu, ka </w:t>
            </w:r>
            <w:bookmarkStart w:id="20" w:name="_Hlk74841320"/>
            <w:r w:rsidRPr="001D7630">
              <w:rPr>
                <w:u w:val="single"/>
              </w:rPr>
              <w:t>Ministru kabineta noteiktās institūcijas lēmuma pārsūdzēšana neaptur šī lēmuma darbību</w:t>
            </w:r>
            <w:bookmarkEnd w:id="20"/>
            <w:r w:rsidRPr="001D7630">
              <w:t xml:space="preserve">, tādējādi veicinot minētās normas pareizu izpratni un mērķi, ka degvielas piegādātājam piemērotā valsts nodeva ir jāsamaksā neatkarīgi no lēmuma pārsūdzēšanas fakta. </w:t>
            </w:r>
          </w:p>
          <w:p w14:paraId="6DBDC4FB" w14:textId="02F8A7A2" w:rsidR="00780010" w:rsidRPr="001D7630" w:rsidRDefault="00780010" w:rsidP="00780010">
            <w:pPr>
              <w:autoSpaceDE w:val="0"/>
              <w:autoSpaceDN w:val="0"/>
              <w:adjustRightInd w:val="0"/>
              <w:jc w:val="center"/>
              <w:rPr>
                <w:b/>
                <w:bCs/>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05BF0A2D" w14:textId="2F60FF29" w:rsidR="00780010" w:rsidRPr="001D7630" w:rsidRDefault="00780010" w:rsidP="00780010">
            <w:pPr>
              <w:jc w:val="center"/>
              <w:rPr>
                <w:b/>
                <w:bCs/>
                <w:iCs/>
              </w:rPr>
            </w:pPr>
            <w:r w:rsidRPr="001D7630">
              <w:rPr>
                <w:b/>
                <w:bCs/>
                <w:iCs/>
              </w:rPr>
              <w:lastRenderedPageBreak/>
              <w:t>Ņemts vērā</w:t>
            </w:r>
          </w:p>
          <w:p w14:paraId="1074B693" w14:textId="77777777" w:rsidR="00780010" w:rsidRPr="001D7630" w:rsidRDefault="00780010" w:rsidP="00780010">
            <w:pPr>
              <w:rPr>
                <w:iCs/>
              </w:rPr>
            </w:pPr>
            <w:r w:rsidRPr="001D7630">
              <w:rPr>
                <w:iCs/>
              </w:rPr>
              <w:t>Norādām, ka likumprojekta 14.pantā valsts nodeva ir “transporta enerģijas aprites cikla emisiju intensitātes samazināšanas valsts nodevu”, kas parāda, ka minētā valsts nodeva attiecas uz likumprojekta 9.pantu. to parāda arī tas, ka nodeva tiek maksāta par nesamazināto SEG emisiju.</w:t>
            </w:r>
          </w:p>
          <w:p w14:paraId="7A68EB4D" w14:textId="77777777" w:rsidR="00780010" w:rsidRPr="001D7630" w:rsidRDefault="00780010" w:rsidP="00780010">
            <w:pPr>
              <w:rPr>
                <w:iCs/>
              </w:rPr>
            </w:pPr>
            <w:r w:rsidRPr="001D7630">
              <w:rPr>
                <w:iCs/>
              </w:rPr>
              <w:t>Atjaunojamās transporta enerģijas un moderno biodegvielu vai biogāzes mērķi netiek pārrēķināti SEG emisiju samazināšanas tonnās.</w:t>
            </w:r>
          </w:p>
          <w:p w14:paraId="441C5C5B" w14:textId="77777777" w:rsidR="00780010" w:rsidRPr="001D7630" w:rsidRDefault="00780010" w:rsidP="00780010">
            <w:pPr>
              <w:rPr>
                <w:iCs/>
              </w:rPr>
            </w:pPr>
            <w:r w:rsidRPr="001D7630">
              <w:rPr>
                <w:iCs/>
              </w:rPr>
              <w:t>Likumprojekta 11.pantā ir noteikts, ka degvielas piegādātājiem ir jāiesniedz vispārīgais ziņojums.</w:t>
            </w:r>
          </w:p>
          <w:p w14:paraId="71B53F3D" w14:textId="77777777" w:rsidR="00780010" w:rsidRPr="001D7630" w:rsidRDefault="00780010" w:rsidP="00780010">
            <w:pPr>
              <w:rPr>
                <w:iCs/>
              </w:rPr>
            </w:pPr>
            <w:r w:rsidRPr="001D7630">
              <w:rPr>
                <w:iCs/>
              </w:rPr>
              <w:t>Likumprojekta 14.pantā nav noteikts, ka nodevas piemērošana varētu atbrīvot degvielas piegādātāju no pienākuma iesniegt vispārīgo ziņojumu.</w:t>
            </w:r>
          </w:p>
          <w:p w14:paraId="48A62891" w14:textId="5147FF1F" w:rsidR="00780010" w:rsidRPr="001D7630" w:rsidRDefault="00780010" w:rsidP="00780010">
            <w:pPr>
              <w:rPr>
                <w:iCs/>
              </w:rPr>
            </w:pPr>
            <w:r w:rsidRPr="001D7630">
              <w:rPr>
                <w:iCs/>
              </w:rPr>
              <w:t xml:space="preserve">Ja minētais ziņojums netiek iesniegts, tad tiek piemēroti </w:t>
            </w:r>
            <w:r w:rsidRPr="001D7630">
              <w:rPr>
                <w:iCs/>
              </w:rPr>
              <w:lastRenderedPageBreak/>
              <w:t>“Administratīvo sodu likumā par pārkāpumiem pārvaldes, sabiedriskās kārtības un valsts valodas lietošanas jomā” nosacījumi, piemēram, minētā likuma 3.panta 1.daļa, kā arī tiek piemērots Administratīvās atbildības likuma 25.pants, kas nosaka “Administratīvā soda piemērošana neatbrīvo sodīto personu no tā pienākuma izpildīšanas, par kura nepildīšanu piemērots administratīvais sods.”</w:t>
            </w:r>
          </w:p>
          <w:p w14:paraId="12B66CB8" w14:textId="77777777" w:rsidR="00780010" w:rsidRPr="001D7630" w:rsidRDefault="00780010" w:rsidP="00780010">
            <w:pPr>
              <w:rPr>
                <w:iCs/>
              </w:rPr>
            </w:pPr>
            <w:r w:rsidRPr="001D7630">
              <w:rPr>
                <w:iCs/>
              </w:rPr>
              <w:t>Tātad, ja vispārīgais ziņojums netiek iesniegts, tad uz “Administratīvo sodu likumā par pārkāpumiem pārvaldes, sabiedriskās kārtības un valsts valodas lietošanas jomā” likuma pamata būtu jāpiemēro administratīvais slogs, un saskaņā ar Administratīvās atbildības likumu administratīvā sloga piemērošana neatbrīvo no tā, ka ir jāizpilda pienākums, par kuru sods piemērots.</w:t>
            </w:r>
          </w:p>
          <w:p w14:paraId="64D08413" w14:textId="77777777" w:rsidR="00780010" w:rsidRPr="001D7630" w:rsidRDefault="00780010" w:rsidP="00780010">
            <w:pPr>
              <w:rPr>
                <w:iCs/>
              </w:rPr>
            </w:pPr>
          </w:p>
          <w:p w14:paraId="51857C6C" w14:textId="77777777" w:rsidR="00780010" w:rsidRPr="001D7630" w:rsidRDefault="00780010" w:rsidP="00780010">
            <w:pPr>
              <w:rPr>
                <w:iCs/>
              </w:rPr>
            </w:pPr>
            <w:r w:rsidRPr="001D7630">
              <w:rPr>
                <w:iCs/>
              </w:rPr>
              <w:t xml:space="preserve">Attiecībā uz likumprojekta 14.panta 4.daļas 2.punkta </w:t>
            </w:r>
            <w:r w:rsidRPr="001D7630">
              <w:rPr>
                <w:iCs/>
              </w:rPr>
              <w:lastRenderedPageBreak/>
              <w:t xml:space="preserve">papildināšanu norādām, ka šāds nosacījums jau ir iekļauts Administratīvā procesa likuma 185.panta 4.daļas 1.punktā – “Šā panta pirmā daļa neattiecas uz šādiem gadījumiem: 1) </w:t>
            </w:r>
            <w:r w:rsidRPr="001D7630">
              <w:rPr>
                <w:iCs/>
                <w:u w:val="single"/>
              </w:rPr>
              <w:t>administratīvais akts uzliek pienākumu samaksāt</w:t>
            </w:r>
            <w:r w:rsidRPr="001D7630">
              <w:rPr>
                <w:iCs/>
              </w:rPr>
              <w:t xml:space="preserve"> nodokli, </w:t>
            </w:r>
            <w:r w:rsidRPr="001D7630">
              <w:rPr>
                <w:iCs/>
                <w:u w:val="single"/>
              </w:rPr>
              <w:t>nodevu</w:t>
            </w:r>
            <w:r w:rsidRPr="001D7630">
              <w:rPr>
                <w:iCs/>
              </w:rPr>
              <w:t xml:space="preserve"> vai veikt citu maksājumu valsts vai pašvaldības budžetā, izņemot sodoša rakstura maksājumus (naudas sodus un soda naudas);”. Tātad minētais Administratīvā panta likuma punkts nosaka, ka nosacījums, ka pieteikuma iesniegšana tiesā aptur administratīvā akta darbību, nav spēkā, ja administratīvais akts nosaka pienākumu samaksāt valsts nodevu (likumprojekta 14.pants).</w:t>
            </w:r>
          </w:p>
          <w:p w14:paraId="243AC0AE" w14:textId="4DC402A8" w:rsidR="00780010" w:rsidRPr="001D7630" w:rsidRDefault="00780010" w:rsidP="00780010">
            <w:pPr>
              <w:rPr>
                <w:iCs/>
              </w:rPr>
            </w:pPr>
            <w:r w:rsidRPr="001D7630">
              <w:rPr>
                <w:iCs/>
              </w:rPr>
              <w:t>Tomēr likumprojekta 14.panta 4.daļa ir papildināta, vienlaikus ir precizēts arī 13.pants</w:t>
            </w:r>
          </w:p>
        </w:tc>
        <w:tc>
          <w:tcPr>
            <w:tcW w:w="4291" w:type="dxa"/>
            <w:tcBorders>
              <w:top w:val="single" w:sz="4" w:space="0" w:color="auto"/>
              <w:left w:val="single" w:sz="4" w:space="0" w:color="auto"/>
              <w:bottom w:val="single" w:sz="4" w:space="0" w:color="auto"/>
            </w:tcBorders>
            <w:shd w:val="clear" w:color="auto" w:fill="auto"/>
          </w:tcPr>
          <w:p w14:paraId="7CFE9179" w14:textId="78BBA9FC"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lastRenderedPageBreak/>
              <w:t>Likumprojekta 14.pants ir precizēts</w:t>
            </w:r>
          </w:p>
        </w:tc>
      </w:tr>
      <w:tr w:rsidR="00780010" w:rsidRPr="001D7630" w14:paraId="751CE3D1"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7EC9A5E6"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8EE76EC"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C6C0C2C" w14:textId="52942851" w:rsidR="00780010" w:rsidRPr="001D7630" w:rsidRDefault="00780010" w:rsidP="00780010">
            <w:pPr>
              <w:autoSpaceDE w:val="0"/>
              <w:autoSpaceDN w:val="0"/>
              <w:adjustRightInd w:val="0"/>
              <w:jc w:val="center"/>
              <w:rPr>
                <w:b/>
                <w:bCs/>
              </w:rPr>
            </w:pPr>
            <w:r w:rsidRPr="001D7630">
              <w:rPr>
                <w:b/>
                <w:bCs/>
              </w:rPr>
              <w:t>Finanšu ministrija</w:t>
            </w:r>
          </w:p>
          <w:p w14:paraId="10EF23F8" w14:textId="77777777" w:rsidR="00780010" w:rsidRPr="001D7630" w:rsidRDefault="00780010" w:rsidP="00780010">
            <w:pPr>
              <w:autoSpaceDE w:val="0"/>
              <w:autoSpaceDN w:val="0"/>
              <w:adjustRightInd w:val="0"/>
              <w:jc w:val="center"/>
              <w:rPr>
                <w:b/>
                <w:bCs/>
              </w:rPr>
            </w:pPr>
            <w:r w:rsidRPr="001D7630">
              <w:rPr>
                <w:b/>
                <w:bCs/>
              </w:rPr>
              <w:t>(16.06.2021. atzinums)</w:t>
            </w:r>
          </w:p>
          <w:p w14:paraId="0F54F3B6" w14:textId="542E6BB8" w:rsidR="00780010" w:rsidRPr="001D7630" w:rsidRDefault="00780010" w:rsidP="00780010">
            <w:pPr>
              <w:pStyle w:val="ListParagraph"/>
              <w:spacing w:after="0" w:line="240" w:lineRule="auto"/>
              <w:ind w:left="0"/>
              <w:contextualSpacing w:val="0"/>
              <w:jc w:val="both"/>
              <w:rPr>
                <w:rFonts w:ascii="Times New Roman" w:hAnsi="Times New Roman"/>
                <w:sz w:val="24"/>
                <w:szCs w:val="24"/>
              </w:rPr>
            </w:pPr>
            <w:r w:rsidRPr="001D7630">
              <w:rPr>
                <w:rFonts w:ascii="Times New Roman" w:hAnsi="Times New Roman"/>
                <w:sz w:val="24"/>
                <w:szCs w:val="24"/>
              </w:rPr>
              <w:t>Lūdzam 14.panta pirmajā daļā papildināt pirms vārda “nodevu” ar vārdu “valsts”.</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49163487" w14:textId="069D45DA"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shd w:val="clear" w:color="auto" w:fill="auto"/>
          </w:tcPr>
          <w:p w14:paraId="73EA0DB6" w14:textId="3FB82F9D"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14.panta 1.daļa ir precizēta</w:t>
            </w:r>
          </w:p>
        </w:tc>
      </w:tr>
      <w:tr w:rsidR="00780010" w:rsidRPr="001D7630" w14:paraId="08D6D5A4" w14:textId="77777777" w:rsidTr="000C7339">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64E48B22" w14:textId="77777777" w:rsidR="00780010" w:rsidRPr="001D7630" w:rsidRDefault="00780010" w:rsidP="00780010">
            <w:pPr>
              <w:pStyle w:val="naisc"/>
              <w:numPr>
                <w:ilvl w:val="0"/>
                <w:numId w:val="16"/>
              </w:numPr>
              <w:spacing w:before="0" w:after="0"/>
              <w:ind w:left="0" w:firstLine="0"/>
              <w:rPr>
                <w:b/>
              </w:rPr>
            </w:pPr>
          </w:p>
        </w:tc>
        <w:tc>
          <w:tcPr>
            <w:tcW w:w="3041" w:type="dxa"/>
            <w:vMerge w:val="restart"/>
            <w:tcBorders>
              <w:top w:val="single" w:sz="6" w:space="0" w:color="000000"/>
              <w:left w:val="single" w:sz="6" w:space="0" w:color="000000"/>
              <w:right w:val="single" w:sz="6" w:space="0" w:color="000000"/>
            </w:tcBorders>
            <w:shd w:val="clear" w:color="auto" w:fill="auto"/>
          </w:tcPr>
          <w:p w14:paraId="13362C76" w14:textId="77777777" w:rsidR="00780010" w:rsidRPr="001D7630" w:rsidRDefault="00780010" w:rsidP="00780010">
            <w:pPr>
              <w:pStyle w:val="naisf"/>
              <w:spacing w:before="0" w:after="0"/>
              <w:ind w:firstLine="0"/>
            </w:pPr>
            <w:r w:rsidRPr="001D7630">
              <w:t>Likumprojekta 14.panta 1.daļa:</w:t>
            </w:r>
          </w:p>
          <w:p w14:paraId="205461B8" w14:textId="77777777" w:rsidR="00780010" w:rsidRPr="001D7630" w:rsidRDefault="00780010" w:rsidP="00780010">
            <w:pPr>
              <w:pStyle w:val="NormalWeb"/>
              <w:spacing w:before="0" w:beforeAutospacing="0" w:after="0" w:afterAutospacing="0"/>
              <w:jc w:val="both"/>
            </w:pPr>
            <w:r w:rsidRPr="001D7630">
              <w:t>“(1) Lai veicinātu transporta enerģijas izmantošanas radīto siltumnīcefekta gāzu emisiju samazināšanu, atjaunojamās transporta enerģijas izmantošanu un energoefektivitātes uzlabošanu transporta sektorā, degvielas piegādātājs maksā transporta enerģijas aprites cikla emisiju intensitātes samazināšanas valsts nodevu (turpmāk – valsts nodeva) 70 eiro par katru nesamazināto transporta enerģijas aprites cikla  siltumnīcefekta gāzu emisiju tonnu.”</w:t>
            </w:r>
          </w:p>
          <w:p w14:paraId="2EBA8AF8"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03581D2" w14:textId="77777777" w:rsidR="00780010" w:rsidRPr="001D7630" w:rsidRDefault="00780010" w:rsidP="00780010">
            <w:pPr>
              <w:autoSpaceDE w:val="0"/>
              <w:autoSpaceDN w:val="0"/>
              <w:adjustRightInd w:val="0"/>
              <w:jc w:val="center"/>
              <w:rPr>
                <w:b/>
                <w:bCs/>
              </w:rPr>
            </w:pPr>
            <w:r w:rsidRPr="001D7630">
              <w:rPr>
                <w:b/>
                <w:bCs/>
              </w:rPr>
              <w:t>Latvijas Degvielas tirgotāju asociācija</w:t>
            </w:r>
          </w:p>
          <w:p w14:paraId="7FC2350B" w14:textId="77777777" w:rsidR="00780010" w:rsidRPr="001D7630" w:rsidRDefault="00780010" w:rsidP="00780010">
            <w:pPr>
              <w:autoSpaceDE w:val="0"/>
              <w:autoSpaceDN w:val="0"/>
              <w:adjustRightInd w:val="0"/>
              <w:jc w:val="center"/>
              <w:rPr>
                <w:b/>
                <w:bCs/>
              </w:rPr>
            </w:pPr>
            <w:r w:rsidRPr="001D7630">
              <w:rPr>
                <w:b/>
                <w:bCs/>
              </w:rPr>
              <w:lastRenderedPageBreak/>
              <w:t>(14.06.2021. atzinums)</w:t>
            </w:r>
          </w:p>
          <w:p w14:paraId="5879EC71" w14:textId="77777777" w:rsidR="00780010" w:rsidRPr="001D7630" w:rsidRDefault="00780010" w:rsidP="00780010">
            <w:pPr>
              <w:jc w:val="both"/>
            </w:pPr>
            <w:r w:rsidRPr="001D7630">
              <w:t>[4.] Lūdzam precizēt 14.panta pirmo daļu, konkrēti, valsts nodevas apmēru.</w:t>
            </w:r>
          </w:p>
          <w:p w14:paraId="58709838" w14:textId="77777777" w:rsidR="00780010" w:rsidRPr="001D7630" w:rsidRDefault="00780010" w:rsidP="00780010">
            <w:pPr>
              <w:jc w:val="both"/>
            </w:pPr>
            <w:r w:rsidRPr="001D7630">
              <w:t>Iepriekšējā likumprojekta redakcija paredzēja par SEG mērķu neizpildi maksimālo maksājuma apmēru 1 procenta apmērā no degvielas piegādātāja pēdējā finanšu gada neto apgrozījuma, kas attiecas uz degvielas apriti, tai skaitā piegādi un tirdzniecību. Precizētā likumprojekta 14.panta pirmā daļa noteic, ka degvielas piegādātājs maksā transporta enerģijas aprites cikla emisiju intensitātes samazināšanas nodevu (turpmāk – valsts nodeva) 70 eiro par katru nesamazināto transporta enerģijas aprites cikla  siltumnīcefekta gāzu emisiju tonnu. Vienlaikus anotācijā ir skaidrots, ka, ņemot vērā 2019.gada degvielas piegādātāju iesniegtos ziņojumus, ir aprēķināti iespējamie</w:t>
            </w:r>
            <w:r w:rsidRPr="001D7630">
              <w:rPr>
                <w:bCs/>
              </w:rPr>
              <w:t xml:space="preserve"> valsts</w:t>
            </w:r>
            <w:r w:rsidRPr="001D7630">
              <w:t xml:space="preserve"> nodevas apmēri sliktākajā scenārijā, un ir konstatēts, ka likumprojektā iekļautā</w:t>
            </w:r>
            <w:r w:rsidRPr="001D7630">
              <w:rPr>
                <w:bCs/>
              </w:rPr>
              <w:t xml:space="preserve"> valsts</w:t>
            </w:r>
            <w:r w:rsidRPr="001D7630">
              <w:t xml:space="preserve"> nodevas likme – 70 euro par katru oglekļa dioksīda ekvivalenta iztrūkuma tonnu, nevienā no gadījumiem nepārsniedz 1.6% no degvielas piegādātāja kalendārā gada neto finanšu apgrozījuma.</w:t>
            </w:r>
          </w:p>
          <w:p w14:paraId="457209FC" w14:textId="728C8F22" w:rsidR="00780010" w:rsidRPr="001D7630" w:rsidRDefault="00780010" w:rsidP="009A5411">
            <w:pPr>
              <w:autoSpaceDE w:val="0"/>
              <w:autoSpaceDN w:val="0"/>
              <w:adjustRightInd w:val="0"/>
              <w:jc w:val="both"/>
              <w:rPr>
                <w:b/>
                <w:bCs/>
              </w:rPr>
            </w:pPr>
            <w:r w:rsidRPr="001D7630">
              <w:t xml:space="preserve">Ņemot vērā, ka likumprojektā noteiktie AER un SEG mērķi ievērojami ietekmēs turpmāko degvielas tirgotāju darbību, tajā skaitā degvielas cenas un </w:t>
            </w:r>
            <w:r w:rsidRPr="001D7630">
              <w:lastRenderedPageBreak/>
              <w:t xml:space="preserve">konkurenci, lūdzam valsts nodevas apmēru noteikt ne lielāku kā iepriekšējā likumprojekta redakcijā noteikto 1% no degvielas piegādātāja pēdējā finanšu gada neto apgrozījuma, kas attiecas uz degvielas apriti, tai skaitā piegādi un tirdzniecību. </w:t>
            </w:r>
          </w:p>
        </w:tc>
        <w:tc>
          <w:tcPr>
            <w:tcW w:w="2976" w:type="dxa"/>
            <w:vMerge w:val="restart"/>
            <w:tcBorders>
              <w:top w:val="single" w:sz="6" w:space="0" w:color="000000"/>
              <w:left w:val="single" w:sz="6" w:space="0" w:color="000000"/>
              <w:right w:val="single" w:sz="6" w:space="0" w:color="000000"/>
            </w:tcBorders>
            <w:shd w:val="clear" w:color="auto" w:fill="auto"/>
          </w:tcPr>
          <w:p w14:paraId="155BEFAF" w14:textId="63B91608" w:rsidR="00780010" w:rsidRDefault="00780010" w:rsidP="00780010">
            <w:pPr>
              <w:jc w:val="center"/>
              <w:rPr>
                <w:b/>
                <w:bCs/>
                <w:iCs/>
              </w:rPr>
            </w:pPr>
            <w:r w:rsidRPr="001D7630">
              <w:rPr>
                <w:b/>
                <w:bCs/>
                <w:iCs/>
              </w:rPr>
              <w:lastRenderedPageBreak/>
              <w:t>Nav ņemts vērā</w:t>
            </w:r>
          </w:p>
          <w:p w14:paraId="4E8F0B92" w14:textId="423F9452" w:rsidR="00780010" w:rsidRPr="001D7630" w:rsidRDefault="00780010" w:rsidP="00780010">
            <w:pPr>
              <w:jc w:val="center"/>
              <w:rPr>
                <w:b/>
                <w:bCs/>
                <w:iCs/>
              </w:rPr>
            </w:pPr>
            <w:r>
              <w:rPr>
                <w:b/>
                <w:bCs/>
                <w:iCs/>
              </w:rPr>
              <w:lastRenderedPageBreak/>
              <w:t>Iebildums netiek uzturēts</w:t>
            </w:r>
          </w:p>
          <w:p w14:paraId="0306C872" w14:textId="77777777" w:rsidR="00780010" w:rsidRPr="001D7630" w:rsidRDefault="00780010" w:rsidP="00780010">
            <w:pPr>
              <w:rPr>
                <w:iCs/>
              </w:rPr>
            </w:pPr>
            <w:r w:rsidRPr="001D7630">
              <w:rPr>
                <w:iCs/>
              </w:rPr>
              <w:t>Ekonomikas ministrija ir aprēķinājusi iespējamās nodevas apjomus degvielas piegādātājiem, ņemot vērā 2019.gadā iesniegtos ziņojumus:</w:t>
            </w:r>
          </w:p>
          <w:tbl>
            <w:tblPr>
              <w:tblW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771"/>
            </w:tblGrid>
            <w:tr w:rsidR="00780010" w:rsidRPr="001D7630" w14:paraId="03735192" w14:textId="77777777" w:rsidTr="000C7339">
              <w:trPr>
                <w:trHeight w:val="300"/>
              </w:trPr>
              <w:tc>
                <w:tcPr>
                  <w:tcW w:w="857" w:type="dxa"/>
                  <w:shd w:val="clear" w:color="auto" w:fill="auto"/>
                  <w:noWrap/>
                  <w:vAlign w:val="bottom"/>
                  <w:hideMark/>
                </w:tcPr>
                <w:p w14:paraId="364475E9" w14:textId="77777777" w:rsidR="00780010" w:rsidRPr="001D7630" w:rsidRDefault="00780010" w:rsidP="00780010">
                  <w:pPr>
                    <w:rPr>
                      <w:sz w:val="22"/>
                      <w:szCs w:val="22"/>
                    </w:rPr>
                  </w:pPr>
                </w:p>
              </w:tc>
              <w:tc>
                <w:tcPr>
                  <w:tcW w:w="1985" w:type="dxa"/>
                  <w:shd w:val="clear" w:color="auto" w:fill="auto"/>
                  <w:noWrap/>
                  <w:vAlign w:val="bottom"/>
                  <w:hideMark/>
                </w:tcPr>
                <w:p w14:paraId="7B6C43D6" w14:textId="77777777" w:rsidR="00780010" w:rsidRPr="001D7630" w:rsidRDefault="00780010" w:rsidP="00780010">
                  <w:pPr>
                    <w:rPr>
                      <w:color w:val="000000"/>
                      <w:sz w:val="22"/>
                      <w:szCs w:val="22"/>
                    </w:rPr>
                  </w:pPr>
                  <w:r w:rsidRPr="001D7630">
                    <w:rPr>
                      <w:color w:val="000000"/>
                      <w:sz w:val="22"/>
                      <w:szCs w:val="22"/>
                    </w:rPr>
                    <w:t>nodevas apjoms % no gada apgrozījuma</w:t>
                  </w:r>
                </w:p>
              </w:tc>
            </w:tr>
            <w:tr w:rsidR="00780010" w:rsidRPr="001D7630" w14:paraId="5226031A" w14:textId="77777777" w:rsidTr="000C7339">
              <w:trPr>
                <w:trHeight w:val="300"/>
              </w:trPr>
              <w:tc>
                <w:tcPr>
                  <w:tcW w:w="857" w:type="dxa"/>
                  <w:shd w:val="clear" w:color="auto" w:fill="auto"/>
                  <w:noWrap/>
                  <w:vAlign w:val="bottom"/>
                  <w:hideMark/>
                </w:tcPr>
                <w:p w14:paraId="7A0D0602" w14:textId="77777777" w:rsidR="00780010" w:rsidRPr="001D7630" w:rsidRDefault="00780010" w:rsidP="009A5411">
                  <w:pPr>
                    <w:jc w:val="center"/>
                    <w:rPr>
                      <w:color w:val="000000"/>
                      <w:sz w:val="22"/>
                      <w:szCs w:val="22"/>
                    </w:rPr>
                  </w:pPr>
                  <w:r w:rsidRPr="001D7630">
                    <w:rPr>
                      <w:color w:val="000000"/>
                      <w:sz w:val="22"/>
                      <w:szCs w:val="22"/>
                    </w:rPr>
                    <w:t>DP1</w:t>
                  </w:r>
                </w:p>
              </w:tc>
              <w:tc>
                <w:tcPr>
                  <w:tcW w:w="1985" w:type="dxa"/>
                  <w:shd w:val="clear" w:color="auto" w:fill="auto"/>
                  <w:noWrap/>
                  <w:vAlign w:val="bottom"/>
                  <w:hideMark/>
                </w:tcPr>
                <w:p w14:paraId="60AC6EDD" w14:textId="77777777" w:rsidR="00780010" w:rsidRPr="001D7630" w:rsidRDefault="00780010" w:rsidP="009A5411">
                  <w:pPr>
                    <w:jc w:val="center"/>
                    <w:rPr>
                      <w:color w:val="000000"/>
                      <w:sz w:val="22"/>
                      <w:szCs w:val="22"/>
                    </w:rPr>
                  </w:pPr>
                  <w:r w:rsidRPr="001D7630">
                    <w:rPr>
                      <w:color w:val="000000"/>
                      <w:sz w:val="22"/>
                      <w:szCs w:val="22"/>
                    </w:rPr>
                    <w:t>0%</w:t>
                  </w:r>
                </w:p>
              </w:tc>
            </w:tr>
            <w:tr w:rsidR="00780010" w:rsidRPr="001D7630" w14:paraId="72CB9AFF" w14:textId="77777777" w:rsidTr="000C7339">
              <w:trPr>
                <w:trHeight w:val="300"/>
              </w:trPr>
              <w:tc>
                <w:tcPr>
                  <w:tcW w:w="857" w:type="dxa"/>
                  <w:shd w:val="clear" w:color="auto" w:fill="auto"/>
                  <w:noWrap/>
                  <w:vAlign w:val="bottom"/>
                  <w:hideMark/>
                </w:tcPr>
                <w:p w14:paraId="1751EF17" w14:textId="77777777" w:rsidR="00780010" w:rsidRPr="001D7630" w:rsidRDefault="00780010" w:rsidP="009A5411">
                  <w:pPr>
                    <w:jc w:val="center"/>
                    <w:rPr>
                      <w:color w:val="000000"/>
                      <w:sz w:val="22"/>
                      <w:szCs w:val="22"/>
                    </w:rPr>
                  </w:pPr>
                  <w:r w:rsidRPr="001D7630">
                    <w:rPr>
                      <w:color w:val="000000"/>
                      <w:sz w:val="22"/>
                      <w:szCs w:val="22"/>
                    </w:rPr>
                    <w:t>DP2</w:t>
                  </w:r>
                </w:p>
              </w:tc>
              <w:tc>
                <w:tcPr>
                  <w:tcW w:w="1985" w:type="dxa"/>
                  <w:shd w:val="clear" w:color="auto" w:fill="auto"/>
                  <w:noWrap/>
                  <w:vAlign w:val="bottom"/>
                  <w:hideMark/>
                </w:tcPr>
                <w:p w14:paraId="3D4DF563" w14:textId="77777777" w:rsidR="00780010" w:rsidRPr="001D7630" w:rsidRDefault="00780010" w:rsidP="009A5411">
                  <w:pPr>
                    <w:jc w:val="center"/>
                    <w:rPr>
                      <w:color w:val="000000"/>
                      <w:sz w:val="22"/>
                      <w:szCs w:val="22"/>
                    </w:rPr>
                  </w:pPr>
                  <w:r w:rsidRPr="001D7630">
                    <w:rPr>
                      <w:color w:val="000000"/>
                      <w:sz w:val="22"/>
                      <w:szCs w:val="22"/>
                    </w:rPr>
                    <w:t>0.73%</w:t>
                  </w:r>
                </w:p>
              </w:tc>
            </w:tr>
            <w:tr w:rsidR="00780010" w:rsidRPr="001D7630" w14:paraId="5856547D" w14:textId="77777777" w:rsidTr="000C7339">
              <w:trPr>
                <w:trHeight w:val="300"/>
              </w:trPr>
              <w:tc>
                <w:tcPr>
                  <w:tcW w:w="857" w:type="dxa"/>
                  <w:shd w:val="clear" w:color="auto" w:fill="auto"/>
                  <w:noWrap/>
                  <w:vAlign w:val="bottom"/>
                  <w:hideMark/>
                </w:tcPr>
                <w:p w14:paraId="08062625" w14:textId="77777777" w:rsidR="00780010" w:rsidRPr="001D7630" w:rsidRDefault="00780010" w:rsidP="009A5411">
                  <w:pPr>
                    <w:jc w:val="center"/>
                    <w:rPr>
                      <w:color w:val="000000"/>
                      <w:sz w:val="22"/>
                      <w:szCs w:val="22"/>
                    </w:rPr>
                  </w:pPr>
                  <w:r w:rsidRPr="001D7630">
                    <w:rPr>
                      <w:color w:val="000000"/>
                      <w:sz w:val="22"/>
                      <w:szCs w:val="22"/>
                    </w:rPr>
                    <w:t>DP3</w:t>
                  </w:r>
                </w:p>
              </w:tc>
              <w:tc>
                <w:tcPr>
                  <w:tcW w:w="1985" w:type="dxa"/>
                  <w:shd w:val="clear" w:color="auto" w:fill="auto"/>
                  <w:noWrap/>
                  <w:vAlign w:val="bottom"/>
                  <w:hideMark/>
                </w:tcPr>
                <w:p w14:paraId="6EF21681" w14:textId="77777777" w:rsidR="00780010" w:rsidRPr="001D7630" w:rsidRDefault="00780010" w:rsidP="009A5411">
                  <w:pPr>
                    <w:jc w:val="center"/>
                    <w:rPr>
                      <w:color w:val="000000"/>
                      <w:sz w:val="22"/>
                      <w:szCs w:val="22"/>
                    </w:rPr>
                  </w:pPr>
                  <w:r w:rsidRPr="001D7630">
                    <w:rPr>
                      <w:color w:val="000000"/>
                      <w:sz w:val="22"/>
                      <w:szCs w:val="22"/>
                    </w:rPr>
                    <w:t>1.08%</w:t>
                  </w:r>
                </w:p>
              </w:tc>
            </w:tr>
            <w:tr w:rsidR="00780010" w:rsidRPr="001D7630" w14:paraId="5EFBEA91" w14:textId="77777777" w:rsidTr="000C7339">
              <w:trPr>
                <w:trHeight w:val="300"/>
              </w:trPr>
              <w:tc>
                <w:tcPr>
                  <w:tcW w:w="857" w:type="dxa"/>
                  <w:shd w:val="clear" w:color="auto" w:fill="auto"/>
                  <w:noWrap/>
                  <w:vAlign w:val="bottom"/>
                  <w:hideMark/>
                </w:tcPr>
                <w:p w14:paraId="02F4228B" w14:textId="77777777" w:rsidR="00780010" w:rsidRPr="001D7630" w:rsidRDefault="00780010" w:rsidP="009A5411">
                  <w:pPr>
                    <w:jc w:val="center"/>
                    <w:rPr>
                      <w:color w:val="000000"/>
                      <w:sz w:val="22"/>
                      <w:szCs w:val="22"/>
                    </w:rPr>
                  </w:pPr>
                  <w:r w:rsidRPr="001D7630">
                    <w:rPr>
                      <w:color w:val="000000"/>
                      <w:sz w:val="22"/>
                      <w:szCs w:val="22"/>
                    </w:rPr>
                    <w:t>DP4</w:t>
                  </w:r>
                </w:p>
              </w:tc>
              <w:tc>
                <w:tcPr>
                  <w:tcW w:w="1985" w:type="dxa"/>
                  <w:shd w:val="clear" w:color="auto" w:fill="auto"/>
                  <w:noWrap/>
                  <w:vAlign w:val="bottom"/>
                  <w:hideMark/>
                </w:tcPr>
                <w:p w14:paraId="6ADDEDE2" w14:textId="77777777" w:rsidR="00780010" w:rsidRPr="001D7630" w:rsidRDefault="00780010" w:rsidP="009A5411">
                  <w:pPr>
                    <w:jc w:val="center"/>
                    <w:rPr>
                      <w:color w:val="000000"/>
                      <w:sz w:val="22"/>
                      <w:szCs w:val="22"/>
                    </w:rPr>
                  </w:pPr>
                  <w:r w:rsidRPr="001D7630">
                    <w:rPr>
                      <w:color w:val="000000"/>
                      <w:sz w:val="22"/>
                      <w:szCs w:val="22"/>
                    </w:rPr>
                    <w:t>1.10%</w:t>
                  </w:r>
                </w:p>
              </w:tc>
            </w:tr>
            <w:tr w:rsidR="00780010" w:rsidRPr="001D7630" w14:paraId="155BBA17" w14:textId="77777777" w:rsidTr="000C7339">
              <w:trPr>
                <w:trHeight w:val="300"/>
              </w:trPr>
              <w:tc>
                <w:tcPr>
                  <w:tcW w:w="857" w:type="dxa"/>
                  <w:shd w:val="clear" w:color="auto" w:fill="auto"/>
                  <w:noWrap/>
                  <w:vAlign w:val="bottom"/>
                  <w:hideMark/>
                </w:tcPr>
                <w:p w14:paraId="0162AA00" w14:textId="77777777" w:rsidR="00780010" w:rsidRPr="001D7630" w:rsidRDefault="00780010" w:rsidP="009A5411">
                  <w:pPr>
                    <w:jc w:val="center"/>
                    <w:rPr>
                      <w:color w:val="000000"/>
                      <w:sz w:val="22"/>
                      <w:szCs w:val="22"/>
                    </w:rPr>
                  </w:pPr>
                  <w:r w:rsidRPr="001D7630">
                    <w:rPr>
                      <w:color w:val="000000"/>
                      <w:sz w:val="22"/>
                      <w:szCs w:val="22"/>
                    </w:rPr>
                    <w:t>DP5</w:t>
                  </w:r>
                </w:p>
              </w:tc>
              <w:tc>
                <w:tcPr>
                  <w:tcW w:w="1985" w:type="dxa"/>
                  <w:shd w:val="clear" w:color="auto" w:fill="auto"/>
                  <w:noWrap/>
                  <w:vAlign w:val="bottom"/>
                  <w:hideMark/>
                </w:tcPr>
                <w:p w14:paraId="41207600" w14:textId="77777777" w:rsidR="00780010" w:rsidRPr="001D7630" w:rsidRDefault="00780010" w:rsidP="009A5411">
                  <w:pPr>
                    <w:jc w:val="center"/>
                    <w:rPr>
                      <w:color w:val="000000"/>
                      <w:sz w:val="22"/>
                      <w:szCs w:val="22"/>
                    </w:rPr>
                  </w:pPr>
                  <w:r w:rsidRPr="001D7630">
                    <w:rPr>
                      <w:color w:val="000000"/>
                      <w:sz w:val="22"/>
                      <w:szCs w:val="22"/>
                    </w:rPr>
                    <w:t>1.04%</w:t>
                  </w:r>
                </w:p>
              </w:tc>
            </w:tr>
            <w:tr w:rsidR="00780010" w:rsidRPr="001D7630" w14:paraId="4DD37A27" w14:textId="77777777" w:rsidTr="000C7339">
              <w:trPr>
                <w:trHeight w:val="300"/>
              </w:trPr>
              <w:tc>
                <w:tcPr>
                  <w:tcW w:w="857" w:type="dxa"/>
                  <w:shd w:val="clear" w:color="auto" w:fill="auto"/>
                  <w:noWrap/>
                  <w:vAlign w:val="bottom"/>
                  <w:hideMark/>
                </w:tcPr>
                <w:p w14:paraId="7AFECC5C" w14:textId="77777777" w:rsidR="00780010" w:rsidRPr="001D7630" w:rsidRDefault="00780010" w:rsidP="009A5411">
                  <w:pPr>
                    <w:jc w:val="center"/>
                    <w:rPr>
                      <w:color w:val="000000"/>
                      <w:sz w:val="22"/>
                      <w:szCs w:val="22"/>
                    </w:rPr>
                  </w:pPr>
                  <w:r w:rsidRPr="001D7630">
                    <w:rPr>
                      <w:color w:val="000000"/>
                      <w:sz w:val="22"/>
                      <w:szCs w:val="22"/>
                    </w:rPr>
                    <w:t>DP6</w:t>
                  </w:r>
                </w:p>
              </w:tc>
              <w:tc>
                <w:tcPr>
                  <w:tcW w:w="1985" w:type="dxa"/>
                  <w:shd w:val="clear" w:color="auto" w:fill="auto"/>
                  <w:noWrap/>
                  <w:vAlign w:val="bottom"/>
                  <w:hideMark/>
                </w:tcPr>
                <w:p w14:paraId="1BF2D49E" w14:textId="77777777" w:rsidR="00780010" w:rsidRPr="001D7630" w:rsidRDefault="00780010" w:rsidP="009A5411">
                  <w:pPr>
                    <w:jc w:val="center"/>
                    <w:rPr>
                      <w:color w:val="000000"/>
                      <w:sz w:val="22"/>
                      <w:szCs w:val="22"/>
                    </w:rPr>
                  </w:pPr>
                  <w:r w:rsidRPr="001D7630">
                    <w:rPr>
                      <w:color w:val="000000"/>
                      <w:sz w:val="22"/>
                      <w:szCs w:val="22"/>
                    </w:rPr>
                    <w:t>0%</w:t>
                  </w:r>
                </w:p>
              </w:tc>
            </w:tr>
            <w:tr w:rsidR="00780010" w:rsidRPr="001D7630" w14:paraId="4F662D8F" w14:textId="77777777" w:rsidTr="000C7339">
              <w:trPr>
                <w:trHeight w:val="300"/>
              </w:trPr>
              <w:tc>
                <w:tcPr>
                  <w:tcW w:w="857" w:type="dxa"/>
                  <w:shd w:val="clear" w:color="auto" w:fill="auto"/>
                  <w:noWrap/>
                  <w:vAlign w:val="bottom"/>
                  <w:hideMark/>
                </w:tcPr>
                <w:p w14:paraId="45021251" w14:textId="77777777" w:rsidR="00780010" w:rsidRPr="001D7630" w:rsidRDefault="00780010" w:rsidP="009A5411">
                  <w:pPr>
                    <w:jc w:val="center"/>
                    <w:rPr>
                      <w:color w:val="000000"/>
                      <w:sz w:val="22"/>
                      <w:szCs w:val="22"/>
                    </w:rPr>
                  </w:pPr>
                  <w:r w:rsidRPr="001D7630">
                    <w:rPr>
                      <w:color w:val="000000"/>
                      <w:sz w:val="22"/>
                      <w:szCs w:val="22"/>
                    </w:rPr>
                    <w:t>DP7</w:t>
                  </w:r>
                </w:p>
              </w:tc>
              <w:tc>
                <w:tcPr>
                  <w:tcW w:w="1985" w:type="dxa"/>
                  <w:shd w:val="clear" w:color="auto" w:fill="auto"/>
                  <w:noWrap/>
                  <w:vAlign w:val="bottom"/>
                  <w:hideMark/>
                </w:tcPr>
                <w:p w14:paraId="7B8599B2" w14:textId="77777777" w:rsidR="00780010" w:rsidRPr="001D7630" w:rsidRDefault="00780010" w:rsidP="009A5411">
                  <w:pPr>
                    <w:jc w:val="center"/>
                    <w:rPr>
                      <w:color w:val="000000"/>
                      <w:sz w:val="22"/>
                      <w:szCs w:val="22"/>
                    </w:rPr>
                  </w:pPr>
                  <w:r w:rsidRPr="001D7630">
                    <w:rPr>
                      <w:color w:val="000000"/>
                      <w:sz w:val="22"/>
                      <w:szCs w:val="22"/>
                    </w:rPr>
                    <w:t>1.42%</w:t>
                  </w:r>
                </w:p>
              </w:tc>
            </w:tr>
            <w:tr w:rsidR="00780010" w:rsidRPr="001D7630" w14:paraId="7AD30DFC" w14:textId="77777777" w:rsidTr="000C7339">
              <w:trPr>
                <w:trHeight w:val="300"/>
              </w:trPr>
              <w:tc>
                <w:tcPr>
                  <w:tcW w:w="857" w:type="dxa"/>
                  <w:shd w:val="clear" w:color="auto" w:fill="auto"/>
                  <w:noWrap/>
                  <w:vAlign w:val="bottom"/>
                  <w:hideMark/>
                </w:tcPr>
                <w:p w14:paraId="1DEEB65F" w14:textId="77777777" w:rsidR="00780010" w:rsidRPr="001D7630" w:rsidRDefault="00780010" w:rsidP="009A5411">
                  <w:pPr>
                    <w:jc w:val="center"/>
                    <w:rPr>
                      <w:color w:val="000000"/>
                      <w:sz w:val="22"/>
                      <w:szCs w:val="22"/>
                    </w:rPr>
                  </w:pPr>
                  <w:r w:rsidRPr="001D7630">
                    <w:rPr>
                      <w:color w:val="000000"/>
                      <w:sz w:val="22"/>
                      <w:szCs w:val="22"/>
                    </w:rPr>
                    <w:t>DP8</w:t>
                  </w:r>
                </w:p>
              </w:tc>
              <w:tc>
                <w:tcPr>
                  <w:tcW w:w="1985" w:type="dxa"/>
                  <w:shd w:val="clear" w:color="auto" w:fill="auto"/>
                  <w:noWrap/>
                  <w:vAlign w:val="bottom"/>
                  <w:hideMark/>
                </w:tcPr>
                <w:p w14:paraId="69D711CE" w14:textId="77777777" w:rsidR="00780010" w:rsidRPr="001D7630" w:rsidRDefault="00780010" w:rsidP="009A5411">
                  <w:pPr>
                    <w:jc w:val="center"/>
                    <w:rPr>
                      <w:color w:val="000000"/>
                      <w:sz w:val="22"/>
                      <w:szCs w:val="22"/>
                    </w:rPr>
                  </w:pPr>
                  <w:r w:rsidRPr="001D7630">
                    <w:rPr>
                      <w:color w:val="000000"/>
                      <w:sz w:val="22"/>
                      <w:szCs w:val="22"/>
                    </w:rPr>
                    <w:t>0%</w:t>
                  </w:r>
                </w:p>
              </w:tc>
            </w:tr>
            <w:tr w:rsidR="00780010" w:rsidRPr="001D7630" w14:paraId="57B26D11" w14:textId="77777777" w:rsidTr="000C7339">
              <w:trPr>
                <w:trHeight w:val="300"/>
              </w:trPr>
              <w:tc>
                <w:tcPr>
                  <w:tcW w:w="857" w:type="dxa"/>
                  <w:shd w:val="clear" w:color="auto" w:fill="auto"/>
                  <w:noWrap/>
                  <w:vAlign w:val="bottom"/>
                  <w:hideMark/>
                </w:tcPr>
                <w:p w14:paraId="0DCC69F2" w14:textId="77777777" w:rsidR="00780010" w:rsidRPr="001D7630" w:rsidRDefault="00780010" w:rsidP="009A5411">
                  <w:pPr>
                    <w:jc w:val="center"/>
                    <w:rPr>
                      <w:color w:val="000000"/>
                      <w:sz w:val="22"/>
                      <w:szCs w:val="22"/>
                    </w:rPr>
                  </w:pPr>
                  <w:r w:rsidRPr="001D7630">
                    <w:rPr>
                      <w:color w:val="000000"/>
                      <w:sz w:val="22"/>
                      <w:szCs w:val="22"/>
                    </w:rPr>
                    <w:t>DP9</w:t>
                  </w:r>
                </w:p>
              </w:tc>
              <w:tc>
                <w:tcPr>
                  <w:tcW w:w="1985" w:type="dxa"/>
                  <w:shd w:val="clear" w:color="auto" w:fill="auto"/>
                  <w:noWrap/>
                  <w:vAlign w:val="bottom"/>
                  <w:hideMark/>
                </w:tcPr>
                <w:p w14:paraId="760923E1" w14:textId="77777777" w:rsidR="00780010" w:rsidRPr="001D7630" w:rsidRDefault="00780010" w:rsidP="009A5411">
                  <w:pPr>
                    <w:jc w:val="center"/>
                    <w:rPr>
                      <w:color w:val="000000"/>
                      <w:sz w:val="22"/>
                      <w:szCs w:val="22"/>
                    </w:rPr>
                  </w:pPr>
                  <w:r w:rsidRPr="001D7630">
                    <w:rPr>
                      <w:color w:val="000000"/>
                      <w:sz w:val="22"/>
                      <w:szCs w:val="22"/>
                    </w:rPr>
                    <w:t>0.06%</w:t>
                  </w:r>
                </w:p>
              </w:tc>
            </w:tr>
            <w:tr w:rsidR="00780010" w:rsidRPr="001D7630" w14:paraId="3A11AD2B" w14:textId="77777777" w:rsidTr="000C7339">
              <w:trPr>
                <w:trHeight w:val="300"/>
              </w:trPr>
              <w:tc>
                <w:tcPr>
                  <w:tcW w:w="857" w:type="dxa"/>
                  <w:shd w:val="clear" w:color="auto" w:fill="auto"/>
                  <w:noWrap/>
                  <w:vAlign w:val="bottom"/>
                  <w:hideMark/>
                </w:tcPr>
                <w:p w14:paraId="730F089A" w14:textId="77777777" w:rsidR="00780010" w:rsidRPr="001D7630" w:rsidRDefault="00780010" w:rsidP="009A5411">
                  <w:pPr>
                    <w:jc w:val="center"/>
                    <w:rPr>
                      <w:color w:val="000000"/>
                      <w:sz w:val="22"/>
                      <w:szCs w:val="22"/>
                    </w:rPr>
                  </w:pPr>
                  <w:r w:rsidRPr="001D7630">
                    <w:rPr>
                      <w:color w:val="000000"/>
                      <w:sz w:val="22"/>
                      <w:szCs w:val="22"/>
                    </w:rPr>
                    <w:t>DP10</w:t>
                  </w:r>
                </w:p>
              </w:tc>
              <w:tc>
                <w:tcPr>
                  <w:tcW w:w="1985" w:type="dxa"/>
                  <w:shd w:val="clear" w:color="auto" w:fill="auto"/>
                  <w:noWrap/>
                  <w:vAlign w:val="bottom"/>
                  <w:hideMark/>
                </w:tcPr>
                <w:p w14:paraId="22C9FD93" w14:textId="77777777" w:rsidR="00780010" w:rsidRPr="001D7630" w:rsidRDefault="00780010" w:rsidP="009A5411">
                  <w:pPr>
                    <w:jc w:val="center"/>
                    <w:rPr>
                      <w:color w:val="000000"/>
                      <w:sz w:val="22"/>
                      <w:szCs w:val="22"/>
                    </w:rPr>
                  </w:pPr>
                  <w:r w:rsidRPr="001D7630">
                    <w:rPr>
                      <w:color w:val="000000"/>
                      <w:sz w:val="22"/>
                      <w:szCs w:val="22"/>
                    </w:rPr>
                    <w:t>0%</w:t>
                  </w:r>
                </w:p>
              </w:tc>
            </w:tr>
            <w:tr w:rsidR="00780010" w:rsidRPr="001D7630" w14:paraId="77F71022" w14:textId="77777777" w:rsidTr="000C7339">
              <w:trPr>
                <w:trHeight w:val="300"/>
              </w:trPr>
              <w:tc>
                <w:tcPr>
                  <w:tcW w:w="857" w:type="dxa"/>
                  <w:shd w:val="clear" w:color="auto" w:fill="auto"/>
                  <w:noWrap/>
                  <w:vAlign w:val="bottom"/>
                  <w:hideMark/>
                </w:tcPr>
                <w:p w14:paraId="532D305F" w14:textId="77777777" w:rsidR="00780010" w:rsidRPr="001D7630" w:rsidRDefault="00780010" w:rsidP="009A5411">
                  <w:pPr>
                    <w:jc w:val="center"/>
                    <w:rPr>
                      <w:color w:val="000000"/>
                      <w:sz w:val="22"/>
                      <w:szCs w:val="22"/>
                    </w:rPr>
                  </w:pPr>
                  <w:r w:rsidRPr="001D7630">
                    <w:rPr>
                      <w:color w:val="000000"/>
                      <w:sz w:val="22"/>
                      <w:szCs w:val="22"/>
                    </w:rPr>
                    <w:t>DP11</w:t>
                  </w:r>
                </w:p>
              </w:tc>
              <w:tc>
                <w:tcPr>
                  <w:tcW w:w="1985" w:type="dxa"/>
                  <w:shd w:val="clear" w:color="auto" w:fill="auto"/>
                  <w:noWrap/>
                  <w:vAlign w:val="bottom"/>
                  <w:hideMark/>
                </w:tcPr>
                <w:p w14:paraId="07A59FFB" w14:textId="77777777" w:rsidR="00780010" w:rsidRPr="001D7630" w:rsidRDefault="00780010" w:rsidP="009A5411">
                  <w:pPr>
                    <w:jc w:val="center"/>
                    <w:rPr>
                      <w:color w:val="000000"/>
                      <w:sz w:val="22"/>
                      <w:szCs w:val="22"/>
                    </w:rPr>
                  </w:pPr>
                  <w:r w:rsidRPr="001D7630">
                    <w:rPr>
                      <w:color w:val="000000"/>
                      <w:sz w:val="22"/>
                      <w:szCs w:val="22"/>
                    </w:rPr>
                    <w:t>0.74%</w:t>
                  </w:r>
                </w:p>
              </w:tc>
            </w:tr>
            <w:tr w:rsidR="00780010" w:rsidRPr="001D7630" w14:paraId="3AA7CC3E" w14:textId="77777777" w:rsidTr="000C7339">
              <w:trPr>
                <w:trHeight w:val="300"/>
              </w:trPr>
              <w:tc>
                <w:tcPr>
                  <w:tcW w:w="857" w:type="dxa"/>
                  <w:shd w:val="clear" w:color="auto" w:fill="auto"/>
                  <w:noWrap/>
                  <w:vAlign w:val="bottom"/>
                  <w:hideMark/>
                </w:tcPr>
                <w:p w14:paraId="5C32F225" w14:textId="77777777" w:rsidR="00780010" w:rsidRPr="001D7630" w:rsidRDefault="00780010" w:rsidP="009A5411">
                  <w:pPr>
                    <w:jc w:val="center"/>
                    <w:rPr>
                      <w:color w:val="000000"/>
                      <w:sz w:val="22"/>
                      <w:szCs w:val="22"/>
                    </w:rPr>
                  </w:pPr>
                  <w:r w:rsidRPr="001D7630">
                    <w:rPr>
                      <w:color w:val="000000"/>
                      <w:sz w:val="22"/>
                      <w:szCs w:val="22"/>
                    </w:rPr>
                    <w:t>DP12</w:t>
                  </w:r>
                </w:p>
              </w:tc>
              <w:tc>
                <w:tcPr>
                  <w:tcW w:w="1985" w:type="dxa"/>
                  <w:shd w:val="clear" w:color="auto" w:fill="auto"/>
                  <w:noWrap/>
                  <w:vAlign w:val="bottom"/>
                  <w:hideMark/>
                </w:tcPr>
                <w:p w14:paraId="298050C8" w14:textId="77777777" w:rsidR="00780010" w:rsidRPr="001D7630" w:rsidRDefault="00780010" w:rsidP="009A5411">
                  <w:pPr>
                    <w:jc w:val="center"/>
                    <w:rPr>
                      <w:color w:val="000000"/>
                      <w:sz w:val="22"/>
                      <w:szCs w:val="22"/>
                    </w:rPr>
                  </w:pPr>
                  <w:r w:rsidRPr="001D7630">
                    <w:rPr>
                      <w:color w:val="000000"/>
                      <w:sz w:val="22"/>
                      <w:szCs w:val="22"/>
                    </w:rPr>
                    <w:t>1.56%</w:t>
                  </w:r>
                </w:p>
              </w:tc>
            </w:tr>
            <w:tr w:rsidR="00780010" w:rsidRPr="001D7630" w14:paraId="738BD3DB" w14:textId="77777777" w:rsidTr="000C7339">
              <w:trPr>
                <w:trHeight w:val="300"/>
              </w:trPr>
              <w:tc>
                <w:tcPr>
                  <w:tcW w:w="857" w:type="dxa"/>
                  <w:shd w:val="clear" w:color="auto" w:fill="auto"/>
                  <w:noWrap/>
                  <w:vAlign w:val="bottom"/>
                  <w:hideMark/>
                </w:tcPr>
                <w:p w14:paraId="52533A38" w14:textId="77777777" w:rsidR="00780010" w:rsidRPr="001D7630" w:rsidRDefault="00780010" w:rsidP="009A5411">
                  <w:pPr>
                    <w:jc w:val="center"/>
                    <w:rPr>
                      <w:color w:val="000000"/>
                      <w:sz w:val="22"/>
                      <w:szCs w:val="22"/>
                    </w:rPr>
                  </w:pPr>
                  <w:r w:rsidRPr="001D7630">
                    <w:rPr>
                      <w:color w:val="000000"/>
                      <w:sz w:val="22"/>
                      <w:szCs w:val="22"/>
                    </w:rPr>
                    <w:t>DP13</w:t>
                  </w:r>
                </w:p>
              </w:tc>
              <w:tc>
                <w:tcPr>
                  <w:tcW w:w="1985" w:type="dxa"/>
                  <w:shd w:val="clear" w:color="auto" w:fill="auto"/>
                  <w:noWrap/>
                  <w:vAlign w:val="bottom"/>
                  <w:hideMark/>
                </w:tcPr>
                <w:p w14:paraId="5DED4C0F" w14:textId="77777777" w:rsidR="00780010" w:rsidRPr="001D7630" w:rsidRDefault="00780010" w:rsidP="009A5411">
                  <w:pPr>
                    <w:jc w:val="center"/>
                    <w:rPr>
                      <w:color w:val="000000"/>
                      <w:sz w:val="22"/>
                      <w:szCs w:val="22"/>
                    </w:rPr>
                  </w:pPr>
                  <w:r w:rsidRPr="001D7630">
                    <w:rPr>
                      <w:color w:val="000000"/>
                      <w:sz w:val="22"/>
                      <w:szCs w:val="22"/>
                    </w:rPr>
                    <w:t>1.07%</w:t>
                  </w:r>
                </w:p>
              </w:tc>
            </w:tr>
            <w:tr w:rsidR="00780010" w:rsidRPr="001D7630" w14:paraId="632D2884" w14:textId="77777777" w:rsidTr="000C7339">
              <w:trPr>
                <w:trHeight w:val="300"/>
              </w:trPr>
              <w:tc>
                <w:tcPr>
                  <w:tcW w:w="857" w:type="dxa"/>
                  <w:shd w:val="clear" w:color="auto" w:fill="auto"/>
                  <w:noWrap/>
                  <w:vAlign w:val="bottom"/>
                  <w:hideMark/>
                </w:tcPr>
                <w:p w14:paraId="564B74CA" w14:textId="77777777" w:rsidR="00780010" w:rsidRPr="001D7630" w:rsidRDefault="00780010" w:rsidP="009A5411">
                  <w:pPr>
                    <w:jc w:val="center"/>
                    <w:rPr>
                      <w:color w:val="000000"/>
                      <w:sz w:val="22"/>
                      <w:szCs w:val="22"/>
                    </w:rPr>
                  </w:pPr>
                  <w:r w:rsidRPr="001D7630">
                    <w:rPr>
                      <w:color w:val="000000"/>
                      <w:sz w:val="22"/>
                      <w:szCs w:val="22"/>
                    </w:rPr>
                    <w:t>DP14</w:t>
                  </w:r>
                </w:p>
              </w:tc>
              <w:tc>
                <w:tcPr>
                  <w:tcW w:w="1985" w:type="dxa"/>
                  <w:shd w:val="clear" w:color="auto" w:fill="auto"/>
                  <w:noWrap/>
                  <w:vAlign w:val="bottom"/>
                  <w:hideMark/>
                </w:tcPr>
                <w:p w14:paraId="27CC4985" w14:textId="77777777" w:rsidR="00780010" w:rsidRPr="001D7630" w:rsidRDefault="00780010" w:rsidP="009A5411">
                  <w:pPr>
                    <w:jc w:val="center"/>
                    <w:rPr>
                      <w:color w:val="000000"/>
                      <w:sz w:val="22"/>
                      <w:szCs w:val="22"/>
                    </w:rPr>
                  </w:pPr>
                  <w:r w:rsidRPr="001D7630">
                    <w:rPr>
                      <w:color w:val="000000"/>
                      <w:sz w:val="22"/>
                      <w:szCs w:val="22"/>
                    </w:rPr>
                    <w:t>0.45%</w:t>
                  </w:r>
                </w:p>
              </w:tc>
            </w:tr>
            <w:tr w:rsidR="00780010" w:rsidRPr="001D7630" w14:paraId="5589CA3A" w14:textId="77777777" w:rsidTr="000C7339">
              <w:trPr>
                <w:trHeight w:val="300"/>
              </w:trPr>
              <w:tc>
                <w:tcPr>
                  <w:tcW w:w="857" w:type="dxa"/>
                  <w:shd w:val="clear" w:color="auto" w:fill="auto"/>
                  <w:noWrap/>
                  <w:vAlign w:val="bottom"/>
                  <w:hideMark/>
                </w:tcPr>
                <w:p w14:paraId="56782871" w14:textId="77777777" w:rsidR="00780010" w:rsidRPr="001D7630" w:rsidRDefault="00780010" w:rsidP="009A5411">
                  <w:pPr>
                    <w:jc w:val="center"/>
                    <w:rPr>
                      <w:color w:val="000000"/>
                      <w:sz w:val="22"/>
                      <w:szCs w:val="22"/>
                    </w:rPr>
                  </w:pPr>
                  <w:r w:rsidRPr="001D7630">
                    <w:rPr>
                      <w:color w:val="000000"/>
                      <w:sz w:val="22"/>
                      <w:szCs w:val="22"/>
                    </w:rPr>
                    <w:t>DP15</w:t>
                  </w:r>
                </w:p>
              </w:tc>
              <w:tc>
                <w:tcPr>
                  <w:tcW w:w="1985" w:type="dxa"/>
                  <w:shd w:val="clear" w:color="auto" w:fill="auto"/>
                  <w:noWrap/>
                  <w:vAlign w:val="bottom"/>
                  <w:hideMark/>
                </w:tcPr>
                <w:p w14:paraId="5AB464BF" w14:textId="77777777" w:rsidR="00780010" w:rsidRPr="001D7630" w:rsidRDefault="00780010" w:rsidP="009A5411">
                  <w:pPr>
                    <w:jc w:val="center"/>
                    <w:rPr>
                      <w:color w:val="000000"/>
                      <w:sz w:val="22"/>
                      <w:szCs w:val="22"/>
                    </w:rPr>
                  </w:pPr>
                  <w:r w:rsidRPr="001D7630">
                    <w:rPr>
                      <w:color w:val="000000"/>
                      <w:sz w:val="22"/>
                      <w:szCs w:val="22"/>
                    </w:rPr>
                    <w:t>0.01%</w:t>
                  </w:r>
                </w:p>
              </w:tc>
            </w:tr>
            <w:tr w:rsidR="00780010" w:rsidRPr="001D7630" w14:paraId="051505A0" w14:textId="77777777" w:rsidTr="000C7339">
              <w:trPr>
                <w:trHeight w:val="300"/>
              </w:trPr>
              <w:tc>
                <w:tcPr>
                  <w:tcW w:w="857" w:type="dxa"/>
                  <w:shd w:val="clear" w:color="auto" w:fill="auto"/>
                  <w:noWrap/>
                  <w:vAlign w:val="bottom"/>
                  <w:hideMark/>
                </w:tcPr>
                <w:p w14:paraId="222000EB" w14:textId="77777777" w:rsidR="00780010" w:rsidRPr="001D7630" w:rsidRDefault="00780010" w:rsidP="009A5411">
                  <w:pPr>
                    <w:jc w:val="center"/>
                    <w:rPr>
                      <w:color w:val="000000"/>
                      <w:sz w:val="22"/>
                      <w:szCs w:val="22"/>
                    </w:rPr>
                  </w:pPr>
                  <w:r w:rsidRPr="001D7630">
                    <w:rPr>
                      <w:color w:val="000000"/>
                      <w:sz w:val="22"/>
                      <w:szCs w:val="22"/>
                    </w:rPr>
                    <w:t>DP16</w:t>
                  </w:r>
                </w:p>
              </w:tc>
              <w:tc>
                <w:tcPr>
                  <w:tcW w:w="1985" w:type="dxa"/>
                  <w:shd w:val="clear" w:color="auto" w:fill="auto"/>
                  <w:noWrap/>
                  <w:vAlign w:val="bottom"/>
                  <w:hideMark/>
                </w:tcPr>
                <w:p w14:paraId="40CFF5C9" w14:textId="77777777" w:rsidR="00780010" w:rsidRPr="001D7630" w:rsidRDefault="00780010" w:rsidP="009A5411">
                  <w:pPr>
                    <w:jc w:val="center"/>
                    <w:rPr>
                      <w:color w:val="000000"/>
                      <w:sz w:val="22"/>
                      <w:szCs w:val="22"/>
                    </w:rPr>
                  </w:pPr>
                  <w:r w:rsidRPr="001D7630">
                    <w:rPr>
                      <w:color w:val="000000"/>
                      <w:sz w:val="22"/>
                      <w:szCs w:val="22"/>
                    </w:rPr>
                    <w:t>0.89%</w:t>
                  </w:r>
                </w:p>
              </w:tc>
            </w:tr>
            <w:tr w:rsidR="00780010" w:rsidRPr="001D7630" w14:paraId="18EB2CBC" w14:textId="77777777" w:rsidTr="000C7339">
              <w:trPr>
                <w:trHeight w:val="300"/>
              </w:trPr>
              <w:tc>
                <w:tcPr>
                  <w:tcW w:w="857" w:type="dxa"/>
                  <w:shd w:val="clear" w:color="auto" w:fill="auto"/>
                  <w:noWrap/>
                  <w:vAlign w:val="bottom"/>
                  <w:hideMark/>
                </w:tcPr>
                <w:p w14:paraId="12858A4B" w14:textId="77777777" w:rsidR="00780010" w:rsidRPr="001D7630" w:rsidRDefault="00780010" w:rsidP="009A5411">
                  <w:pPr>
                    <w:jc w:val="center"/>
                    <w:rPr>
                      <w:color w:val="000000"/>
                      <w:sz w:val="22"/>
                      <w:szCs w:val="22"/>
                    </w:rPr>
                  </w:pPr>
                  <w:r w:rsidRPr="001D7630">
                    <w:rPr>
                      <w:color w:val="000000"/>
                      <w:sz w:val="22"/>
                      <w:szCs w:val="22"/>
                    </w:rPr>
                    <w:t>DP17</w:t>
                  </w:r>
                </w:p>
              </w:tc>
              <w:tc>
                <w:tcPr>
                  <w:tcW w:w="1985" w:type="dxa"/>
                  <w:shd w:val="clear" w:color="auto" w:fill="auto"/>
                  <w:noWrap/>
                  <w:vAlign w:val="bottom"/>
                  <w:hideMark/>
                </w:tcPr>
                <w:p w14:paraId="28171772" w14:textId="77777777" w:rsidR="00780010" w:rsidRPr="001D7630" w:rsidRDefault="00780010" w:rsidP="009A5411">
                  <w:pPr>
                    <w:jc w:val="center"/>
                    <w:rPr>
                      <w:color w:val="000000"/>
                      <w:sz w:val="22"/>
                      <w:szCs w:val="22"/>
                    </w:rPr>
                  </w:pPr>
                  <w:r w:rsidRPr="001D7630">
                    <w:rPr>
                      <w:color w:val="000000"/>
                      <w:sz w:val="22"/>
                      <w:szCs w:val="22"/>
                    </w:rPr>
                    <w:t>0.78%</w:t>
                  </w:r>
                </w:p>
              </w:tc>
            </w:tr>
            <w:tr w:rsidR="00780010" w:rsidRPr="001D7630" w14:paraId="50E806FB" w14:textId="77777777" w:rsidTr="000C7339">
              <w:trPr>
                <w:trHeight w:val="300"/>
              </w:trPr>
              <w:tc>
                <w:tcPr>
                  <w:tcW w:w="857" w:type="dxa"/>
                  <w:shd w:val="clear" w:color="auto" w:fill="auto"/>
                  <w:noWrap/>
                  <w:vAlign w:val="bottom"/>
                  <w:hideMark/>
                </w:tcPr>
                <w:p w14:paraId="111FE43E" w14:textId="77777777" w:rsidR="00780010" w:rsidRPr="001D7630" w:rsidRDefault="00780010" w:rsidP="009A5411">
                  <w:pPr>
                    <w:jc w:val="center"/>
                    <w:rPr>
                      <w:color w:val="000000"/>
                      <w:sz w:val="22"/>
                      <w:szCs w:val="22"/>
                    </w:rPr>
                  </w:pPr>
                  <w:r w:rsidRPr="001D7630">
                    <w:rPr>
                      <w:color w:val="000000"/>
                      <w:sz w:val="22"/>
                      <w:szCs w:val="22"/>
                    </w:rPr>
                    <w:t>DP18</w:t>
                  </w:r>
                </w:p>
              </w:tc>
              <w:tc>
                <w:tcPr>
                  <w:tcW w:w="1985" w:type="dxa"/>
                  <w:shd w:val="clear" w:color="auto" w:fill="auto"/>
                  <w:noWrap/>
                  <w:vAlign w:val="bottom"/>
                  <w:hideMark/>
                </w:tcPr>
                <w:p w14:paraId="0F83DDFE" w14:textId="77777777" w:rsidR="00780010" w:rsidRPr="001D7630" w:rsidRDefault="00780010" w:rsidP="009A5411">
                  <w:pPr>
                    <w:jc w:val="center"/>
                    <w:rPr>
                      <w:color w:val="000000"/>
                      <w:sz w:val="22"/>
                      <w:szCs w:val="22"/>
                    </w:rPr>
                  </w:pPr>
                  <w:r w:rsidRPr="001D7630">
                    <w:rPr>
                      <w:color w:val="000000"/>
                      <w:sz w:val="22"/>
                      <w:szCs w:val="22"/>
                    </w:rPr>
                    <w:t>0.13%</w:t>
                  </w:r>
                </w:p>
              </w:tc>
            </w:tr>
            <w:tr w:rsidR="00780010" w:rsidRPr="001D7630" w14:paraId="38F75BBD" w14:textId="77777777" w:rsidTr="000C7339">
              <w:trPr>
                <w:trHeight w:val="300"/>
              </w:trPr>
              <w:tc>
                <w:tcPr>
                  <w:tcW w:w="857" w:type="dxa"/>
                  <w:shd w:val="clear" w:color="auto" w:fill="auto"/>
                  <w:noWrap/>
                  <w:vAlign w:val="bottom"/>
                  <w:hideMark/>
                </w:tcPr>
                <w:p w14:paraId="70609D61" w14:textId="77777777" w:rsidR="00780010" w:rsidRPr="001D7630" w:rsidRDefault="00780010" w:rsidP="009A5411">
                  <w:pPr>
                    <w:jc w:val="center"/>
                    <w:rPr>
                      <w:color w:val="000000"/>
                      <w:sz w:val="22"/>
                      <w:szCs w:val="22"/>
                    </w:rPr>
                  </w:pPr>
                  <w:r w:rsidRPr="001D7630">
                    <w:rPr>
                      <w:color w:val="000000"/>
                      <w:sz w:val="22"/>
                      <w:szCs w:val="22"/>
                    </w:rPr>
                    <w:t>DP19</w:t>
                  </w:r>
                </w:p>
              </w:tc>
              <w:tc>
                <w:tcPr>
                  <w:tcW w:w="1985" w:type="dxa"/>
                  <w:shd w:val="clear" w:color="auto" w:fill="auto"/>
                  <w:noWrap/>
                  <w:vAlign w:val="bottom"/>
                  <w:hideMark/>
                </w:tcPr>
                <w:p w14:paraId="4582760B" w14:textId="77777777" w:rsidR="00780010" w:rsidRPr="001D7630" w:rsidRDefault="00780010" w:rsidP="009A5411">
                  <w:pPr>
                    <w:jc w:val="center"/>
                    <w:rPr>
                      <w:color w:val="000000"/>
                      <w:sz w:val="22"/>
                      <w:szCs w:val="22"/>
                    </w:rPr>
                  </w:pPr>
                  <w:r w:rsidRPr="001D7630">
                    <w:rPr>
                      <w:color w:val="000000"/>
                      <w:sz w:val="22"/>
                      <w:szCs w:val="22"/>
                    </w:rPr>
                    <w:t>1.57%</w:t>
                  </w:r>
                </w:p>
              </w:tc>
            </w:tr>
            <w:tr w:rsidR="00780010" w:rsidRPr="001D7630" w14:paraId="375A7B1A" w14:textId="77777777" w:rsidTr="000C7339">
              <w:trPr>
                <w:trHeight w:val="300"/>
              </w:trPr>
              <w:tc>
                <w:tcPr>
                  <w:tcW w:w="857" w:type="dxa"/>
                  <w:shd w:val="clear" w:color="auto" w:fill="auto"/>
                  <w:noWrap/>
                  <w:vAlign w:val="bottom"/>
                  <w:hideMark/>
                </w:tcPr>
                <w:p w14:paraId="0487300A" w14:textId="77777777" w:rsidR="00780010" w:rsidRPr="001D7630" w:rsidRDefault="00780010" w:rsidP="009A5411">
                  <w:pPr>
                    <w:jc w:val="center"/>
                    <w:rPr>
                      <w:color w:val="000000"/>
                      <w:sz w:val="22"/>
                      <w:szCs w:val="22"/>
                    </w:rPr>
                  </w:pPr>
                  <w:r w:rsidRPr="001D7630">
                    <w:rPr>
                      <w:color w:val="000000"/>
                      <w:sz w:val="22"/>
                      <w:szCs w:val="22"/>
                    </w:rPr>
                    <w:t>DP20</w:t>
                  </w:r>
                </w:p>
              </w:tc>
              <w:tc>
                <w:tcPr>
                  <w:tcW w:w="1985" w:type="dxa"/>
                  <w:shd w:val="clear" w:color="auto" w:fill="auto"/>
                  <w:noWrap/>
                  <w:vAlign w:val="bottom"/>
                  <w:hideMark/>
                </w:tcPr>
                <w:p w14:paraId="514AA2F5" w14:textId="77777777" w:rsidR="00780010" w:rsidRPr="001D7630" w:rsidRDefault="00780010" w:rsidP="009A5411">
                  <w:pPr>
                    <w:jc w:val="center"/>
                    <w:rPr>
                      <w:color w:val="000000"/>
                      <w:sz w:val="22"/>
                      <w:szCs w:val="22"/>
                    </w:rPr>
                  </w:pPr>
                  <w:r w:rsidRPr="001D7630">
                    <w:rPr>
                      <w:color w:val="000000"/>
                      <w:sz w:val="22"/>
                      <w:szCs w:val="22"/>
                    </w:rPr>
                    <w:t>1.02%</w:t>
                  </w:r>
                </w:p>
              </w:tc>
            </w:tr>
            <w:tr w:rsidR="00780010" w:rsidRPr="001D7630" w14:paraId="0A220DD3" w14:textId="77777777" w:rsidTr="000C7339">
              <w:trPr>
                <w:trHeight w:val="300"/>
              </w:trPr>
              <w:tc>
                <w:tcPr>
                  <w:tcW w:w="857" w:type="dxa"/>
                  <w:shd w:val="clear" w:color="auto" w:fill="auto"/>
                  <w:noWrap/>
                  <w:vAlign w:val="bottom"/>
                  <w:hideMark/>
                </w:tcPr>
                <w:p w14:paraId="25317614" w14:textId="77777777" w:rsidR="00780010" w:rsidRPr="001D7630" w:rsidRDefault="00780010" w:rsidP="009A5411">
                  <w:pPr>
                    <w:jc w:val="center"/>
                    <w:rPr>
                      <w:color w:val="000000"/>
                      <w:sz w:val="22"/>
                      <w:szCs w:val="22"/>
                    </w:rPr>
                  </w:pPr>
                  <w:r w:rsidRPr="001D7630">
                    <w:rPr>
                      <w:color w:val="000000"/>
                      <w:sz w:val="22"/>
                      <w:szCs w:val="22"/>
                    </w:rPr>
                    <w:lastRenderedPageBreak/>
                    <w:t>DP21</w:t>
                  </w:r>
                </w:p>
              </w:tc>
              <w:tc>
                <w:tcPr>
                  <w:tcW w:w="1985" w:type="dxa"/>
                  <w:shd w:val="clear" w:color="auto" w:fill="auto"/>
                  <w:noWrap/>
                  <w:vAlign w:val="bottom"/>
                  <w:hideMark/>
                </w:tcPr>
                <w:p w14:paraId="758BAABD" w14:textId="77777777" w:rsidR="00780010" w:rsidRPr="001D7630" w:rsidRDefault="00780010" w:rsidP="009A5411">
                  <w:pPr>
                    <w:jc w:val="center"/>
                    <w:rPr>
                      <w:color w:val="000000"/>
                      <w:sz w:val="22"/>
                      <w:szCs w:val="22"/>
                    </w:rPr>
                  </w:pPr>
                  <w:r w:rsidRPr="001D7630">
                    <w:rPr>
                      <w:color w:val="000000"/>
                      <w:sz w:val="22"/>
                      <w:szCs w:val="22"/>
                    </w:rPr>
                    <w:t>0%</w:t>
                  </w:r>
                </w:p>
              </w:tc>
            </w:tr>
            <w:tr w:rsidR="00780010" w:rsidRPr="001D7630" w14:paraId="6F8C42BF" w14:textId="77777777" w:rsidTr="000C7339">
              <w:trPr>
                <w:trHeight w:val="300"/>
              </w:trPr>
              <w:tc>
                <w:tcPr>
                  <w:tcW w:w="857" w:type="dxa"/>
                  <w:shd w:val="clear" w:color="auto" w:fill="auto"/>
                  <w:noWrap/>
                  <w:vAlign w:val="bottom"/>
                  <w:hideMark/>
                </w:tcPr>
                <w:p w14:paraId="57790030" w14:textId="77777777" w:rsidR="00780010" w:rsidRPr="001D7630" w:rsidRDefault="00780010" w:rsidP="009A5411">
                  <w:pPr>
                    <w:jc w:val="center"/>
                    <w:rPr>
                      <w:color w:val="000000"/>
                      <w:sz w:val="22"/>
                      <w:szCs w:val="22"/>
                    </w:rPr>
                  </w:pPr>
                  <w:r w:rsidRPr="001D7630">
                    <w:rPr>
                      <w:color w:val="000000"/>
                      <w:sz w:val="22"/>
                      <w:szCs w:val="22"/>
                    </w:rPr>
                    <w:t>DP22</w:t>
                  </w:r>
                </w:p>
              </w:tc>
              <w:tc>
                <w:tcPr>
                  <w:tcW w:w="1985" w:type="dxa"/>
                  <w:shd w:val="clear" w:color="auto" w:fill="auto"/>
                  <w:noWrap/>
                  <w:vAlign w:val="bottom"/>
                  <w:hideMark/>
                </w:tcPr>
                <w:p w14:paraId="5809158A" w14:textId="77777777" w:rsidR="00780010" w:rsidRPr="001D7630" w:rsidRDefault="00780010" w:rsidP="009A5411">
                  <w:pPr>
                    <w:jc w:val="center"/>
                    <w:rPr>
                      <w:color w:val="000000"/>
                      <w:sz w:val="22"/>
                      <w:szCs w:val="22"/>
                    </w:rPr>
                  </w:pPr>
                  <w:r w:rsidRPr="001D7630">
                    <w:rPr>
                      <w:color w:val="000000"/>
                      <w:sz w:val="22"/>
                      <w:szCs w:val="22"/>
                    </w:rPr>
                    <w:t>0.45%</w:t>
                  </w:r>
                </w:p>
              </w:tc>
            </w:tr>
          </w:tbl>
          <w:p w14:paraId="72E97DA3" w14:textId="77777777" w:rsidR="00780010" w:rsidRPr="001D7630" w:rsidRDefault="00780010" w:rsidP="00780010">
            <w:pPr>
              <w:rPr>
                <w:iCs/>
              </w:rPr>
            </w:pPr>
            <w:r w:rsidRPr="001D7630">
              <w:rPr>
                <w:iCs/>
              </w:rPr>
              <w:t>Līdz ar to ir redzams, ka nodevas kopējais apjoms tikai 3 degvielas piegādātājiem pārsniedz 1,4% no gada apgrozījuma, kur minētie degvielas piegādātāji ir arī nodrošinājuši salīdzinoši mazu SEG emisiju intensitātes samazinājumu, 5 degvielas piegādātājiem nodevas apjoms tikai nedaudz pārsniegtu 1%, 8 degvielas piegādātājiem tas būtu mazāk nekā 1%, 5 degvielas piegādātājiem nodeva netiktu piemērota vispār.</w:t>
            </w:r>
          </w:p>
          <w:p w14:paraId="42F5E3BC" w14:textId="0285D7EB" w:rsidR="00780010" w:rsidRPr="001D7630" w:rsidRDefault="00780010" w:rsidP="009A5411">
            <w:pPr>
              <w:rPr>
                <w:b/>
                <w:bCs/>
                <w:iCs/>
              </w:rPr>
            </w:pPr>
            <w:r w:rsidRPr="001D7630">
              <w:rPr>
                <w:iCs/>
              </w:rPr>
              <w:t>Norādām, ka samazinot piemērojamās nodevas likmi, tā tiktu padarīta mazāk efektīva.</w:t>
            </w:r>
          </w:p>
        </w:tc>
        <w:tc>
          <w:tcPr>
            <w:tcW w:w="4291" w:type="dxa"/>
            <w:vMerge w:val="restart"/>
            <w:tcBorders>
              <w:top w:val="single" w:sz="4" w:space="0" w:color="auto"/>
              <w:left w:val="single" w:sz="4" w:space="0" w:color="auto"/>
            </w:tcBorders>
            <w:shd w:val="clear" w:color="auto" w:fill="auto"/>
          </w:tcPr>
          <w:p w14:paraId="6E2E7F4E" w14:textId="7B258F13"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Pr>
                <w:rFonts w:ascii="Times New Roman" w:hAnsi="Times New Roman"/>
                <w:sz w:val="24"/>
                <w:szCs w:val="24"/>
                <w:lang w:eastAsia="lv-LV"/>
              </w:rPr>
              <w:lastRenderedPageBreak/>
              <w:t>Likumprojekta 14.panta 1.daļa nav precizēta</w:t>
            </w:r>
          </w:p>
        </w:tc>
      </w:tr>
      <w:tr w:rsidR="00780010" w:rsidRPr="001D7630" w14:paraId="0DF9747B" w14:textId="77777777" w:rsidTr="000C7339">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F1A34C1" w14:textId="77777777" w:rsidR="00780010" w:rsidRPr="001D7630" w:rsidRDefault="00780010" w:rsidP="00780010">
            <w:pPr>
              <w:pStyle w:val="naisc"/>
              <w:numPr>
                <w:ilvl w:val="0"/>
                <w:numId w:val="16"/>
              </w:numPr>
              <w:spacing w:before="0" w:after="0"/>
              <w:ind w:left="0" w:firstLine="0"/>
              <w:rPr>
                <w:b/>
              </w:rPr>
            </w:pPr>
          </w:p>
        </w:tc>
        <w:tc>
          <w:tcPr>
            <w:tcW w:w="3041" w:type="dxa"/>
            <w:vMerge/>
            <w:tcBorders>
              <w:left w:val="single" w:sz="6" w:space="0" w:color="000000"/>
              <w:bottom w:val="single" w:sz="6" w:space="0" w:color="000000"/>
              <w:right w:val="single" w:sz="6" w:space="0" w:color="000000"/>
            </w:tcBorders>
            <w:shd w:val="clear" w:color="auto" w:fill="auto"/>
          </w:tcPr>
          <w:p w14:paraId="3B66B711"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4D26A6C0" w14:textId="77777777" w:rsidR="00780010" w:rsidRPr="001D7630" w:rsidRDefault="00780010" w:rsidP="00780010">
            <w:pPr>
              <w:autoSpaceDE w:val="0"/>
              <w:autoSpaceDN w:val="0"/>
              <w:adjustRightInd w:val="0"/>
              <w:jc w:val="center"/>
              <w:rPr>
                <w:b/>
                <w:bCs/>
              </w:rPr>
            </w:pPr>
            <w:r w:rsidRPr="001D7630">
              <w:rPr>
                <w:b/>
                <w:bCs/>
              </w:rPr>
              <w:t>Degvielas tirgotāju un ražotāju savienība</w:t>
            </w:r>
          </w:p>
          <w:p w14:paraId="5ED7F9CD" w14:textId="77777777" w:rsidR="00780010" w:rsidRPr="001D7630" w:rsidRDefault="00780010" w:rsidP="00780010">
            <w:pPr>
              <w:autoSpaceDE w:val="0"/>
              <w:autoSpaceDN w:val="0"/>
              <w:adjustRightInd w:val="0"/>
              <w:jc w:val="center"/>
              <w:rPr>
                <w:b/>
                <w:bCs/>
              </w:rPr>
            </w:pPr>
            <w:r w:rsidRPr="001D7630">
              <w:rPr>
                <w:b/>
                <w:bCs/>
              </w:rPr>
              <w:t>(17.06.2021. atzinums)</w:t>
            </w:r>
          </w:p>
          <w:p w14:paraId="1E971673" w14:textId="77777777" w:rsidR="00780010" w:rsidRPr="001D7630" w:rsidRDefault="00780010" w:rsidP="00780010">
            <w:r w:rsidRPr="001D7630">
              <w:t>5) Lūdzam izteikt likumprojekta 14.panta pirmo daļu šādā redakcijā:</w:t>
            </w:r>
          </w:p>
          <w:p w14:paraId="6E89D0AE" w14:textId="2544FF9D" w:rsidR="00780010" w:rsidRPr="001D7630" w:rsidRDefault="00780010" w:rsidP="009A5411">
            <w:pPr>
              <w:autoSpaceDE w:val="0"/>
              <w:autoSpaceDN w:val="0"/>
              <w:adjustRightInd w:val="0"/>
              <w:jc w:val="both"/>
              <w:rPr>
                <w:b/>
                <w:bCs/>
              </w:rPr>
            </w:pPr>
            <w:r w:rsidRPr="001D7630">
              <w:t>“</w:t>
            </w:r>
            <w:r w:rsidRPr="001D7630">
              <w:rPr>
                <w:i/>
                <w:iCs/>
              </w:rPr>
              <w:t>Lai veicinātu transporta enerģijas izmantošanas radīto siltumnīcefekta gāzu emisiju samazināšanu, atjaunojamās transporta enerģijas izmantošanu un energoefektivitātes uzlabošanu transporta sektorā, degvielas piegādātājs maksā transporta enerģijas aprites cikla emisiju intensitātes samazināšanas nodevu (turpmāk – valsts nodeva) 1% no degvielas piegādātāja pēdējā finanšu gada neto apgrozījuma, kas attiecas uz degvielas apriti, tai skaitā piegādi un tirdzniecību.”</w:t>
            </w:r>
          </w:p>
        </w:tc>
        <w:tc>
          <w:tcPr>
            <w:tcW w:w="2976" w:type="dxa"/>
            <w:vMerge/>
            <w:tcBorders>
              <w:left w:val="single" w:sz="6" w:space="0" w:color="000000"/>
              <w:bottom w:val="single" w:sz="6" w:space="0" w:color="000000"/>
              <w:right w:val="single" w:sz="6" w:space="0" w:color="000000"/>
            </w:tcBorders>
            <w:shd w:val="clear" w:color="auto" w:fill="auto"/>
          </w:tcPr>
          <w:p w14:paraId="38178452" w14:textId="77777777" w:rsidR="00780010" w:rsidRPr="001D7630" w:rsidRDefault="00780010" w:rsidP="00780010">
            <w:pPr>
              <w:jc w:val="center"/>
              <w:rPr>
                <w:b/>
                <w:bCs/>
                <w:iCs/>
              </w:rPr>
            </w:pPr>
          </w:p>
        </w:tc>
        <w:tc>
          <w:tcPr>
            <w:tcW w:w="4291" w:type="dxa"/>
            <w:vMerge/>
            <w:tcBorders>
              <w:left w:val="single" w:sz="4" w:space="0" w:color="auto"/>
              <w:bottom w:val="single" w:sz="4" w:space="0" w:color="auto"/>
            </w:tcBorders>
            <w:shd w:val="clear" w:color="auto" w:fill="auto"/>
          </w:tcPr>
          <w:p w14:paraId="793C00D9"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r>
      <w:tr w:rsidR="00780010" w:rsidRPr="001D7630" w14:paraId="0D1F4719" w14:textId="77777777" w:rsidTr="005D0902">
        <w:trPr>
          <w:jc w:val="center"/>
        </w:trPr>
        <w:tc>
          <w:tcPr>
            <w:tcW w:w="14992" w:type="dxa"/>
            <w:gridSpan w:val="5"/>
            <w:tcBorders>
              <w:top w:val="single" w:sz="6" w:space="0" w:color="000000"/>
              <w:left w:val="single" w:sz="6" w:space="0" w:color="000000"/>
              <w:bottom w:val="single" w:sz="6" w:space="0" w:color="000000"/>
            </w:tcBorders>
            <w:shd w:val="clear" w:color="auto" w:fill="auto"/>
          </w:tcPr>
          <w:p w14:paraId="7FB2E59A" w14:textId="77777777" w:rsidR="00780010" w:rsidRPr="001D7630" w:rsidRDefault="00780010" w:rsidP="00780010">
            <w:pPr>
              <w:pStyle w:val="ListParagraph"/>
              <w:spacing w:after="0" w:line="240" w:lineRule="auto"/>
              <w:ind w:left="0"/>
              <w:contextualSpacing w:val="0"/>
              <w:jc w:val="center"/>
              <w:rPr>
                <w:rFonts w:ascii="Times New Roman" w:hAnsi="Times New Roman"/>
                <w:b/>
                <w:bCs/>
                <w:sz w:val="24"/>
                <w:szCs w:val="24"/>
                <w:lang w:eastAsia="lv-LV"/>
              </w:rPr>
            </w:pPr>
            <w:r w:rsidRPr="001D7630">
              <w:rPr>
                <w:rFonts w:ascii="Times New Roman" w:hAnsi="Times New Roman"/>
                <w:b/>
                <w:bCs/>
                <w:sz w:val="24"/>
                <w:szCs w:val="24"/>
                <w:lang w:eastAsia="lv-LV"/>
              </w:rPr>
              <w:t>15. PANTS</w:t>
            </w:r>
          </w:p>
        </w:tc>
      </w:tr>
      <w:tr w:rsidR="00780010" w:rsidRPr="001D7630" w14:paraId="2CD1D97B"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03F75131"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41F286BD"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1027D482" w14:textId="77777777" w:rsidR="00780010" w:rsidRPr="001D7630" w:rsidRDefault="00780010" w:rsidP="00780010">
            <w:pPr>
              <w:tabs>
                <w:tab w:val="left" w:pos="709"/>
                <w:tab w:val="left" w:pos="993"/>
                <w:tab w:val="left" w:pos="1560"/>
              </w:tabs>
              <w:jc w:val="center"/>
              <w:rPr>
                <w:b/>
                <w:iCs/>
              </w:rPr>
            </w:pPr>
            <w:r w:rsidRPr="001D7630">
              <w:rPr>
                <w:b/>
                <w:iCs/>
              </w:rPr>
              <w:t>Tieslietu ministrija</w:t>
            </w:r>
          </w:p>
          <w:p w14:paraId="63103C84" w14:textId="77777777" w:rsidR="00780010" w:rsidRPr="001D7630" w:rsidRDefault="00780010" w:rsidP="00780010">
            <w:pPr>
              <w:tabs>
                <w:tab w:val="left" w:pos="709"/>
                <w:tab w:val="left" w:pos="993"/>
                <w:tab w:val="left" w:pos="1560"/>
              </w:tabs>
              <w:jc w:val="center"/>
              <w:rPr>
                <w:b/>
                <w:iCs/>
              </w:rPr>
            </w:pPr>
            <w:r w:rsidRPr="001D7630">
              <w:rPr>
                <w:b/>
                <w:iCs/>
              </w:rPr>
              <w:t>(08.01.2021. atzinums)</w:t>
            </w:r>
          </w:p>
          <w:p w14:paraId="00EE8420" w14:textId="77777777" w:rsidR="00780010" w:rsidRPr="001D7630" w:rsidRDefault="00780010" w:rsidP="00780010">
            <w:pPr>
              <w:widowControl w:val="0"/>
              <w:tabs>
                <w:tab w:val="left" w:pos="993"/>
                <w:tab w:val="left" w:pos="1276"/>
              </w:tabs>
              <w:jc w:val="both"/>
            </w:pPr>
            <w:r w:rsidRPr="001D7630">
              <w:t xml:space="preserve">9. Projekta 15. panta pirmā daļa noteic, ka administratīvā pārkāpuma procesu par šā likuma 14. panta pirmajā daļā minēto pārkāpumu veic Ministru kabineta noteikta institūcija. </w:t>
            </w:r>
          </w:p>
          <w:p w14:paraId="594F6FE1" w14:textId="77777777" w:rsidR="00780010" w:rsidRPr="001D7630" w:rsidRDefault="00780010" w:rsidP="00780010">
            <w:pPr>
              <w:widowControl w:val="0"/>
              <w:tabs>
                <w:tab w:val="left" w:pos="993"/>
                <w:tab w:val="left" w:pos="1276"/>
              </w:tabs>
              <w:jc w:val="both"/>
            </w:pPr>
            <w:r w:rsidRPr="001D7630">
              <w:lastRenderedPageBreak/>
              <w:t xml:space="preserve">Norādām, ka administratīvos sodus var piemērot tikai Administratīvās atbildības likuma 115. panta pirmajā daļā minēto institūciju amatpersonas. Nozares regulējošajā likumā, kas noteic administratīvo atbildību, ir jābūt noteiktai konkrētai institūcijai, kas veiks administratīvo pārkāpumu procesu. Turklāt konkrētas institūcijas noteikšana, kura piemēros administratīvos sodus, ir tikai un vienīgi likumdevēja kompetencē. </w:t>
            </w:r>
          </w:p>
          <w:p w14:paraId="5783E3AE" w14:textId="77777777" w:rsidR="00780010" w:rsidRPr="001D7630" w:rsidRDefault="00780010" w:rsidP="00780010">
            <w:pPr>
              <w:widowControl w:val="0"/>
              <w:tabs>
                <w:tab w:val="left" w:pos="993"/>
                <w:tab w:val="left" w:pos="1276"/>
              </w:tabs>
              <w:jc w:val="both"/>
            </w:pPr>
            <w:r w:rsidRPr="001D7630">
              <w:t>Ņemot vērā minēto, lūdzam precizēt projekta 15. panta pirmo daļu.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9C26073"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30FB1E9A"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Tā kā ir svītrots likumprojekta 14.pants, ir svītrots likumprojekta 15.pants</w:t>
            </w:r>
          </w:p>
        </w:tc>
      </w:tr>
      <w:tr w:rsidR="00780010" w:rsidRPr="001D7630" w14:paraId="77810921"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09910DDE"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CCDAA62"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190E35F0" w14:textId="77777777" w:rsidR="00780010" w:rsidRPr="001D7630" w:rsidRDefault="00780010" w:rsidP="00780010">
            <w:pPr>
              <w:jc w:val="center"/>
              <w:rPr>
                <w:b/>
                <w:bCs/>
              </w:rPr>
            </w:pPr>
            <w:r w:rsidRPr="001D7630">
              <w:rPr>
                <w:b/>
                <w:bCs/>
              </w:rPr>
              <w:t>Finanšu ministrija</w:t>
            </w:r>
          </w:p>
          <w:p w14:paraId="513804D7" w14:textId="77777777" w:rsidR="00780010" w:rsidRPr="001D7630" w:rsidRDefault="00780010" w:rsidP="00780010">
            <w:pPr>
              <w:jc w:val="center"/>
              <w:rPr>
                <w:b/>
                <w:bCs/>
              </w:rPr>
            </w:pPr>
            <w:r w:rsidRPr="001D7630">
              <w:rPr>
                <w:b/>
                <w:bCs/>
              </w:rPr>
              <w:t>(08.01.2021. atzinums)</w:t>
            </w:r>
          </w:p>
          <w:p w14:paraId="6D1E7EF9" w14:textId="77777777" w:rsidR="00780010" w:rsidRPr="001D7630" w:rsidRDefault="00780010" w:rsidP="00780010">
            <w:pPr>
              <w:tabs>
                <w:tab w:val="left" w:pos="851"/>
              </w:tabs>
              <w:jc w:val="both"/>
            </w:pPr>
            <w:r w:rsidRPr="001D7630">
              <w:t xml:space="preserve">5. Likumprojekta 15. panta trešajā daļā ir noteikts, ka naudas sodus, kas piemēroti par šajā likumā paredzētajiem administratīvajiem pārkāpumiem, degvielas piegādātājs iemaksā Ministru kabineta noteiktās institūcijas kontā vai Patērētāju tiesību aizsardzības centra kontā. Anotācijā skaidrots, ka pamatojums noteikt atšķirīgu naudas sodu ieskaitīšanas valsts budžetā kārtību ir Administratīvās atbildības likuma (turpmāk – AAL) 263. panta sestā daļā noteiktais, ka naudas sodus, kas piemēroti par likumos paredzētajiem administratīvajiem pārkāpumiem, ieskaita valsts budžetā, ja likumā nav paredzēts citādi. Atzīmējam, ka atsaukties uz minēto AAL normu nav </w:t>
            </w:r>
            <w:r w:rsidRPr="001D7630">
              <w:lastRenderedPageBreak/>
              <w:t xml:space="preserve">korekti, jo, visticamāk, ka AAL autors ar šo izņēmumu domājis, ka likumā var noteikt to, ka naudas sodu skaita pašvaldības budžetā, nevis valsts budžetā, nedomājot ar to, ka likumā var noteikt atšķirīgu valsts budžetā ieskaitīšanas kārtību. </w:t>
            </w:r>
          </w:p>
          <w:p w14:paraId="45FA129D" w14:textId="77777777" w:rsidR="00780010" w:rsidRPr="001D7630" w:rsidRDefault="00780010" w:rsidP="00780010">
            <w:pPr>
              <w:pStyle w:val="ListParagraph"/>
              <w:spacing w:after="0" w:line="240" w:lineRule="auto"/>
              <w:ind w:left="0" w:firstLine="567"/>
              <w:contextualSpacing w:val="0"/>
              <w:jc w:val="both"/>
              <w:rPr>
                <w:rFonts w:ascii="Times New Roman" w:hAnsi="Times New Roman"/>
                <w:sz w:val="24"/>
                <w:szCs w:val="24"/>
              </w:rPr>
            </w:pPr>
            <w:r w:rsidRPr="001D7630">
              <w:rPr>
                <w:rFonts w:ascii="Times New Roman" w:hAnsi="Times New Roman"/>
                <w:sz w:val="24"/>
                <w:szCs w:val="24"/>
              </w:rPr>
              <w:t xml:space="preserve">Anotācijā minēts, ka šāda atkāpe tiek noteikta, lai mazinātu ietekmi uz valsts budžetu un nodrošinātu, ka transporta enerģijas tirgus uzraudzībai, patērētāju informēšanai, transporta enerģijas aprites nosacījumu izpildei un noteikto mērķu un pienākumu izpildes uzraudzībai ir pieejami finanšu līdzekļi. Uzskatām, ka šādam apgalvojumam nav pamata, jo naudas sodu ieskaitīšana valsts budžeta iestādes kontā nenodrošina līdzekļu pieejamību. Šāda kārtība arī nemazina ietekmi uz valsts budžetu, jo kopējie valsts budžeta ieņēmumi nemainās neatkarīgi no tā, vai ieņēmumi tiek plānoti un saņemti vispārējos budžeta ieņēmumos, vai tie tiek plānoti un saņemti valsts budžeta iestādes budžetā (abos gadījumos tie ir valsts budžeta ieņēmumi). </w:t>
            </w:r>
          </w:p>
          <w:p w14:paraId="25A8EA20" w14:textId="77777777" w:rsidR="00780010" w:rsidRPr="001D7630" w:rsidRDefault="00780010" w:rsidP="00780010">
            <w:pPr>
              <w:pStyle w:val="ListParagraph"/>
              <w:spacing w:after="0" w:line="240" w:lineRule="auto"/>
              <w:ind w:left="0" w:firstLine="567"/>
              <w:contextualSpacing w:val="0"/>
              <w:jc w:val="both"/>
              <w:rPr>
                <w:rFonts w:ascii="Times New Roman" w:hAnsi="Times New Roman"/>
                <w:sz w:val="24"/>
                <w:szCs w:val="24"/>
              </w:rPr>
            </w:pPr>
            <w:r w:rsidRPr="001D7630">
              <w:rPr>
                <w:rFonts w:ascii="Times New Roman" w:hAnsi="Times New Roman"/>
                <w:sz w:val="24"/>
                <w:szCs w:val="24"/>
              </w:rPr>
              <w:t xml:space="preserve">Plānojot šādu resursu iestādes ieņēmumos, tas tiktu uzskaitīts neatbilstoši tā ekonomiskai būtībai – kā iestādes citi pašu ieņēmumi. Naudas sodi, kas tiek skaitīti valsts budžeta vispārējos ieņēmumos, veido bāzi dotācijai no </w:t>
            </w:r>
            <w:r w:rsidRPr="001D7630">
              <w:rPr>
                <w:rFonts w:ascii="Times New Roman" w:hAnsi="Times New Roman"/>
                <w:sz w:val="24"/>
                <w:szCs w:val="24"/>
              </w:rPr>
              <w:lastRenderedPageBreak/>
              <w:t xml:space="preserve">vispārējiem ieņēmumiem, kas tiek piešķirta apropriācijas kārtībā valsts budžeta iestādēm tām noteikto funkciju izpildei, tai skaitā administratīvā procesa nodrošināšanai. Jāatzīmē, ka valsts budžeta iestāžu pamatdarbības izdevumi pamatā tiek finansēti no dotācijas no vispārējiem ieņēmumiem, jo pamatdarbības finansēšanai jānodrošina stabils finansēšanas avots, jo iestādes pamatdarbības izdevumi nav tieši sasaistāmi ar ieņēmumiem no administratīvo pārkāpumu procesā piemērotajiem naudas sodiem, kā tas ir gadījumā ar iestāžu sniegtajiem maksas pakalpojumiem. Administratīvais process ir neparedzams – nav prognozējams arī ieņēmumu apmērs, kamēr vienlaikus iestādei jāveic pastāvīgi izdevumi. Finanšu ministrija katru gadu veic valsts budžeta izdevumu pārskatīšanu sadarbībā ar nozaru ministrijām, kura ietvaros tiek pārskatīti arī iestāžu bāzes izdevumi. </w:t>
            </w:r>
          </w:p>
          <w:p w14:paraId="5C2AA657" w14:textId="77777777" w:rsidR="00780010" w:rsidRPr="001D7630" w:rsidRDefault="00780010" w:rsidP="00780010">
            <w:pPr>
              <w:pStyle w:val="ListParagraph"/>
              <w:spacing w:after="0" w:line="240" w:lineRule="auto"/>
              <w:ind w:left="0" w:firstLine="567"/>
              <w:contextualSpacing w:val="0"/>
              <w:jc w:val="both"/>
              <w:rPr>
                <w:rFonts w:ascii="Times New Roman" w:hAnsi="Times New Roman"/>
                <w:sz w:val="24"/>
                <w:szCs w:val="24"/>
              </w:rPr>
            </w:pPr>
            <w:r w:rsidRPr="001D7630">
              <w:rPr>
                <w:rFonts w:ascii="Times New Roman" w:hAnsi="Times New Roman"/>
                <w:sz w:val="24"/>
                <w:szCs w:val="24"/>
              </w:rPr>
              <w:t xml:space="preserve">Papildus jāatzīmē, ka Administratīvās atbildības likuma 264. pants nosaka pārmaksātā vai nepareizi iemaksātā naudas soda atmaksas kārtību, tai skaitā, ka valsts budžetā pārmaksāto vai nepareizi iemaksāto naudas soda summu, pamatojoties uz Valsts ieņēmumu dienestam iesniegtu naudas soda </w:t>
            </w:r>
            <w:r w:rsidRPr="001D7630">
              <w:rPr>
                <w:rFonts w:ascii="Times New Roman" w:hAnsi="Times New Roman"/>
                <w:sz w:val="24"/>
                <w:szCs w:val="24"/>
              </w:rPr>
              <w:lastRenderedPageBreak/>
              <w:t>maksātāja iesniegumu, atmaksā Valsts ieņēmumu dienests. Nosakot atšķirīgu naudas soda iemaksas kārtību, vienlaikus ir jānosaka arī atšķirīga pārmaksātā vai nepareizi iemaksātā naudas soda atmaksas kārtība. Likumprojektā pašreiz nav noteikta šāda kārtība.</w:t>
            </w:r>
          </w:p>
          <w:p w14:paraId="6B3C33D7" w14:textId="77777777" w:rsidR="00780010" w:rsidRPr="001D7630" w:rsidRDefault="00780010" w:rsidP="00780010">
            <w:pPr>
              <w:pStyle w:val="ListParagraph"/>
              <w:spacing w:after="0" w:line="240" w:lineRule="auto"/>
              <w:ind w:left="0" w:firstLine="567"/>
              <w:contextualSpacing w:val="0"/>
              <w:jc w:val="both"/>
              <w:rPr>
                <w:rFonts w:ascii="Times New Roman" w:hAnsi="Times New Roman"/>
                <w:sz w:val="24"/>
                <w:szCs w:val="24"/>
              </w:rPr>
            </w:pPr>
            <w:r w:rsidRPr="001D7630">
              <w:rPr>
                <w:rFonts w:ascii="Times New Roman" w:hAnsi="Times New Roman"/>
                <w:sz w:val="24"/>
                <w:szCs w:val="24"/>
              </w:rPr>
              <w:t>Ņemot vērā minēto, lūdzam pārskatīt likumprojektā noteikto par naudas soda ieskaitīšanu iestāžu ieņēmumos, paredzot vispārējo kārtību – naudas soda ieskaitīšanu vispārējos valsts budžeta ieņēmumos un atbilstoši precizēt likumprojekta 15. pantu un anotāciju.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F9DAFF2"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5F73C608"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15.pants ir svītrots</w:t>
            </w:r>
          </w:p>
        </w:tc>
      </w:tr>
      <w:tr w:rsidR="00780010" w:rsidRPr="001D7630" w14:paraId="6788DAFE" w14:textId="77777777" w:rsidTr="005D0902">
        <w:trPr>
          <w:jc w:val="center"/>
        </w:trPr>
        <w:tc>
          <w:tcPr>
            <w:tcW w:w="14992" w:type="dxa"/>
            <w:gridSpan w:val="5"/>
            <w:tcBorders>
              <w:top w:val="single" w:sz="6" w:space="0" w:color="000000"/>
              <w:left w:val="single" w:sz="6" w:space="0" w:color="000000"/>
              <w:bottom w:val="single" w:sz="6" w:space="0" w:color="000000"/>
            </w:tcBorders>
            <w:shd w:val="clear" w:color="auto" w:fill="auto"/>
          </w:tcPr>
          <w:p w14:paraId="2C482A3B" w14:textId="77777777" w:rsidR="00780010" w:rsidRPr="001D7630" w:rsidRDefault="00780010" w:rsidP="00780010">
            <w:pPr>
              <w:pStyle w:val="ListParagraph"/>
              <w:spacing w:after="0" w:line="240" w:lineRule="auto"/>
              <w:ind w:left="0"/>
              <w:contextualSpacing w:val="0"/>
              <w:jc w:val="center"/>
              <w:rPr>
                <w:rFonts w:ascii="Times New Roman" w:hAnsi="Times New Roman"/>
                <w:b/>
                <w:bCs/>
                <w:sz w:val="24"/>
                <w:szCs w:val="24"/>
                <w:lang w:eastAsia="lv-LV"/>
              </w:rPr>
            </w:pPr>
            <w:r w:rsidRPr="001D7630">
              <w:rPr>
                <w:rFonts w:ascii="Times New Roman" w:hAnsi="Times New Roman"/>
                <w:b/>
                <w:bCs/>
                <w:sz w:val="24"/>
                <w:szCs w:val="24"/>
                <w:lang w:eastAsia="lv-LV"/>
              </w:rPr>
              <w:lastRenderedPageBreak/>
              <w:t>16. PANTS (JAUNAIS 15.PANTS)</w:t>
            </w:r>
          </w:p>
        </w:tc>
      </w:tr>
      <w:tr w:rsidR="00780010" w:rsidRPr="001D7630" w14:paraId="0781A3C6"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08464002"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0A123843"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78052A45" w14:textId="77777777" w:rsidR="00780010" w:rsidRPr="001D7630" w:rsidRDefault="00780010" w:rsidP="00780010">
            <w:pPr>
              <w:jc w:val="center"/>
              <w:rPr>
                <w:b/>
                <w:bCs/>
              </w:rPr>
            </w:pPr>
            <w:r w:rsidRPr="001D7630">
              <w:rPr>
                <w:b/>
                <w:bCs/>
              </w:rPr>
              <w:t>Vides aizsardzības un reģionālās attīstības ministrija</w:t>
            </w:r>
          </w:p>
          <w:p w14:paraId="7933814A" w14:textId="77777777" w:rsidR="00780010" w:rsidRPr="001D7630" w:rsidRDefault="00780010" w:rsidP="00780010">
            <w:pPr>
              <w:jc w:val="center"/>
              <w:rPr>
                <w:b/>
                <w:bCs/>
              </w:rPr>
            </w:pPr>
            <w:r w:rsidRPr="001D7630">
              <w:rPr>
                <w:b/>
                <w:bCs/>
              </w:rPr>
              <w:t>(08.01.2021. atzinums)</w:t>
            </w:r>
          </w:p>
          <w:p w14:paraId="47F3E733" w14:textId="77777777" w:rsidR="00780010" w:rsidRPr="001D7630" w:rsidRDefault="00780010" w:rsidP="00780010">
            <w:pPr>
              <w:pStyle w:val="CommentText"/>
              <w:jc w:val="both"/>
              <w:rPr>
                <w:sz w:val="24"/>
                <w:szCs w:val="24"/>
              </w:rPr>
            </w:pPr>
            <w:r w:rsidRPr="001D7630">
              <w:rPr>
                <w:sz w:val="24"/>
                <w:szCs w:val="24"/>
              </w:rPr>
              <w:t>9. Ar likumprojekta 16. pantu tiek izveidots jauns Atjaunojamās transporta enerģijas fonds, kas atbilstoši 13. panta prasībām “pildītos” no līdzdalības mehānisma noteikto mērķu neizpildēm. Vienlaikus ne likumprojektā, ne anotācijā nav skaidrots, kādi būtu fonda papildu finanšu avoti un izmantojums, ja līdzdalības mehānisma ietvaros iegūtie līdzekļi būtu nebūtiski vai nelieli. Lūdzu anotācijā skaidrot šo aspektu, vai, ja nepieciešams, papildināt likumprojekta prasības.</w:t>
            </w:r>
          </w:p>
          <w:p w14:paraId="72F957FB" w14:textId="77777777" w:rsidR="00780010" w:rsidRPr="001D7630" w:rsidRDefault="00780010" w:rsidP="00780010">
            <w:pPr>
              <w:jc w:val="center"/>
              <w:rPr>
                <w:b/>
                <w:bCs/>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62B12AD2" w14:textId="77777777" w:rsidR="00780010" w:rsidRPr="001D7630" w:rsidRDefault="00780010" w:rsidP="00780010">
            <w:pPr>
              <w:jc w:val="center"/>
              <w:rPr>
                <w:b/>
                <w:bCs/>
                <w:iCs/>
              </w:rPr>
            </w:pPr>
            <w:r w:rsidRPr="001D7630">
              <w:rPr>
                <w:b/>
                <w:bCs/>
                <w:iCs/>
              </w:rPr>
              <w:t>Ņemts vērā</w:t>
            </w:r>
          </w:p>
          <w:p w14:paraId="41C4B732" w14:textId="77777777" w:rsidR="00780010" w:rsidRPr="001D7630" w:rsidRDefault="00780010" w:rsidP="00780010">
            <w:pPr>
              <w:rPr>
                <w:iCs/>
              </w:rPr>
            </w:pPr>
            <w:r w:rsidRPr="001D7630">
              <w:rPr>
                <w:iCs/>
              </w:rPr>
              <w:t>Netiek paredzēti papildu finanšu avoti likumprojekta 16.pantā izteiktajam fondam. Ja likumprojektā noteiktā maksājumi par mērķu nesasniegšanu netiktu piemēroti vai tie būtu nelielā apjomā, tad arī attiecīgi fonda līdzekļu izmantojums tiktu plānots atbilstoši.</w:t>
            </w:r>
          </w:p>
          <w:p w14:paraId="32B4CB23" w14:textId="77777777" w:rsidR="00780010" w:rsidRPr="001D7630" w:rsidRDefault="00780010" w:rsidP="00780010">
            <w:pPr>
              <w:rPr>
                <w:iCs/>
              </w:rPr>
            </w:pPr>
            <w:r w:rsidRPr="001D7630">
              <w:rPr>
                <w:iCs/>
              </w:rPr>
              <w:t xml:space="preserve">Ja minētie maksājumi netiktu piemēroti, tas nozīmētu, ka degvielas piegādātāji ir sasnieguši noteiktos mērķus, līdz ar to, iespējams, būtiski papildu pasākumi </w:t>
            </w:r>
            <w:r w:rsidRPr="001D7630">
              <w:rPr>
                <w:iCs/>
              </w:rPr>
              <w:lastRenderedPageBreak/>
              <w:t>atjaunojamās transporta enerģijas mērķu sasniegšanās nebūtu jāīsteno un attiecīgi tiem nebūtu nepieciešami līdzekļi.</w:t>
            </w:r>
          </w:p>
        </w:tc>
        <w:tc>
          <w:tcPr>
            <w:tcW w:w="4291" w:type="dxa"/>
            <w:tcBorders>
              <w:top w:val="single" w:sz="4" w:space="0" w:color="auto"/>
              <w:left w:val="single" w:sz="4" w:space="0" w:color="auto"/>
              <w:bottom w:val="single" w:sz="4" w:space="0" w:color="auto"/>
            </w:tcBorders>
            <w:shd w:val="clear" w:color="auto" w:fill="auto"/>
          </w:tcPr>
          <w:p w14:paraId="5CE1CC9D"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lastRenderedPageBreak/>
              <w:t>Likumprojekta 16.pants (jaunais 14.pants) ir pārstrādāts.</w:t>
            </w:r>
          </w:p>
          <w:p w14:paraId="5D738723"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p w14:paraId="34143D55"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anotācija (sadaļa “Likumprojekta 16.pants” ir precizēta)</w:t>
            </w:r>
          </w:p>
        </w:tc>
      </w:tr>
      <w:tr w:rsidR="00780010" w:rsidRPr="001D7630" w14:paraId="6A5B872C"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137497C2"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7AEEA31F"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2FF4DE90" w14:textId="77777777" w:rsidR="00780010" w:rsidRPr="001D7630" w:rsidRDefault="00780010" w:rsidP="00780010">
            <w:pPr>
              <w:jc w:val="center"/>
              <w:rPr>
                <w:b/>
                <w:bCs/>
              </w:rPr>
            </w:pPr>
            <w:r w:rsidRPr="001D7630">
              <w:rPr>
                <w:b/>
                <w:bCs/>
              </w:rPr>
              <w:t>Finanšu ministrija</w:t>
            </w:r>
          </w:p>
          <w:p w14:paraId="600B0F5B" w14:textId="77777777" w:rsidR="00780010" w:rsidRPr="001D7630" w:rsidRDefault="00780010" w:rsidP="00780010">
            <w:pPr>
              <w:jc w:val="center"/>
              <w:rPr>
                <w:b/>
                <w:bCs/>
              </w:rPr>
            </w:pPr>
            <w:r w:rsidRPr="001D7630">
              <w:rPr>
                <w:b/>
                <w:bCs/>
              </w:rPr>
              <w:t>(08.01.2021. atzinums)</w:t>
            </w:r>
          </w:p>
          <w:p w14:paraId="2358F61E" w14:textId="77777777" w:rsidR="00780010" w:rsidRPr="001D7630" w:rsidRDefault="00780010" w:rsidP="00780010">
            <w:pPr>
              <w:jc w:val="both"/>
            </w:pPr>
            <w:r w:rsidRPr="001D7630">
              <w:t xml:space="preserve">12. Ievērojot to, ka likumprojekta 16.pants paredz izveidot jaunu atjaunojamās transporta enerģijas fondu atjaunojamās transporta enerģijas veicināšanai un energoefektivitātes uzlabošanai transportā, un minēto fondu plāno izveidot attīstības finanšu institūcija Altum, lūdzam anotācijas I. sadaļas 2.punktā sniegto skaidrojumu papildināt ar informāciju, kā atjaunojamās transporta enerģijas fonda izveide atbilst Eiropas Komisijas lēmuma SA.36904 – </w:t>
            </w:r>
            <w:r w:rsidRPr="001D7630">
              <w:rPr>
                <w:i/>
                <w:iCs/>
              </w:rPr>
              <w:t xml:space="preserve">Latvija, Hipotēķu un zemes bankas attīstības daļu un Latvijas Attīstības finanšu institūcijas izveidi </w:t>
            </w:r>
            <w:r w:rsidRPr="001D7630">
              <w:t xml:space="preserve">nosacījumiem, t.sk., vai netiks pārkāpts pamatkapitāla vai rezerves kapitāla iepludināšanas limits, kas noteikts Eiropas Komisijas lēmuma SA.36904 24.punktā. Vienlaikus lūdzam papildināt anotāciju ar informāciju kā un vai, plānotais atjaunojamās transporta enerģijas fonds atbilst tam, lai risinātu Komisijas lēmumā SA.36904 identificētās tirgus nepilnības, kuru </w:t>
            </w:r>
            <w:r w:rsidRPr="001D7630">
              <w:lastRenderedPageBreak/>
              <w:t xml:space="preserve">novēršanai izveidota attīstības finanšu institūcija.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26E6B17F"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7B340B62"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16.pants (jaunais 14.pants) ir pārstrādāts.</w:t>
            </w:r>
          </w:p>
          <w:p w14:paraId="16A59BED"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r>
      <w:tr w:rsidR="00780010" w:rsidRPr="001D7630" w14:paraId="47EB7913"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545D860A"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22EC0C6B"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54A53618" w14:textId="77777777" w:rsidR="00780010" w:rsidRPr="001D7630" w:rsidRDefault="00780010" w:rsidP="00780010">
            <w:pPr>
              <w:jc w:val="center"/>
              <w:rPr>
                <w:b/>
                <w:bCs/>
              </w:rPr>
            </w:pPr>
            <w:r w:rsidRPr="001D7630">
              <w:rPr>
                <w:b/>
                <w:bCs/>
              </w:rPr>
              <w:t>Tieslietu ministriju</w:t>
            </w:r>
          </w:p>
          <w:p w14:paraId="61190CA9" w14:textId="77777777" w:rsidR="00780010" w:rsidRPr="001D7630" w:rsidRDefault="00780010" w:rsidP="00780010">
            <w:pPr>
              <w:jc w:val="center"/>
              <w:rPr>
                <w:b/>
                <w:bCs/>
              </w:rPr>
            </w:pPr>
            <w:r w:rsidRPr="001D7630">
              <w:rPr>
                <w:b/>
                <w:bCs/>
              </w:rPr>
              <w:t>(08.01.2021. atzinums)</w:t>
            </w:r>
          </w:p>
          <w:p w14:paraId="19079659" w14:textId="77777777" w:rsidR="00780010" w:rsidRPr="001D7630" w:rsidRDefault="00780010" w:rsidP="00780010">
            <w:pPr>
              <w:widowControl w:val="0"/>
              <w:tabs>
                <w:tab w:val="left" w:pos="993"/>
              </w:tabs>
              <w:jc w:val="both"/>
              <w:textAlignment w:val="baseline"/>
              <w:rPr>
                <w:rStyle w:val="normaltextrun"/>
              </w:rPr>
            </w:pPr>
            <w:r w:rsidRPr="001D7630">
              <w:t xml:space="preserve">10. Projekta 16. pantā regulēta Atjaunojamās transporta enerģijas fondu (turpmāk – fonds) izveidošanu un darbību, kā arī Fonda ietvaros veikto atbalsta programmu īstenošanu. </w:t>
            </w:r>
            <w:r w:rsidRPr="001D7630">
              <w:rPr>
                <w:rStyle w:val="normaltextrun"/>
              </w:rPr>
              <w:t>Tai skaitā projekta 16. panta ceturtā daļa paredz, ka fonda līdzekļu izmantošanu nodrošina, organizējot atklātos projektu iesniegumu konkursus vai īstenojot ierobežota projektu iesniegumu atlasi”, savukārt šā panta piektā daļa paredz, ka “minētos projektu iesniegumu konkursa nolikumus izstrādā Ekonomikas ministrija, sadarbībā ar Vides aizsardzības un reģionālās attīstības ministriju, Zemkopības ministriju, Satiksmes ministriju un Finanšu ministriju.”</w:t>
            </w:r>
          </w:p>
          <w:p w14:paraId="531F9DD6" w14:textId="77777777" w:rsidR="00780010" w:rsidRPr="001D7630" w:rsidRDefault="00780010" w:rsidP="00780010">
            <w:pPr>
              <w:widowControl w:val="0"/>
              <w:tabs>
                <w:tab w:val="left" w:pos="993"/>
              </w:tabs>
              <w:jc w:val="both"/>
              <w:textAlignment w:val="baseline"/>
            </w:pPr>
            <w:r w:rsidRPr="001D7630">
              <w:t xml:space="preserve">No projekta 16. panta kopumā secināms, ka atbalsta programmu īstenošanas mehānisms tiek veidots līdzīgi tam, kāds šobrīd pastāv Eiropas Savienības finanšu instrumentu ietveros sniegtā atbalsta saņemšanai. Vēršam uzmanību, ka projekts tomēr neparedz sīkāk detalizētu atbalsta programmu īstenošanas mehānismu, tai skaitā nosacījumus attiecībā uz lēmumu pieņemšanu, tai skaitā attiecībā uz lēmumu par attiekumu </w:t>
            </w:r>
            <w:r w:rsidRPr="001D7630">
              <w:lastRenderedPageBreak/>
              <w:t>piešķirt atbalstu pieņemšanu, un tamlīdzīgus noteikumus, ka attiecībā, piemēram, uz Eiropas Savienības finanšu līdzekļu apgūšanu noteikti attiecīgo Eiropas Savienības fondu vadības likumos.</w:t>
            </w:r>
          </w:p>
          <w:p w14:paraId="7EF6FBD9" w14:textId="77777777" w:rsidR="00780010" w:rsidRPr="001D7630" w:rsidRDefault="00780010" w:rsidP="00780010">
            <w:pPr>
              <w:widowControl w:val="0"/>
              <w:tabs>
                <w:tab w:val="left" w:pos="993"/>
              </w:tabs>
              <w:jc w:val="both"/>
              <w:textAlignment w:val="baseline"/>
            </w:pPr>
            <w:r w:rsidRPr="001D7630">
              <w:t>Ievērojot minēto, lūdzam izvērtēt nepieciešamību papildināt projekta 16. pantu ar vispārīgajiem atbalsta piešķiršanas noteikumiem, kā arī, vai nav nepieciešams papildu pilnvarojums Ministru kabinetam sīkāk regulēt atbalsta piešķiršanas kārtību Fonda ietvaros.</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64289D41" w14:textId="77777777" w:rsidR="00780010" w:rsidRPr="001D7630" w:rsidRDefault="00780010" w:rsidP="00780010">
            <w:pPr>
              <w:jc w:val="center"/>
              <w:rPr>
                <w:b/>
                <w:bCs/>
                <w:iCs/>
              </w:rPr>
            </w:pPr>
            <w:r w:rsidRPr="001D7630">
              <w:rPr>
                <w:b/>
                <w:bCs/>
                <w:iCs/>
              </w:rPr>
              <w:lastRenderedPageBreak/>
              <w:t>Ņemts vērā</w:t>
            </w:r>
          </w:p>
          <w:p w14:paraId="0525B656" w14:textId="77777777" w:rsidR="00780010" w:rsidRPr="001D7630" w:rsidRDefault="00780010" w:rsidP="00780010">
            <w:pPr>
              <w:rPr>
                <w:iCs/>
              </w:rPr>
            </w:pPr>
          </w:p>
        </w:tc>
        <w:tc>
          <w:tcPr>
            <w:tcW w:w="4291" w:type="dxa"/>
            <w:tcBorders>
              <w:top w:val="single" w:sz="4" w:space="0" w:color="auto"/>
              <w:left w:val="single" w:sz="4" w:space="0" w:color="auto"/>
              <w:bottom w:val="single" w:sz="4" w:space="0" w:color="auto"/>
            </w:tcBorders>
            <w:shd w:val="clear" w:color="auto" w:fill="auto"/>
          </w:tcPr>
          <w:p w14:paraId="12D0AE0D"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16.pants ir pārstrādāts.</w:t>
            </w:r>
          </w:p>
          <w:p w14:paraId="6AB1F406"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r>
      <w:tr w:rsidR="00780010" w:rsidRPr="001D7630" w14:paraId="642E20D5"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2F90A126"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5A830113"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ECD20AC" w14:textId="77777777" w:rsidR="00780010" w:rsidRPr="001D7630" w:rsidRDefault="00780010" w:rsidP="00780010">
            <w:pPr>
              <w:autoSpaceDE w:val="0"/>
              <w:autoSpaceDN w:val="0"/>
              <w:adjustRightInd w:val="0"/>
              <w:jc w:val="center"/>
              <w:rPr>
                <w:b/>
                <w:bCs/>
              </w:rPr>
            </w:pPr>
            <w:r w:rsidRPr="001D7630">
              <w:rPr>
                <w:b/>
                <w:bCs/>
              </w:rPr>
              <w:t>Latvijas Degvielas tirgotāju asociācija</w:t>
            </w:r>
          </w:p>
          <w:p w14:paraId="4E6B6078" w14:textId="77777777" w:rsidR="00780010" w:rsidRPr="001D7630" w:rsidRDefault="00780010" w:rsidP="00780010">
            <w:pPr>
              <w:autoSpaceDE w:val="0"/>
              <w:autoSpaceDN w:val="0"/>
              <w:adjustRightInd w:val="0"/>
              <w:jc w:val="center"/>
              <w:rPr>
                <w:b/>
                <w:bCs/>
              </w:rPr>
            </w:pPr>
            <w:r w:rsidRPr="001D7630">
              <w:rPr>
                <w:b/>
                <w:bCs/>
              </w:rPr>
              <w:t>(13.01.2021. atzinums)</w:t>
            </w:r>
          </w:p>
          <w:p w14:paraId="0860AA59" w14:textId="77777777" w:rsidR="00780010" w:rsidRPr="001D7630" w:rsidRDefault="00780010" w:rsidP="00780010">
            <w:pPr>
              <w:pStyle w:val="CommentText"/>
              <w:jc w:val="both"/>
              <w:rPr>
                <w:sz w:val="24"/>
                <w:szCs w:val="24"/>
              </w:rPr>
            </w:pPr>
            <w:r w:rsidRPr="001D7630">
              <w:rPr>
                <w:sz w:val="24"/>
                <w:szCs w:val="24"/>
              </w:rPr>
              <w:t>Ierosinām precizēt 16.panta trešajā daļā atsauci uz trešo daļu.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F73C822" w14:textId="77777777"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shd w:val="clear" w:color="auto" w:fill="auto"/>
          </w:tcPr>
          <w:p w14:paraId="17D1BC36"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16.pants ir pārstrādāts</w:t>
            </w:r>
          </w:p>
        </w:tc>
      </w:tr>
      <w:tr w:rsidR="00780010" w:rsidRPr="001D7630" w14:paraId="3A324314"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58AE7494"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37BB2C81"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22A7296E" w14:textId="77777777" w:rsidR="00780010" w:rsidRPr="001D7630" w:rsidRDefault="00780010" w:rsidP="00780010">
            <w:pPr>
              <w:jc w:val="center"/>
              <w:rPr>
                <w:b/>
                <w:bCs/>
              </w:rPr>
            </w:pPr>
            <w:r w:rsidRPr="001D7630">
              <w:rPr>
                <w:b/>
                <w:bCs/>
              </w:rPr>
              <w:t>Finanšu ministrija</w:t>
            </w:r>
          </w:p>
          <w:p w14:paraId="01ED2F44" w14:textId="77777777" w:rsidR="00780010" w:rsidRPr="001D7630" w:rsidRDefault="00780010" w:rsidP="00780010">
            <w:pPr>
              <w:jc w:val="center"/>
              <w:rPr>
                <w:b/>
                <w:bCs/>
              </w:rPr>
            </w:pPr>
            <w:r w:rsidRPr="001D7630">
              <w:rPr>
                <w:b/>
                <w:bCs/>
              </w:rPr>
              <w:t>(26.03.2021.)</w:t>
            </w:r>
          </w:p>
          <w:p w14:paraId="033AF011" w14:textId="77777777" w:rsidR="00780010" w:rsidRPr="001D7630" w:rsidRDefault="00780010" w:rsidP="00780010">
            <w:pPr>
              <w:autoSpaceDE w:val="0"/>
              <w:autoSpaceDN w:val="0"/>
              <w:adjustRightInd w:val="0"/>
              <w:jc w:val="both"/>
              <w:rPr>
                <w:b/>
                <w:bCs/>
              </w:rPr>
            </w:pPr>
            <w:r w:rsidRPr="001D7630">
              <w:t xml:space="preserve">2. Likumprojekta 14. panta pirmā daļa paredz, ka atjaunojamās transporta enerģijas veicināšanai un energoefektivitātes uzlabošanai transportā šā likuma 13. panta trešajā daļā minētais maksājums </w:t>
            </w:r>
            <w:r w:rsidRPr="001D7630">
              <w:rPr>
                <w:u w:val="single"/>
              </w:rPr>
              <w:t>ir ieskaitāms attiecīgajai valsts pamatbudžeta programmai</w:t>
            </w:r>
            <w:r w:rsidRPr="001D7630">
              <w:t xml:space="preserve"> izveidotajā valsts pamatbudžeta izdevumu kontā Valsts kasē, un to </w:t>
            </w:r>
            <w:r w:rsidRPr="001D7630">
              <w:rPr>
                <w:u w:val="single"/>
              </w:rPr>
              <w:t>uzskaita kā iestādes citus pašu ieņēmumus</w:t>
            </w:r>
            <w:r w:rsidRPr="001D7630">
              <w:t xml:space="preserve">. Lūdzam papildināt anotācijas III sadaļu ar minēta panta īstenošanas iespējamo ietekmi uz valsts budžetu, norādot konkrēto EM budžeta </w:t>
            </w:r>
            <w:r w:rsidRPr="001D7630">
              <w:lastRenderedPageBreak/>
              <w:t xml:space="preserve">programmu, kur tiks plānoti minētie pašu ieņēmumi, kā arī sniedzot novērtējumu par ieņēmumu un izdevumu apmēru ik gadu.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07185DAD" w14:textId="77777777" w:rsidR="00780010" w:rsidRPr="001D7630" w:rsidRDefault="00780010" w:rsidP="00780010">
            <w:pPr>
              <w:jc w:val="center"/>
              <w:rPr>
                <w:b/>
                <w:bCs/>
                <w:iCs/>
              </w:rPr>
            </w:pPr>
            <w:r w:rsidRPr="001D7630">
              <w:rPr>
                <w:b/>
                <w:bCs/>
                <w:iCs/>
              </w:rPr>
              <w:lastRenderedPageBreak/>
              <w:t>Ņemts vērā</w:t>
            </w:r>
          </w:p>
          <w:p w14:paraId="4CCE6160" w14:textId="77777777" w:rsidR="00780010" w:rsidRPr="001D7630" w:rsidRDefault="00780010" w:rsidP="00780010">
            <w:pPr>
              <w:rPr>
                <w:iCs/>
              </w:rPr>
            </w:pPr>
          </w:p>
          <w:p w14:paraId="247A868C" w14:textId="77777777" w:rsidR="00780010" w:rsidRPr="001D7630" w:rsidRDefault="00780010" w:rsidP="00780010">
            <w:pPr>
              <w:rPr>
                <w:iCs/>
              </w:rPr>
            </w:pPr>
            <w:r w:rsidRPr="001D7630">
              <w:rPr>
                <w:iCs/>
              </w:rPr>
              <w:t>Atkārtoti skaidrojam, ka minētā maksājuma apjomu nav iespējams prognozēt, jo tas ir atkarīgs no tā, vai un kādā apjomā degvielas piegādātāji sasniegs likumprojekta 8.panta 4. un 5.daļā, kā arī likumprojekta 9.panta 1.daļā noteikto mērķi.</w:t>
            </w:r>
          </w:p>
          <w:p w14:paraId="0B8874FD" w14:textId="77777777" w:rsidR="00780010" w:rsidRPr="001D7630" w:rsidRDefault="00780010" w:rsidP="00780010">
            <w:pPr>
              <w:rPr>
                <w:iCs/>
              </w:rPr>
            </w:pPr>
            <w:r w:rsidRPr="001D7630">
              <w:rPr>
                <w:iCs/>
              </w:rPr>
              <w:t xml:space="preserve">Ekonomikas ministrija ir ieinteresēta, lai šāda maksājuma piemērošana vispār nenotiktu, jo tas </w:t>
            </w:r>
            <w:r w:rsidRPr="001D7630">
              <w:rPr>
                <w:iCs/>
              </w:rPr>
              <w:lastRenderedPageBreak/>
              <w:t>nozīmētu, ka noteiktie mērķi ir sasniegti un arī dalībvalstij kopumā noteiktie mērķi ir sasniegti.</w:t>
            </w:r>
          </w:p>
          <w:p w14:paraId="0CFCD65F" w14:textId="77777777" w:rsidR="00780010" w:rsidRPr="001D7630" w:rsidRDefault="00780010" w:rsidP="00780010">
            <w:pPr>
              <w:rPr>
                <w:b/>
                <w:bCs/>
                <w:iCs/>
              </w:rPr>
            </w:pPr>
            <w:r w:rsidRPr="001D7630">
              <w:rPr>
                <w:b/>
                <w:bCs/>
                <w:iCs/>
              </w:rPr>
              <w:t>Ekonomikas ministrija plāno, ka degvielas piegādātāji ievēros tiem likumā noteiktos pienākumus un plānojam to, ka likums tiek ievērots, līdz ar to ieņēmumi no minētā maksājuma nebūs.</w:t>
            </w:r>
          </w:p>
          <w:p w14:paraId="5AB8A06D" w14:textId="77777777" w:rsidR="00780010" w:rsidRPr="001D7630" w:rsidRDefault="00780010" w:rsidP="00780010">
            <w:pPr>
              <w:rPr>
                <w:iCs/>
              </w:rPr>
            </w:pPr>
          </w:p>
          <w:p w14:paraId="77EF4BFD" w14:textId="77777777" w:rsidR="00780010" w:rsidRPr="001D7630" w:rsidRDefault="00780010" w:rsidP="00780010">
            <w:r w:rsidRPr="001D7630">
              <w:rPr>
                <w:iCs/>
              </w:rPr>
              <w:t xml:space="preserve">Norādām, ka FM izteiktais iebildums nav izpildāms, jo maksājums tiek piemērots noteiktā apjomā no degvielas piegādātāja iepriekšējā kalendārā gadā </w:t>
            </w:r>
            <w:r w:rsidRPr="001D7630">
              <w:t xml:space="preserve">finanšu gada neto apgrozījuma, kas attiecas uz degvielas apriti, tai skaitā piegādi un tirdzniecību, ņemot vērā mērķa nesasniegšanas apjomu. Ekonomikas ministrija nevar prognozēt katra degvielas piegādātāja nākamā gada finanšu gada neto apgrozījuma, kas attiecas uz degvielas apriti, tai skaitā piegādi un tirdzniecību, apjomu, tāpat arī nevar prognozēt katra </w:t>
            </w:r>
            <w:r w:rsidRPr="001D7630">
              <w:lastRenderedPageBreak/>
              <w:t>degvielas piegādātāja mērķa nesasniegšanas apjomu.</w:t>
            </w:r>
          </w:p>
          <w:p w14:paraId="3243134F" w14:textId="77777777" w:rsidR="00780010" w:rsidRPr="001D7630" w:rsidRDefault="00780010" w:rsidP="00780010"/>
          <w:p w14:paraId="524894D7" w14:textId="77777777" w:rsidR="00780010" w:rsidRPr="001D7630" w:rsidRDefault="00780010" w:rsidP="00780010">
            <w:r w:rsidRPr="001D7630">
              <w:t>Šobrīd nav iespējams ieplānot budžeta apakšprogrammas ieņēmumus 2022.gada budžetam, jo vēl nav iesniegti un apkopoti dati par likuma “Par piesārņojumu” 55.pantā noteikto mērķu izpildi, ko varētu izmantot par bāzi nākamo gadu mērķu neizpildes apjoma novērtēšanai (degvielas piegādātājiem dati par mērķu izpildi ir jāiesniedz līdz 15.maijam). bet minētie dati tiks izmantoti, lai ar konservatīvu pieeju aplēstu iespējamos ieņēmumus 2022.gadā par iespējamām 2021.gada mērķu neizpildēm.</w:t>
            </w:r>
          </w:p>
          <w:p w14:paraId="4582DF76" w14:textId="77777777" w:rsidR="00780010" w:rsidRPr="001D7630" w:rsidRDefault="00780010" w:rsidP="00780010"/>
          <w:p w14:paraId="48C38629" w14:textId="77777777" w:rsidR="00780010" w:rsidRPr="001D7630" w:rsidRDefault="00780010" w:rsidP="00780010">
            <w:pPr>
              <w:jc w:val="both"/>
              <w:rPr>
                <w:b/>
                <w:bCs/>
                <w:iCs/>
              </w:rPr>
            </w:pPr>
            <w:r w:rsidRPr="001D7630">
              <w:t xml:space="preserve">Ņemot vērā, ka likumprojekts stāsies spēkā ne ātrāk kā 2021.gada beigās un ka likumprojekta 14.pantā minēto līdzekļu izlietojumam ir jāizstrādā MK noteikumi par fonda darbību un ir jāizstrādā konkursa nolikums līdzekļu piešķiršanai, tad nav </w:t>
            </w:r>
            <w:r w:rsidRPr="001D7630">
              <w:lastRenderedPageBreak/>
              <w:t>paredzams, ka izdevumu sadaļa tiks plānota ātrāk kā par 2023.-2024.gada budžetu</w:t>
            </w:r>
          </w:p>
        </w:tc>
        <w:tc>
          <w:tcPr>
            <w:tcW w:w="4291" w:type="dxa"/>
            <w:tcBorders>
              <w:top w:val="single" w:sz="4" w:space="0" w:color="auto"/>
              <w:left w:val="single" w:sz="4" w:space="0" w:color="auto"/>
              <w:bottom w:val="single" w:sz="4" w:space="0" w:color="auto"/>
            </w:tcBorders>
            <w:shd w:val="clear" w:color="auto" w:fill="auto"/>
          </w:tcPr>
          <w:p w14:paraId="0FFEBA00"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iCs/>
                <w:sz w:val="24"/>
                <w:szCs w:val="24"/>
              </w:rPr>
              <w:lastRenderedPageBreak/>
              <w:t>Likumprojekta anotācijas I sadaļas 2.punkta sadaļa “</w:t>
            </w:r>
            <w:r w:rsidRPr="001D7630">
              <w:rPr>
                <w:rFonts w:ascii="Times New Roman" w:hAnsi="Times New Roman"/>
                <w:iCs/>
                <w:sz w:val="24"/>
                <w:szCs w:val="24"/>
                <w:u w:val="single"/>
              </w:rPr>
              <w:t>Likumprojekta 14.pants</w:t>
            </w:r>
            <w:r w:rsidRPr="001D7630">
              <w:rPr>
                <w:rFonts w:ascii="Times New Roman" w:hAnsi="Times New Roman"/>
                <w:iCs/>
                <w:sz w:val="24"/>
                <w:szCs w:val="24"/>
              </w:rPr>
              <w:t>” ir papildināta.</w:t>
            </w:r>
          </w:p>
        </w:tc>
      </w:tr>
      <w:tr w:rsidR="00780010" w:rsidRPr="001D7630" w14:paraId="5414AC9F"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35442F22"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3D0EF2A"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5173E07E" w14:textId="77777777" w:rsidR="00780010" w:rsidRPr="001D7630" w:rsidRDefault="00780010" w:rsidP="00780010">
            <w:pPr>
              <w:autoSpaceDE w:val="0"/>
              <w:autoSpaceDN w:val="0"/>
              <w:adjustRightInd w:val="0"/>
              <w:jc w:val="center"/>
              <w:rPr>
                <w:b/>
                <w:bCs/>
              </w:rPr>
            </w:pPr>
            <w:r w:rsidRPr="001D7630">
              <w:rPr>
                <w:b/>
                <w:bCs/>
              </w:rPr>
              <w:t>Finanšu ministrija</w:t>
            </w:r>
          </w:p>
          <w:p w14:paraId="6578317D" w14:textId="77777777" w:rsidR="00780010" w:rsidRPr="001D7630" w:rsidRDefault="00780010" w:rsidP="00780010">
            <w:pPr>
              <w:autoSpaceDE w:val="0"/>
              <w:autoSpaceDN w:val="0"/>
              <w:adjustRightInd w:val="0"/>
              <w:jc w:val="center"/>
              <w:rPr>
                <w:b/>
                <w:bCs/>
              </w:rPr>
            </w:pPr>
            <w:r w:rsidRPr="001D7630">
              <w:rPr>
                <w:b/>
                <w:bCs/>
              </w:rPr>
              <w:t>(26.03.2021.)</w:t>
            </w:r>
          </w:p>
          <w:p w14:paraId="4F0F81F1" w14:textId="77777777" w:rsidR="00780010" w:rsidRPr="001D7630" w:rsidRDefault="00780010" w:rsidP="00780010">
            <w:pPr>
              <w:jc w:val="both"/>
            </w:pPr>
            <w:r w:rsidRPr="001D7630">
              <w:t>3. Ievērojot to, ka likumprojekta 14.pants paredz izveidot jaunu atbalsta programmu atjaunojamās transporta enerģijas veicināšanai, kuru izstrādājot un īstenojot ir jāievēro arī komercdarbības atbalsta kontroles normas, lūdzam likumprojekta 14.panta ceturto daļu papildināt ar vārdiem “</w:t>
            </w:r>
            <w:bookmarkStart w:id="21" w:name="_Hlk67916351"/>
            <w:r w:rsidRPr="001D7630">
              <w:rPr>
                <w:i/>
                <w:iCs/>
              </w:rPr>
              <w:t>un komercdarbības atbalsta nosacījumus komercdarbības atbalsta kontroles regulējuma ievērošana</w:t>
            </w:r>
            <w:bookmarkEnd w:id="21"/>
            <w:r w:rsidRPr="001D7630">
              <w:rPr>
                <w:i/>
                <w:iCs/>
              </w:rPr>
              <w:t>i</w:t>
            </w:r>
            <w:r w:rsidRPr="001D7630">
              <w:t>.” Vienlaikus lūdzam ar attiecīgo informāciju papildināt arī anotāciju.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20F8EC38" w14:textId="77777777"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shd w:val="clear" w:color="auto" w:fill="auto"/>
          </w:tcPr>
          <w:p w14:paraId="088AE8E1"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14.panta 4.daļa ir precizēta.</w:t>
            </w:r>
          </w:p>
        </w:tc>
      </w:tr>
      <w:tr w:rsidR="00780010" w:rsidRPr="001D7630" w14:paraId="5A7020DF"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769723AE"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F40C818"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39A23AA0" w14:textId="77777777" w:rsidR="00780010" w:rsidRPr="001D7630" w:rsidRDefault="00780010" w:rsidP="00780010">
            <w:pPr>
              <w:autoSpaceDE w:val="0"/>
              <w:autoSpaceDN w:val="0"/>
              <w:adjustRightInd w:val="0"/>
              <w:jc w:val="center"/>
              <w:rPr>
                <w:b/>
                <w:bCs/>
              </w:rPr>
            </w:pPr>
            <w:r w:rsidRPr="001D7630">
              <w:rPr>
                <w:b/>
                <w:bCs/>
              </w:rPr>
              <w:t>Būvniecības valsts kontroles birojs</w:t>
            </w:r>
          </w:p>
          <w:p w14:paraId="591B601E" w14:textId="77777777" w:rsidR="00780010" w:rsidRPr="001D7630" w:rsidRDefault="00780010" w:rsidP="00780010">
            <w:pPr>
              <w:autoSpaceDE w:val="0"/>
              <w:autoSpaceDN w:val="0"/>
              <w:adjustRightInd w:val="0"/>
              <w:jc w:val="center"/>
              <w:rPr>
                <w:b/>
                <w:bCs/>
              </w:rPr>
            </w:pPr>
            <w:r w:rsidRPr="001D7630">
              <w:rPr>
                <w:b/>
                <w:bCs/>
              </w:rPr>
              <w:t>(15.06.2021.)</w:t>
            </w:r>
          </w:p>
          <w:p w14:paraId="0A433645" w14:textId="77777777" w:rsidR="00780010" w:rsidRPr="001D7630" w:rsidRDefault="00780010" w:rsidP="00780010">
            <w:pPr>
              <w:jc w:val="both"/>
            </w:pPr>
            <w:r w:rsidRPr="001D7630">
              <w:t xml:space="preserve">[7] Birojs lūdz skaidrot, vai ar </w:t>
            </w:r>
            <w:r w:rsidRPr="001D7630">
              <w:rPr>
                <w:i/>
                <w:iCs/>
              </w:rPr>
              <w:t>Likumprojekta 15.panta otrās daļas 4.punktu</w:t>
            </w:r>
            <w:r w:rsidRPr="001D7630">
              <w:t xml:space="preserve"> tiek noteikts, ka </w:t>
            </w:r>
            <w:r w:rsidRPr="001D7630">
              <w:rPr>
                <w:u w:val="single"/>
              </w:rPr>
              <w:t>Ministru kabineta noteiktā institūcija</w:t>
            </w:r>
            <w:r w:rsidRPr="001D7630">
              <w:t xml:space="preserve"> noteikto tirgus uzraudzības funkciju izpildei </w:t>
            </w:r>
            <w:r w:rsidRPr="001D7630">
              <w:rPr>
                <w:u w:val="single"/>
              </w:rPr>
              <w:t>finansējumu iegūs tikai un vienīgi no</w:t>
            </w:r>
            <w:r w:rsidRPr="001D7630">
              <w:t xml:space="preserve"> Likumprojekta 15.panta pirmajā daļā noteiktās valsts pamatbudžeta izdevumu kontā </w:t>
            </w:r>
            <w:r w:rsidRPr="001D7630">
              <w:rPr>
                <w:u w:val="single"/>
              </w:rPr>
              <w:t>Valsts kasē iemaksātās piespiedu naudas un valsts nodevas</w:t>
            </w:r>
            <w:r w:rsidRPr="001D7630">
              <w:t xml:space="preserve">. </w:t>
            </w:r>
          </w:p>
          <w:p w14:paraId="4F85A099" w14:textId="77777777" w:rsidR="00780010" w:rsidRPr="001D7630" w:rsidRDefault="00780010" w:rsidP="00780010">
            <w:pPr>
              <w:jc w:val="both"/>
            </w:pPr>
            <w:r w:rsidRPr="001D7630">
              <w:t xml:space="preserve">Saistībā ar minēto Birojs vērš uzmanību, ka, </w:t>
            </w:r>
            <w:r w:rsidRPr="001D7630">
              <w:rPr>
                <w:u w:val="single"/>
              </w:rPr>
              <w:t>ja degvielas piegādātāji izpilda Likumprojektā noteiktos pienākumus</w:t>
            </w:r>
            <w:r w:rsidRPr="001D7630">
              <w:t xml:space="preserve">, </w:t>
            </w:r>
            <w:r w:rsidRPr="001D7630">
              <w:lastRenderedPageBreak/>
              <w:t xml:space="preserve">var veidoties situācija, ka saskaņā ar Likumprojekta 15.panta pirmo daļu </w:t>
            </w:r>
            <w:r w:rsidRPr="001D7630">
              <w:rPr>
                <w:u w:val="single"/>
              </w:rPr>
              <w:t>valsts budžetā netiek iekasēta valsts nodeva un piespiedu nauda</w:t>
            </w:r>
            <w:r w:rsidRPr="001D7630">
              <w:t xml:space="preserve">. Līdz ar to lūgums skaidrot, vai minētajā gadījumā attiecīgajai institūcijai tai noteikto funkciju izpildei </w:t>
            </w:r>
            <w:r w:rsidRPr="001D7630">
              <w:rPr>
                <w:u w:val="single"/>
              </w:rPr>
              <w:t>būs paredzēts atsevišķs valsts budžeta finansējums</w:t>
            </w:r>
            <w:r w:rsidRPr="001D7630">
              <w:t>. Biroja ieskatā normatīvajos aktos noteikto funkciju īstenošana, tai skaitā, ja politikas veidotājs ir plānojis paplašināt esošo funkciju tvērumu, primāri ir jāīsteno no valsts budžeta, paredzot tam pietiekamu finansējumu.</w:t>
            </w:r>
          </w:p>
          <w:p w14:paraId="1348FA31" w14:textId="7389A810" w:rsidR="00780010" w:rsidRPr="001D7630" w:rsidRDefault="00780010" w:rsidP="00780010">
            <w:pPr>
              <w:jc w:val="both"/>
            </w:pPr>
            <w:r w:rsidRPr="001D7630">
              <w:t xml:space="preserve">Papildus minētajam Birojs lūdz sniegt skaidrojumu, </w:t>
            </w:r>
            <w:r w:rsidRPr="001D7630">
              <w:rPr>
                <w:u w:val="single"/>
              </w:rPr>
              <w:t>vai Likumprojekta 15.panta otrās daļas 4.punktā noteiktais</w:t>
            </w:r>
            <w:r w:rsidRPr="001D7630">
              <w:t xml:space="preserve"> attiecībā uz kontroles, uzraudzības un ziņošanas funkciju un pienākumu finansēšanu </w:t>
            </w:r>
            <w:r w:rsidRPr="001D7630">
              <w:rPr>
                <w:u w:val="single"/>
              </w:rPr>
              <w:t>tiek attiecināts arī uz enerģētikas informācijas sistēmas funkcionalitātes pilnveidošanu</w:t>
            </w:r>
            <w:r w:rsidRPr="001D7630">
              <w:t>.</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12C72A59" w14:textId="102D81A5" w:rsidR="00780010" w:rsidRPr="001D7630" w:rsidRDefault="00780010" w:rsidP="00780010">
            <w:pPr>
              <w:jc w:val="center"/>
              <w:rPr>
                <w:b/>
                <w:bCs/>
                <w:iCs/>
              </w:rPr>
            </w:pPr>
            <w:r w:rsidRPr="001D7630">
              <w:rPr>
                <w:b/>
                <w:bCs/>
                <w:iCs/>
              </w:rPr>
              <w:lastRenderedPageBreak/>
              <w:t>Ņemts vērā</w:t>
            </w:r>
          </w:p>
          <w:p w14:paraId="41910EB8" w14:textId="77777777" w:rsidR="00780010" w:rsidRPr="001D7630" w:rsidRDefault="00780010" w:rsidP="00780010">
            <w:pPr>
              <w:rPr>
                <w:iCs/>
              </w:rPr>
            </w:pPr>
            <w:r w:rsidRPr="001D7630">
              <w:rPr>
                <w:iCs/>
              </w:rPr>
              <w:t>Informējam, ka likumprojekta 15.panta 2.daļas 4.punkts ir kā papildu finansējuma avots tajā noteikto nosacījumu finansēšanai. Līdz ar to spēkā esošie finansējuma avoti degvielas tirgus uzraudzības pasākumu veikšana un vispārīgo ziņojumu izvērtēšanai netiek mainīti.</w:t>
            </w:r>
          </w:p>
          <w:p w14:paraId="6183E51A" w14:textId="77777777" w:rsidR="00780010" w:rsidRPr="001D7630" w:rsidRDefault="00780010" w:rsidP="00780010">
            <w:pPr>
              <w:rPr>
                <w:iCs/>
              </w:rPr>
            </w:pPr>
            <w:r w:rsidRPr="001D7630">
              <w:rPr>
                <w:iCs/>
              </w:rPr>
              <w:t xml:space="preserve">Vienlaikus norādām, ka, tā kā ir paredzēts, ka šis finansējums ir uzkrājošs </w:t>
            </w:r>
            <w:r w:rsidRPr="001D7630">
              <w:rPr>
                <w:iCs/>
              </w:rPr>
              <w:lastRenderedPageBreak/>
              <w:t>finansējums, kur katru gadu kopējais finansējuma apjoms varētu palielināties par vairākiem miljoniem eiro, tad nepieciešamo papildus finansējums BVKB, ja tāds būs nepieciešams transporta enerģijas kvalitātes uzraudzības pasākumiem, varētu piešķirt arī no šī uzkrātā finanšu līdzekļu apjoma.</w:t>
            </w:r>
          </w:p>
          <w:p w14:paraId="5F33CBA7" w14:textId="77777777" w:rsidR="00780010" w:rsidRPr="001D7630" w:rsidRDefault="00780010" w:rsidP="00780010">
            <w:pPr>
              <w:rPr>
                <w:iCs/>
              </w:rPr>
            </w:pPr>
            <w:r w:rsidRPr="001D7630">
              <w:rPr>
                <w:iCs/>
              </w:rPr>
              <w:t>Ekonomikas ministrija ir pilnībā ieinteresēta, ka likumprojekta 15.pantā minētie finanšu līdzekļi netiek iekasēti vispār, bet tomēr Ekonomikas ministrija rēķinās ar to, ka varbūt šie finanšu līdzekļi ir.</w:t>
            </w:r>
          </w:p>
          <w:p w14:paraId="71B2E97D" w14:textId="13E72BC0" w:rsidR="00780010" w:rsidRPr="001D7630" w:rsidRDefault="00780010" w:rsidP="00780010">
            <w:pPr>
              <w:rPr>
                <w:iCs/>
              </w:rPr>
            </w:pPr>
            <w:r w:rsidRPr="001D7630">
              <w:rPr>
                <w:iCs/>
              </w:rPr>
              <w:t xml:space="preserve">Vienlaikus jāmin, ka situācijā, kad minēto finanšu līdzekļu nebūs, tad papildu finanšu līdzekļiem likumprojekta 12.pantā noteikto darbību veikšanu, ja tādi BVKB būs nepieciešami, būs jārod cits avots. </w:t>
            </w:r>
          </w:p>
        </w:tc>
        <w:tc>
          <w:tcPr>
            <w:tcW w:w="4291" w:type="dxa"/>
            <w:tcBorders>
              <w:top w:val="single" w:sz="4" w:space="0" w:color="auto"/>
              <w:left w:val="single" w:sz="4" w:space="0" w:color="auto"/>
              <w:bottom w:val="single" w:sz="4" w:space="0" w:color="auto"/>
            </w:tcBorders>
            <w:shd w:val="clear" w:color="auto" w:fill="auto"/>
          </w:tcPr>
          <w:p w14:paraId="1CC5BF1C"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lastRenderedPageBreak/>
              <w:t>Likumprojekta anotācijas III sadaļas 6.punkts ir papildināts.</w:t>
            </w:r>
          </w:p>
          <w:p w14:paraId="091C9384"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p w14:paraId="77B44962" w14:textId="17F24D06"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anotācijas I sadaļas 2.punkta sadaļa “</w:t>
            </w:r>
            <w:r w:rsidRPr="001D7630">
              <w:rPr>
                <w:rFonts w:ascii="Times New Roman" w:hAnsi="Times New Roman"/>
                <w:sz w:val="24"/>
                <w:szCs w:val="24"/>
                <w:u w:val="single"/>
                <w:lang w:eastAsia="lv-LV"/>
              </w:rPr>
              <w:t>Likumprojekta 12.pants</w:t>
            </w:r>
            <w:r w:rsidRPr="001D7630">
              <w:rPr>
                <w:rFonts w:ascii="Times New Roman" w:hAnsi="Times New Roman"/>
                <w:sz w:val="24"/>
                <w:szCs w:val="24"/>
                <w:lang w:eastAsia="lv-LV"/>
              </w:rPr>
              <w:t>” ir papildināta.</w:t>
            </w:r>
          </w:p>
        </w:tc>
      </w:tr>
      <w:tr w:rsidR="00780010" w:rsidRPr="001D7630" w14:paraId="39CC41E0"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07A9D45A"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944409D" w14:textId="71C17B29"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r w:rsidRPr="001D7630">
              <w:rPr>
                <w:rFonts w:ascii="Times New Roman" w:hAnsi="Times New Roman"/>
                <w:color w:val="000000" w:themeColor="text1"/>
                <w:sz w:val="24"/>
                <w:szCs w:val="24"/>
                <w:lang w:eastAsia="lv-LV"/>
              </w:rPr>
              <w:t>Likumprojekta 15.pants</w:t>
            </w: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09812081" w14:textId="77777777" w:rsidR="00780010" w:rsidRPr="001D7630" w:rsidRDefault="00780010" w:rsidP="00780010">
            <w:pPr>
              <w:autoSpaceDE w:val="0"/>
              <w:autoSpaceDN w:val="0"/>
              <w:adjustRightInd w:val="0"/>
              <w:jc w:val="center"/>
              <w:rPr>
                <w:b/>
                <w:bCs/>
              </w:rPr>
            </w:pPr>
            <w:r w:rsidRPr="001D7630">
              <w:rPr>
                <w:b/>
                <w:bCs/>
              </w:rPr>
              <w:t>Finanšu ministrija</w:t>
            </w:r>
          </w:p>
          <w:p w14:paraId="188A94D1" w14:textId="77777777" w:rsidR="00780010" w:rsidRPr="001D7630" w:rsidRDefault="00780010" w:rsidP="00780010">
            <w:pPr>
              <w:autoSpaceDE w:val="0"/>
              <w:autoSpaceDN w:val="0"/>
              <w:adjustRightInd w:val="0"/>
              <w:jc w:val="center"/>
              <w:rPr>
                <w:b/>
                <w:bCs/>
              </w:rPr>
            </w:pPr>
            <w:r w:rsidRPr="001D7630">
              <w:rPr>
                <w:b/>
                <w:bCs/>
              </w:rPr>
              <w:t>(16.06.2021. atzinums)</w:t>
            </w:r>
          </w:p>
          <w:p w14:paraId="5E7155B0" w14:textId="6D053F98" w:rsidR="00780010" w:rsidRPr="001D7630" w:rsidRDefault="00780010" w:rsidP="00780010">
            <w:pPr>
              <w:jc w:val="both"/>
            </w:pPr>
            <w:bookmarkStart w:id="22" w:name="_Hlk76638476"/>
            <w:r w:rsidRPr="001D7630">
              <w:t>2. Lūdzam izteikt likumprojekta 15.panta pirmo daļu šādā redakcijā, vienlaicīgi precizējot arī anotāciju:</w:t>
            </w:r>
          </w:p>
          <w:p w14:paraId="3CF116BB" w14:textId="77777777" w:rsidR="00780010" w:rsidRPr="001D7630" w:rsidRDefault="00780010" w:rsidP="00780010">
            <w:pPr>
              <w:pStyle w:val="ListParagraph"/>
              <w:spacing w:after="0" w:line="240" w:lineRule="auto"/>
              <w:ind w:left="0"/>
              <w:contextualSpacing w:val="0"/>
              <w:jc w:val="both"/>
              <w:rPr>
                <w:rFonts w:ascii="Times New Roman" w:hAnsi="Times New Roman"/>
                <w:sz w:val="24"/>
                <w:szCs w:val="24"/>
              </w:rPr>
            </w:pPr>
            <w:r w:rsidRPr="001D7630">
              <w:rPr>
                <w:rFonts w:ascii="Times New Roman" w:hAnsi="Times New Roman"/>
                <w:sz w:val="24"/>
                <w:szCs w:val="24"/>
              </w:rPr>
              <w:lastRenderedPageBreak/>
              <w:t>“(1) Atjaunojamās transporta enerģijas veicināšanai un energoefektivitātes uzlabošanai transportā šā likuma 13.pantā noteiktā piespiedu nauda un šā likuma 14.pantā minētā valsts nodeva ir ieskaitāma valsts budžeta ieņēmumos.”.</w:t>
            </w:r>
          </w:p>
          <w:p w14:paraId="0801E86B" w14:textId="77777777" w:rsidR="00780010" w:rsidRPr="001D7630" w:rsidRDefault="00780010" w:rsidP="00780010">
            <w:pPr>
              <w:ind w:firstLine="567"/>
              <w:jc w:val="both"/>
            </w:pPr>
            <w:r w:rsidRPr="001D7630">
              <w:t>Ministru kabineta 2005. gada 27. decembra noteikumi Nr. 1032 “</w:t>
            </w:r>
            <w:r w:rsidRPr="001D7630">
              <w:rPr>
                <w:color w:val="000000"/>
              </w:rPr>
              <w:t>Noteikumi par budžetu ieņēmumu klasifikāciju</w:t>
            </w:r>
            <w:r w:rsidRPr="001D7630">
              <w:t>” nosaka, ka u</w:t>
            </w:r>
            <w:r w:rsidRPr="001D7630">
              <w:rPr>
                <w:color w:val="000000"/>
              </w:rPr>
              <w:t>z kodu 10.1.0.0. “Naudas sodi” attiecina ieņēmumus, kas iemaksāti valsts vai pašvaldību budžetos no naudas sodiem un piespiedu naudām, kā arī procesuālo izdevumu samaksas, ko uzliek saskaņā ar Latvijas administratīvo pārkāpumu kodeksu, Administratīvā procesa likumu, Administratīvās atbildības likumu, speciālajiem nozares likumiem un pašvaldību saistošajiem noteikumiem, savukārt valsts nodevas, kas paredzēta noteiktam mērķim, uzskaita koda 9.3.0.0. “Speciāliem mērķiem paredzētās valsts nodevas” apakškodos.</w:t>
            </w:r>
            <w:r w:rsidRPr="001D7630">
              <w:rPr>
                <w:color w:val="000000"/>
                <w:shd w:val="clear" w:color="auto" w:fill="FFFFFF"/>
              </w:rPr>
              <w:t xml:space="preserve"> </w:t>
            </w:r>
          </w:p>
          <w:p w14:paraId="4C3DF43D" w14:textId="77777777" w:rsidR="00780010" w:rsidRPr="001D7630" w:rsidRDefault="00780010" w:rsidP="00780010">
            <w:pPr>
              <w:ind w:firstLine="567"/>
              <w:jc w:val="both"/>
            </w:pPr>
            <w:r w:rsidRPr="001D7630">
              <w:t xml:space="preserve">Ieņēmumu ieskaitīšana valsts budžeta izdevumu kontā kā ieņēmumu no maksas pakalpojumiem un citi pašu ieņēmumi bija atbilstoša iepriekšējai likumprojekta pantu redakcijai, kad tika paredzēts, ka jāieskaita maksājums, savukārt, ja tā ir valsts nodeva vai piespiedu nauda atbilstoši normatīvajam regulējumam un piemērojot valsts </w:t>
            </w:r>
            <w:r w:rsidRPr="001D7630">
              <w:lastRenderedPageBreak/>
              <w:t>budžeta ieņēmumu klasifikāciju pēc ekonomiskās būtības, šādi ieņēmumi jāskaita valsts budžeta vispārējos ieņēmumos (nevis iestādes pašu ieņēmumos). Ministrija gadskārtējā budžetā plāno valsts nodevu ieņēmumu apmēru (gadskārtējā valsts budžeta likuma 2.pielikums), un atbilstoši ministrijas budžeta programmā vai apakšprogrammā resursus – dotāciju no vispārējiem ieņēmumiem. Vienlaikus vēršam uzmanību, ka gadījumā, ja Ekonomikas ministrijas budžeta apakšprogrammā būs neieciešams ieplānot dotāciju no valsts pamatbudžeta vispārējiem ieņēmumiem atbilstoši attiecīgajā gadā valsts pamatbudžetā plānotajiem (prognozētajiem) ieņēmumiem no valsts nodevas, likumprojektā jāparedz, ka Ekonomikas ministrija ir atbildīga par to, lai izdevumi nepārsniedz valsts pamatbudžetā ieskaitīto valsts nodevas maksājumu apjomu.</w:t>
            </w:r>
          </w:p>
          <w:p w14:paraId="6A6F7830" w14:textId="1D4A0706" w:rsidR="00780010" w:rsidRPr="001D7630" w:rsidRDefault="00780010" w:rsidP="00780010">
            <w:pPr>
              <w:ind w:firstLine="567"/>
              <w:jc w:val="both"/>
            </w:pPr>
            <w:r w:rsidRPr="001D7630">
              <w:t xml:space="preserve">Papildus vēršam uzmanību, ka gan Administratīvās atbildības likums (attiecībā uz naudas sodiem), gan likums “Par nodokļiem un nodevām” (attiecībā uz valsts nodevām) nosaka, ka  pārmaksāto vai nepareizi iemaksāto summu atmaksu veic Valsts ieņēmumu dienests. </w:t>
            </w:r>
            <w:bookmarkEnd w:id="22"/>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5162A945" w14:textId="63036062"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61CA530B" w14:textId="4AEA95CA" w:rsidR="00780010" w:rsidRPr="001D7630" w:rsidRDefault="00780010" w:rsidP="00780010">
            <w:pPr>
              <w:pStyle w:val="ListParagraph"/>
              <w:spacing w:after="0" w:line="240" w:lineRule="auto"/>
              <w:ind w:left="0"/>
              <w:contextualSpacing w:val="0"/>
            </w:pPr>
            <w:r w:rsidRPr="001D7630">
              <w:rPr>
                <w:rFonts w:ascii="Times New Roman" w:hAnsi="Times New Roman"/>
                <w:sz w:val="24"/>
                <w:szCs w:val="24"/>
                <w:lang w:eastAsia="lv-LV"/>
              </w:rPr>
              <w:t>Likumprojekta 15.pants ir precizēts</w:t>
            </w:r>
          </w:p>
          <w:p w14:paraId="5104A21E" w14:textId="65B8BE37" w:rsidR="00780010" w:rsidRPr="001D7630" w:rsidRDefault="00780010" w:rsidP="00780010">
            <w:pPr>
              <w:jc w:val="both"/>
            </w:pPr>
          </w:p>
        </w:tc>
      </w:tr>
      <w:tr w:rsidR="00780010" w:rsidRPr="001D7630" w14:paraId="59042475"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2C181476"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32D5BF12"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009983A9" w14:textId="77777777" w:rsidR="00780010" w:rsidRPr="001D7630" w:rsidRDefault="00780010" w:rsidP="00780010">
            <w:pPr>
              <w:autoSpaceDE w:val="0"/>
              <w:autoSpaceDN w:val="0"/>
              <w:adjustRightInd w:val="0"/>
              <w:jc w:val="center"/>
              <w:rPr>
                <w:b/>
                <w:bCs/>
              </w:rPr>
            </w:pPr>
            <w:r w:rsidRPr="001D7630">
              <w:rPr>
                <w:b/>
                <w:bCs/>
              </w:rPr>
              <w:t>Finanšu ministrija</w:t>
            </w:r>
          </w:p>
          <w:p w14:paraId="1C5C89CB" w14:textId="77777777" w:rsidR="00780010" w:rsidRPr="001D7630" w:rsidRDefault="00780010" w:rsidP="00780010">
            <w:pPr>
              <w:autoSpaceDE w:val="0"/>
              <w:autoSpaceDN w:val="0"/>
              <w:adjustRightInd w:val="0"/>
              <w:jc w:val="center"/>
              <w:rPr>
                <w:b/>
                <w:bCs/>
              </w:rPr>
            </w:pPr>
            <w:r w:rsidRPr="001D7630">
              <w:rPr>
                <w:b/>
                <w:bCs/>
              </w:rPr>
              <w:lastRenderedPageBreak/>
              <w:t>(16.06.2021. atzinums)</w:t>
            </w:r>
          </w:p>
          <w:p w14:paraId="4D0FE4F6" w14:textId="3E00BB84" w:rsidR="00780010" w:rsidRPr="001D7630" w:rsidRDefault="00780010" w:rsidP="00780010">
            <w:pPr>
              <w:jc w:val="both"/>
            </w:pPr>
            <w:r w:rsidRPr="001D7630">
              <w:t>3. Nepieciešams svītrot likumprojekta 15. panta trešo daļu, atbilstoši precizējot turpmāko numerāciju, jo budžeta plānošanas un izpildes kārtību regulē citi tiesību akti (piemēram, ja Ministru kabineta noteiktās iestādes, kas īsteno valsts atbalsta programmas likumprojekta 15. panta otrajā daļā minētajās jomās, ir Ekonomikas ministrijas pakļautībā, tās nodala resursus atsevišķā finansēšanas plānā atbilstoši normatīvajiem aktiem asignējumu piešķiršanas un izpildes jomā, ja iestādes ir citas ministrijas pakļautībā, Ekonomikas ministrija sākotnēji veic apropriācijas izmaiņas starp ministrijām transfertu veikšanai gadskārtējā valsts budžeta izpildes procesā saskaņā ar kārtību, kādā veic gadskārtējā valsts budžeta likumā noteiktās apropriācijas izmaiņas, un pēc tam veic transferta pārskaitījumu).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5CF9FE2" w14:textId="4A3A30DD"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39359E3C" w14:textId="585A4259"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15.panta 3.daļa ir svītrota</w:t>
            </w:r>
          </w:p>
        </w:tc>
      </w:tr>
      <w:tr w:rsidR="00780010" w:rsidRPr="001D7630" w14:paraId="35D042B3"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112C8C00"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7503940B"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72027779" w14:textId="77777777" w:rsidR="00780010" w:rsidRPr="001D7630" w:rsidRDefault="00780010" w:rsidP="00780010">
            <w:pPr>
              <w:autoSpaceDE w:val="0"/>
              <w:autoSpaceDN w:val="0"/>
              <w:adjustRightInd w:val="0"/>
              <w:jc w:val="center"/>
              <w:rPr>
                <w:b/>
                <w:bCs/>
              </w:rPr>
            </w:pPr>
            <w:r w:rsidRPr="001D7630">
              <w:rPr>
                <w:b/>
                <w:bCs/>
              </w:rPr>
              <w:t>Tieslietu ministrija</w:t>
            </w:r>
          </w:p>
          <w:p w14:paraId="2CC72C1E" w14:textId="77777777" w:rsidR="00780010" w:rsidRPr="001D7630" w:rsidRDefault="00780010" w:rsidP="00780010">
            <w:pPr>
              <w:autoSpaceDE w:val="0"/>
              <w:autoSpaceDN w:val="0"/>
              <w:adjustRightInd w:val="0"/>
              <w:jc w:val="center"/>
              <w:rPr>
                <w:b/>
                <w:bCs/>
              </w:rPr>
            </w:pPr>
            <w:r w:rsidRPr="001D7630">
              <w:rPr>
                <w:b/>
                <w:bCs/>
              </w:rPr>
              <w:t>(16.06.2021. atzinums)</w:t>
            </w:r>
          </w:p>
          <w:p w14:paraId="349F01C7" w14:textId="77777777" w:rsidR="00780010" w:rsidRPr="001D7630" w:rsidRDefault="00780010" w:rsidP="00780010">
            <w:pPr>
              <w:jc w:val="both"/>
            </w:pPr>
            <w:r w:rsidRPr="001D7630">
              <w:t xml:space="preserve">4. Ņemot vērā projekta 15. pantā ietverto regulējumu, lūdzam izvērtēt, vai šis pants nav papildināms ar regulējumu par to, ka gadījumā, ja tiek īstenotas atbalsta programmas, iestāde pieņem lēmumu piešķirt atbalstu vai atteikt atbalsta piešķiršanu, kā arī papildināt šā panta ceturto daļu ar pilnvarojumu noteikt šādu </w:t>
            </w:r>
            <w:r w:rsidRPr="001D7630">
              <w:lastRenderedPageBreak/>
              <w:t>lēmumu pieņemšanas kārtību. Tāpat lūdzam vērtēt, vai projekta 15.panta ceturtajā daļā nepieciešams pilnvarojums noteikt “komercdarbības atbalsta nosacījumus komercdarbības atbalsta kontroles regulējuma ievērošanai”, ņemot vērā 13.05.2021. grozījumus Komercdarbības atbalsta kontroles likumā, kas aktualizē tiesisko regulējumu komercdarbības atbalsta kontroles jomā.</w:t>
            </w:r>
          </w:p>
          <w:p w14:paraId="2553651B" w14:textId="2EF2CA53" w:rsidR="00780010" w:rsidRPr="001D7630" w:rsidRDefault="00780010" w:rsidP="00780010">
            <w:pPr>
              <w:jc w:val="both"/>
            </w:pPr>
            <w:r w:rsidRPr="001D7630">
              <w:t>Tāpat vēršam uzmanību, ka 15.panta ceturtajā daļā atkārtotie vārdi “šī panta otrajā daļā minētajās jomās”, kā arī atkārtotais vārds “nosakot” ir lieki.</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0B5A8112" w14:textId="4E63782F"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2A165539" w14:textId="7E0207D1"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15.pants ir precizēts</w:t>
            </w:r>
          </w:p>
        </w:tc>
      </w:tr>
      <w:tr w:rsidR="00780010" w:rsidRPr="001D7630" w14:paraId="033977AF" w14:textId="77777777" w:rsidTr="005D0902">
        <w:trPr>
          <w:jc w:val="center"/>
        </w:trPr>
        <w:tc>
          <w:tcPr>
            <w:tcW w:w="14992" w:type="dxa"/>
            <w:gridSpan w:val="5"/>
            <w:tcBorders>
              <w:top w:val="single" w:sz="6" w:space="0" w:color="000000"/>
              <w:left w:val="single" w:sz="6" w:space="0" w:color="000000"/>
              <w:bottom w:val="single" w:sz="6" w:space="0" w:color="000000"/>
            </w:tcBorders>
            <w:shd w:val="clear" w:color="auto" w:fill="auto"/>
          </w:tcPr>
          <w:p w14:paraId="382F2209" w14:textId="77777777" w:rsidR="00780010" w:rsidRPr="001D7630" w:rsidRDefault="00780010" w:rsidP="00780010">
            <w:pPr>
              <w:pStyle w:val="ListParagraph"/>
              <w:spacing w:after="0" w:line="240" w:lineRule="auto"/>
              <w:ind w:left="0"/>
              <w:contextualSpacing w:val="0"/>
              <w:jc w:val="center"/>
              <w:rPr>
                <w:rFonts w:ascii="Times New Roman" w:hAnsi="Times New Roman"/>
                <w:b/>
                <w:bCs/>
                <w:sz w:val="24"/>
                <w:szCs w:val="24"/>
                <w:lang w:eastAsia="lv-LV"/>
              </w:rPr>
            </w:pPr>
            <w:r w:rsidRPr="001D7630">
              <w:rPr>
                <w:rFonts w:ascii="Times New Roman" w:hAnsi="Times New Roman"/>
                <w:b/>
                <w:bCs/>
                <w:sz w:val="24"/>
                <w:szCs w:val="24"/>
                <w:lang w:eastAsia="lv-LV"/>
              </w:rPr>
              <w:t>PĀREJAS NOTEIKUMI</w:t>
            </w:r>
          </w:p>
        </w:tc>
      </w:tr>
      <w:tr w:rsidR="00780010" w:rsidRPr="001D7630" w14:paraId="327B4BE3"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EB121D5"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7C6BB721"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4B5D5A29" w14:textId="77777777" w:rsidR="00780010" w:rsidRPr="001D7630" w:rsidRDefault="00780010" w:rsidP="00780010">
            <w:pPr>
              <w:autoSpaceDE w:val="0"/>
              <w:autoSpaceDN w:val="0"/>
              <w:adjustRightInd w:val="0"/>
              <w:jc w:val="center"/>
              <w:rPr>
                <w:b/>
                <w:bCs/>
              </w:rPr>
            </w:pPr>
            <w:r w:rsidRPr="001D7630">
              <w:rPr>
                <w:b/>
                <w:bCs/>
              </w:rPr>
              <w:t>Finanšu nozares asociācija</w:t>
            </w:r>
          </w:p>
          <w:p w14:paraId="5758A365" w14:textId="77777777" w:rsidR="00780010" w:rsidRPr="001D7630" w:rsidRDefault="00780010" w:rsidP="00780010">
            <w:pPr>
              <w:autoSpaceDE w:val="0"/>
              <w:autoSpaceDN w:val="0"/>
              <w:adjustRightInd w:val="0"/>
              <w:jc w:val="center"/>
              <w:rPr>
                <w:b/>
                <w:bCs/>
              </w:rPr>
            </w:pPr>
            <w:r w:rsidRPr="001D7630">
              <w:rPr>
                <w:b/>
                <w:bCs/>
              </w:rPr>
              <w:t>(18.01.2021. atzinums)</w:t>
            </w:r>
          </w:p>
          <w:p w14:paraId="7E8144FC" w14:textId="77777777" w:rsidR="00780010" w:rsidRPr="001D7630" w:rsidRDefault="00780010" w:rsidP="00780010">
            <w:pPr>
              <w:jc w:val="both"/>
            </w:pPr>
            <w:r w:rsidRPr="001D7630">
              <w:t xml:space="preserve">5. Likumprojekta nodaļas ”Pārejas noteikumi” 5.punkts paredz, ka “Ministru kabinets līdz 2022. gada 31. decembrim nosaka kritērijus finansiāla atbalsta saņemšanai mazemisiju transportlīdzekļu (tai skaitā velo transportlīdzekļu un maza ātruma bezemisiju transportlīdzekļu) iegādei”, kas ir pārāk ilgs laiks finansiālā atbalsta izveidošanai, ņemot vērā, ka publiski pieejama ir informācija par atbalsta pieejamību citās valstīs. Nepieciešams skaidrojums, kam finansiālais atbalsts tiek plānots (juridiskām personām vai privātpersonām), attiecīgi lūgums sniegt papildu skaidrojumu anotācijā. </w:t>
            </w:r>
            <w:r w:rsidRPr="001D7630">
              <w:lastRenderedPageBreak/>
              <w:t>Finansiālā atbalsta saņemšana ir cieši saistīta ar veco transporta līdzekļu utilizācijas jautājumu un kompensāciju iespējām, kas arī būtu jāapraksta anotācijā, apzinot vismaz pārējo Baltijas valstu pieredzi un praksi, kā arī skaidrojot valsts pozīciju šajā jautājumā.</w:t>
            </w:r>
          </w:p>
          <w:p w14:paraId="40407BF2" w14:textId="77777777" w:rsidR="00780010" w:rsidRPr="001D7630" w:rsidRDefault="00780010" w:rsidP="00780010">
            <w:pPr>
              <w:autoSpaceDE w:val="0"/>
              <w:autoSpaceDN w:val="0"/>
              <w:adjustRightInd w:val="0"/>
              <w:rPr>
                <w:b/>
                <w:bCs/>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04DFCB42" w14:textId="77777777" w:rsidR="00780010" w:rsidRPr="001D7630" w:rsidRDefault="00780010" w:rsidP="00780010">
            <w:pPr>
              <w:jc w:val="center"/>
              <w:rPr>
                <w:b/>
                <w:bCs/>
                <w:iCs/>
              </w:rPr>
            </w:pPr>
            <w:r w:rsidRPr="001D7630">
              <w:rPr>
                <w:b/>
                <w:bCs/>
                <w:iCs/>
              </w:rPr>
              <w:lastRenderedPageBreak/>
              <w:t>Ņemts vērā</w:t>
            </w:r>
          </w:p>
          <w:p w14:paraId="18855C60" w14:textId="77777777" w:rsidR="00780010" w:rsidRPr="001D7630" w:rsidRDefault="00780010" w:rsidP="00780010">
            <w:pPr>
              <w:pStyle w:val="naisc"/>
              <w:spacing w:before="0" w:after="0"/>
              <w:jc w:val="left"/>
              <w:rPr>
                <w:b/>
                <w:bCs/>
                <w:iCs/>
              </w:rPr>
            </w:pPr>
            <w:r w:rsidRPr="001D7630">
              <w:t xml:space="preserve">4. atbalsta programmu nosacījumi ir noteikti Latvijas Nacionālajā enerģētikas un klimata plānā 2021.-2030.gadam – tā 4.pielikuma 5.2.punktā. Norādām, ka minētais finansiālais atbalsts nav pieejams ES daudzgadu budžeta finansējuma ietvaros, kā arī nav pieteikts Atveseļošanās un Noturības mehānisma ietvaros un vienīgā iespēja šāda finansiāla atbalsta sniegšanai būtu izmantot valsts budžeta ieņēmumus no emisijas kvotu </w:t>
            </w:r>
            <w:r w:rsidRPr="001D7630">
              <w:lastRenderedPageBreak/>
              <w:t>izsolēm. Ņemot vērā to, ka šobrīd vēl nav apstiprināta emisijas kvotu izsolīšanas instrumenta darbības ilgtermiņa stratēģija un nav uzsākts izstrādāt Modernizācijas fonda daudzgadu programmu, uz kuru pamata varētu izstrādāt Ministru kabineta noteikumus, kas noteikti likumprojekta pārejas noteikumu 5.punktā, tad tajā noteiktais termiņš ir pietiekami adekvāts.</w:t>
            </w:r>
          </w:p>
        </w:tc>
        <w:tc>
          <w:tcPr>
            <w:tcW w:w="4291" w:type="dxa"/>
            <w:tcBorders>
              <w:top w:val="single" w:sz="4" w:space="0" w:color="auto"/>
              <w:left w:val="single" w:sz="4" w:space="0" w:color="auto"/>
              <w:bottom w:val="single" w:sz="4" w:space="0" w:color="auto"/>
            </w:tcBorders>
            <w:shd w:val="clear" w:color="auto" w:fill="auto"/>
          </w:tcPr>
          <w:p w14:paraId="4F358798" w14:textId="77777777" w:rsidR="00780010" w:rsidRPr="001D7630" w:rsidRDefault="00780010" w:rsidP="00780010">
            <w:pPr>
              <w:ind w:right="80"/>
              <w:jc w:val="both"/>
            </w:pPr>
            <w:r w:rsidRPr="001D7630">
              <w:lastRenderedPageBreak/>
              <w:t>Likumprojekta anotācijas I sadaļas 2.punkta sadaļa “</w:t>
            </w:r>
            <w:r w:rsidRPr="001D7630">
              <w:rPr>
                <w:u w:val="single"/>
              </w:rPr>
              <w:t>Pārejas noteikumi</w:t>
            </w:r>
            <w:r w:rsidRPr="001D7630">
              <w:t>” ir papildināta.</w:t>
            </w:r>
          </w:p>
          <w:p w14:paraId="539FBF50"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r>
      <w:tr w:rsidR="00780010" w:rsidRPr="001D7630" w14:paraId="16DD59EC"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A962732"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7D6A9296"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3CA719BC" w14:textId="77777777" w:rsidR="00780010" w:rsidRPr="001D7630" w:rsidRDefault="00780010" w:rsidP="00780010">
            <w:pPr>
              <w:autoSpaceDE w:val="0"/>
              <w:autoSpaceDN w:val="0"/>
              <w:adjustRightInd w:val="0"/>
              <w:jc w:val="center"/>
              <w:rPr>
                <w:b/>
                <w:bCs/>
              </w:rPr>
            </w:pPr>
            <w:r w:rsidRPr="001D7630">
              <w:rPr>
                <w:b/>
                <w:bCs/>
              </w:rPr>
              <w:t>Valsts vides dienests</w:t>
            </w:r>
          </w:p>
          <w:p w14:paraId="6D660B27" w14:textId="77777777" w:rsidR="00780010" w:rsidRPr="001D7630" w:rsidRDefault="00780010" w:rsidP="00780010">
            <w:pPr>
              <w:autoSpaceDE w:val="0"/>
              <w:autoSpaceDN w:val="0"/>
              <w:adjustRightInd w:val="0"/>
              <w:jc w:val="center"/>
              <w:rPr>
                <w:b/>
                <w:bCs/>
              </w:rPr>
            </w:pPr>
            <w:r w:rsidRPr="001D7630">
              <w:rPr>
                <w:b/>
                <w:bCs/>
              </w:rPr>
              <w:t>(15.06.2021. atzinums)</w:t>
            </w:r>
          </w:p>
          <w:p w14:paraId="7C867422" w14:textId="2892388D" w:rsidR="00780010" w:rsidRPr="001D7630" w:rsidRDefault="00780010" w:rsidP="00780010">
            <w:pPr>
              <w:pStyle w:val="NormalWeb"/>
              <w:spacing w:before="0" w:beforeAutospacing="0" w:after="0" w:afterAutospacing="0"/>
            </w:pPr>
            <w:r w:rsidRPr="001D7630">
              <w:t>VVD ir izskatījis ziņojumu un norāda, ka Pārejas noteikumu 6. punktā (24.lpp.)  ir norādīts VVD kā kompetentā iestāde likuma “Par piesārņojumu” 55. panta ceturtajā daļā minēto datu sniegšanas izpildē, kas nav korekti, jo VVD savus pienākumus attiecībā uz Likuma “Par piesārņojumu” 55. panta izbeidz 2021. gada beigās.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4D222F11" w14:textId="25F10CFC"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shd w:val="clear" w:color="auto" w:fill="auto"/>
          </w:tcPr>
          <w:p w14:paraId="33747C9D" w14:textId="35E4E0D6" w:rsidR="00780010" w:rsidRPr="001D7630" w:rsidRDefault="00780010" w:rsidP="00780010">
            <w:pPr>
              <w:ind w:right="80"/>
              <w:jc w:val="both"/>
            </w:pPr>
            <w:r w:rsidRPr="001D7630">
              <w:t>Pārejas noteikumu 6.punkts ir precizēts</w:t>
            </w:r>
          </w:p>
        </w:tc>
      </w:tr>
      <w:tr w:rsidR="00780010" w:rsidRPr="001D7630" w14:paraId="3DE47346"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2231D310"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6C7AC7DB"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7B696979" w14:textId="77777777" w:rsidR="00780010" w:rsidRPr="001D7630" w:rsidRDefault="00780010" w:rsidP="00780010">
            <w:pPr>
              <w:autoSpaceDE w:val="0"/>
              <w:autoSpaceDN w:val="0"/>
              <w:adjustRightInd w:val="0"/>
              <w:jc w:val="center"/>
              <w:rPr>
                <w:b/>
                <w:bCs/>
              </w:rPr>
            </w:pPr>
            <w:r w:rsidRPr="001D7630">
              <w:rPr>
                <w:b/>
                <w:bCs/>
              </w:rPr>
              <w:t>Būvniecības valsts kontroles birojs</w:t>
            </w:r>
          </w:p>
          <w:p w14:paraId="61A3337A" w14:textId="654B0EB5" w:rsidR="00780010" w:rsidRPr="001D7630" w:rsidRDefault="00780010" w:rsidP="00780010">
            <w:pPr>
              <w:autoSpaceDE w:val="0"/>
              <w:autoSpaceDN w:val="0"/>
              <w:adjustRightInd w:val="0"/>
              <w:jc w:val="center"/>
              <w:rPr>
                <w:b/>
                <w:bCs/>
              </w:rPr>
            </w:pPr>
            <w:r w:rsidRPr="001D7630">
              <w:rPr>
                <w:b/>
                <w:bCs/>
              </w:rPr>
              <w:t>(16.06.2021.)</w:t>
            </w:r>
          </w:p>
          <w:p w14:paraId="3D51FB7E" w14:textId="0B801E48" w:rsidR="00780010" w:rsidRPr="001D7630" w:rsidRDefault="00780010" w:rsidP="00780010">
            <w:pPr>
              <w:jc w:val="both"/>
            </w:pPr>
            <w:r w:rsidRPr="001D7630">
              <w:t xml:space="preserve">[8] </w:t>
            </w:r>
            <w:r w:rsidRPr="001D7630">
              <w:rPr>
                <w:i/>
                <w:iCs/>
              </w:rPr>
              <w:t>Likumprojekta Pārejas noteikumu 7.punktā</w:t>
            </w:r>
            <w:r w:rsidRPr="001D7630">
              <w:t xml:space="preserve"> ir noteikts, ka degvielas piegādātāji ziņojumus iesniegs elektroniska dokumenta formā Ministru kabineta noteiktās institūcijas tīmekļa </w:t>
            </w:r>
            <w:r w:rsidRPr="001D7630">
              <w:lastRenderedPageBreak/>
              <w:t xml:space="preserve">vietnē pieejamajiem ziņojuma veidlapas paraugiem. Attiecīgi Birojs lūdz informēt, </w:t>
            </w:r>
            <w:r w:rsidRPr="001D7630">
              <w:rPr>
                <w:u w:val="single"/>
              </w:rPr>
              <w:t>vai</w:t>
            </w:r>
            <w:r w:rsidRPr="001D7630">
              <w:t xml:space="preserve"> minētie </w:t>
            </w:r>
            <w:r w:rsidRPr="001D7630">
              <w:rPr>
                <w:u w:val="single"/>
              </w:rPr>
              <w:t>ziņojuma veidlapas paraugi tiks pieņemti ar Ministru kabineta noteikumiem</w:t>
            </w:r>
            <w:r w:rsidRPr="001D7630">
              <w:t>.</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015AB63B" w14:textId="1630DE91" w:rsidR="00780010" w:rsidRPr="001D7630" w:rsidRDefault="00780010" w:rsidP="00780010">
            <w:pPr>
              <w:jc w:val="center"/>
              <w:rPr>
                <w:b/>
                <w:bCs/>
                <w:iCs/>
              </w:rPr>
            </w:pPr>
            <w:r w:rsidRPr="001D7630">
              <w:rPr>
                <w:b/>
                <w:bCs/>
                <w:iCs/>
              </w:rPr>
              <w:lastRenderedPageBreak/>
              <w:t>Ņemts vērā</w:t>
            </w:r>
          </w:p>
          <w:p w14:paraId="45F307BC" w14:textId="5931399F" w:rsidR="00780010" w:rsidRPr="001D7630" w:rsidRDefault="00780010" w:rsidP="00780010">
            <w:pPr>
              <w:rPr>
                <w:iCs/>
              </w:rPr>
            </w:pPr>
            <w:r w:rsidRPr="001D7630">
              <w:rPr>
                <w:iCs/>
              </w:rPr>
              <w:t xml:space="preserve">Degvielas piegādātāju ziņojumi par transporta enerģijas aprites cikla SEG emisiju intensitātes samazināšanu ir pieejami Valsts vides dienesta tīmekļa </w:t>
            </w:r>
            <w:r w:rsidRPr="001D7630">
              <w:rPr>
                <w:iCs/>
              </w:rPr>
              <w:lastRenderedPageBreak/>
              <w:t>vietnē un tur būs pieejami 2021.gada ziņojumu sagatavošanai. Tāpat veidlapa tiks publicēta EM tīmekļa vietnē.</w:t>
            </w:r>
          </w:p>
          <w:p w14:paraId="0D29F003" w14:textId="748A9B44" w:rsidR="00780010" w:rsidRPr="001D7630" w:rsidRDefault="00780010" w:rsidP="00780010">
            <w:pPr>
              <w:rPr>
                <w:b/>
                <w:bCs/>
                <w:iCs/>
              </w:rPr>
            </w:pPr>
            <w:r w:rsidRPr="001D7630">
              <w:rPr>
                <w:iCs/>
              </w:rPr>
              <w:t>Veidlapa ir apstiprināta ar MKN Nr.597 (25.09.2018.)</w:t>
            </w:r>
          </w:p>
        </w:tc>
        <w:tc>
          <w:tcPr>
            <w:tcW w:w="4291" w:type="dxa"/>
            <w:tcBorders>
              <w:top w:val="single" w:sz="4" w:space="0" w:color="auto"/>
              <w:left w:val="single" w:sz="4" w:space="0" w:color="auto"/>
              <w:bottom w:val="single" w:sz="4" w:space="0" w:color="auto"/>
            </w:tcBorders>
            <w:shd w:val="clear" w:color="auto" w:fill="auto"/>
          </w:tcPr>
          <w:p w14:paraId="1CE95166" w14:textId="6419A367" w:rsidR="00780010" w:rsidRPr="001D7630" w:rsidRDefault="00780010" w:rsidP="00780010">
            <w:pPr>
              <w:ind w:right="80"/>
              <w:jc w:val="both"/>
            </w:pPr>
            <w:r w:rsidRPr="001D7630">
              <w:lastRenderedPageBreak/>
              <w:t>Pārejas noteikumu 7.punkts ir precizēts.</w:t>
            </w:r>
          </w:p>
        </w:tc>
      </w:tr>
      <w:tr w:rsidR="00780010" w:rsidRPr="001D7630" w14:paraId="34B1DDBB"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67F9ED37"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7A0E3F5A"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5DAE4F99" w14:textId="77777777" w:rsidR="00780010" w:rsidRPr="001D7630" w:rsidRDefault="00780010" w:rsidP="00780010">
            <w:pPr>
              <w:autoSpaceDE w:val="0"/>
              <w:autoSpaceDN w:val="0"/>
              <w:adjustRightInd w:val="0"/>
              <w:jc w:val="center"/>
              <w:rPr>
                <w:b/>
                <w:bCs/>
              </w:rPr>
            </w:pPr>
            <w:r w:rsidRPr="001D7630">
              <w:rPr>
                <w:b/>
                <w:bCs/>
              </w:rPr>
              <w:t>Tieslietu ministrija</w:t>
            </w:r>
          </w:p>
          <w:p w14:paraId="47AD63FB" w14:textId="77777777" w:rsidR="00780010" w:rsidRPr="001D7630" w:rsidRDefault="00780010" w:rsidP="00780010">
            <w:pPr>
              <w:autoSpaceDE w:val="0"/>
              <w:autoSpaceDN w:val="0"/>
              <w:adjustRightInd w:val="0"/>
              <w:jc w:val="center"/>
              <w:rPr>
                <w:b/>
                <w:bCs/>
              </w:rPr>
            </w:pPr>
            <w:r w:rsidRPr="001D7630">
              <w:rPr>
                <w:b/>
                <w:bCs/>
              </w:rPr>
              <w:t>(16.06.2021. atzinums)</w:t>
            </w:r>
          </w:p>
          <w:p w14:paraId="04881C49" w14:textId="5416FDCD" w:rsidR="00780010" w:rsidRPr="001D7630" w:rsidRDefault="00780010" w:rsidP="00780010">
            <w:pPr>
              <w:jc w:val="both"/>
              <w:rPr>
                <w:lang w:eastAsia="en-US"/>
              </w:rPr>
            </w:pPr>
            <w:r w:rsidRPr="001D7630">
              <w:t xml:space="preserve">5. Attiecībā uz projekta Pārejas noteikumu 6.punktu vēršam uzmanību, ka nav laba prakse viena likuma (likuma “Par piesārņojumu”) pārejas normas iekļaut cita likuma (projekta) pārejas noteikumos. Līdz ar to lūdzam apsvērt iespēju šāda satura regulējumu vai nu iekļaut likumā “Par piesārņojumu”, vai arī </w:t>
            </w:r>
            <w:r w:rsidRPr="001D7630">
              <w:rPr>
                <w:u w:val="single"/>
              </w:rPr>
              <w:t>projektā</w:t>
            </w:r>
            <w:r w:rsidRPr="001D7630">
              <w:t xml:space="preserve"> paredzēt speciālu pārejas regulējumu par ziņojumu iesniegšanu par 2021.gada rezultātiem un attiecīga lēmuma pieņemšanu (bez atsaucēm uz likumu “Par piesārņojumu”). Vēršam uzmanību arī uz to, ka projekta pārejas noteikumu 6. punkta izpilde varētu būt apgrūtināta, ņemot vērā, ka no 2022.gada 1.janvāra spēku zaudē arī likuma “Par piesārņojumu” 55.panta ceturtā daļa, kas paredz degvielas piegādātāja vai degvielas piegādātāju grupas pienākumu katru gadu līdz 15. maijam sniegt Valsts vides dienestam ziņojumu par SEG samazinājuma mērķa izpildi, līdz ar to personām no 2022.gada 1.janvāra vairs </w:t>
            </w:r>
            <w:r w:rsidRPr="001D7630">
              <w:lastRenderedPageBreak/>
              <w:t xml:space="preserve">nebūs pienākuma iesniegt ziņas par SEG samazinājumu </w:t>
            </w:r>
            <w:r w:rsidRPr="001D7630">
              <w:rPr>
                <w:u w:val="single"/>
              </w:rPr>
              <w:t>2021.gadā</w:t>
            </w:r>
            <w:r w:rsidRPr="001D7630">
              <w:t xml:space="preserve"> </w:t>
            </w:r>
            <w:r w:rsidRPr="001D7630">
              <w:rPr>
                <w:u w:val="single"/>
              </w:rPr>
              <w:t>saskaņā ar likumu “Par piesārņojumu”.</w:t>
            </w:r>
            <w:r w:rsidRPr="001D7630">
              <w:t xml:space="preserve"> Turklāt norādām, ka no Pārejas noteikumu 6. un 7.punkta kopsakarā nav viennozīmīgi skaidrs, vai plānots noteikt personu pienākumu sniegt ziņas saskaņā ar projekta 11.pantu, vai saskaņā ar likuma “Par piesārņojumu” 55.pantu, vai abējādi.</w:t>
            </w:r>
          </w:p>
          <w:p w14:paraId="0FA160E0" w14:textId="546A6AB2" w:rsidR="00780010" w:rsidRPr="001D7630" w:rsidRDefault="00780010" w:rsidP="00780010">
            <w:pPr>
              <w:pStyle w:val="ListParagraph"/>
              <w:spacing w:after="0" w:line="240" w:lineRule="auto"/>
              <w:ind w:left="0" w:firstLine="360"/>
              <w:contextualSpacing w:val="0"/>
              <w:jc w:val="both"/>
              <w:rPr>
                <w:rFonts w:ascii="Times New Roman" w:hAnsi="Times New Roman"/>
                <w:sz w:val="24"/>
                <w:szCs w:val="24"/>
              </w:rPr>
            </w:pPr>
            <w:r w:rsidRPr="001D7630">
              <w:rPr>
                <w:rFonts w:ascii="Times New Roman" w:hAnsi="Times New Roman"/>
                <w:sz w:val="24"/>
                <w:szCs w:val="24"/>
                <w:lang w:eastAsia="lv-LV"/>
              </w:rPr>
              <w:t>Tieslietu ministrijas ieskatā Pārejas noteikumu 6.punkts (un, iespējams, 7.punkts) būtu precizējams, nosakot, ka 2022.</w:t>
            </w:r>
            <w:r w:rsidRPr="001D7630">
              <w:rPr>
                <w:sz w:val="24"/>
                <w:szCs w:val="24"/>
              </w:rPr>
              <w:t> </w:t>
            </w:r>
            <w:r w:rsidRPr="001D7630">
              <w:rPr>
                <w:rFonts w:ascii="Times New Roman" w:hAnsi="Times New Roman"/>
                <w:sz w:val="24"/>
                <w:szCs w:val="24"/>
                <w:lang w:eastAsia="lv-LV"/>
              </w:rPr>
              <w:t>gadā piemērojama īpaša (no projekta 11.pantā noteiktās kārtības atšķirīga, bet atbilstoša pašreizējam likuma “Par piesārņojumu” 55.pantam) ziņošanas kārtība, kā arī, atbilstoša lēmuma pieņemšanas kārtība.</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9B2AD03" w14:textId="6EF59C31" w:rsidR="00780010" w:rsidRPr="001D7630" w:rsidRDefault="00780010" w:rsidP="00780010">
            <w:pPr>
              <w:jc w:val="center"/>
              <w:rPr>
                <w:b/>
                <w:bCs/>
                <w:iCs/>
              </w:rPr>
            </w:pPr>
            <w:r w:rsidRPr="001D7630">
              <w:rPr>
                <w:b/>
                <w:bCs/>
                <w:iCs/>
              </w:rPr>
              <w:lastRenderedPageBreak/>
              <w:t>Ņemts vērā</w:t>
            </w:r>
          </w:p>
          <w:p w14:paraId="61256D98" w14:textId="77777777" w:rsidR="00780010" w:rsidRPr="001D7630" w:rsidRDefault="00780010" w:rsidP="00780010">
            <w:pPr>
              <w:rPr>
                <w:iCs/>
              </w:rPr>
            </w:pPr>
            <w:r w:rsidRPr="001D7630">
              <w:rPr>
                <w:iCs/>
              </w:rPr>
              <w:t>Norādām, ka likumprojekta 6. un 7.punktā ir minēts “vispārīgais ziņojums”, kura saīsinājums ir noteikts likumprojekta 11.panta 1.daļā. tātad ir skaidrs, ka likumprojekta 6. un 7.punktā ir minēts likumprojekta 11.panta 1.daļā minētais vispārīgais ziņojumu, kuru sākot ar 2022.gada 15.maiju ir jāiesniedz BVKB.</w:t>
            </w:r>
          </w:p>
          <w:p w14:paraId="178664C1" w14:textId="77777777" w:rsidR="00780010" w:rsidRPr="001D7630" w:rsidRDefault="00780010" w:rsidP="00780010">
            <w:pPr>
              <w:rPr>
                <w:iCs/>
              </w:rPr>
            </w:pPr>
            <w:r w:rsidRPr="001D7630">
              <w:rPr>
                <w:iCs/>
              </w:rPr>
              <w:t>Vienlaikus likumprojekta Pārejas noteikumu 7.punktā ir precizēts ziņojuma tvērums.</w:t>
            </w:r>
          </w:p>
          <w:p w14:paraId="3D0E2A8C" w14:textId="5F10D161" w:rsidR="00780010" w:rsidRPr="001D7630" w:rsidRDefault="00780010" w:rsidP="00780010">
            <w:pPr>
              <w:rPr>
                <w:iCs/>
              </w:rPr>
            </w:pPr>
            <w:r w:rsidRPr="001D7630">
              <w:rPr>
                <w:iCs/>
              </w:rPr>
              <w:t>Tā kā likuma “Par piesārņojumu” 55.pants ar 2021.gada 31.decembri zaudē spēku, tad zaudē spēku arī nosacījumi, ka degvielas piegādātājam ir jāsniedz ziņojums VVD.</w:t>
            </w:r>
          </w:p>
        </w:tc>
        <w:tc>
          <w:tcPr>
            <w:tcW w:w="4291" w:type="dxa"/>
            <w:tcBorders>
              <w:top w:val="single" w:sz="4" w:space="0" w:color="auto"/>
              <w:left w:val="single" w:sz="4" w:space="0" w:color="auto"/>
              <w:bottom w:val="single" w:sz="4" w:space="0" w:color="auto"/>
            </w:tcBorders>
            <w:shd w:val="clear" w:color="auto" w:fill="auto"/>
          </w:tcPr>
          <w:p w14:paraId="63830709" w14:textId="30C6236D" w:rsidR="00780010" w:rsidRPr="001D7630" w:rsidRDefault="00780010" w:rsidP="00780010">
            <w:pPr>
              <w:ind w:right="80"/>
              <w:jc w:val="both"/>
            </w:pPr>
            <w:r w:rsidRPr="001D7630">
              <w:t>Likumprojekta Pārejas noteikumu 6.punkts ir precizēts</w:t>
            </w:r>
          </w:p>
        </w:tc>
      </w:tr>
      <w:tr w:rsidR="00780010" w:rsidRPr="001D7630" w14:paraId="0AB0D402" w14:textId="77777777" w:rsidTr="005D0902">
        <w:trPr>
          <w:jc w:val="center"/>
        </w:trPr>
        <w:tc>
          <w:tcPr>
            <w:tcW w:w="14992" w:type="dxa"/>
            <w:gridSpan w:val="5"/>
            <w:tcBorders>
              <w:top w:val="single" w:sz="6" w:space="0" w:color="000000"/>
              <w:left w:val="single" w:sz="6" w:space="0" w:color="000000"/>
              <w:bottom w:val="single" w:sz="6" w:space="0" w:color="000000"/>
            </w:tcBorders>
            <w:shd w:val="clear" w:color="auto" w:fill="auto"/>
          </w:tcPr>
          <w:p w14:paraId="3F1B058D" w14:textId="77777777" w:rsidR="00780010" w:rsidRPr="001D7630" w:rsidRDefault="00780010" w:rsidP="00780010">
            <w:pPr>
              <w:jc w:val="center"/>
              <w:rPr>
                <w:b/>
                <w:bCs/>
                <w:caps/>
              </w:rPr>
            </w:pPr>
            <w:r w:rsidRPr="001D7630">
              <w:rPr>
                <w:b/>
                <w:bCs/>
                <w:caps/>
              </w:rPr>
              <w:t>Informatīva atsauce uz Eiropas Savienības direktīvām</w:t>
            </w:r>
          </w:p>
        </w:tc>
      </w:tr>
      <w:tr w:rsidR="00780010" w:rsidRPr="001D7630" w14:paraId="5BFDC012"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3CC205C7"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7A646DD8"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79D6ED67" w14:textId="77777777" w:rsidR="00780010" w:rsidRPr="001D7630" w:rsidRDefault="00780010" w:rsidP="00780010">
            <w:pPr>
              <w:jc w:val="center"/>
              <w:rPr>
                <w:b/>
                <w:bCs/>
              </w:rPr>
            </w:pPr>
            <w:r w:rsidRPr="001D7630">
              <w:rPr>
                <w:b/>
                <w:bCs/>
              </w:rPr>
              <w:t>Tieslietu ministrija</w:t>
            </w:r>
          </w:p>
          <w:p w14:paraId="455E8506" w14:textId="77777777" w:rsidR="00780010" w:rsidRPr="001D7630" w:rsidRDefault="00780010" w:rsidP="00780010">
            <w:pPr>
              <w:jc w:val="center"/>
              <w:rPr>
                <w:b/>
                <w:bCs/>
              </w:rPr>
            </w:pPr>
            <w:r w:rsidRPr="001D7630">
              <w:rPr>
                <w:b/>
                <w:bCs/>
              </w:rPr>
              <w:t>(08.01.2021. atzinums)</w:t>
            </w:r>
          </w:p>
          <w:p w14:paraId="562213B7" w14:textId="77777777" w:rsidR="00780010" w:rsidRPr="001D7630" w:rsidRDefault="00780010" w:rsidP="00780010">
            <w:pPr>
              <w:widowControl w:val="0"/>
              <w:tabs>
                <w:tab w:val="left" w:pos="1134"/>
                <w:tab w:val="left" w:pos="1418"/>
              </w:tabs>
              <w:jc w:val="both"/>
            </w:pPr>
            <w:r w:rsidRPr="001D7630">
              <w:t xml:space="preserve">11. Lūdzam izvērtēt nepieciešamību papildināt projekta informatīvo atsauci uz Eiropas Savienības direktīvām ar </w:t>
            </w:r>
            <w:r w:rsidRPr="001D7630">
              <w:rPr>
                <w:i/>
              </w:rPr>
              <w:t>Eiropas Parlamenta un Padomes 1998. gada 13. oktobra Direktīva 98/70/EK, kas attiecas uz benzīna un dīzeļdegvielu kvalitāti un ar ko groza Padomes Direktīvu 93/12/EEK</w:t>
            </w:r>
            <w:r w:rsidRPr="001D7630">
              <w:t xml:space="preserve">. Tieslietu ministrija ņem vērā, ka Direktīvas 98 saturs lielā mērā grozīts ar šobrīd projekta informatīvajā atsaucē minētajām </w:t>
            </w:r>
            <w:r w:rsidRPr="001D7630">
              <w:lastRenderedPageBreak/>
              <w:t>direktīvām, tomēr saskaņā ar projekta anotācijas V sadaļā norādīto, projektā tiek pilnībā pārņemtas Direktīvas 98 tiesību normas.</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45B39D4"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6AC67EDC"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sadaļa “Informatīva atsauce uz Eiropas Savienības direktīvām” ir papildināta</w:t>
            </w:r>
          </w:p>
        </w:tc>
      </w:tr>
      <w:tr w:rsidR="00780010" w:rsidRPr="001D7630" w14:paraId="12761508" w14:textId="77777777" w:rsidTr="005D0902">
        <w:trPr>
          <w:jc w:val="center"/>
        </w:trPr>
        <w:tc>
          <w:tcPr>
            <w:tcW w:w="14992" w:type="dxa"/>
            <w:gridSpan w:val="5"/>
            <w:tcBorders>
              <w:top w:val="single" w:sz="6" w:space="0" w:color="000000"/>
              <w:left w:val="single" w:sz="6" w:space="0" w:color="000000"/>
              <w:bottom w:val="single" w:sz="6" w:space="0" w:color="000000"/>
            </w:tcBorders>
            <w:shd w:val="clear" w:color="auto" w:fill="auto"/>
          </w:tcPr>
          <w:p w14:paraId="30BE6003" w14:textId="77777777" w:rsidR="00780010" w:rsidRPr="001D7630" w:rsidRDefault="00780010" w:rsidP="00780010">
            <w:pPr>
              <w:pStyle w:val="ListParagraph"/>
              <w:spacing w:after="0" w:line="240" w:lineRule="auto"/>
              <w:ind w:left="0"/>
              <w:contextualSpacing w:val="0"/>
              <w:jc w:val="center"/>
              <w:rPr>
                <w:rFonts w:ascii="Times New Roman" w:hAnsi="Times New Roman"/>
                <w:b/>
                <w:bCs/>
                <w:sz w:val="24"/>
                <w:szCs w:val="24"/>
                <w:lang w:eastAsia="lv-LV"/>
              </w:rPr>
            </w:pPr>
            <w:r w:rsidRPr="001D7630">
              <w:rPr>
                <w:rFonts w:ascii="Times New Roman" w:hAnsi="Times New Roman"/>
                <w:b/>
                <w:bCs/>
                <w:sz w:val="24"/>
                <w:szCs w:val="24"/>
                <w:lang w:eastAsia="lv-LV"/>
              </w:rPr>
              <w:t>PIELIKUMS</w:t>
            </w:r>
          </w:p>
        </w:tc>
      </w:tr>
      <w:tr w:rsidR="00780010" w:rsidRPr="001D7630" w14:paraId="28E29D04"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57118163"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559D969E"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19A81B92" w14:textId="77777777" w:rsidR="00780010" w:rsidRPr="001D7630" w:rsidRDefault="00780010" w:rsidP="00780010">
            <w:pPr>
              <w:jc w:val="center"/>
              <w:rPr>
                <w:b/>
                <w:bCs/>
              </w:rPr>
            </w:pPr>
            <w:r w:rsidRPr="001D7630">
              <w:rPr>
                <w:b/>
                <w:bCs/>
              </w:rPr>
              <w:t>Vides aizsardzības un reģionālās attīstības ministrija</w:t>
            </w:r>
          </w:p>
          <w:p w14:paraId="6136604B" w14:textId="77777777" w:rsidR="00780010" w:rsidRPr="001D7630" w:rsidRDefault="00780010" w:rsidP="00780010">
            <w:pPr>
              <w:jc w:val="center"/>
              <w:rPr>
                <w:b/>
                <w:bCs/>
              </w:rPr>
            </w:pPr>
            <w:r w:rsidRPr="001D7630">
              <w:rPr>
                <w:b/>
                <w:bCs/>
              </w:rPr>
              <w:t>(08.01.2021. atzinums)</w:t>
            </w:r>
          </w:p>
          <w:p w14:paraId="7E18F62F" w14:textId="77777777" w:rsidR="00780010" w:rsidRPr="001D7630" w:rsidRDefault="00780010" w:rsidP="00780010">
            <w:pPr>
              <w:jc w:val="both"/>
            </w:pPr>
            <w:r w:rsidRPr="001D7630">
              <w:t>1. Aizstāt 1.2. punktā vārdus “sadzīves atkritumu savākšanas un pārstrādes pienākums” ar vārdiem “</w:t>
            </w:r>
            <w:bookmarkStart w:id="23" w:name="_Hlk61366752"/>
            <w:r w:rsidRPr="001D7630">
              <w:t>atkritumu apsaimniekošanas normatīvajos aktos noteiktie sadzīves atkritumu savākšanas un pārstrādes mērķi</w:t>
            </w:r>
            <w:bookmarkEnd w:id="23"/>
            <w:r w:rsidRPr="001D7630">
              <w:t>”. Lūdzam attiecīgi papildināt anotāciju, ka sadzīves atkritumu savākšanas un pārstrādes mērķi ir noteikti Ministru kabineta 2013. gada 2. aprīļa noteikumos Nr.184 “Noteikumi par atkritumu dalītu savākšanu, sagatavošanu atkārtotai izmantošanai, pārstrādi un materiālu reģenerāciju”;</w:t>
            </w:r>
          </w:p>
          <w:p w14:paraId="1EA95A38" w14:textId="77777777" w:rsidR="00780010" w:rsidRPr="001D7630" w:rsidRDefault="00780010" w:rsidP="00780010">
            <w:pPr>
              <w:jc w:val="both"/>
            </w:pPr>
            <w:r w:rsidRPr="001D7630">
              <w:t xml:space="preserve">2. Vēršam uzmanību, ka 1.4. punktā ietvertā redakcija “un citi organiskas izcelsmes atkritumi un ražošanas atlikumprodukti” neatbilst Direktīvas 2018/2001/ES XI pielikuma A daļas d) apakšpunktam. Vienlaikus aicinām precizēt atsauci uz likumprojekta pielikuma II daļu, jo šādas daļas pielikumā nav.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61F6D49B" w14:textId="77777777"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shd w:val="clear" w:color="auto" w:fill="auto"/>
          </w:tcPr>
          <w:p w14:paraId="55473C56"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pielikums precizēts</w:t>
            </w:r>
          </w:p>
        </w:tc>
      </w:tr>
      <w:tr w:rsidR="00780010" w:rsidRPr="001D7630" w14:paraId="73BBB647" w14:textId="77777777" w:rsidTr="005D0902">
        <w:trPr>
          <w:jc w:val="center"/>
        </w:trPr>
        <w:tc>
          <w:tcPr>
            <w:tcW w:w="14992" w:type="dxa"/>
            <w:gridSpan w:val="5"/>
            <w:tcBorders>
              <w:top w:val="single" w:sz="6" w:space="0" w:color="000000"/>
              <w:left w:val="single" w:sz="6" w:space="0" w:color="000000"/>
              <w:bottom w:val="single" w:sz="6" w:space="0" w:color="000000"/>
            </w:tcBorders>
            <w:shd w:val="clear" w:color="auto" w:fill="auto"/>
          </w:tcPr>
          <w:p w14:paraId="18AE59E7" w14:textId="77777777" w:rsidR="00780010" w:rsidRPr="001D7630" w:rsidRDefault="00780010" w:rsidP="00780010">
            <w:pPr>
              <w:pStyle w:val="ListParagraph"/>
              <w:spacing w:after="0" w:line="240" w:lineRule="auto"/>
              <w:ind w:left="0"/>
              <w:contextualSpacing w:val="0"/>
              <w:jc w:val="center"/>
              <w:rPr>
                <w:rFonts w:ascii="Times New Roman" w:hAnsi="Times New Roman"/>
                <w:b/>
                <w:bCs/>
                <w:sz w:val="24"/>
                <w:szCs w:val="24"/>
                <w:lang w:eastAsia="lv-LV"/>
              </w:rPr>
            </w:pPr>
            <w:r w:rsidRPr="001D7630">
              <w:rPr>
                <w:rFonts w:ascii="Times New Roman" w:hAnsi="Times New Roman"/>
                <w:b/>
                <w:bCs/>
                <w:sz w:val="24"/>
                <w:szCs w:val="24"/>
                <w:lang w:eastAsia="lv-LV"/>
              </w:rPr>
              <w:t>ANOTĀCIJA</w:t>
            </w:r>
          </w:p>
        </w:tc>
      </w:tr>
      <w:tr w:rsidR="00780010" w:rsidRPr="001D7630" w14:paraId="28B4C71B"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034CA6F3"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2EAD7425"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4F4D8E4D" w14:textId="77777777" w:rsidR="00780010" w:rsidRPr="001D7630" w:rsidRDefault="00780010" w:rsidP="00780010">
            <w:pPr>
              <w:jc w:val="center"/>
              <w:rPr>
                <w:b/>
                <w:bCs/>
              </w:rPr>
            </w:pPr>
            <w:r w:rsidRPr="001D7630">
              <w:rPr>
                <w:b/>
                <w:bCs/>
              </w:rPr>
              <w:t>Vides aizsardzības un reģionālās attīstības ministrija</w:t>
            </w:r>
          </w:p>
          <w:p w14:paraId="6D590F2A" w14:textId="77777777" w:rsidR="00780010" w:rsidRPr="001D7630" w:rsidRDefault="00780010" w:rsidP="00780010">
            <w:pPr>
              <w:jc w:val="center"/>
              <w:rPr>
                <w:b/>
                <w:bCs/>
              </w:rPr>
            </w:pPr>
            <w:r w:rsidRPr="001D7630">
              <w:rPr>
                <w:b/>
                <w:bCs/>
              </w:rPr>
              <w:t>(08.01.2021. atzinums)</w:t>
            </w:r>
          </w:p>
          <w:p w14:paraId="0CA7AD61" w14:textId="77777777" w:rsidR="00780010" w:rsidRPr="001D7630" w:rsidRDefault="00780010" w:rsidP="00780010">
            <w:pPr>
              <w:pStyle w:val="CommentText"/>
              <w:jc w:val="both"/>
              <w:rPr>
                <w:sz w:val="24"/>
                <w:szCs w:val="24"/>
              </w:rPr>
            </w:pPr>
            <w:r w:rsidRPr="001D7630">
              <w:rPr>
                <w:sz w:val="24"/>
                <w:szCs w:val="24"/>
              </w:rPr>
              <w:t>1. Papildināt anotāciju ar informāciju, vai plašāka biodegvielas izmantošana transportā nepalielina atsevišķu gaisu piesārņojošo vielu, piemēram, gaistošo organisko savienojumu emisijas;</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17B3241A" w14:textId="77777777" w:rsidR="00780010" w:rsidRPr="001D7630" w:rsidRDefault="00780010" w:rsidP="00780010">
            <w:pPr>
              <w:jc w:val="center"/>
              <w:rPr>
                <w:b/>
                <w:bCs/>
                <w:iCs/>
              </w:rPr>
            </w:pPr>
            <w:r w:rsidRPr="001D7630">
              <w:rPr>
                <w:b/>
                <w:bCs/>
                <w:iCs/>
              </w:rPr>
              <w:t>Ņemts vērā</w:t>
            </w:r>
          </w:p>
          <w:p w14:paraId="4E7CC652" w14:textId="77777777" w:rsidR="00780010" w:rsidRPr="001D7630" w:rsidRDefault="00780010" w:rsidP="00780010">
            <w:r w:rsidRPr="001D7630">
              <w:rPr>
                <w:iCs/>
              </w:rPr>
              <w:t>Skaidrojam, ka NEKP2030 un Gaisa piesārņojuma samazināšanas rīcības plānam 2019.-2030.gadam ietvaros enerģētikas un transporta sektora prognozes gatavoja tie paši eksperti. Ja NEKP2030 noteikto transporta sektora mērķu sasniegšanai, t.sk., to mērķu, kas ir noteikti likumprojektā, plānoto pasākumu īstenošana nerezultējās gaisa piesārņojuma samazināšanas mērķu nesasniegšanā, kam par iemeslu būtu tieši transporta sektors, tad nav secināms, ka NEKP2030 un līdz ar to arī likumprojektā noteikto prasību izpilde rezultēsies gaisa piesārņojošo vielu emisiju pieaugumā.: “</w:t>
            </w:r>
            <w:r w:rsidRPr="001D7630">
              <w:rPr>
                <w:i/>
                <w:iCs/>
              </w:rPr>
              <w:t>Salīdzinot ar 2016. gadu, prognozētās NMGOS emisijas 2030. gadā ir mazākas transporta sektorā par 22,1 %, jo samazinās degvielas patēriņš autotransportā un tajā skaitā benzīna patēriņš…</w:t>
            </w:r>
            <w:r w:rsidRPr="001D7630">
              <w:t>”.</w:t>
            </w:r>
          </w:p>
        </w:tc>
        <w:tc>
          <w:tcPr>
            <w:tcW w:w="4291" w:type="dxa"/>
            <w:tcBorders>
              <w:top w:val="single" w:sz="4" w:space="0" w:color="auto"/>
              <w:left w:val="single" w:sz="4" w:space="0" w:color="auto"/>
              <w:bottom w:val="single" w:sz="4" w:space="0" w:color="auto"/>
            </w:tcBorders>
            <w:shd w:val="clear" w:color="auto" w:fill="auto"/>
          </w:tcPr>
          <w:p w14:paraId="23D11F91" w14:textId="77777777" w:rsidR="00780010" w:rsidRPr="001D7630" w:rsidRDefault="00780010" w:rsidP="00780010">
            <w:pPr>
              <w:ind w:right="80"/>
              <w:jc w:val="both"/>
            </w:pPr>
            <w:r w:rsidRPr="001D7630">
              <w:t>Likumprojekta anotācija (sadaļa “</w:t>
            </w:r>
            <w:r w:rsidRPr="001D7630">
              <w:rPr>
                <w:u w:val="single"/>
              </w:rPr>
              <w:t>Esošās problēmas</w:t>
            </w:r>
            <w:r w:rsidRPr="001D7630">
              <w:t>”) ir precizēta</w:t>
            </w:r>
          </w:p>
        </w:tc>
      </w:tr>
      <w:tr w:rsidR="00780010" w:rsidRPr="001D7630" w14:paraId="6795B7AA"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3A4730F3"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582DA175"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997F4C5" w14:textId="77777777" w:rsidR="00780010" w:rsidRPr="001D7630" w:rsidRDefault="00780010" w:rsidP="00780010">
            <w:pPr>
              <w:jc w:val="center"/>
              <w:rPr>
                <w:b/>
                <w:bCs/>
              </w:rPr>
            </w:pPr>
            <w:r w:rsidRPr="001D7630">
              <w:rPr>
                <w:b/>
                <w:bCs/>
              </w:rPr>
              <w:t>Vides aizsardzības un reģionālās attīstības ministrija</w:t>
            </w:r>
          </w:p>
          <w:p w14:paraId="05961FA8" w14:textId="77777777" w:rsidR="00780010" w:rsidRPr="001D7630" w:rsidRDefault="00780010" w:rsidP="00780010">
            <w:pPr>
              <w:jc w:val="center"/>
              <w:rPr>
                <w:b/>
                <w:bCs/>
              </w:rPr>
            </w:pPr>
            <w:r w:rsidRPr="001D7630">
              <w:rPr>
                <w:b/>
                <w:bCs/>
              </w:rPr>
              <w:t>(08.01.2021. atzinums)</w:t>
            </w:r>
          </w:p>
          <w:p w14:paraId="6B492DB2" w14:textId="77777777" w:rsidR="00780010" w:rsidRPr="001D7630" w:rsidRDefault="00780010" w:rsidP="00780010">
            <w:pPr>
              <w:pStyle w:val="CommentText"/>
              <w:jc w:val="both"/>
              <w:rPr>
                <w:sz w:val="24"/>
                <w:szCs w:val="24"/>
              </w:rPr>
            </w:pPr>
            <w:r w:rsidRPr="001D7630">
              <w:rPr>
                <w:sz w:val="24"/>
                <w:szCs w:val="24"/>
              </w:rPr>
              <w:t>2. Anotācijas sadaļā “Esošās problēmas” norādīts: “Latvijā transports ir galvenais slāpekļa oksīdu emisiju avots un ka augšējais piesārņojuma Rīgā, Rēzeknē un Liepājā transporta darbību dēļ tiek pārsniegtas smalko daļiņu (PM</w:t>
            </w:r>
            <w:r w:rsidRPr="001D7630">
              <w:rPr>
                <w:sz w:val="24"/>
                <w:szCs w:val="24"/>
                <w:vertAlign w:val="subscript"/>
              </w:rPr>
              <w:t>2,5</w:t>
            </w:r>
            <w:r w:rsidRPr="001D7630">
              <w:rPr>
                <w:sz w:val="24"/>
                <w:szCs w:val="24"/>
              </w:rPr>
              <w:t>) noteiktais novērtēšanas slieksnis un no 2013. līdz 2015. gadam Rīgas transporta ietekmes stacijās Brīvības un Krišjāņa Valdemāra ielā tika pārsniegts slāpekļa oksīdu gada robežlielums cilvēka veselības aizsardzībai.” Skaidrot, uz kādu pētījumu un izvērtējumu pamata šādi secinājumi izdarīti. Atbilstoši “Rīgas gaisa kvalitātes uzlabošanas rīcības programmai 2016.-2020. gadam” Rīgā daļiņu PM</w:t>
            </w:r>
            <w:r w:rsidRPr="001D7630">
              <w:rPr>
                <w:sz w:val="24"/>
                <w:szCs w:val="24"/>
                <w:vertAlign w:val="subscript"/>
              </w:rPr>
              <w:t xml:space="preserve">2,5 </w:t>
            </w:r>
            <w:r w:rsidRPr="001D7630">
              <w:rPr>
                <w:sz w:val="24"/>
                <w:szCs w:val="24"/>
              </w:rPr>
              <w:t xml:space="preserve">galvenais avots nav transports (varbūt šajā gadījumā ir domāts, ka Rīgā galvenais NOx emisiju avots ir transports?). Norādām, ka Rēzeknē un Liepājā šāda analīze vēl nav veikta;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16AF24F" w14:textId="77777777" w:rsidR="00780010" w:rsidRPr="001D7630" w:rsidRDefault="00780010" w:rsidP="00780010">
            <w:pPr>
              <w:jc w:val="center"/>
              <w:rPr>
                <w:b/>
                <w:bCs/>
                <w:iCs/>
              </w:rPr>
            </w:pPr>
            <w:r w:rsidRPr="001D7630">
              <w:rPr>
                <w:b/>
                <w:bCs/>
                <w:iCs/>
              </w:rPr>
              <w:t>Ņemts vērā</w:t>
            </w:r>
          </w:p>
          <w:p w14:paraId="2EDEA93A" w14:textId="77777777" w:rsidR="00780010" w:rsidRPr="001D7630" w:rsidRDefault="00780010" w:rsidP="00780010">
            <w:pPr>
              <w:rPr>
                <w:iCs/>
              </w:rPr>
            </w:pPr>
            <w:r w:rsidRPr="001D7630">
              <w:rPr>
                <w:iCs/>
              </w:rPr>
              <w:t xml:space="preserve">Anotācijā iekļautais secinājums tiešā redakcijā ir ņemts no </w:t>
            </w:r>
            <w:hyperlink r:id="rId17" w:history="1">
              <w:r w:rsidRPr="001D7630">
                <w:rPr>
                  <w:rStyle w:val="Hyperlink"/>
                  <w:iCs/>
                </w:rPr>
                <w:t>https://ec.europa.eu/environment/air/pdf/reduction_napcp/LV%20final%20NAPCP%2016Apr20.pdf</w:t>
              </w:r>
            </w:hyperlink>
            <w:r w:rsidRPr="001D7630">
              <w:rPr>
                <w:iCs/>
              </w:rPr>
              <w:t xml:space="preserve"> – “</w:t>
            </w:r>
            <w:r w:rsidRPr="001D7630">
              <w:t>PVO rekomendētais gada robežlielums un MK noteikumos par gaisa kvalitāti noteiktais augšējais novērtēšanas slieksnis (piesārņojuma līmenis, kas norāda uz risku pārsniegt noteiktos robežlielumus) tiek pārsniegts Rīgas, Liepājas un Rēzeknes transporta novērtējuma stacijās”.</w:t>
            </w:r>
            <w:r w:rsidRPr="001D7630">
              <w:rPr>
                <w:iCs/>
              </w:rPr>
              <w:t xml:space="preserve"> </w:t>
            </w:r>
          </w:p>
        </w:tc>
        <w:tc>
          <w:tcPr>
            <w:tcW w:w="4291" w:type="dxa"/>
            <w:tcBorders>
              <w:top w:val="single" w:sz="4" w:space="0" w:color="auto"/>
              <w:left w:val="single" w:sz="4" w:space="0" w:color="auto"/>
              <w:bottom w:val="single" w:sz="4" w:space="0" w:color="auto"/>
            </w:tcBorders>
            <w:shd w:val="clear" w:color="auto" w:fill="auto"/>
          </w:tcPr>
          <w:p w14:paraId="2F0ED888"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Attiecīgā likumprojekta anotācijas sadaļa ir precizēta atbilstoši 4.kolonnā norādītajai informācijai</w:t>
            </w:r>
          </w:p>
        </w:tc>
      </w:tr>
      <w:tr w:rsidR="00780010" w:rsidRPr="001D7630" w14:paraId="71BD9D1D"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75B3E1ED"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0EF33E4"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43A66FCB" w14:textId="77777777" w:rsidR="00780010" w:rsidRPr="001D7630" w:rsidRDefault="00780010" w:rsidP="00780010">
            <w:pPr>
              <w:jc w:val="center"/>
              <w:rPr>
                <w:b/>
                <w:bCs/>
              </w:rPr>
            </w:pPr>
            <w:r w:rsidRPr="001D7630">
              <w:rPr>
                <w:b/>
                <w:bCs/>
              </w:rPr>
              <w:t>Vides aizsardzības un reģionālās attīstības ministrija</w:t>
            </w:r>
          </w:p>
          <w:p w14:paraId="631BA0E6" w14:textId="77777777" w:rsidR="00780010" w:rsidRPr="001D7630" w:rsidRDefault="00780010" w:rsidP="00780010">
            <w:pPr>
              <w:jc w:val="center"/>
              <w:rPr>
                <w:b/>
                <w:bCs/>
              </w:rPr>
            </w:pPr>
            <w:r w:rsidRPr="001D7630">
              <w:rPr>
                <w:b/>
                <w:bCs/>
              </w:rPr>
              <w:t>(08.01.2021. atzinums)</w:t>
            </w:r>
          </w:p>
          <w:p w14:paraId="35F895CF" w14:textId="77777777" w:rsidR="00780010" w:rsidRPr="001D7630" w:rsidRDefault="00780010" w:rsidP="00780010">
            <w:pPr>
              <w:pStyle w:val="CommentText"/>
              <w:jc w:val="both"/>
              <w:rPr>
                <w:sz w:val="24"/>
                <w:szCs w:val="24"/>
              </w:rPr>
            </w:pPr>
            <w:r w:rsidRPr="001D7630">
              <w:rPr>
                <w:sz w:val="24"/>
                <w:szCs w:val="24"/>
              </w:rPr>
              <w:t xml:space="preserve">3. Pamatot anotācijā minēto apgalvojumu: “Ņemot vērā esošo (..) transporta ietekmi uz gaisa piesārņojošo vielu emisijām, ir jāsecina, ka esošais normatīvais regulējums nav pietiekams, </w:t>
            </w:r>
            <w:r w:rsidRPr="001D7630">
              <w:rPr>
                <w:sz w:val="24"/>
                <w:szCs w:val="24"/>
              </w:rPr>
              <w:lastRenderedPageBreak/>
              <w:t>kā arī jāsecina, ka esošie nosacījumi nenodrošina Latvijai noteikto saistību izpildi.” Vēršam uzmanību, ka atbilstoši likuma “Par piesārņojumu” 14. panta otrajai daļai, ja noteiktā teritorijā ir pārsniegti vai var tikt pārsniegti vides kvalitātes normatīvu robežlielumi noteiktam piesārņojuma veidam, pašvaldība saskaņā ar normatīvajos aktos noteiktajā kārtībā izstrādātu un apstiprinātu rīcības programmu vai īstermiņa rīcības programmu var izdot saistošos noteikumus, kas attiecīgajā teritorijā ierobežo vai aizliedz tādu piesārņojošu darbību uzsākšanu, kuru izraisītā emisija var palielināt kopējo attiecīgā piesārņojuma daudzumu šajā teritorijā. Tādējādi jau šobrīd, ja vien kādai pašvaldībai, kurā konstatētas gaisa kvalitātes problēmas būtu vēlme šādus ierobežojumus noteikt, tad to ir iespējams izdarīt atbilstoši likumā “Par piesārņojumu” iekļautajam deleģējumam.</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1C980283"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0EA52D0A"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Minētā rindkopa svītrota.</w:t>
            </w:r>
          </w:p>
        </w:tc>
      </w:tr>
      <w:tr w:rsidR="00780010" w:rsidRPr="001D7630" w14:paraId="725830D8"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1241627D"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716C201C"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5C18D60B" w14:textId="77777777" w:rsidR="00780010" w:rsidRPr="001D7630" w:rsidRDefault="00780010" w:rsidP="00780010">
            <w:pPr>
              <w:jc w:val="center"/>
              <w:rPr>
                <w:b/>
                <w:bCs/>
              </w:rPr>
            </w:pPr>
            <w:r w:rsidRPr="001D7630">
              <w:rPr>
                <w:b/>
                <w:bCs/>
              </w:rPr>
              <w:t>Vides aizsardzības un reģionālās attīstības ministrija</w:t>
            </w:r>
          </w:p>
          <w:p w14:paraId="3FD85836" w14:textId="77777777" w:rsidR="00780010" w:rsidRPr="001D7630" w:rsidRDefault="00780010" w:rsidP="00780010">
            <w:pPr>
              <w:jc w:val="center"/>
              <w:rPr>
                <w:b/>
                <w:bCs/>
              </w:rPr>
            </w:pPr>
            <w:r w:rsidRPr="001D7630">
              <w:rPr>
                <w:b/>
                <w:bCs/>
              </w:rPr>
              <w:t>(25.03.2021.)</w:t>
            </w:r>
          </w:p>
          <w:p w14:paraId="69BCDEE4" w14:textId="77777777" w:rsidR="00780010" w:rsidRPr="001D7630" w:rsidRDefault="00780010" w:rsidP="00780010">
            <w:pPr>
              <w:widowControl w:val="0"/>
              <w:jc w:val="both"/>
            </w:pPr>
            <w:r w:rsidRPr="001D7630">
              <w:rPr>
                <w:shd w:val="clear" w:color="auto" w:fill="FFFFFF"/>
              </w:rPr>
              <w:t>1. Anotācijas</w:t>
            </w:r>
            <w:r w:rsidRPr="001D7630">
              <w:t xml:space="preserve"> I sadaļas 2. punktā lūdzam aizstāt teikumu: “Līdz ar to secināms, ka VARAM kompetence ir izstrādāt politiku, kas tieši attiecas uz SEG emisiju ietaupījumiem un to aprēķinu, kā arī VARAM kompetence ir izstrādāt </w:t>
            </w:r>
            <w:r w:rsidRPr="001D7630">
              <w:lastRenderedPageBreak/>
              <w:t>normatīvo aktu projektus attiecībā uz atkritumu apsaimniekošanu” ar vārdiem: “Līdz ar to secināms, ka, izstrādājot politiku, kas tieši attiecas uz SEG emisiju ietaupījumiem un to aprēķinu un atkritumu apsaimniekošanu, VARAM nosakāma kā līdzatbildīgā institūcija”, jo VARAM izstrādā politiku (tiesību aktus), kam ir starpnozaru koordinējoša funkcija nacionālā līmenī, bet VARAM kompetenci izstrādāt klimata politiku nevar attiecināt uz specifiskiem SEG emisiju ietaupījumiem un to aprēķinu.</w:t>
            </w:r>
          </w:p>
          <w:p w14:paraId="0DBFB16A" w14:textId="77777777" w:rsidR="00780010" w:rsidRPr="001D7630" w:rsidRDefault="00780010" w:rsidP="00780010">
            <w:pPr>
              <w:jc w:val="both"/>
              <w:rPr>
                <w:shd w:val="clear" w:color="auto" w:fill="FFFFFF"/>
              </w:rPr>
            </w:pPr>
            <w:r w:rsidRPr="001D7630">
              <w:t>Anotācijas VII sadaļas 1. punktā vārdus “ZM un VARAM sadarbībā ar EM – normatīvās bāzes pilnveide, t.sk. attiecībā uz MK noteikumu projektu izstrādi, kuriem sniegts deleģējums likumprojektā – likumprojekta 10. panta 9. daļa un 11. panta 11. daļa. (ja nepieciešams)” izteikt šādā redakcijā: “EM un ZM sadarbībā ar VARAM – normatīvās bāzes pilnveide, t.sk. attiecībā uz MK noteikumu projektu izstrādi, kuriem sniegts deleģējums likumprojektā – likumprojekta 10. panta 9. daļa un 11. panta 11. daļa. (ja nepieciešams)”.</w:t>
            </w:r>
          </w:p>
          <w:p w14:paraId="0E05E828" w14:textId="77777777" w:rsidR="00780010" w:rsidRPr="001D7630" w:rsidRDefault="00780010" w:rsidP="00780010">
            <w:pPr>
              <w:jc w:val="both"/>
              <w:rPr>
                <w:shd w:val="clear" w:color="auto" w:fill="FFFFFF"/>
              </w:rPr>
            </w:pPr>
            <w:r w:rsidRPr="001D7630">
              <w:rPr>
                <w:shd w:val="clear" w:color="auto" w:fill="FFFFFF"/>
              </w:rPr>
              <w:t xml:space="preserve">Funkcijas, kas noteiktas MK 2011. gada 29. marta noteikumu Nr. 233 ”Vides aizsardzības un reģionālās attīstības ministrijas nolikums” (turpmāk – VARAM nolikums) </w:t>
            </w:r>
            <w:r w:rsidRPr="001D7630">
              <w:rPr>
                <w:shd w:val="clear" w:color="auto" w:fill="FFFFFF"/>
              </w:rPr>
              <w:lastRenderedPageBreak/>
              <w:t xml:space="preserve">5.1.4. apakšpunktā, paredz veicināt tādu pasākumu integrēšanu citu nozaru normatīvajos aktos, kas vērsti uz klimata politikas mērķu sasniegšanu, tomēr jāņem vērā, ka tas nenozīmē izstrādāt politikas plānošanas dokumentus vai tiesību aktus nozaru ministriju vietā, bet gan līdzatbildību šādu normatīvo aktu izstrādē, kurai VARAM piekrīt. </w:t>
            </w:r>
            <w:r w:rsidRPr="001D7630">
              <w:t>Ņemot vērā, ka šobrīd Zaļā kursa ietvaros Eiropas Komisija pārskatīs un nāks klajā ar jauniem un pārskatītiem tiesību aktu priekšlikumiem, kas kāpinās klimata politikas ambīcijas visās tautsaimniecības jomās, VARAM iebilst uzņemties pamatbildību klimata politikas izstrādē un ieviešanā konkrētu nozaru politiku (izņemot, atkritumu apsaimiekosānas sektoru) līmenī.</w:t>
            </w:r>
          </w:p>
          <w:p w14:paraId="13A8064C" w14:textId="77777777" w:rsidR="00780010" w:rsidRPr="001D7630" w:rsidRDefault="00780010" w:rsidP="00780010">
            <w:pPr>
              <w:jc w:val="both"/>
              <w:rPr>
                <w:shd w:val="clear" w:color="auto" w:fill="FFFFFF"/>
              </w:rPr>
            </w:pPr>
            <w:r w:rsidRPr="001D7630">
              <w:rPr>
                <w:shd w:val="clear" w:color="auto" w:fill="FFFFFF"/>
              </w:rPr>
              <w:t xml:space="preserve">Attiecībā uz atkritumu apsaimniekošanas jomu VARAM nolikuma 4.1. apakšpunktā ir noteiktas jomas, kurās VARAM veido politiku un izstrādā normatīvos aktus, savukārt 4.3. apakšpunktā ir noteikts, ka VARAM koordinē un organizē attiecīgo politiku ieviešanu. Atkritumu apsaimniekošanas jomas politika šobrīd nav saistīta ar Atjaunojamo energoresursu direktīvas realizēšanu, pašreizējā regulējuma ietvaros VARAM var apkopot datus par atkritumiem, kuri izmantojami kā attiecīgās degvielas, bet VARAM </w:t>
            </w:r>
            <w:r w:rsidRPr="001D7630">
              <w:rPr>
                <w:shd w:val="clear" w:color="auto" w:fill="FFFFFF"/>
              </w:rPr>
              <w:lastRenderedPageBreak/>
              <w:t>pieejamie resursi un normatīvajos aktos noteiktā kompetence neparedz atbildību par likumprojektā ietvertajiem pasākumiem atjaunojamo energoresursu jomā, it īpaši attiecībā uz likumprojekta 10. un 11. pantā minēto Ministru kabineta noteikumu projektu izstrādi un attiecīgās sistēmas darbības nodrošināšanu un uzraudzību.</w:t>
            </w:r>
          </w:p>
          <w:p w14:paraId="30065B31" w14:textId="77777777" w:rsidR="00780010" w:rsidRPr="001D7630" w:rsidRDefault="00780010" w:rsidP="00780010">
            <w:pPr>
              <w:jc w:val="both"/>
              <w:rPr>
                <w:iCs/>
              </w:rPr>
            </w:pPr>
            <w:r w:rsidRPr="001D7630">
              <w:rPr>
                <w:shd w:val="clear" w:color="auto" w:fill="FFFFFF"/>
              </w:rPr>
              <w:t>Ja EM nepiekrīt VARAM argumentiem attiecībā uz kompetenču sadali Direktīvas 2018/2001 pārņemšanā, uzsveram, ka nav pieņemami likumprojektā iestrādāt normas, ar ko tiks pārņemta Direktīva 2018/2001, pirms nav panākta konceptuāla vienošanās par atbildību sadali starp ministrijām.</w:t>
            </w:r>
            <w:r w:rsidRPr="001D7630">
              <w:t xml:space="preserve"> </w:t>
            </w:r>
            <w:r w:rsidRPr="001D7630">
              <w:rPr>
                <w:iCs/>
              </w:rPr>
              <w:t xml:space="preserve">Kaut arī Ekonomikas ministrija izziņā informējusi, ka vienošanās par atbildību sadalījumu </w:t>
            </w:r>
            <w:r w:rsidRPr="001D7630">
              <w:rPr>
                <w:shd w:val="clear" w:color="auto" w:fill="FFFFFF"/>
              </w:rPr>
              <w:t>par Direktīvas 2018/2001 normu pārņemšanu</w:t>
            </w:r>
            <w:r w:rsidRPr="001D7630">
              <w:rPr>
                <w:iCs/>
              </w:rPr>
              <w:t xml:space="preserve"> notiks Valsts sekretāru sanāksmē pirms likumprojekta iesniegšanas izskatīšanai Ministru kabinetā, </w:t>
            </w:r>
            <w:r w:rsidRPr="001D7630">
              <w:t>likumprojektam (t.sk. anotācijai) jāatspoguļo faktiskās vienošanās rezultātus, kas iespējams tikai pēc tam, kad vienošanās jau ir notikusi, bet līdz tam projektā jāsaglabā vietturi bez konkrēta satura attiecībā uz iespējamo atbildību sadalījumu starp minētajām ministrijām</w:t>
            </w:r>
            <w:r w:rsidRPr="001D7630">
              <w:rPr>
                <w:iCs/>
              </w:rPr>
              <w:t>.</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EE52882"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38500EE5"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anotācijas I un VII sadaļa ir precizēta</w:t>
            </w:r>
          </w:p>
        </w:tc>
      </w:tr>
      <w:tr w:rsidR="00780010" w:rsidRPr="001D7630" w14:paraId="602EDC37"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tcPr>
          <w:p w14:paraId="3C56BD83"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tcPr>
          <w:p w14:paraId="66B12BEB" w14:textId="77777777" w:rsidR="00780010" w:rsidRPr="001D7630" w:rsidRDefault="00780010" w:rsidP="00780010">
            <w:pPr>
              <w:pStyle w:val="naisf"/>
              <w:spacing w:before="0" w:after="0"/>
              <w:ind w:firstLine="0"/>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35EED4B3" w14:textId="77777777" w:rsidR="00780010" w:rsidRPr="001D7630" w:rsidRDefault="00780010" w:rsidP="00780010">
            <w:pPr>
              <w:autoSpaceDE w:val="0"/>
              <w:autoSpaceDN w:val="0"/>
              <w:adjustRightInd w:val="0"/>
              <w:jc w:val="center"/>
              <w:rPr>
                <w:b/>
                <w:bCs/>
              </w:rPr>
            </w:pPr>
            <w:r w:rsidRPr="001D7630">
              <w:rPr>
                <w:b/>
                <w:bCs/>
              </w:rPr>
              <w:t>Vides aizsardzības un reģionālās attīstības ministrija</w:t>
            </w:r>
          </w:p>
          <w:p w14:paraId="2662BA4F" w14:textId="77777777" w:rsidR="00780010" w:rsidRPr="001D7630" w:rsidRDefault="00780010" w:rsidP="00780010">
            <w:pPr>
              <w:autoSpaceDE w:val="0"/>
              <w:autoSpaceDN w:val="0"/>
              <w:adjustRightInd w:val="0"/>
              <w:jc w:val="center"/>
              <w:rPr>
                <w:b/>
                <w:bCs/>
              </w:rPr>
            </w:pPr>
            <w:r w:rsidRPr="001D7630">
              <w:rPr>
                <w:b/>
                <w:bCs/>
              </w:rPr>
              <w:t>(25.03.2021.)</w:t>
            </w:r>
          </w:p>
          <w:p w14:paraId="34923607" w14:textId="77777777" w:rsidR="00780010" w:rsidRPr="001D7630" w:rsidRDefault="00780010" w:rsidP="00780010">
            <w:pPr>
              <w:widowControl w:val="0"/>
              <w:jc w:val="both"/>
            </w:pPr>
            <w:r w:rsidRPr="001D7630">
              <w:t>2. Lūdzam precizēt anotāciju un/vai likumprojekta 5.panta prasības skaidrojot, kāpēc nav noteikts, ka esošas degvielas uzpildes stacijās (</w:t>
            </w:r>
            <w:r w:rsidRPr="001D7630">
              <w:rPr>
                <w:color w:val="000000" w:themeColor="text1"/>
              </w:rPr>
              <w:t>kas neplāno būvniecības procesus)</w:t>
            </w:r>
            <w:r w:rsidRPr="001D7630">
              <w:t>, būtu jāparedz vismaz viens alternatīvās degvielas uzlādes vai uzpildes punkts (nosakot samērīgu pārejas termiņu attiecīgo prasību ieviešanai), jo nav skaidrs, kā tiek plānots nodrošināt uzpildes iespējas “tīrajiem” autobusiem visā Latvijas teritorijā, t.sk., teritorijās, kurās netiks veidotas jaunas uzpildes stacijas, īpaši ņemot vērā likumprojekta 6.punktā noteiktās valstpilsētām uzliktās saistības.</w:t>
            </w:r>
          </w:p>
        </w:tc>
        <w:tc>
          <w:tcPr>
            <w:tcW w:w="2976" w:type="dxa"/>
            <w:tcBorders>
              <w:top w:val="single" w:sz="6" w:space="0" w:color="000000"/>
              <w:left w:val="single" w:sz="6" w:space="0" w:color="000000"/>
              <w:bottom w:val="single" w:sz="6" w:space="0" w:color="000000"/>
              <w:right w:val="single" w:sz="6" w:space="0" w:color="000000"/>
            </w:tcBorders>
          </w:tcPr>
          <w:p w14:paraId="682F6F66" w14:textId="77777777" w:rsidR="00780010" w:rsidRPr="001D7630" w:rsidRDefault="00780010" w:rsidP="00780010">
            <w:pPr>
              <w:jc w:val="center"/>
              <w:rPr>
                <w:b/>
                <w:iCs/>
              </w:rPr>
            </w:pPr>
            <w:r w:rsidRPr="001D7630">
              <w:rPr>
                <w:b/>
                <w:iCs/>
              </w:rPr>
              <w:t>Ņemts vērā</w:t>
            </w:r>
          </w:p>
          <w:p w14:paraId="7ED1997B" w14:textId="77777777" w:rsidR="00780010" w:rsidRPr="001D7630" w:rsidRDefault="00780010" w:rsidP="00780010">
            <w:pPr>
              <w:rPr>
                <w:b/>
                <w:iCs/>
              </w:rPr>
            </w:pPr>
          </w:p>
          <w:p w14:paraId="49FA066F" w14:textId="77777777" w:rsidR="00780010" w:rsidRPr="001D7630" w:rsidRDefault="00780010" w:rsidP="00780010">
            <w:pPr>
              <w:rPr>
                <w:bCs/>
                <w:iCs/>
              </w:rPr>
            </w:pPr>
            <w:r w:rsidRPr="001D7630">
              <w:rPr>
                <w:bCs/>
                <w:iCs/>
              </w:rPr>
              <w:t>Skaidrojam, ka visās valstspilsētās ir uzstādīti vismaz 1 ātrās uzlādes punkts, kuru darbību nodrošina CSDD. Arī Rēzeknē, Jēkabpilī un Rīgā ir CNG uzpildes iekārtas.</w:t>
            </w:r>
          </w:p>
          <w:p w14:paraId="17D5A8D1" w14:textId="77777777" w:rsidR="00780010" w:rsidRPr="001D7630" w:rsidRDefault="00780010" w:rsidP="00780010">
            <w:pPr>
              <w:rPr>
                <w:bCs/>
                <w:iCs/>
              </w:rPr>
            </w:pPr>
          </w:p>
          <w:p w14:paraId="7ABA2141" w14:textId="77777777" w:rsidR="00780010" w:rsidRPr="001D7630" w:rsidRDefault="00780010" w:rsidP="00780010">
            <w:pPr>
              <w:rPr>
                <w:bCs/>
                <w:iCs/>
              </w:rPr>
            </w:pPr>
            <w:r w:rsidRPr="001D7630">
              <w:rPr>
                <w:bCs/>
                <w:iCs/>
              </w:rPr>
              <w:t>Norādām, ka privātajiem komersantiem nebūtu obligāti jānodrošina valstspilsētām noteikto pienākumu izpilde, bet tas ir valstspilsētu un komersantu sadarbības rezultāts.</w:t>
            </w:r>
          </w:p>
          <w:p w14:paraId="519AB7D1" w14:textId="77777777" w:rsidR="00780010" w:rsidRPr="001D7630" w:rsidRDefault="00780010" w:rsidP="00780010">
            <w:pPr>
              <w:rPr>
                <w:bCs/>
                <w:iCs/>
              </w:rPr>
            </w:pPr>
            <w:r w:rsidRPr="001D7630">
              <w:rPr>
                <w:bCs/>
                <w:iCs/>
              </w:rPr>
              <w:t xml:space="preserve">Norādām, ka jebkurā degvielas uzpildes stacijās tāpat nebūs iespējams uzstādīt tādas elektroenerģijas uzlādes iekārtas, kurās varētu uzlādēties pilsētu sabiedriskais transports, piedevām šādas uzlādes iekārtas izveide būtu jāveic sabiedriskā transporta parkos nevis degvielas uzpildes stacijās. </w:t>
            </w:r>
          </w:p>
        </w:tc>
        <w:tc>
          <w:tcPr>
            <w:tcW w:w="4291" w:type="dxa"/>
            <w:tcBorders>
              <w:top w:val="single" w:sz="4" w:space="0" w:color="auto"/>
              <w:left w:val="single" w:sz="4" w:space="0" w:color="auto"/>
              <w:bottom w:val="single" w:sz="4" w:space="0" w:color="auto"/>
            </w:tcBorders>
          </w:tcPr>
          <w:p w14:paraId="378ABAD9" w14:textId="77777777" w:rsidR="00780010" w:rsidRPr="001D7630" w:rsidRDefault="00780010" w:rsidP="00780010">
            <w:pPr>
              <w:tabs>
                <w:tab w:val="left" w:pos="3195"/>
              </w:tabs>
            </w:pPr>
            <w:r w:rsidRPr="001D7630">
              <w:t>Likumprojekta anotācijas I sadaļas 2.punkts un III sadaļas 8.punkts ir papildināts</w:t>
            </w:r>
          </w:p>
        </w:tc>
      </w:tr>
      <w:tr w:rsidR="00780010" w:rsidRPr="001D7630" w14:paraId="30B134E8"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00C30B77"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559B93C5"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4C80C79B" w14:textId="77777777" w:rsidR="00780010" w:rsidRPr="001D7630" w:rsidRDefault="00780010" w:rsidP="00780010">
            <w:pPr>
              <w:jc w:val="center"/>
              <w:rPr>
                <w:b/>
                <w:bCs/>
              </w:rPr>
            </w:pPr>
            <w:r w:rsidRPr="001D7630">
              <w:rPr>
                <w:b/>
                <w:bCs/>
              </w:rPr>
              <w:t>Satiksmes ministrija</w:t>
            </w:r>
          </w:p>
          <w:p w14:paraId="03765EDA" w14:textId="77777777" w:rsidR="00780010" w:rsidRPr="001D7630" w:rsidRDefault="00780010" w:rsidP="00780010">
            <w:pPr>
              <w:jc w:val="center"/>
              <w:rPr>
                <w:b/>
                <w:bCs/>
              </w:rPr>
            </w:pPr>
            <w:r w:rsidRPr="001D7630">
              <w:rPr>
                <w:b/>
                <w:bCs/>
              </w:rPr>
              <w:t>(08.01.2021. atzinums)</w:t>
            </w:r>
          </w:p>
          <w:p w14:paraId="6F2186FE" w14:textId="77777777" w:rsidR="00780010" w:rsidRPr="001D7630" w:rsidRDefault="00780010" w:rsidP="00780010">
            <w:pPr>
              <w:jc w:val="both"/>
            </w:pPr>
            <w:r w:rsidRPr="001D7630">
              <w:lastRenderedPageBreak/>
              <w:t>1.  Saskaņā ar likumprojekta 7.panta trešo daļu uzlādes punktos un uzpildes punktos norāda informāciju par tajos pieejamo alternatīvās degvielas veidu izcelsmi, ja uzlādes punkta vai uzpildes punkta operatoram ir alternatīvās degvielas izcelsmi pamatojošie dokumenti. Ņemot vērā, ka ar Satiksmes ministriju iepriekš saskaņotajā redakcijā nebija prasība norādīt alternatīvās degvielas veidu izcelsmi un likumprojekta anotācijā nav sniegts plašāks skaidrojums, kāda veida dokumentācija apliecinātu degvielas veida izcelsmi, kā arī kādiem kritērijiem ir jāatbilst dokumentācijai (kāda veida informācija tajā iekļaujama), lūdzam papildināt likumprojekta anotāciju ar plašāku skaidrojumu, kā arī sniegt pamatojumu šādai prasībai.</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444A825" w14:textId="77777777" w:rsidR="00780010" w:rsidRPr="001D7630" w:rsidRDefault="00780010" w:rsidP="00780010">
            <w:pPr>
              <w:jc w:val="center"/>
              <w:rPr>
                <w:b/>
                <w:bCs/>
                <w:iCs/>
              </w:rPr>
            </w:pPr>
            <w:r w:rsidRPr="001D7630">
              <w:rPr>
                <w:b/>
                <w:bCs/>
                <w:iCs/>
              </w:rPr>
              <w:lastRenderedPageBreak/>
              <w:t>Ņemts vērā</w:t>
            </w:r>
          </w:p>
          <w:p w14:paraId="08F3869C" w14:textId="77777777" w:rsidR="00780010" w:rsidRPr="001D7630" w:rsidRDefault="00780010" w:rsidP="00780010">
            <w:pPr>
              <w:rPr>
                <w:iCs/>
              </w:rPr>
            </w:pPr>
          </w:p>
          <w:p w14:paraId="017FC932" w14:textId="77777777" w:rsidR="00780010" w:rsidRPr="001D7630" w:rsidRDefault="00780010" w:rsidP="00780010">
            <w:pPr>
              <w:rPr>
                <w:iCs/>
              </w:rPr>
            </w:pPr>
            <w:r w:rsidRPr="001D7630">
              <w:rPr>
                <w:iCs/>
              </w:rPr>
              <w:lastRenderedPageBreak/>
              <w:t>Norādām, ka šāda prasība ir iekļauta, lai informētu patērētājus par to, kādas izcelsmes alternatīvo degvielu tie lieto, lai informētu un izglītotu tos, kā arī lai popularizētu no atjaunojamiem energoresursiem iegūtas alternatīvas degvielas izmantošanu</w:t>
            </w:r>
          </w:p>
        </w:tc>
        <w:tc>
          <w:tcPr>
            <w:tcW w:w="4291" w:type="dxa"/>
            <w:tcBorders>
              <w:top w:val="single" w:sz="4" w:space="0" w:color="auto"/>
              <w:left w:val="single" w:sz="4" w:space="0" w:color="auto"/>
              <w:bottom w:val="single" w:sz="4" w:space="0" w:color="auto"/>
            </w:tcBorders>
            <w:shd w:val="clear" w:color="auto" w:fill="auto"/>
          </w:tcPr>
          <w:p w14:paraId="1E563153" w14:textId="77777777" w:rsidR="00780010" w:rsidRPr="001D7630" w:rsidRDefault="00780010" w:rsidP="00780010">
            <w:pPr>
              <w:ind w:right="80"/>
              <w:jc w:val="both"/>
            </w:pPr>
            <w:r w:rsidRPr="001D7630">
              <w:lastRenderedPageBreak/>
              <w:t>Likumprojekta anotācijas I. sadaļas 2.punkta sadaļa “</w:t>
            </w:r>
            <w:r w:rsidRPr="001D7630">
              <w:rPr>
                <w:u w:val="single"/>
              </w:rPr>
              <w:t>Likumprojekta 7.pants</w:t>
            </w:r>
            <w:r w:rsidRPr="001D7630">
              <w:t>” ir precizēta</w:t>
            </w:r>
          </w:p>
          <w:p w14:paraId="6BAEEC6E"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r>
      <w:tr w:rsidR="00780010" w:rsidRPr="001D7630" w14:paraId="2BED4A81"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19476A98"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63D1198A"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7CDB88B" w14:textId="77777777" w:rsidR="00780010" w:rsidRPr="001D7630" w:rsidRDefault="00780010" w:rsidP="00780010">
            <w:pPr>
              <w:jc w:val="center"/>
              <w:rPr>
                <w:b/>
                <w:bCs/>
              </w:rPr>
            </w:pPr>
            <w:r w:rsidRPr="001D7630">
              <w:rPr>
                <w:b/>
                <w:bCs/>
              </w:rPr>
              <w:t>Finanšu ministrija</w:t>
            </w:r>
          </w:p>
          <w:p w14:paraId="5A2D9E89" w14:textId="77777777" w:rsidR="00780010" w:rsidRPr="001D7630" w:rsidRDefault="00780010" w:rsidP="00780010">
            <w:pPr>
              <w:jc w:val="center"/>
              <w:rPr>
                <w:b/>
                <w:bCs/>
              </w:rPr>
            </w:pPr>
            <w:r w:rsidRPr="001D7630">
              <w:rPr>
                <w:b/>
                <w:bCs/>
              </w:rPr>
              <w:t>(08.01.2021. atzinums)</w:t>
            </w:r>
          </w:p>
          <w:p w14:paraId="2327D925" w14:textId="77777777" w:rsidR="00780010" w:rsidRPr="001D7630" w:rsidRDefault="00780010" w:rsidP="00780010">
            <w:pPr>
              <w:tabs>
                <w:tab w:val="left" w:pos="851"/>
              </w:tabs>
              <w:jc w:val="both"/>
            </w:pPr>
            <w:r w:rsidRPr="001D7630">
              <w:t xml:space="preserve">3. Likumprojekta 12.panta otrā daļa paredz, ka ar transporta enerģijas kvalitātes uzraudzību saistītos izdevumus sedz no Ministru kabineta noteiktās institūcijas finanšu līdzekļiem, bet, ja tiek konstatēts, ka transporta enerģijas kvalitāte neatbilst izvirzītajām prasībām, minētos izdevumus sedz attiecīgais transporta enerģijas īpašnieks vai valdītājs. Lūdzam anotācijās I sadaļu papildināt ar skaidrojumu, kādus </w:t>
            </w:r>
            <w:r w:rsidRPr="001D7630">
              <w:lastRenderedPageBreak/>
              <w:t xml:space="preserve">izdevumus un kādā veidā segs transporta enerģijas īpašnieks, ja tiks konstatēta kvalitātes neatbilstība. </w:t>
            </w:r>
          </w:p>
          <w:p w14:paraId="4AC21F15" w14:textId="77777777" w:rsidR="00780010" w:rsidRPr="001D7630" w:rsidRDefault="00780010" w:rsidP="00780010">
            <w:pPr>
              <w:rPr>
                <w:b/>
                <w:bCs/>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142F3CC7" w14:textId="77777777" w:rsidR="00780010" w:rsidRPr="001D7630" w:rsidRDefault="00780010" w:rsidP="00780010">
            <w:pPr>
              <w:jc w:val="center"/>
              <w:rPr>
                <w:b/>
                <w:bCs/>
                <w:iCs/>
              </w:rPr>
            </w:pPr>
            <w:r w:rsidRPr="001D7630">
              <w:rPr>
                <w:b/>
                <w:bCs/>
                <w:iCs/>
              </w:rPr>
              <w:lastRenderedPageBreak/>
              <w:t>Ņemts vērā</w:t>
            </w:r>
          </w:p>
          <w:p w14:paraId="733B5117" w14:textId="77777777" w:rsidR="00780010" w:rsidRPr="001D7630" w:rsidRDefault="00780010" w:rsidP="00780010">
            <w:pPr>
              <w:rPr>
                <w:iCs/>
              </w:rPr>
            </w:pPr>
            <w:r w:rsidRPr="001D7630">
              <w:rPr>
                <w:iCs/>
              </w:rPr>
              <w:t>Likumprojekta 4.pantā ir noteikts, kādām kvalitātes prasībām ir jāatbilst transporta enerģijai, vienlaikus šobrīd ir arī spēkā MKN Nr.332 (26.09.2000) un MKN Nr.772 (18.10.2005.), kas nosaka detalizētas degvielas un biodegvielas kvalitātes prasības un šo prasību uzraudzības nosacījumus.</w:t>
            </w:r>
          </w:p>
          <w:p w14:paraId="45A2E567" w14:textId="77777777" w:rsidR="00780010" w:rsidRPr="001D7630" w:rsidRDefault="00780010" w:rsidP="00780010">
            <w:pPr>
              <w:rPr>
                <w:iCs/>
              </w:rPr>
            </w:pPr>
            <w:r w:rsidRPr="001D7630">
              <w:rPr>
                <w:iCs/>
              </w:rPr>
              <w:lastRenderedPageBreak/>
              <w:t>Likumprojekta 4.panta 8.daļā ir noteikts, ka “transporta enerģiju, kas neatbilst šajā likumā un uz tā pamata izdoto normatīvo aktu noteiktām kvalitātes prasībām, pārstrādā vai iznīcina par tās īpašnieka vai valdītāja līdzekļiem”.</w:t>
            </w:r>
          </w:p>
          <w:p w14:paraId="1547789D" w14:textId="77777777" w:rsidR="00780010" w:rsidRPr="001D7630" w:rsidRDefault="00780010" w:rsidP="00780010">
            <w:pPr>
              <w:rPr>
                <w:iCs/>
              </w:rPr>
            </w:pPr>
            <w:r w:rsidRPr="001D7630">
              <w:rPr>
                <w:iCs/>
              </w:rPr>
              <w:t>Līdz ar to ir saprotams, ka par transporta enerģijas īpašnieka vai valdītāja līdzekļiem, gadījumā, ja tiek konstatēts, ka transporta enerģija neatbilst noteiktajām kvalitātes prasībām, tiktu segti transporta enerģijas kvalitātes noteikšanas izdevumi – paraugu ņemšana, laboratorisko analīžu veikšana, kā arī iznīcināšanas izdevumi.</w:t>
            </w:r>
          </w:p>
          <w:p w14:paraId="71EACA7E" w14:textId="77777777" w:rsidR="00780010" w:rsidRPr="001D7630" w:rsidRDefault="00780010" w:rsidP="00780010">
            <w:pPr>
              <w:rPr>
                <w:b/>
                <w:bCs/>
                <w:iCs/>
              </w:rPr>
            </w:pPr>
            <w:r w:rsidRPr="001D7630">
              <w:rPr>
                <w:iCs/>
              </w:rPr>
              <w:t>Vienlaikus norādām, ka šī prasība ir spēkā jau no 2000.gada, kad tika pieņemti MKN Nr.332</w:t>
            </w:r>
          </w:p>
        </w:tc>
        <w:tc>
          <w:tcPr>
            <w:tcW w:w="4291" w:type="dxa"/>
            <w:tcBorders>
              <w:top w:val="single" w:sz="4" w:space="0" w:color="auto"/>
              <w:left w:val="single" w:sz="4" w:space="0" w:color="auto"/>
              <w:bottom w:val="single" w:sz="4" w:space="0" w:color="auto"/>
            </w:tcBorders>
            <w:shd w:val="clear" w:color="auto" w:fill="auto"/>
          </w:tcPr>
          <w:p w14:paraId="57672B19" w14:textId="77777777" w:rsidR="00780010" w:rsidRPr="001D7630" w:rsidRDefault="00780010" w:rsidP="00780010">
            <w:pPr>
              <w:ind w:right="80"/>
              <w:jc w:val="both"/>
            </w:pPr>
            <w:r w:rsidRPr="001D7630">
              <w:lastRenderedPageBreak/>
              <w:t>Likumprojekta anotācijas I. sadaļas 2.punkta sadaļa “</w:t>
            </w:r>
            <w:r w:rsidRPr="001D7630">
              <w:rPr>
                <w:u w:val="single"/>
              </w:rPr>
              <w:t>Likumprojekta 12.pants</w:t>
            </w:r>
            <w:r w:rsidRPr="001D7630">
              <w:t>” ir precizēta</w:t>
            </w:r>
          </w:p>
        </w:tc>
      </w:tr>
      <w:tr w:rsidR="00780010" w:rsidRPr="001D7630" w14:paraId="3101817E"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9500A55"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EA9460F"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5EF1657E" w14:textId="77777777" w:rsidR="00780010" w:rsidRPr="001D7630" w:rsidRDefault="00780010" w:rsidP="00780010">
            <w:pPr>
              <w:jc w:val="center"/>
              <w:rPr>
                <w:b/>
                <w:bCs/>
              </w:rPr>
            </w:pPr>
            <w:r w:rsidRPr="001D7630">
              <w:rPr>
                <w:b/>
                <w:bCs/>
              </w:rPr>
              <w:t>Finanšu ministrija</w:t>
            </w:r>
          </w:p>
          <w:p w14:paraId="6DCF8DE1" w14:textId="77777777" w:rsidR="00780010" w:rsidRPr="001D7630" w:rsidRDefault="00780010" w:rsidP="00780010">
            <w:pPr>
              <w:jc w:val="center"/>
              <w:rPr>
                <w:b/>
                <w:bCs/>
              </w:rPr>
            </w:pPr>
            <w:r w:rsidRPr="001D7630">
              <w:rPr>
                <w:b/>
                <w:bCs/>
              </w:rPr>
              <w:t>(08.01.2021. atzinums)</w:t>
            </w:r>
          </w:p>
          <w:p w14:paraId="4E82DB49" w14:textId="77777777" w:rsidR="00780010" w:rsidRPr="001D7630" w:rsidRDefault="00780010" w:rsidP="00780010">
            <w:pPr>
              <w:jc w:val="both"/>
            </w:pPr>
            <w:r w:rsidRPr="001D7630">
              <w:t xml:space="preserve">8. Anotācijas I sadaļas 2.punkta tabulā ir nepieciešams sniegt aktuālāku informāciju transporta enerģijas aprites cikla SEG emisiju intensitātes samazinājumu (%), enerģijas, kas ražota </w:t>
            </w:r>
            <w:r w:rsidRPr="001D7630">
              <w:lastRenderedPageBreak/>
              <w:t xml:space="preserve">no AER īpatsvars enerģijas bruto gala patēriņā (%) un enerģijas, kas ražota no AER, īpatsvars enerģijas bruto galapatēriņā transportā (%), nevis tikai datus par 2017.gadā sasniegtajiem rezultātiem.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0D2364C0"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21DCDC70"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 xml:space="preserve">Likumprojekta anotācijas </w:t>
            </w:r>
            <w:r w:rsidRPr="001D7630">
              <w:rPr>
                <w:rFonts w:ascii="Times New Roman" w:hAnsi="Times New Roman"/>
                <w:sz w:val="24"/>
                <w:szCs w:val="24"/>
              </w:rPr>
              <w:t>I sadaļas 2.punktā iekļautās tabulas dati ir aktualizēti</w:t>
            </w:r>
          </w:p>
        </w:tc>
      </w:tr>
      <w:tr w:rsidR="00780010" w:rsidRPr="001D7630" w14:paraId="202437CA"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21D17938"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7C2426E4"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11F4F8F5" w14:textId="77777777" w:rsidR="00780010" w:rsidRPr="001D7630" w:rsidRDefault="00780010" w:rsidP="00780010">
            <w:pPr>
              <w:jc w:val="center"/>
              <w:rPr>
                <w:b/>
                <w:bCs/>
              </w:rPr>
            </w:pPr>
            <w:r w:rsidRPr="001D7630">
              <w:rPr>
                <w:b/>
                <w:bCs/>
              </w:rPr>
              <w:t>Finanšu ministrija</w:t>
            </w:r>
          </w:p>
          <w:p w14:paraId="7DFF99DB" w14:textId="77777777" w:rsidR="00780010" w:rsidRPr="001D7630" w:rsidRDefault="00780010" w:rsidP="00780010">
            <w:pPr>
              <w:jc w:val="center"/>
              <w:rPr>
                <w:b/>
                <w:bCs/>
              </w:rPr>
            </w:pPr>
            <w:r w:rsidRPr="001D7630">
              <w:rPr>
                <w:b/>
                <w:bCs/>
              </w:rPr>
              <w:t>(26.03.2021)</w:t>
            </w:r>
          </w:p>
          <w:p w14:paraId="51BE5201" w14:textId="77777777" w:rsidR="00780010" w:rsidRPr="001D7630" w:rsidRDefault="00780010" w:rsidP="00780010">
            <w:pPr>
              <w:jc w:val="both"/>
              <w:rPr>
                <w:lang w:eastAsia="en-US"/>
              </w:rPr>
            </w:pPr>
            <w:r w:rsidRPr="001D7630">
              <w:t xml:space="preserve">1. Anotācijā tiek norādīts, ka </w:t>
            </w:r>
            <w:r w:rsidRPr="001D7630">
              <w:rPr>
                <w:i/>
                <w:iCs/>
              </w:rPr>
              <w:t xml:space="preserve">likumprojekta 6.pantā iekļautā pienākuma izpildei </w:t>
            </w:r>
            <w:r w:rsidRPr="001D7630">
              <w:rPr>
                <w:i/>
                <w:iCs/>
                <w:u w:val="single"/>
              </w:rPr>
              <w:t>netiktu ieskaitīts no dabasgāzes ražota ūdeņraža izmantošana, kas Direktīvas 2019/1161 aptvērumā tiktu pieskaitīts pie 0 CO2 emisiju radošā transportlīdzekļa</w:t>
            </w:r>
            <w:r w:rsidRPr="001D7630">
              <w:rPr>
                <w:i/>
                <w:iCs/>
              </w:rPr>
              <w:t xml:space="preserve">, vienlaikus 6.panta </w:t>
            </w:r>
            <w:r w:rsidRPr="001D7630">
              <w:rPr>
                <w:i/>
                <w:iCs/>
                <w:u w:val="single"/>
              </w:rPr>
              <w:t>izpildē tiktu ieskaitīta biometāna izmantošana, ja biometāna izcelsme tiek pamatota ar izcelsmes apliecinājumu, kas netiek iekļauta  Direktīvas 2019/1161 aptvērumā</w:t>
            </w:r>
            <w:r w:rsidRPr="001D7630">
              <w:rPr>
                <w:i/>
                <w:iCs/>
              </w:rPr>
              <w:t xml:space="preserve">, jo biometāns tiktu izmantots transportlīdzekļos, kuri ir paredzēti dabasgāzes izmantošanai. Tāpat arī </w:t>
            </w:r>
            <w:r w:rsidRPr="001D7630">
              <w:rPr>
                <w:i/>
                <w:iCs/>
                <w:u w:val="single"/>
              </w:rPr>
              <w:t>elektrotransportlīdzekļos izmantotais elektroenerģijas apjoms likumprojekta 6.panta iekļautajā pienākumā iekļautos tiktāl, cik minētā elektroenerģija ir atjaunojamā elektroenerģija</w:t>
            </w:r>
            <w:r w:rsidRPr="001D7630">
              <w:rPr>
                <w:i/>
                <w:iCs/>
              </w:rPr>
              <w:t xml:space="preserve"> (valsts atjaunojamās elektroenerģijas īpatsvars). </w:t>
            </w:r>
          </w:p>
          <w:p w14:paraId="0D5CDC7D" w14:textId="77777777" w:rsidR="00780010" w:rsidRPr="001D7630" w:rsidRDefault="00780010" w:rsidP="00780010">
            <w:pPr>
              <w:jc w:val="both"/>
            </w:pPr>
            <w:r w:rsidRPr="001D7630">
              <w:t xml:space="preserve">Direktīvā 2019/1161 atbilstību tīra transportlīdzekļa definīcijai tiek balstīta M1, M2 vai N1 kategorijas </w:t>
            </w:r>
            <w:r w:rsidRPr="001D7630">
              <w:lastRenderedPageBreak/>
              <w:t xml:space="preserve">transportlīdzekļiem pēc to CO2 emisijas un M3, N2 vai N3 kategorijas transportlīdzekļiem pēc degvielas vai enerģijas avota - alternatīvās degvielām atbilstoši kā definēts Eiropas Parlamenta un Padomes Direktīvas 2014/94/ES par alternatīvo degvielu infrastruktūras ieviešanu 2. panta 1. un 2. punktā, izņemot degvielas, kuras iegūtas no ievadmateriāla, kam raksturīgs augsts netiešās zemes izmantošanas maiņas risks un kam ir novērota ievērojama ražošanas platības izplešanās zemes platībās ar lielu oglekļa uzkrājumu saskaņā ar Eiropas Parlamenta un Padomes Direktīvas (ES) 2018/2001 26. pantu. Līdz ar to, lūdzam precizēt anotācijā norādi, ka ar biometānu darbināms transportlīdzeklis tiek iekļauts  Direktīvas 2019/1161 tvērumā. </w:t>
            </w:r>
          </w:p>
          <w:p w14:paraId="3E835F02" w14:textId="77777777" w:rsidR="00780010" w:rsidRPr="001D7630" w:rsidRDefault="00780010" w:rsidP="00780010">
            <w:pPr>
              <w:jc w:val="both"/>
            </w:pPr>
            <w:r w:rsidRPr="001D7630">
              <w:t xml:space="preserve">Tāpat lūdzam precizēt un papildināt informāciju par ūdeņraža izmantošanu transportlīdzekļos. No anotācijā ietvertā skaidrojuma izriet, ka, ja pasūtītājs izpildot prasības par tīru transportlīdzekļu iegādi, iegādājas transportlīdzekli, kas darbināms ar ūdeņradi, tas izpilda Direktīvas 2019/1161 prasības attiecībā uz tīru transportlīdzekli, bet netiek iekļauts šī likuma pienākuma izpildē. Ņemot vērā, ka atbilstību Direktīvas 2019/1161 prasībām M3, N2 vai N3 kategorijas </w:t>
            </w:r>
            <w:r w:rsidRPr="001D7630">
              <w:lastRenderedPageBreak/>
              <w:t>transportlīdzekļiem nosaka pēc to degvielas/enerģijas avota veida, bet atbilstību šī likuma prasībām nosaka atbilstība noteiktam enerģijas iegūšanas veidam t.i. ka tā ir atjaunojamā enerģija, tai skaitā atjaunojamā elektroenerģija, lūdzam papildināt anotāciju ar skaidrojumu par to vai visi ar ūdeņradi darbināmi transportlīdzekļi netiek iekļauts šī likuma pienākuma izpildē vai tikai tie, kas izmanto ūdeņradi, kas ražots no dabasgāzes. Papildus aicinām ietvert informāciju par to vai Latvijā ir pieejami dažādi uzpildes staciju veidi ar dažādas izcelsmes ūdeņražiem, kā arī kā pasūtītājiem iegādājoties ar ūdeņradi darbināmu transportlīdzekli būtu jānosaka prasības, lai tas atbilstu, gan tīra transportlīdzekļa definīcijai, gan tiktu ieskaitīts šī likuma pienākuma izpildē.</w:t>
            </w:r>
          </w:p>
          <w:p w14:paraId="50E0A106" w14:textId="77777777" w:rsidR="00780010" w:rsidRPr="001D7630" w:rsidRDefault="00780010" w:rsidP="00780010">
            <w:pPr>
              <w:jc w:val="both"/>
            </w:pPr>
            <w:r w:rsidRPr="001D7630">
              <w:t xml:space="preserve">Tāpat lūdzam sniegt skaidrojumu attiecībā uz minēto, ka elektrotransportlīdzekļos izmantotais elektroenerģijas apjoms likumprojekta 6.panta iekļautajā pienākumā iekļautos tiktāl, cik minētā elektroenerģija ir atjaunojamā elektroenerģija. Kā šādā gadījumā tiktu noteikta atbilstība  likumā iekļautajam pienākumam un kā pasūtītājiem, kuri iegādājas elektrotransportlīdzekļus nodrošināt, ka tie izpilda ne tikai Direktīvas 2019/1161 </w:t>
            </w:r>
            <w:r w:rsidRPr="001D7630">
              <w:lastRenderedPageBreak/>
              <w:t>prasības, bet arī likumā minētos pienākumus.</w:t>
            </w:r>
          </w:p>
          <w:p w14:paraId="548E4017" w14:textId="77777777" w:rsidR="00780010" w:rsidRPr="001D7630" w:rsidRDefault="00780010" w:rsidP="00780010">
            <w:pPr>
              <w:jc w:val="both"/>
            </w:pPr>
            <w:r w:rsidRPr="001D7630">
              <w:t>Papildus aicinām anotācijā ietvert detalizētu skaidrojumu par iespējām uzpildīties un izmantot transportlīdzekļos atjaunojamo enerģiju, lai nodrošinātu atbilstību likuma prasībām.</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03D952F" w14:textId="77777777" w:rsidR="00780010" w:rsidRPr="001D7630" w:rsidRDefault="00780010" w:rsidP="00780010">
            <w:pPr>
              <w:jc w:val="center"/>
              <w:rPr>
                <w:b/>
                <w:bCs/>
                <w:iCs/>
              </w:rPr>
            </w:pPr>
            <w:r w:rsidRPr="001D7630">
              <w:rPr>
                <w:b/>
                <w:bCs/>
                <w:iCs/>
              </w:rPr>
              <w:lastRenderedPageBreak/>
              <w:t>Ņemts vērā</w:t>
            </w:r>
          </w:p>
          <w:p w14:paraId="05911C52" w14:textId="77777777" w:rsidR="00780010" w:rsidRPr="001D7630" w:rsidRDefault="00780010" w:rsidP="00780010">
            <w:pPr>
              <w:rPr>
                <w:b/>
                <w:bCs/>
                <w:iCs/>
              </w:rPr>
            </w:pPr>
          </w:p>
          <w:p w14:paraId="2AF82D2A" w14:textId="77777777" w:rsidR="00780010" w:rsidRPr="001D7630" w:rsidRDefault="00780010" w:rsidP="00780010">
            <w:pPr>
              <w:rPr>
                <w:iCs/>
              </w:rPr>
            </w:pPr>
            <w:r w:rsidRPr="001D7630">
              <w:rPr>
                <w:iCs/>
              </w:rPr>
              <w:t>Visas atsauces uz Direktīvu 2019/1161 likumprojekta anotācijā ir svītrota.</w:t>
            </w:r>
          </w:p>
          <w:p w14:paraId="0DE960A7" w14:textId="77777777" w:rsidR="00780010" w:rsidRPr="001D7630" w:rsidRDefault="00780010" w:rsidP="00780010">
            <w:pPr>
              <w:rPr>
                <w:iCs/>
              </w:rPr>
            </w:pPr>
            <w:r w:rsidRPr="001D7630">
              <w:rPr>
                <w:iCs/>
              </w:rPr>
              <w:t>Ir iekļauta informācija par NEKP2030 pasākumiem, kuru izpildei ir izstrādāts likumprojekta 6.pants</w:t>
            </w:r>
          </w:p>
        </w:tc>
        <w:tc>
          <w:tcPr>
            <w:tcW w:w="4291" w:type="dxa"/>
            <w:tcBorders>
              <w:top w:val="single" w:sz="4" w:space="0" w:color="auto"/>
              <w:left w:val="single" w:sz="4" w:space="0" w:color="auto"/>
              <w:bottom w:val="single" w:sz="4" w:space="0" w:color="auto"/>
            </w:tcBorders>
            <w:shd w:val="clear" w:color="auto" w:fill="auto"/>
          </w:tcPr>
          <w:p w14:paraId="4D2DA994"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6.panta 1.daļas 2.punkts ir precizēts.</w:t>
            </w:r>
          </w:p>
          <w:p w14:paraId="6BCF7478"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p w14:paraId="10B41A68" w14:textId="77777777" w:rsidR="00780010" w:rsidRPr="001D7630" w:rsidRDefault="00780010" w:rsidP="00780010">
            <w:pPr>
              <w:ind w:right="80"/>
              <w:jc w:val="both"/>
            </w:pPr>
            <w:r w:rsidRPr="001D7630">
              <w:t>Likumprojekta anotācijas I sadaļas 2.punkta sadaļa “</w:t>
            </w:r>
            <w:r w:rsidRPr="001D7630">
              <w:rPr>
                <w:u w:val="single"/>
              </w:rPr>
              <w:t>Likumprojekta 6.pants</w:t>
            </w:r>
            <w:r w:rsidRPr="001D7630">
              <w:t>” ir precizēta, tajā iekļaujot prasīto informāciju</w:t>
            </w:r>
          </w:p>
          <w:p w14:paraId="6865B02A"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r>
      <w:tr w:rsidR="00780010" w:rsidRPr="001D7630" w14:paraId="729D4A25"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287D15E1"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61BD15E1"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2DFD3AF8" w14:textId="77777777" w:rsidR="00780010" w:rsidRPr="001D7630" w:rsidRDefault="00780010" w:rsidP="00780010">
            <w:pPr>
              <w:jc w:val="center"/>
              <w:rPr>
                <w:b/>
                <w:bCs/>
              </w:rPr>
            </w:pPr>
            <w:r w:rsidRPr="001D7630">
              <w:rPr>
                <w:b/>
                <w:bCs/>
              </w:rPr>
              <w:t>Finanšu ministrija</w:t>
            </w:r>
          </w:p>
          <w:p w14:paraId="66CC1AF3" w14:textId="77777777" w:rsidR="00780010" w:rsidRPr="001D7630" w:rsidRDefault="00780010" w:rsidP="00780010">
            <w:pPr>
              <w:jc w:val="center"/>
              <w:rPr>
                <w:b/>
                <w:bCs/>
              </w:rPr>
            </w:pPr>
            <w:r w:rsidRPr="001D7630">
              <w:rPr>
                <w:b/>
                <w:bCs/>
              </w:rPr>
              <w:t>(26.03.2021.)</w:t>
            </w:r>
          </w:p>
          <w:p w14:paraId="3F32DAD5" w14:textId="77777777" w:rsidR="00780010" w:rsidRPr="001D7630" w:rsidRDefault="00780010" w:rsidP="00780010">
            <w:pPr>
              <w:jc w:val="both"/>
            </w:pPr>
            <w:r w:rsidRPr="001D7630">
              <w:t xml:space="preserve">4. Atkārtoti lūdzam papildināt anotācijas I sadaļu ar skaidrojumu par likumprojekta 12.panta otras daļas piemērošanu, norādot kādā veidā ar transporta enerģijas kvalitātes uzraudzību saistītos izdevumus segs transporta enerģijas īpašnieks, ja tiks konstatēta kvalitātes neatbilstība.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1D01EF34" w14:textId="77777777" w:rsidR="00780010" w:rsidRPr="001D7630" w:rsidRDefault="00780010" w:rsidP="00780010">
            <w:pPr>
              <w:jc w:val="center"/>
              <w:rPr>
                <w:b/>
                <w:bCs/>
                <w:iCs/>
              </w:rPr>
            </w:pPr>
            <w:r w:rsidRPr="001D7630">
              <w:rPr>
                <w:b/>
                <w:bCs/>
                <w:iCs/>
              </w:rPr>
              <w:t>Ņemts vērā</w:t>
            </w:r>
          </w:p>
          <w:p w14:paraId="6E425EDA" w14:textId="77777777" w:rsidR="00780010" w:rsidRPr="001D7630" w:rsidRDefault="00780010" w:rsidP="00780010">
            <w:pPr>
              <w:rPr>
                <w:iCs/>
              </w:rPr>
            </w:pPr>
          </w:p>
        </w:tc>
        <w:tc>
          <w:tcPr>
            <w:tcW w:w="4291" w:type="dxa"/>
            <w:tcBorders>
              <w:top w:val="single" w:sz="4" w:space="0" w:color="auto"/>
              <w:left w:val="single" w:sz="4" w:space="0" w:color="auto"/>
              <w:bottom w:val="single" w:sz="4" w:space="0" w:color="auto"/>
            </w:tcBorders>
            <w:shd w:val="clear" w:color="auto" w:fill="auto"/>
          </w:tcPr>
          <w:p w14:paraId="033DBD8C" w14:textId="77777777" w:rsidR="00780010" w:rsidRPr="001D7630" w:rsidRDefault="00780010" w:rsidP="00780010">
            <w:pPr>
              <w:ind w:right="80"/>
              <w:jc w:val="both"/>
            </w:pPr>
            <w:r w:rsidRPr="001D7630">
              <w:t>Likumprojekta anotācijas I sadaļas 2.punkta sadaļa “</w:t>
            </w:r>
            <w:r w:rsidRPr="001D7630">
              <w:rPr>
                <w:u w:val="single"/>
              </w:rPr>
              <w:t>Likumprojekta 12.pants</w:t>
            </w:r>
            <w:r w:rsidRPr="001D7630">
              <w:t>” ir papildināta ar prasīto informāciju.</w:t>
            </w:r>
          </w:p>
        </w:tc>
      </w:tr>
      <w:tr w:rsidR="00780010" w:rsidRPr="001D7630" w14:paraId="1FBE8250"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173266AE"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0399E7B9"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425B54C3" w14:textId="77777777" w:rsidR="00780010" w:rsidRPr="001D7630" w:rsidRDefault="00780010" w:rsidP="00780010">
            <w:pPr>
              <w:jc w:val="center"/>
              <w:rPr>
                <w:b/>
                <w:bCs/>
              </w:rPr>
            </w:pPr>
            <w:r w:rsidRPr="001D7630">
              <w:rPr>
                <w:b/>
                <w:bCs/>
              </w:rPr>
              <w:t>Finanšu ministrija</w:t>
            </w:r>
          </w:p>
          <w:p w14:paraId="44CF8B4A" w14:textId="77777777" w:rsidR="00780010" w:rsidRPr="001D7630" w:rsidRDefault="00780010" w:rsidP="00780010">
            <w:pPr>
              <w:jc w:val="center"/>
              <w:rPr>
                <w:b/>
                <w:bCs/>
              </w:rPr>
            </w:pPr>
            <w:r w:rsidRPr="001D7630">
              <w:rPr>
                <w:b/>
                <w:bCs/>
              </w:rPr>
              <w:t>(08.01.2021. atzinums)</w:t>
            </w:r>
          </w:p>
          <w:p w14:paraId="691F768A" w14:textId="77777777" w:rsidR="00780010" w:rsidRPr="001D7630" w:rsidRDefault="00780010" w:rsidP="00780010">
            <w:pPr>
              <w:tabs>
                <w:tab w:val="left" w:pos="851"/>
              </w:tabs>
              <w:jc w:val="both"/>
            </w:pPr>
            <w:r w:rsidRPr="001D7630">
              <w:t xml:space="preserve">6. Likumprojektā iekļauti nosacījumi, kas paredz pilsētu pašvaldībām nodrošināt noteiktu apjomu atjaunojamās transporta enerģijas un/vai atjaunojamo elektroenerģijas pilsētu sabiedriskajā transportā, kā arī nodrošināt, ka publiskajos iepirkumos, iegādājoties sabiedriskā transporta transportlīdzekļus, 50% no tiem ir ar atjaunojamo enerģiju darbināmi transportlīdzekļi. Anotācijas 23.lpp. ir minēts, ka šo nosacījumu izpildei attiecīgo pilsētu pašvaldībām būs nepieciešami papildu finanšu līdzekļi. </w:t>
            </w:r>
            <w:r w:rsidRPr="001D7630">
              <w:lastRenderedPageBreak/>
              <w:t xml:space="preserve">Tāpat ir norādīts, ka atbalsta programmas izveide šādu pasākumu līdzfinansēšanai no valstij piešķirto emisijas kvotu izsolīšanas iegūtajiem finanšu līdzekļiem ir noteikta “Latvijas Nacionālajā enerģētikas un klimata plānā 2021. – 2030.gadam”, kur kā iespējamie finanšu avoti ir minēti ES fondi, valsts budžets (t.sk. Emisijas kvotu izsolīšanas instruments un Modernizācijas fonds) un privātais finansējums. Ņemot vērā iepriekš minēto, lūdzam sniegt skaidrojumu, vai nosacījumu izpildē pašvaldības piedalās kā līdzfinansētājs citu finanšu instrumentu ietvaros. Vienlaikus norādām, ka par likumprojektā ietvertajiem nosacījumiem, kas saistīti ar pilsētās izmantojamiem transportlīdzekļiem, būtisks ir Latvijas Pašvaldības savienības viedoklis.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713721B" w14:textId="77777777" w:rsidR="00780010" w:rsidRPr="001D7630" w:rsidRDefault="00780010" w:rsidP="00780010">
            <w:pPr>
              <w:jc w:val="center"/>
              <w:rPr>
                <w:b/>
                <w:bCs/>
                <w:iCs/>
              </w:rPr>
            </w:pPr>
            <w:r w:rsidRPr="001D7630">
              <w:rPr>
                <w:b/>
                <w:bCs/>
                <w:iCs/>
              </w:rPr>
              <w:lastRenderedPageBreak/>
              <w:t>Ņemts vērā</w:t>
            </w:r>
          </w:p>
          <w:p w14:paraId="400D7E2E" w14:textId="77777777" w:rsidR="00780010" w:rsidRPr="001D7630" w:rsidRDefault="00780010" w:rsidP="00780010">
            <w:pPr>
              <w:rPr>
                <w:iCs/>
              </w:rPr>
            </w:pPr>
            <w:r w:rsidRPr="001D7630">
              <w:rPr>
                <w:iCs/>
              </w:rPr>
              <w:t>Skaidrojam, ka finansējuma, kas iegūts no emisijas kvotu izsolīšanas, izmantošanas nosacījumi ir noteikti likuma “Par piesārņojumu” 32.</w:t>
            </w:r>
            <w:r w:rsidRPr="001D7630">
              <w:rPr>
                <w:iCs/>
                <w:vertAlign w:val="superscript"/>
              </w:rPr>
              <w:t>2</w:t>
            </w:r>
            <w:r w:rsidRPr="001D7630">
              <w:rPr>
                <w:iCs/>
              </w:rPr>
              <w:t xml:space="preserve"> pantā. Vienlaikus Modernizācijas fonda izmantošanas nosacījumi tiks noteikti līdz šī gada 1.jūlijam, ņemot vērā informatīvajā ziņojumā "Par Modernizācijas fonda ieviešanu" </w:t>
            </w:r>
            <w:r w:rsidRPr="001D7630">
              <w:rPr>
                <w:iCs/>
              </w:rPr>
              <w:lastRenderedPageBreak/>
              <w:t>(</w:t>
            </w:r>
            <w:hyperlink r:id="rId18" w:history="1">
              <w:r w:rsidRPr="001D7630">
                <w:rPr>
                  <w:rStyle w:val="Hyperlink"/>
                </w:rPr>
                <w:t>http://polsis.mk.gov.lv/documents/6948</w:t>
              </w:r>
            </w:hyperlink>
            <w:r w:rsidRPr="001D7630">
              <w:rPr>
                <w:iCs/>
              </w:rPr>
              <w:t xml:space="preserve">) </w:t>
            </w:r>
          </w:p>
        </w:tc>
        <w:tc>
          <w:tcPr>
            <w:tcW w:w="4291" w:type="dxa"/>
            <w:tcBorders>
              <w:top w:val="single" w:sz="4" w:space="0" w:color="auto"/>
              <w:left w:val="single" w:sz="4" w:space="0" w:color="auto"/>
              <w:bottom w:val="single" w:sz="4" w:space="0" w:color="auto"/>
            </w:tcBorders>
            <w:shd w:val="clear" w:color="auto" w:fill="auto"/>
          </w:tcPr>
          <w:p w14:paraId="60AE74AA"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r>
      <w:tr w:rsidR="00780010" w:rsidRPr="001D7630" w14:paraId="37881AA5"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6A9A07C2"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32288F5E"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5910E695" w14:textId="77777777" w:rsidR="00780010" w:rsidRPr="001D7630" w:rsidRDefault="00780010" w:rsidP="00780010">
            <w:pPr>
              <w:jc w:val="center"/>
              <w:rPr>
                <w:b/>
                <w:bCs/>
              </w:rPr>
            </w:pPr>
            <w:r w:rsidRPr="001D7630">
              <w:rPr>
                <w:b/>
                <w:bCs/>
              </w:rPr>
              <w:t>Finanšu ministrija</w:t>
            </w:r>
          </w:p>
          <w:p w14:paraId="786ACF5F" w14:textId="77777777" w:rsidR="00780010" w:rsidRPr="001D7630" w:rsidRDefault="00780010" w:rsidP="00780010">
            <w:pPr>
              <w:jc w:val="center"/>
              <w:rPr>
                <w:b/>
                <w:bCs/>
              </w:rPr>
            </w:pPr>
            <w:r w:rsidRPr="001D7630">
              <w:rPr>
                <w:b/>
                <w:bCs/>
              </w:rPr>
              <w:t>(08.01.2021. atzinums)</w:t>
            </w:r>
          </w:p>
          <w:p w14:paraId="34A26945" w14:textId="77777777" w:rsidR="00780010" w:rsidRPr="001D7630" w:rsidRDefault="00780010" w:rsidP="00780010">
            <w:pPr>
              <w:jc w:val="both"/>
            </w:pPr>
            <w:r w:rsidRPr="001D7630">
              <w:t xml:space="preserve">7. Lūdzam precizēt anotācijas III sadaļas “Tiesību akta projekta ietekme uz valsts budžetu un pašvaldību budžetiem” 3.punktā (Uzlādes punktu vai uzpildes punktu (dabasgāzes un ūdeņraža) izveide) norādīto informāciju attiecībā uz plānoto Eiropas Savienības struktūrfondu un Kohēzijas fonda finansējuma piesaisti papildus elektrotransportlīdzekļu (turpmāk – </w:t>
            </w:r>
            <w:r w:rsidRPr="001D7630">
              <w:lastRenderedPageBreak/>
              <w:t xml:space="preserve">ETL) uzlādes punktu un jaunu sašķidrinātās dabasgāzes un saspiestās dabasgāzes uzpildes punktu izveidei. Ņemot vērā šobrīd Finanšu ministrijas rīcībā esošo informāciju, darbības programmas Latvijai 2021.-2027.gadam ietvaros investīciju novirzīšana šādām aktivitātēm netiek plānota. Tāpat joprojām turpinās diskusijas par to, kādas aktivitātes iekļaut finansēšanai no Eiropas Atveseļošanas un noturības mehānisma finansējuma (turpmāk – RRF), līdz ar to, nav vēl zināms, vai kāda no minētajām aktivitātēm tiks atbalstīta RRF ietvaros. </w:t>
            </w:r>
          </w:p>
          <w:p w14:paraId="55AD5C59" w14:textId="77777777" w:rsidR="00780010" w:rsidRPr="001D7630" w:rsidRDefault="00780010" w:rsidP="00780010">
            <w:pPr>
              <w:ind w:firstLine="567"/>
              <w:jc w:val="both"/>
            </w:pPr>
            <w:r w:rsidRPr="001D7630">
              <w:t xml:space="preserve">Vienlaikus vēršam uzmanību, ka attiecībā uz plānoto investīciju piesaisti papildus ETL uzlādes punktu un jaunu sašķidrinātās dabasgāzes un saspiestās dabasgāzes uzpildes punktu izveidei, nepieciešams Satiksmes ministrijas (turpmāk – SM) viedoklis. Ņemot vērā to, ka SM ir par transporta jomu atbildīgā nozares ministrija, kuras kompetencē ietilpst transporta nozares uzraudzība, attīstība, ieguldījumu plānošana, u.c., SM varētu sniegt aktuālo informāciju attiecībā uz investīciju plāniem konkrēto aktivitāšu īstenošanā, kā arī finansējuma avotiem, kādus plānots izmantot.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6BCABD4" w14:textId="77777777" w:rsidR="00780010" w:rsidRPr="001D7630" w:rsidRDefault="00780010" w:rsidP="00780010">
            <w:pPr>
              <w:jc w:val="center"/>
              <w:rPr>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3F18DAA1"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Anotācijas III sadaļas 6.2.apakšpunkta 3.punkts ir precizēts</w:t>
            </w:r>
          </w:p>
        </w:tc>
      </w:tr>
      <w:tr w:rsidR="00780010" w:rsidRPr="001D7630" w14:paraId="442F33E7" w14:textId="77777777" w:rsidTr="005D0902">
        <w:trPr>
          <w:jc w:val="center"/>
        </w:trPr>
        <w:tc>
          <w:tcPr>
            <w:tcW w:w="637" w:type="dxa"/>
            <w:vMerge w:val="restart"/>
            <w:tcBorders>
              <w:top w:val="single" w:sz="6" w:space="0" w:color="000000"/>
              <w:left w:val="single" w:sz="6" w:space="0" w:color="000000"/>
              <w:right w:val="single" w:sz="6" w:space="0" w:color="000000"/>
            </w:tcBorders>
            <w:shd w:val="clear" w:color="auto" w:fill="auto"/>
          </w:tcPr>
          <w:p w14:paraId="7B7302B4" w14:textId="77777777" w:rsidR="00780010" w:rsidRPr="001D7630" w:rsidRDefault="00780010" w:rsidP="00780010">
            <w:pPr>
              <w:pStyle w:val="naisc"/>
              <w:numPr>
                <w:ilvl w:val="0"/>
                <w:numId w:val="16"/>
              </w:numPr>
              <w:spacing w:before="0" w:after="0"/>
              <w:ind w:left="0" w:firstLine="0"/>
              <w:rPr>
                <w:b/>
              </w:rPr>
            </w:pPr>
          </w:p>
        </w:tc>
        <w:tc>
          <w:tcPr>
            <w:tcW w:w="3041" w:type="dxa"/>
            <w:vMerge w:val="restart"/>
            <w:tcBorders>
              <w:top w:val="single" w:sz="6" w:space="0" w:color="000000"/>
              <w:left w:val="single" w:sz="6" w:space="0" w:color="000000"/>
              <w:right w:val="single" w:sz="6" w:space="0" w:color="000000"/>
            </w:tcBorders>
            <w:shd w:val="clear" w:color="auto" w:fill="auto"/>
          </w:tcPr>
          <w:p w14:paraId="063BC0A2"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r w:rsidRPr="001D7630">
              <w:rPr>
                <w:rFonts w:ascii="Times New Roman" w:hAnsi="Times New Roman"/>
                <w:color w:val="000000" w:themeColor="text1"/>
                <w:sz w:val="24"/>
                <w:szCs w:val="24"/>
                <w:lang w:eastAsia="lv-LV"/>
              </w:rPr>
              <w:t>Anotācijas III sadaļa</w:t>
            </w: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3D59C977" w14:textId="77777777" w:rsidR="00780010" w:rsidRPr="001D7630" w:rsidRDefault="00780010" w:rsidP="00780010">
            <w:pPr>
              <w:jc w:val="center"/>
              <w:rPr>
                <w:b/>
                <w:bCs/>
              </w:rPr>
            </w:pPr>
            <w:r w:rsidRPr="001D7630">
              <w:rPr>
                <w:b/>
                <w:bCs/>
              </w:rPr>
              <w:t>Finanšu ministrija</w:t>
            </w:r>
          </w:p>
          <w:p w14:paraId="3892A010" w14:textId="77777777" w:rsidR="00780010" w:rsidRPr="001D7630" w:rsidRDefault="00780010" w:rsidP="00780010">
            <w:pPr>
              <w:jc w:val="center"/>
              <w:rPr>
                <w:b/>
                <w:bCs/>
              </w:rPr>
            </w:pPr>
            <w:r w:rsidRPr="001D7630">
              <w:rPr>
                <w:b/>
                <w:bCs/>
              </w:rPr>
              <w:t>(08.01.2021. atzinums)</w:t>
            </w:r>
          </w:p>
          <w:p w14:paraId="6C136ABD" w14:textId="77777777" w:rsidR="00780010" w:rsidRPr="001D7630" w:rsidRDefault="00780010" w:rsidP="00780010">
            <w:pPr>
              <w:jc w:val="both"/>
              <w:rPr>
                <w:b/>
                <w:bCs/>
              </w:rPr>
            </w:pPr>
            <w:r w:rsidRPr="001D7630">
              <w:lastRenderedPageBreak/>
              <w:t xml:space="preserve">1. Nav atbalstāma tādu likumprojektu virzība, kuru izpilde var netikt nodrošināta nepietiekamā finansējuma dēļ, līdz ar to uzskatām, ka likumprojekts virzāms tikai tad, ja tajā paredzēto pasākumu īstenošanu iesaistītās institūcijas var nodrošināt tām piešķirto valsts budžeta līdzekļu ietvaros, tajā skaitā Ekonomikas ministrija anotācijas III sadaļā norādītos 2022.gadā un turpmāk ik gadu 35 682 euro, vai pēc tam, kad 2022.gada valsts budžeta sagatavošanas procesā Ministru kabinetā ir atbalstīta papildu finansējuma piešķiršana. </w:t>
            </w:r>
          </w:p>
        </w:tc>
        <w:tc>
          <w:tcPr>
            <w:tcW w:w="2976" w:type="dxa"/>
            <w:vMerge w:val="restart"/>
            <w:tcBorders>
              <w:top w:val="single" w:sz="6" w:space="0" w:color="000000"/>
              <w:left w:val="single" w:sz="6" w:space="0" w:color="000000"/>
              <w:right w:val="single" w:sz="6" w:space="0" w:color="000000"/>
            </w:tcBorders>
            <w:shd w:val="clear" w:color="auto" w:fill="auto"/>
          </w:tcPr>
          <w:p w14:paraId="3FF2C833" w14:textId="77777777" w:rsidR="00780010" w:rsidRPr="001D7630" w:rsidRDefault="00780010" w:rsidP="00780010">
            <w:pPr>
              <w:jc w:val="center"/>
              <w:rPr>
                <w:b/>
                <w:bCs/>
              </w:rPr>
            </w:pPr>
            <w:r w:rsidRPr="001D7630">
              <w:rPr>
                <w:b/>
                <w:bCs/>
              </w:rPr>
              <w:lastRenderedPageBreak/>
              <w:t>Panākta vienošanās starpministriju saskaņošanas sanāksmē</w:t>
            </w:r>
          </w:p>
          <w:p w14:paraId="5FF729F6" w14:textId="77777777" w:rsidR="00780010" w:rsidRPr="001D7630" w:rsidRDefault="00780010" w:rsidP="00780010"/>
          <w:p w14:paraId="2811AF9D" w14:textId="77777777" w:rsidR="00780010" w:rsidRPr="001D7630" w:rsidRDefault="00780010" w:rsidP="00780010">
            <w:r w:rsidRPr="001D7630">
              <w:t>Informējam, ka Latvija ir piekritusi klimata ambīciju palielināšanai un Ministru kabinets ir apstiprinājis jau vairākas pozīcijas, kuras atbalstīja arī finanšu ministrs, bet iebildumus pauda ekonomikas, satiksmes un zemkopības ministri, ar kurām Latvija atbalsta klimata pārmaiņu mazināšanas mērķu palielināšanu. Norādām, ka šāda atbalsta izteikšanai netika vērtēts, vai ir pieejams finansējums mērķu sasniegšanai, līdz ar to ir secināms, ka minētie mērķi ir jāsasniedz jebkurā gadījumā, neskatoties uz finansējuma pieejamību vai finansējuma apjoma un avotu noteikšanu.</w:t>
            </w:r>
          </w:p>
          <w:p w14:paraId="498AED6E" w14:textId="77777777" w:rsidR="00780010" w:rsidRPr="001D7630" w:rsidRDefault="00780010" w:rsidP="00780010">
            <w:r w:rsidRPr="001D7630">
              <w:t xml:space="preserve">Norādām, ka Latvijai noteiktie saistošie mērķi, kurus ir atbalstījis arī FM, ir noteikti valstij kopumā, līdz ar to nav atbalstāms, ka valstij noteikto mērķu sasniegšana būtu veicama </w:t>
            </w:r>
            <w:r w:rsidRPr="001D7630">
              <w:lastRenderedPageBreak/>
              <w:t>tikai vienas ministrijas budžeta ietvaros, īpaši ja tie ir starpnozaru mērķi. Valsts mērķu sasniegšanai ieguldījums ir jānodrošina gan pašvaldībām, gan komersantiem.</w:t>
            </w:r>
          </w:p>
          <w:p w14:paraId="71C3752B" w14:textId="77777777" w:rsidR="00780010" w:rsidRPr="001D7630" w:rsidRDefault="00780010" w:rsidP="00780010"/>
          <w:p w14:paraId="7272D526" w14:textId="77777777" w:rsidR="00780010" w:rsidRPr="001D7630" w:rsidRDefault="00780010" w:rsidP="00780010">
            <w:r w:rsidRPr="001D7630">
              <w:rPr>
                <w:iCs/>
              </w:rPr>
              <w:t>Saskaņā ar</w:t>
            </w:r>
            <w:r w:rsidRPr="001D7630">
              <w:rPr>
                <w:b/>
                <w:bCs/>
                <w:iCs/>
              </w:rPr>
              <w:t xml:space="preserve"> </w:t>
            </w:r>
            <w:r w:rsidRPr="001D7630">
              <w:t>2009.gada 15.decembra instrukcijas Nr.19 “Tiesību akta projekta sākotnējās ietekmes izvērtēšanas kārtība” un saskaņā ar vidējā termiņa budžeta ietvara veidošanas nosacījumi, valsts budžeta līdzekļu izlietojumu var plānot 3 gadu perioda, bet likumprojekta 5. un 6.pantā iekļautie pienākumi un mērķi ir noteikti 2030.gadam, kuru izpilde arī var tikt veikta tikai 2030.gadā, piemēram, pašvaldības 6.pantā iekļauto mērķi var sasniegt īstenojot pasākumus tikai 2030.gadā nevis iepriekšējos gados.</w:t>
            </w:r>
          </w:p>
          <w:p w14:paraId="3A680D9D" w14:textId="77777777" w:rsidR="00780010" w:rsidRPr="001D7630" w:rsidRDefault="00780010" w:rsidP="00780010"/>
          <w:p w14:paraId="44DF0EC9" w14:textId="77777777" w:rsidR="00780010" w:rsidRPr="001D7630" w:rsidRDefault="00780010" w:rsidP="00780010">
            <w:r w:rsidRPr="001D7630">
              <w:t xml:space="preserve">ES struktūrfonda finansējuma pārdala tiek veikta citos politikas plānošanas dokumentus un tiesību aktos, piemēram </w:t>
            </w:r>
            <w:r w:rsidRPr="001D7630">
              <w:lastRenderedPageBreak/>
              <w:t>Nacionālais attīstības plāns un Eiropas Savienības struktūrfondu un Kohēzijas fonda konkrētā plānošanas perioda vadības likums. Lai gan šajā plānošanas periodā atbalsts no ES struktūrfondiem likumprojekta 5. un 6.pantā iekļauto nosacījumu izpildei nav ieplānots tiešā veidā, šāds atbalsts uz likumprojekta pamata varētu tikt ieplānots daudzgadu budžeta plānošanas periodā pēc 2027.gadam, jo likumprojekta 5. un 6.pantā noteiktie pienākumi un mērķi ir jāsasniedz 2030.gadā.</w:t>
            </w:r>
          </w:p>
          <w:p w14:paraId="3C470B30" w14:textId="77777777" w:rsidR="00780010" w:rsidRPr="001D7630" w:rsidRDefault="00780010" w:rsidP="00780010"/>
          <w:p w14:paraId="0C8505EF" w14:textId="77777777" w:rsidR="00780010" w:rsidRPr="001D7630" w:rsidRDefault="00780010" w:rsidP="00780010">
            <w:r w:rsidRPr="001D7630">
              <w:t>Finansējumu no emisijas kvotu izsolīšanas (klimata finansējums) šobrīd likumprojekta anotācijā periodā līdz 2023.-2024.gadam nav iespējams saplānot, jo vēl notiek darbs un diskusijas pie nosacījumu izpildes, bet šis finansējums kā iespējamais pieejamais finansējums ir iekļauts likumprojekta anotācijā.</w:t>
            </w:r>
          </w:p>
          <w:p w14:paraId="66415EF7" w14:textId="77777777" w:rsidR="00780010" w:rsidRPr="001D7630" w:rsidRDefault="00780010" w:rsidP="00780010"/>
          <w:p w14:paraId="74E50BF5" w14:textId="77777777" w:rsidR="00780010" w:rsidRPr="001D7630" w:rsidRDefault="00780010" w:rsidP="00780010">
            <w:pPr>
              <w:jc w:val="both"/>
              <w:rPr>
                <w:iCs/>
              </w:rPr>
            </w:pPr>
            <w:r w:rsidRPr="001D7630">
              <w:lastRenderedPageBreak/>
              <w:t>Norādām, ka šobrīd nav izstrādāti nosacījumi un nav spēkā normatīvais regulējums, kā detalizēti un konkrēti veikt 10-gadu perioda finansējuma plānošanu.</w:t>
            </w:r>
          </w:p>
        </w:tc>
        <w:tc>
          <w:tcPr>
            <w:tcW w:w="4291" w:type="dxa"/>
            <w:vMerge w:val="restart"/>
            <w:tcBorders>
              <w:top w:val="single" w:sz="4" w:space="0" w:color="auto"/>
              <w:left w:val="single" w:sz="4" w:space="0" w:color="auto"/>
            </w:tcBorders>
            <w:shd w:val="clear" w:color="auto" w:fill="auto"/>
          </w:tcPr>
          <w:p w14:paraId="1208BB3B" w14:textId="77777777" w:rsidR="00780010" w:rsidRPr="001D7630" w:rsidRDefault="00780010" w:rsidP="00780010">
            <w:pPr>
              <w:rPr>
                <w:iCs/>
              </w:rPr>
            </w:pPr>
            <w:r w:rsidRPr="001D7630">
              <w:rPr>
                <w:iCs/>
              </w:rPr>
              <w:lastRenderedPageBreak/>
              <w:t>Likumprojekta anotācijas III sadaļas 8.punkts ir precizēts</w:t>
            </w:r>
          </w:p>
          <w:p w14:paraId="74037868"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r>
      <w:tr w:rsidR="00780010" w:rsidRPr="001D7630" w14:paraId="408A6B27" w14:textId="77777777" w:rsidTr="005D0902">
        <w:trPr>
          <w:jc w:val="center"/>
        </w:trPr>
        <w:tc>
          <w:tcPr>
            <w:tcW w:w="637" w:type="dxa"/>
            <w:vMerge/>
            <w:tcBorders>
              <w:left w:val="single" w:sz="6" w:space="0" w:color="000000"/>
              <w:right w:val="single" w:sz="6" w:space="0" w:color="000000"/>
            </w:tcBorders>
            <w:shd w:val="clear" w:color="auto" w:fill="auto"/>
          </w:tcPr>
          <w:p w14:paraId="61E70426" w14:textId="77777777" w:rsidR="00780010" w:rsidRPr="001D7630" w:rsidRDefault="00780010" w:rsidP="00780010">
            <w:pPr>
              <w:pStyle w:val="naisc"/>
              <w:numPr>
                <w:ilvl w:val="0"/>
                <w:numId w:val="16"/>
              </w:numPr>
              <w:spacing w:before="0" w:after="0"/>
              <w:ind w:left="0" w:firstLine="0"/>
              <w:rPr>
                <w:b/>
              </w:rPr>
            </w:pPr>
          </w:p>
        </w:tc>
        <w:tc>
          <w:tcPr>
            <w:tcW w:w="3041" w:type="dxa"/>
            <w:vMerge/>
            <w:tcBorders>
              <w:left w:val="single" w:sz="6" w:space="0" w:color="000000"/>
              <w:right w:val="single" w:sz="6" w:space="0" w:color="000000"/>
            </w:tcBorders>
            <w:shd w:val="clear" w:color="auto" w:fill="auto"/>
          </w:tcPr>
          <w:p w14:paraId="769720D5"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1ED39553" w14:textId="77777777" w:rsidR="00780010" w:rsidRPr="001D7630" w:rsidRDefault="00780010" w:rsidP="00780010">
            <w:pPr>
              <w:jc w:val="center"/>
              <w:rPr>
                <w:b/>
                <w:bCs/>
              </w:rPr>
            </w:pPr>
            <w:r w:rsidRPr="001D7630">
              <w:rPr>
                <w:b/>
                <w:bCs/>
              </w:rPr>
              <w:t>Finanšu ministrija</w:t>
            </w:r>
          </w:p>
          <w:p w14:paraId="36145410" w14:textId="77777777" w:rsidR="00780010" w:rsidRPr="001D7630" w:rsidRDefault="00780010" w:rsidP="00780010">
            <w:pPr>
              <w:jc w:val="center"/>
              <w:rPr>
                <w:b/>
                <w:bCs/>
              </w:rPr>
            </w:pPr>
            <w:r w:rsidRPr="001D7630">
              <w:rPr>
                <w:b/>
                <w:bCs/>
              </w:rPr>
              <w:t>(08.01.2021. atzinums)</w:t>
            </w:r>
          </w:p>
          <w:p w14:paraId="44E9CB85" w14:textId="77777777" w:rsidR="00780010" w:rsidRPr="001D7630" w:rsidRDefault="00780010" w:rsidP="00780010">
            <w:pPr>
              <w:jc w:val="both"/>
              <w:rPr>
                <w:b/>
                <w:bCs/>
              </w:rPr>
            </w:pPr>
            <w:r w:rsidRPr="001D7630">
              <w:t xml:space="preserve">2. Norādām, ka šobrīd anotācijas III sadaļā sniegtā informācija neatbilst Ministru kabineta 2009.gada 15.decembra instrukcijas Nr.19 “Tiesību akta projekta sākotnējās ietekmes izvērtēšanas kārtība” prasībām, jo nesniedz skaidru informāciju par likumprojekta kopējo ietekmi uz valsts un pašvaldību budžetiem, ievērojot, ka papildu finansējums ir norādīts tikai vienam pasākumam, savukārt par citiem sniegta tikai aprakstoša informācija. Vēršam uzmanību, ka minētajā anotācijas sadaļā sniedzama informācija par konkrētiem pasākumiem nepieciešamo papildu finansējumu, tā </w:t>
            </w:r>
            <w:r w:rsidRPr="001D7630">
              <w:lastRenderedPageBreak/>
              <w:t xml:space="preserve">apmēriem un arī detalizētiem aprēķiniem. </w:t>
            </w:r>
          </w:p>
        </w:tc>
        <w:tc>
          <w:tcPr>
            <w:tcW w:w="2976" w:type="dxa"/>
            <w:vMerge/>
            <w:tcBorders>
              <w:left w:val="single" w:sz="6" w:space="0" w:color="000000"/>
              <w:right w:val="single" w:sz="6" w:space="0" w:color="000000"/>
            </w:tcBorders>
            <w:shd w:val="clear" w:color="auto" w:fill="auto"/>
          </w:tcPr>
          <w:p w14:paraId="583181C2" w14:textId="77777777" w:rsidR="00780010" w:rsidRPr="001D7630" w:rsidRDefault="00780010" w:rsidP="00780010">
            <w:pPr>
              <w:jc w:val="center"/>
              <w:rPr>
                <w:iCs/>
              </w:rPr>
            </w:pPr>
          </w:p>
        </w:tc>
        <w:tc>
          <w:tcPr>
            <w:tcW w:w="4291" w:type="dxa"/>
            <w:vMerge/>
            <w:tcBorders>
              <w:left w:val="single" w:sz="4" w:space="0" w:color="auto"/>
            </w:tcBorders>
            <w:shd w:val="clear" w:color="auto" w:fill="auto"/>
          </w:tcPr>
          <w:p w14:paraId="7E4BE483"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r>
      <w:tr w:rsidR="00780010" w:rsidRPr="001D7630" w14:paraId="353B8947" w14:textId="77777777" w:rsidTr="005D0902">
        <w:trPr>
          <w:jc w:val="center"/>
        </w:trPr>
        <w:tc>
          <w:tcPr>
            <w:tcW w:w="637" w:type="dxa"/>
            <w:vMerge/>
            <w:tcBorders>
              <w:left w:val="single" w:sz="6" w:space="0" w:color="000000"/>
              <w:bottom w:val="single" w:sz="6" w:space="0" w:color="000000"/>
              <w:right w:val="single" w:sz="6" w:space="0" w:color="000000"/>
            </w:tcBorders>
            <w:shd w:val="clear" w:color="auto" w:fill="auto"/>
          </w:tcPr>
          <w:p w14:paraId="193D90DC" w14:textId="77777777" w:rsidR="00780010" w:rsidRPr="001D7630" w:rsidRDefault="00780010" w:rsidP="00780010">
            <w:pPr>
              <w:pStyle w:val="naisc"/>
              <w:numPr>
                <w:ilvl w:val="0"/>
                <w:numId w:val="16"/>
              </w:numPr>
              <w:spacing w:before="0" w:after="0"/>
              <w:ind w:left="0" w:firstLine="0"/>
              <w:rPr>
                <w:b/>
              </w:rPr>
            </w:pPr>
          </w:p>
        </w:tc>
        <w:tc>
          <w:tcPr>
            <w:tcW w:w="3041" w:type="dxa"/>
            <w:vMerge/>
            <w:tcBorders>
              <w:left w:val="single" w:sz="6" w:space="0" w:color="000000"/>
              <w:bottom w:val="single" w:sz="6" w:space="0" w:color="000000"/>
              <w:right w:val="single" w:sz="6" w:space="0" w:color="000000"/>
            </w:tcBorders>
            <w:shd w:val="clear" w:color="auto" w:fill="auto"/>
          </w:tcPr>
          <w:p w14:paraId="69EB0BA8"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792B0DA9" w14:textId="77777777" w:rsidR="00780010" w:rsidRPr="001D7630" w:rsidRDefault="00780010" w:rsidP="00780010">
            <w:pPr>
              <w:jc w:val="center"/>
              <w:rPr>
                <w:b/>
                <w:bCs/>
              </w:rPr>
            </w:pPr>
            <w:r w:rsidRPr="001D7630">
              <w:rPr>
                <w:b/>
                <w:bCs/>
              </w:rPr>
              <w:t xml:space="preserve">Finanšu ministrija </w:t>
            </w:r>
          </w:p>
          <w:p w14:paraId="03B8003D" w14:textId="77777777" w:rsidR="00780010" w:rsidRPr="001D7630" w:rsidRDefault="00780010" w:rsidP="00780010">
            <w:pPr>
              <w:jc w:val="center"/>
              <w:rPr>
                <w:b/>
                <w:bCs/>
              </w:rPr>
            </w:pPr>
            <w:r w:rsidRPr="001D7630">
              <w:rPr>
                <w:b/>
                <w:bCs/>
              </w:rPr>
              <w:t>(26.03.2021.)</w:t>
            </w:r>
          </w:p>
          <w:p w14:paraId="44EDD0BE" w14:textId="77777777" w:rsidR="00780010" w:rsidRPr="001D7630" w:rsidRDefault="00780010" w:rsidP="00780010">
            <w:pPr>
              <w:jc w:val="both"/>
            </w:pPr>
            <w:r w:rsidRPr="001D7630">
              <w:t>6. Uzskatām, ka izziņas 50. un 51.punktā norādītie Finanšu ministrijas iebildumi nav ņemti vērā, jo:</w:t>
            </w:r>
          </w:p>
          <w:p w14:paraId="726DE5C8" w14:textId="77777777" w:rsidR="00780010" w:rsidRPr="001D7630" w:rsidRDefault="00780010" w:rsidP="00780010">
            <w:pPr>
              <w:jc w:val="both"/>
            </w:pPr>
            <w:r w:rsidRPr="001D7630">
              <w:t>6.1. Anotācijas III sadaļas 6.punktā ir sniegta informācija, ka uzlādes punktos vai uzpildes punktos (dabasgāzes un ūdeņraža) patērētāju informēšanas nosacījumu izpildes uzraudzībai būs nepieciešams papildu finansējums. Norādām, ka nav atbalstāma tādu projektu virzība, kuru izpilde var netikt nodrošināta nepietiekamā finansējuma dēļ. Līdz ar to, aicinām Ekonomikas ministriju izvērtēt iespēju minēto funkciju nodrošināt piešķirto līdzekļu ietvaros, svītrojot informāciju no 6.punkta un 8.punkta norādot, kuras Ekonomikas ministrijas budžeta programmas piešķirto līdzekļu ietvaros tiks nodrošināta minētās funkcijas izpilde.</w:t>
            </w:r>
          </w:p>
          <w:p w14:paraId="7D1524E9" w14:textId="77777777" w:rsidR="00780010" w:rsidRPr="001D7630" w:rsidRDefault="00780010" w:rsidP="00780010">
            <w:pPr>
              <w:jc w:val="both"/>
              <w:rPr>
                <w:b/>
                <w:bCs/>
              </w:rPr>
            </w:pPr>
            <w:r w:rsidRPr="001D7630">
              <w:t xml:space="preserve">6.2. Anotācijas III sadaļas 6.punktā ir norādīta informācija, ka jaunu uzlādes punktu vai uzpildes punktu (dabasgāzes un ūdeņraža) izveidei, kas paredzēta likumprojekta 5.pantā, ES struktūrfondu finansējums 2021.-2027.gada plānošanas periodā nav paredzēts un minēto nosacījumu izpildē būs jārod cita veida </w:t>
            </w:r>
            <w:r w:rsidRPr="001D7630">
              <w:lastRenderedPageBreak/>
              <w:t xml:space="preserve">finansējums, savukārt par nosacījumiem pilsētās izmantotajiem transportlīdzekļiem, kas paredzēta likumprojekta 6.pantā, norādīts, ka valstpilsētām varētu būt nepieciešami papildu finanšu līdzekļi, kā arī atbilstību likumprojektā minētajiem kritērijiem var nodrošināt, veicot transportlīdzekļu pārbūvi jeb modernizāciju, līdz ar to noteikto prasību izpilde būs papildu finansiālais slogs gan pašvaldībām, gan valsts iestādēm. Tomēr vienlaikus abiem pasākumiem nav sniegta skaidra informāciju par šo pasākumu ietekmi uz valsts un pašvaldību budžetiem un joprojām tiek sniegta tikai aprakstoša informācija. Attiecīgi nav skaidrs, no kādiem līdzekļiem plānots iepriekš minētos pasākumus nodrošināt. Ņemot vērā, ka nav atbalstāma tādu likumprojektu virzība, kuru izpilde var netikt nodrošināta nepietiekamā finansējuma dēļ, uzskatām, ka likumprojekts virzāms tikai tad, kad ir atrisināts jautājums par tajā paredzēto pasākumu īstenošanai nepieciešamo finansējumu. </w:t>
            </w:r>
          </w:p>
        </w:tc>
        <w:tc>
          <w:tcPr>
            <w:tcW w:w="2976" w:type="dxa"/>
            <w:vMerge/>
            <w:tcBorders>
              <w:left w:val="single" w:sz="6" w:space="0" w:color="000000"/>
              <w:bottom w:val="single" w:sz="6" w:space="0" w:color="000000"/>
              <w:right w:val="single" w:sz="6" w:space="0" w:color="000000"/>
            </w:tcBorders>
            <w:shd w:val="clear" w:color="auto" w:fill="auto"/>
          </w:tcPr>
          <w:p w14:paraId="2F35F735" w14:textId="77777777" w:rsidR="00780010" w:rsidRPr="001D7630" w:rsidRDefault="00780010" w:rsidP="00780010">
            <w:pPr>
              <w:jc w:val="center"/>
              <w:rPr>
                <w:iCs/>
              </w:rPr>
            </w:pPr>
          </w:p>
        </w:tc>
        <w:tc>
          <w:tcPr>
            <w:tcW w:w="4291" w:type="dxa"/>
            <w:vMerge/>
            <w:tcBorders>
              <w:left w:val="single" w:sz="4" w:space="0" w:color="auto"/>
              <w:bottom w:val="single" w:sz="4" w:space="0" w:color="auto"/>
            </w:tcBorders>
            <w:shd w:val="clear" w:color="auto" w:fill="auto"/>
          </w:tcPr>
          <w:p w14:paraId="445969C5"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r>
      <w:tr w:rsidR="00780010" w:rsidRPr="001D7630" w14:paraId="6FEF22B0"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80E330C"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63C92D6C"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37E06ED0" w14:textId="77777777" w:rsidR="00780010" w:rsidRPr="001D7630" w:rsidRDefault="00780010" w:rsidP="00780010">
            <w:pPr>
              <w:jc w:val="center"/>
              <w:rPr>
                <w:b/>
                <w:bCs/>
              </w:rPr>
            </w:pPr>
            <w:r w:rsidRPr="001D7630">
              <w:rPr>
                <w:b/>
                <w:bCs/>
              </w:rPr>
              <w:t>Finanšu ministrija</w:t>
            </w:r>
          </w:p>
          <w:p w14:paraId="3807EE97" w14:textId="77777777" w:rsidR="00780010" w:rsidRPr="001D7630" w:rsidRDefault="00780010" w:rsidP="00780010">
            <w:pPr>
              <w:jc w:val="center"/>
              <w:rPr>
                <w:b/>
                <w:bCs/>
              </w:rPr>
            </w:pPr>
            <w:r w:rsidRPr="001D7630">
              <w:rPr>
                <w:b/>
                <w:bCs/>
              </w:rPr>
              <w:t>(26.03.2021.)</w:t>
            </w:r>
          </w:p>
          <w:p w14:paraId="2358E635" w14:textId="77777777" w:rsidR="00780010" w:rsidRPr="001D7630" w:rsidRDefault="00780010" w:rsidP="00780010">
            <w:pPr>
              <w:jc w:val="both"/>
            </w:pPr>
            <w:r w:rsidRPr="001D7630">
              <w:t xml:space="preserve">5. Atbilstoši Ministru kabineta 2009.gada 15.decembra instrukcijas Nr.19 “Tiesību akta projekta sākotnējās ietekmes izvērtēšanas kārtība” 44.punktam anotācijas III sadaļas 6.punktā norāda aprēķinus, ar kuriem pamato anotācijas III sadaļas 1.punktā, 2.punktā un 4.punktā norādītās </w:t>
            </w:r>
            <w:r w:rsidRPr="001D7630">
              <w:rPr>
                <w:u w:val="single"/>
              </w:rPr>
              <w:t>izmaiņas</w:t>
            </w:r>
            <w:r w:rsidRPr="001D7630">
              <w:t xml:space="preserve"> budžeta ieņēmumos un izdevumos. Līdz ar to, šobrīd 6.punktā sniegtā informācija attiecībā uz transporta enerģijas aprites cikla SEG emisiju intensitātes samazinājuma uzraudzību ir jāsvītro, savukārt 8.punktā jānorāda, ka minētā funkcija tiks nodrošināta Ekonomikas ministrijai piešķirto līdzekļu ietvaros, norādot konkrētu budžeta programmu. Vienlaikus norādām, ka šobrīd 8.punktā esošā informācija jāsvītro.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24844072" w14:textId="77777777" w:rsidR="00780010" w:rsidRPr="001D7630" w:rsidRDefault="00780010" w:rsidP="00780010">
            <w:pPr>
              <w:jc w:val="center"/>
              <w:rPr>
                <w:iCs/>
              </w:rPr>
            </w:pPr>
            <w:r w:rsidRPr="001D7630">
              <w:rPr>
                <w:iCs/>
              </w:rPr>
              <w:t>Ņemts vērā</w:t>
            </w:r>
          </w:p>
        </w:tc>
        <w:tc>
          <w:tcPr>
            <w:tcW w:w="4291" w:type="dxa"/>
            <w:tcBorders>
              <w:top w:val="single" w:sz="4" w:space="0" w:color="auto"/>
              <w:left w:val="single" w:sz="4" w:space="0" w:color="auto"/>
              <w:bottom w:val="single" w:sz="4" w:space="0" w:color="auto"/>
            </w:tcBorders>
            <w:shd w:val="clear" w:color="auto" w:fill="auto"/>
          </w:tcPr>
          <w:p w14:paraId="00A909F1"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Anotācijas III sadaļas 6.punktā iekļautā informācija ir pārcelta uz anotācijas III sadaļas 8.punktu</w:t>
            </w:r>
          </w:p>
        </w:tc>
      </w:tr>
      <w:tr w:rsidR="00780010" w:rsidRPr="001D7630" w14:paraId="364F2051"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412A65C"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A84F682"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r w:rsidRPr="001D7630">
              <w:rPr>
                <w:rFonts w:ascii="Times New Roman" w:hAnsi="Times New Roman"/>
                <w:sz w:val="24"/>
                <w:szCs w:val="24"/>
                <w:lang w:eastAsia="lv-LV"/>
              </w:rPr>
              <w:t>Anotācijas III sadaļas 6.2.apakšpunkta 3.punkts</w:t>
            </w: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79F19FF5" w14:textId="77777777" w:rsidR="00780010" w:rsidRPr="001D7630" w:rsidRDefault="00780010" w:rsidP="00780010">
            <w:pPr>
              <w:jc w:val="center"/>
              <w:rPr>
                <w:b/>
                <w:bCs/>
              </w:rPr>
            </w:pPr>
            <w:r w:rsidRPr="001D7630">
              <w:rPr>
                <w:b/>
                <w:bCs/>
              </w:rPr>
              <w:t>Satiksmes ministrija</w:t>
            </w:r>
          </w:p>
          <w:p w14:paraId="459265D3" w14:textId="77777777" w:rsidR="00780010" w:rsidRPr="001D7630" w:rsidRDefault="00780010" w:rsidP="00780010">
            <w:pPr>
              <w:jc w:val="center"/>
              <w:rPr>
                <w:b/>
                <w:bCs/>
              </w:rPr>
            </w:pPr>
            <w:r w:rsidRPr="001D7630">
              <w:rPr>
                <w:b/>
                <w:bCs/>
              </w:rPr>
              <w:t>(08.01.2021.)</w:t>
            </w:r>
          </w:p>
          <w:p w14:paraId="1C59382E" w14:textId="77777777" w:rsidR="00780010" w:rsidRPr="001D7630" w:rsidRDefault="00780010" w:rsidP="00780010">
            <w:pPr>
              <w:jc w:val="both"/>
            </w:pPr>
            <w:r w:rsidRPr="001D7630">
              <w:t xml:space="preserve">6. Likumprojekta anotācijas III sadaļas “Tiesību akta projekta ietekme uz valsts budžetu un pašvaldību budžetiem” </w:t>
            </w:r>
            <w:r w:rsidRPr="001D7630">
              <w:lastRenderedPageBreak/>
              <w:t>6.2.apakšpunktā norādīts, ka likumprojekts nosaka Satiksmes ministrijai, sadarbojoties ar nozaru ministrijām un arī ar attiecīgajām pašvaldībām, izstrādāt nepieciešamos tiesību aktus (Ministru kabineta noteikumus), lai nodrošinātu, ka tiek uzstādīti papildu elektrotransportlīdzekļu uzlādes punkti un jauni sašķidrinātās dabasgāzes un saspiestās dabasgāzes uzpildes punkti. Šie Ministru kabineta noteikumi pēc būtības ir Eiropas Savienības struktūrfondu piešķiršanai un tie izpilda Latvijas Nacionālā enerģētikas un klimata plāna 2021.-2030.gadam Satiksmes ministrijai noteikto pasākumu (4.pielikuma 5.1.punkta 2.apakšpunkts), kur arī ir noteikts aptuvenais kopējais nepieciešamais finansējums pasākuma izpildei. Tieši pakārtotajos Eiropas Savienības struktūrfondu piešķiršanas Ministru kabineta noteikumos tiks noteikts konkrēts pasākuma īstenošanai piešķirtais kopējais finansējums un tā sadale maksājumos. Funkciju izpildi pakārtotajos Ministru kabineta noteikumos īstenos Satiksmes ministrija. Iesaistītajām nozaru ministrijām un pašvaldībām likumprojekta īstenošanai papildu finansējums nebūs nepieciešams.</w:t>
            </w:r>
          </w:p>
          <w:p w14:paraId="25CCFF19" w14:textId="77777777" w:rsidR="00780010" w:rsidRPr="001D7630" w:rsidRDefault="00780010" w:rsidP="00780010">
            <w:pPr>
              <w:ind w:firstLine="720"/>
              <w:jc w:val="both"/>
            </w:pPr>
            <w:r w:rsidRPr="001D7630">
              <w:t xml:space="preserve">Vēršam uzmanību, ka atbilstoši Latvijas Nacionālajam attīstības plānam 2021.-2027.gadam un uz tā pamata </w:t>
            </w:r>
            <w:r w:rsidRPr="001D7630">
              <w:lastRenderedPageBreak/>
              <w:t xml:space="preserve">izstrādātajam Eiropas Savienības struktūrfondu un Kohēzijas fonda 2021.-2027.gada plānošanas darbības programmas projektam, kas iezīmē investīcijas Latvijai piešķirtā Eiropas Savienības fondu finansējuma ietvaros, papildu elektrotransporta līdzekļu uzlādes punktu un jaunu sašķidrinātās dabasgāzes un saspiestās dabasgāzes uzpildes punktu uzstādīšanai Eiropas Savienības fondu finansējums 2021.-2027.gada plānošanas periodā nav paredzēts. </w:t>
            </w:r>
          </w:p>
          <w:p w14:paraId="44633960" w14:textId="77777777" w:rsidR="00780010" w:rsidRPr="001D7630" w:rsidRDefault="00780010" w:rsidP="00780010">
            <w:pPr>
              <w:ind w:firstLine="720"/>
              <w:jc w:val="both"/>
            </w:pPr>
            <w:r w:rsidRPr="001D7630">
              <w:t>Ņemot vērā minēto, lūdzam attiecīgi precizēt likumprojekta anotāciju, izslēdzot tekstu par Eiropas Savienības struktūrfondu līdzekļu piešķiršanu.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2D9CE2CE" w14:textId="77777777"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76B5C4E3"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Anotācijas III sadaļas 6.2.apakšpunkta 3.punkts ir precizēts</w:t>
            </w:r>
          </w:p>
        </w:tc>
      </w:tr>
      <w:tr w:rsidR="00780010" w:rsidRPr="001D7630" w14:paraId="3BFB7401"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149793FA"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6149B6A"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2F9AF0D3" w14:textId="77777777" w:rsidR="00780010" w:rsidRPr="001D7630" w:rsidRDefault="00780010" w:rsidP="00780010">
            <w:pPr>
              <w:jc w:val="center"/>
              <w:rPr>
                <w:b/>
                <w:bCs/>
              </w:rPr>
            </w:pPr>
            <w:r w:rsidRPr="001D7630">
              <w:rPr>
                <w:b/>
                <w:bCs/>
              </w:rPr>
              <w:t>Vides aizsardzības un reģionālās attīstības ministrija</w:t>
            </w:r>
          </w:p>
          <w:p w14:paraId="661594C9" w14:textId="77777777" w:rsidR="00780010" w:rsidRPr="001D7630" w:rsidRDefault="00780010" w:rsidP="00780010">
            <w:pPr>
              <w:jc w:val="center"/>
              <w:rPr>
                <w:b/>
                <w:bCs/>
              </w:rPr>
            </w:pPr>
            <w:r w:rsidRPr="001D7630">
              <w:rPr>
                <w:b/>
                <w:bCs/>
              </w:rPr>
              <w:t>(25.03.2021.)</w:t>
            </w:r>
          </w:p>
          <w:p w14:paraId="64F9BD75" w14:textId="77777777" w:rsidR="00780010" w:rsidRPr="001D7630" w:rsidRDefault="00780010" w:rsidP="00780010">
            <w:pPr>
              <w:pStyle w:val="CommentText"/>
              <w:widowControl w:val="0"/>
              <w:jc w:val="both"/>
              <w:rPr>
                <w:color w:val="000000" w:themeColor="text1"/>
                <w:sz w:val="24"/>
                <w:szCs w:val="24"/>
              </w:rPr>
            </w:pPr>
            <w:r w:rsidRPr="001D7630">
              <w:rPr>
                <w:sz w:val="24"/>
                <w:szCs w:val="24"/>
              </w:rPr>
              <w:t>2. Anotācijas 34.lpp. lūdzam svītrot tekstu: “</w:t>
            </w:r>
            <w:r w:rsidRPr="001D7630">
              <w:rPr>
                <w:iCs/>
                <w:sz w:val="24"/>
                <w:szCs w:val="24"/>
              </w:rPr>
              <w:t xml:space="preserve">Saskaņā ar VARAM izstrādāto informatīvo ziņojumu “Par Emisijas kvotu izsolīšanas instrumenta darbības stratēģiju” viens no potenciālajiem prioritārajiem atbalsta virzieniem 2020.-2021. gadam būtu: mazemisiju un nulles emisiju transportlīdzekļu skaita palielināšana valsts pārvaldes iestādēs, sabiedriskajā transportā un/vai specifiskās saimniecisko darbību </w:t>
            </w:r>
            <w:r w:rsidRPr="001D7630">
              <w:rPr>
                <w:iCs/>
                <w:color w:val="000000" w:themeColor="text1"/>
                <w:sz w:val="24"/>
                <w:szCs w:val="24"/>
              </w:rPr>
              <w:t xml:space="preserve">jomās ar augstu degvielas patēriņu </w:t>
            </w:r>
            <w:r w:rsidRPr="001D7630">
              <w:rPr>
                <w:iCs/>
                <w:color w:val="000000" w:themeColor="text1"/>
                <w:sz w:val="24"/>
                <w:szCs w:val="24"/>
              </w:rPr>
              <w:lastRenderedPageBreak/>
              <w:t>transportlīdzekļos”, jo minētais ziņojums pēc būtības nav izskatīts Minsitru kabineta sēdē.</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5BE6148F" w14:textId="77777777" w:rsidR="00780010" w:rsidRPr="001D7630" w:rsidRDefault="00780010" w:rsidP="00780010">
            <w:pPr>
              <w:jc w:val="center"/>
              <w:rPr>
                <w:b/>
                <w:bCs/>
                <w:iCs/>
              </w:rPr>
            </w:pPr>
            <w:r w:rsidRPr="001D7630">
              <w:rPr>
                <w:b/>
                <w:bCs/>
                <w:iCs/>
              </w:rPr>
              <w:lastRenderedPageBreak/>
              <w:t>Ņemts vērā</w:t>
            </w:r>
          </w:p>
          <w:p w14:paraId="24AF90BC" w14:textId="77777777" w:rsidR="00780010" w:rsidRPr="001D7630" w:rsidRDefault="00780010" w:rsidP="00780010">
            <w:pPr>
              <w:rPr>
                <w:b/>
                <w:bCs/>
                <w:iCs/>
              </w:rPr>
            </w:pPr>
          </w:p>
          <w:p w14:paraId="7E504D84" w14:textId="77777777" w:rsidR="00780010" w:rsidRPr="001D7630" w:rsidRDefault="00780010" w:rsidP="00780010">
            <w:pPr>
              <w:rPr>
                <w:iCs/>
              </w:rPr>
            </w:pPr>
          </w:p>
        </w:tc>
        <w:tc>
          <w:tcPr>
            <w:tcW w:w="4291" w:type="dxa"/>
            <w:tcBorders>
              <w:top w:val="single" w:sz="4" w:space="0" w:color="auto"/>
              <w:left w:val="single" w:sz="4" w:space="0" w:color="auto"/>
              <w:bottom w:val="single" w:sz="4" w:space="0" w:color="auto"/>
            </w:tcBorders>
            <w:shd w:val="clear" w:color="auto" w:fill="auto"/>
          </w:tcPr>
          <w:p w14:paraId="69BABD42"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anotācijas III sadaļas 8.punkts ir precizēts</w:t>
            </w:r>
          </w:p>
        </w:tc>
      </w:tr>
      <w:tr w:rsidR="00780010" w:rsidRPr="001D7630" w14:paraId="74C33465"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389E1AD6" w14:textId="77777777" w:rsidR="00780010" w:rsidRPr="001D7630" w:rsidRDefault="00780010" w:rsidP="00780010">
            <w:pPr>
              <w:pStyle w:val="naisc"/>
              <w:spacing w:before="0" w:after="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247860BB"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3923A95F" w14:textId="77777777" w:rsidR="00780010" w:rsidRPr="001D7630" w:rsidRDefault="00780010" w:rsidP="00780010">
            <w:pPr>
              <w:jc w:val="center"/>
              <w:rPr>
                <w:b/>
                <w:bCs/>
                <w:lang w:eastAsia="en-US"/>
              </w:rPr>
            </w:pPr>
            <w:r w:rsidRPr="001D7630">
              <w:rPr>
                <w:b/>
                <w:bCs/>
                <w:lang w:eastAsia="en-US"/>
              </w:rPr>
              <w:t>Latvijas Lielo pilsētu asociācija</w:t>
            </w:r>
          </w:p>
          <w:p w14:paraId="28256746" w14:textId="77777777" w:rsidR="00780010" w:rsidRPr="001D7630" w:rsidRDefault="00780010" w:rsidP="00780010">
            <w:pPr>
              <w:jc w:val="center"/>
              <w:rPr>
                <w:b/>
                <w:bCs/>
                <w:lang w:eastAsia="en-US"/>
              </w:rPr>
            </w:pPr>
            <w:r w:rsidRPr="001D7630">
              <w:rPr>
                <w:b/>
                <w:bCs/>
                <w:lang w:eastAsia="en-US"/>
              </w:rPr>
              <w:t>(12.01.2021. atzinums)</w:t>
            </w:r>
          </w:p>
          <w:p w14:paraId="3DF7A007" w14:textId="77777777" w:rsidR="00780010" w:rsidRPr="001D7630" w:rsidRDefault="00780010" w:rsidP="00780010">
            <w:pPr>
              <w:jc w:val="both"/>
              <w:rPr>
                <w:b/>
                <w:bCs/>
              </w:rPr>
            </w:pPr>
            <w:r w:rsidRPr="001D7630">
              <w:rPr>
                <w:bCs/>
              </w:rPr>
              <w:t>Lūdzam veikt pārrēķinu,</w:t>
            </w:r>
            <w:r w:rsidRPr="001D7630">
              <w:t xml:space="preserve"> jo sašķidrinātā naftas gāze iekļaujas fosilās degvielas kategorijā.</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5FC2FDD7" w14:textId="77777777" w:rsidR="00780010" w:rsidRPr="001D7630" w:rsidRDefault="00780010" w:rsidP="00780010">
            <w:pPr>
              <w:jc w:val="center"/>
              <w:rPr>
                <w:b/>
                <w:bCs/>
                <w:iCs/>
              </w:rPr>
            </w:pPr>
            <w:r w:rsidRPr="001D7630">
              <w:rPr>
                <w:b/>
                <w:bCs/>
                <w:iCs/>
              </w:rPr>
              <w:t>Ņemts vērā</w:t>
            </w:r>
          </w:p>
          <w:p w14:paraId="5690FE04" w14:textId="77777777" w:rsidR="00780010" w:rsidRPr="001D7630" w:rsidRDefault="00780010" w:rsidP="00780010">
            <w:pPr>
              <w:rPr>
                <w:iCs/>
              </w:rPr>
            </w:pPr>
            <w:r w:rsidRPr="001D7630">
              <w:rPr>
                <w:iCs/>
              </w:rPr>
              <w:t>Lai gan sašķidrinātā naftas gāze iekļaujas fosilās degvielas kategorijā, tā ir alternatīvā degviela saskaņā ar direktīvu 2014/94/EK</w:t>
            </w:r>
          </w:p>
        </w:tc>
        <w:tc>
          <w:tcPr>
            <w:tcW w:w="4291" w:type="dxa"/>
            <w:tcBorders>
              <w:top w:val="single" w:sz="4" w:space="0" w:color="auto"/>
              <w:left w:val="single" w:sz="4" w:space="0" w:color="auto"/>
              <w:bottom w:val="single" w:sz="4" w:space="0" w:color="auto"/>
            </w:tcBorders>
            <w:shd w:val="clear" w:color="auto" w:fill="auto"/>
          </w:tcPr>
          <w:p w14:paraId="136DC249"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Anotācija ir precizēta</w:t>
            </w:r>
          </w:p>
        </w:tc>
      </w:tr>
      <w:tr w:rsidR="00780010" w:rsidRPr="001D7630" w14:paraId="5DDC62B0"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7FBE0AA3" w14:textId="77777777" w:rsidR="00780010" w:rsidRPr="001D7630" w:rsidRDefault="00780010" w:rsidP="00780010">
            <w:pPr>
              <w:pStyle w:val="naisc"/>
              <w:spacing w:before="0" w:after="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38AB0A79"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14BD9628" w14:textId="77777777" w:rsidR="00780010" w:rsidRPr="001D7630" w:rsidRDefault="00780010" w:rsidP="00780010">
            <w:pPr>
              <w:jc w:val="center"/>
              <w:rPr>
                <w:b/>
                <w:bCs/>
              </w:rPr>
            </w:pPr>
            <w:r w:rsidRPr="001D7630">
              <w:rPr>
                <w:b/>
                <w:bCs/>
              </w:rPr>
              <w:t>Finanšu nozares asociācija</w:t>
            </w:r>
          </w:p>
          <w:p w14:paraId="483639F9" w14:textId="77777777" w:rsidR="00780010" w:rsidRPr="001D7630" w:rsidRDefault="00780010" w:rsidP="00780010">
            <w:pPr>
              <w:jc w:val="center"/>
              <w:rPr>
                <w:b/>
                <w:bCs/>
              </w:rPr>
            </w:pPr>
            <w:r w:rsidRPr="001D7630">
              <w:rPr>
                <w:b/>
                <w:bCs/>
              </w:rPr>
              <w:t>(18.01.2021. atzinums)</w:t>
            </w:r>
          </w:p>
          <w:p w14:paraId="635ADD32" w14:textId="77777777" w:rsidR="00780010" w:rsidRPr="001D7630" w:rsidRDefault="00780010" w:rsidP="00780010">
            <w:pPr>
              <w:jc w:val="both"/>
            </w:pPr>
            <w:r w:rsidRPr="001D7630">
              <w:t>6. Anotācijā iztrūkst salīdzinošas informācijas par transporta enerģijas apriti, prasībām, uzraudzību Baltijas mērogā, lai spētu salīdzināt piedāvātās sistēmas priekšrocības un trūkumus salīdzinājumā ar pārējām Baltijas valstīm. Lūdzam attiecīgi papildināt anotāciju.</w:t>
            </w:r>
          </w:p>
          <w:p w14:paraId="2FE4BBE7" w14:textId="77777777" w:rsidR="00780010" w:rsidRPr="001D7630" w:rsidRDefault="00780010" w:rsidP="00780010">
            <w:pPr>
              <w:jc w:val="both"/>
            </w:pPr>
            <w:r w:rsidRPr="001D7630">
              <w:t>7. Paralēli šim likumprojektam ir nepieciešams virzīt saskaņošanai Satiksmes ministrijas izstrādāto plānošanas dokumentu “Par Alternatīvo degvielu attīstības plānu 2021.–2030. gadam”,</w:t>
            </w:r>
            <w:r w:rsidRPr="001D7630">
              <w:rPr>
                <w:b/>
                <w:bCs/>
              </w:rPr>
              <w:t xml:space="preserve"> </w:t>
            </w:r>
            <w:r w:rsidRPr="001D7630">
              <w:t>nodrošinot tā atbilstību Nacionālajam enerģētikas un klimata plānam 2021.-2030.gadam, tādējādi ļaujot labāk izprast Transporta enerģijas likumprojekta ieviešanas ietekmi.  Lūdzam attiecīgi precizēt anotāciju, skaidrojot, kad šis plānošanas dokuments tiks izsludināts sabiedriskajā apspriešanā.</w:t>
            </w:r>
          </w:p>
          <w:p w14:paraId="7509669B" w14:textId="77777777" w:rsidR="00780010" w:rsidRPr="001D7630" w:rsidRDefault="00780010" w:rsidP="00780010">
            <w:pPr>
              <w:jc w:val="both"/>
            </w:pPr>
            <w:r w:rsidRPr="001D7630">
              <w:lastRenderedPageBreak/>
              <w:t>8. Likumprojekts uzdod publiski pieejamos uzlādes punktos nodrošināt alternatīvu degvielu, vienlaikus anotācijā nav informācijas, vai pircējiem (gala patērētājiem) ir atļauts uzpildīt transportlīdzekļus ar alternatīvo degvielu un kā degvielas jaunās kvalitātes un sastāva prasības ietekmēs gala patērētājus. Tāpat lūgums anotāciju papildināt ar informāciju, vai degvielas piegādātāji, tirgotāji varēs pārdot arī šodien pieejamo degvielu, ja transportlīdzekļos nav ļauts izmantot alternatīvo degvielu, kā arī pievienot izvērtējumu (pamatojumu) tirgus gatavībai tik straujai likuma prasību ieviešanai, spējot  nodrošināt to izpildi jau sākot ar 2021.gada 1.jūniju vai 2022.gada sākumu, kad būs pieņemti arī nepieciešamo Ministru kabineta noteikumu grozījumi.</w:t>
            </w:r>
          </w:p>
          <w:p w14:paraId="04B23269" w14:textId="77777777" w:rsidR="00780010" w:rsidRPr="001D7630" w:rsidRDefault="00780010" w:rsidP="00780010">
            <w:pPr>
              <w:jc w:val="center"/>
              <w:rPr>
                <w:b/>
                <w:bCs/>
              </w:rPr>
            </w:pP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4344A16A" w14:textId="77777777" w:rsidR="00780010" w:rsidRPr="001D7630" w:rsidRDefault="00780010" w:rsidP="00780010">
            <w:pPr>
              <w:jc w:val="center"/>
              <w:rPr>
                <w:b/>
                <w:bCs/>
                <w:iCs/>
              </w:rPr>
            </w:pPr>
            <w:r w:rsidRPr="001D7630">
              <w:rPr>
                <w:b/>
                <w:bCs/>
                <w:iCs/>
              </w:rPr>
              <w:lastRenderedPageBreak/>
              <w:t>Ņemts vērā</w:t>
            </w:r>
          </w:p>
          <w:p w14:paraId="3AF12CFC" w14:textId="77777777" w:rsidR="00780010" w:rsidRPr="001D7630" w:rsidRDefault="00780010" w:rsidP="00780010">
            <w:pPr>
              <w:pStyle w:val="naisc"/>
              <w:spacing w:before="0" w:after="0"/>
              <w:jc w:val="left"/>
              <w:rPr>
                <w:iCs/>
              </w:rPr>
            </w:pPr>
          </w:p>
          <w:p w14:paraId="51579258" w14:textId="77777777" w:rsidR="00780010" w:rsidRPr="001D7630" w:rsidRDefault="00780010" w:rsidP="00780010">
            <w:pPr>
              <w:pStyle w:val="naisc"/>
              <w:spacing w:before="0" w:after="0"/>
              <w:jc w:val="left"/>
            </w:pPr>
            <w:r w:rsidRPr="001D7630">
              <w:rPr>
                <w:iCs/>
              </w:rPr>
              <w:t>6. skaidrojam, ka likumprojekts nosaka tās prasības, kas izriet no Direktīvas 2018/2001, kuras transponēšanas termiņš ir 30.06.2021. Ņ</w:t>
            </w:r>
            <w:r w:rsidRPr="001D7630">
              <w:t>emot vērā, ka visas ES dalībvalstis tikai tagad veic Direktīvas 2018/2001 nosacījumu transponēšanu savos tiesību aktos, nav iespējams iekļaut salīdzinošu informāciju par to, kā arī nav iespējams veikt salīdzinājumu par to, kā citas valstis nodrošinās Direktīvā 2018/2001 noteikto pienākumu izpildi.</w:t>
            </w:r>
          </w:p>
          <w:p w14:paraId="279608CC" w14:textId="77777777" w:rsidR="00780010" w:rsidRPr="001D7630" w:rsidRDefault="00780010" w:rsidP="00780010">
            <w:pPr>
              <w:rPr>
                <w:iCs/>
              </w:rPr>
            </w:pPr>
          </w:p>
          <w:p w14:paraId="41DC30E2" w14:textId="77777777" w:rsidR="00780010" w:rsidRPr="001D7630" w:rsidRDefault="00780010" w:rsidP="00780010">
            <w:pPr>
              <w:rPr>
                <w:iCs/>
              </w:rPr>
            </w:pPr>
            <w:r w:rsidRPr="001D7630">
              <w:rPr>
                <w:iCs/>
              </w:rPr>
              <w:t xml:space="preserve">7. skaidrojam, ka Ekonomikas ministrija, kas virza likumprojektu, nevar ietekmēt Satiksmes ministriju </w:t>
            </w:r>
            <w:r w:rsidRPr="001D7630">
              <w:rPr>
                <w:iCs/>
              </w:rPr>
              <w:lastRenderedPageBreak/>
              <w:t>un noteikt tai virzīt konkrētu politikas plānošanas dokumentu.</w:t>
            </w:r>
          </w:p>
          <w:p w14:paraId="374C1F79" w14:textId="77777777" w:rsidR="00780010" w:rsidRPr="001D7630" w:rsidRDefault="00780010" w:rsidP="00780010">
            <w:pPr>
              <w:rPr>
                <w:iCs/>
              </w:rPr>
            </w:pPr>
          </w:p>
          <w:p w14:paraId="7E6048D5" w14:textId="77777777" w:rsidR="00780010" w:rsidRPr="001D7630" w:rsidRDefault="00780010" w:rsidP="00780010">
            <w:pPr>
              <w:pStyle w:val="naisc"/>
              <w:spacing w:before="0" w:after="0"/>
              <w:jc w:val="left"/>
            </w:pPr>
            <w:r w:rsidRPr="001D7630">
              <w:rPr>
                <w:iCs/>
              </w:rPr>
              <w:t xml:space="preserve">8. </w:t>
            </w:r>
            <w:r w:rsidRPr="001D7630">
              <w:t>Nav saprotams, kurā likumprojekta daļā ir noteikts, ka publiski pieejamos uzlādes punktos ir jābūt arī nodrošinātai iespējai veikt uzpildi ar alternatīvajām degvielām. Šobrīd no pieejamām alternatīvajām degvielām LV tirgū tiek realizēts CNG un ir iespējams uzlādēt elektroenerģiju gan publiski pieejamos uzlādes punktos, gan privāti.</w:t>
            </w:r>
          </w:p>
          <w:p w14:paraId="4ED71873" w14:textId="77777777" w:rsidR="00780010" w:rsidRPr="001D7630" w:rsidRDefault="00780010" w:rsidP="00780010">
            <w:pPr>
              <w:pStyle w:val="naisc"/>
              <w:spacing w:before="0" w:after="0"/>
              <w:jc w:val="left"/>
            </w:pPr>
            <w:r w:rsidRPr="001D7630">
              <w:t>Ar likumprojektu netiek aizliegts tirgot šobrīd realizējamo degvielu – benzīnu, dīzeļdegvielu, tomēr tiek noteikt, ka fosilajai degvielai ir jābūt pievienotai biodegvielai (arī modernajai biodegvielai) līdzvērtīgā apjomā, kā tiek pievienots no 01.01.2020., vienlaikus likumprojekts degvielas piegādātājiem nosaka konkrētu mērķus, kas kā obligātie mērķi ir noteikti Direktīvā 2018/2001.</w:t>
            </w:r>
          </w:p>
          <w:p w14:paraId="2CD1E465" w14:textId="77777777" w:rsidR="00780010" w:rsidRPr="001D7630" w:rsidRDefault="00780010" w:rsidP="00780010">
            <w:pPr>
              <w:pStyle w:val="naisc"/>
              <w:spacing w:before="0" w:after="0"/>
              <w:jc w:val="left"/>
              <w:rPr>
                <w:iCs/>
              </w:rPr>
            </w:pPr>
            <w:r w:rsidRPr="001D7630">
              <w:lastRenderedPageBreak/>
              <w:t>Norādām, ka likumprojekta 5.panta 2.daļa ir svītrota.</w:t>
            </w:r>
          </w:p>
        </w:tc>
        <w:tc>
          <w:tcPr>
            <w:tcW w:w="4291" w:type="dxa"/>
            <w:tcBorders>
              <w:top w:val="single" w:sz="4" w:space="0" w:color="auto"/>
              <w:left w:val="single" w:sz="4" w:space="0" w:color="auto"/>
              <w:bottom w:val="single" w:sz="4" w:space="0" w:color="auto"/>
            </w:tcBorders>
            <w:shd w:val="clear" w:color="auto" w:fill="auto"/>
          </w:tcPr>
          <w:p w14:paraId="0B33D0C2"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lastRenderedPageBreak/>
              <w:t>Likumprojekta anotācijas ir papildināta</w:t>
            </w:r>
          </w:p>
        </w:tc>
      </w:tr>
      <w:tr w:rsidR="00780010" w:rsidRPr="001D7630" w14:paraId="4C856DA8"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6AC2ED53" w14:textId="77777777" w:rsidR="00780010" w:rsidRPr="001D7630" w:rsidRDefault="00780010" w:rsidP="00780010">
            <w:pPr>
              <w:pStyle w:val="naisc"/>
              <w:spacing w:before="0" w:after="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53177EDD"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476ACBD6" w14:textId="77777777" w:rsidR="00780010" w:rsidRPr="001D7630" w:rsidRDefault="00780010" w:rsidP="00780010">
            <w:pPr>
              <w:jc w:val="center"/>
              <w:rPr>
                <w:b/>
                <w:bCs/>
              </w:rPr>
            </w:pPr>
            <w:r w:rsidRPr="001D7630">
              <w:rPr>
                <w:b/>
                <w:bCs/>
              </w:rPr>
              <w:t>Latvijas biogāzes asociācija</w:t>
            </w:r>
          </w:p>
          <w:p w14:paraId="671AABA1" w14:textId="77777777" w:rsidR="00780010" w:rsidRPr="001D7630" w:rsidRDefault="00780010" w:rsidP="00780010">
            <w:pPr>
              <w:jc w:val="center"/>
              <w:rPr>
                <w:b/>
                <w:bCs/>
              </w:rPr>
            </w:pPr>
            <w:r w:rsidRPr="001D7630">
              <w:rPr>
                <w:b/>
                <w:bCs/>
              </w:rPr>
              <w:t>(22.01.2021. atzinums)</w:t>
            </w:r>
          </w:p>
          <w:p w14:paraId="053725FE" w14:textId="77777777" w:rsidR="00780010" w:rsidRPr="001D7630" w:rsidRDefault="00780010" w:rsidP="00780010">
            <w:pPr>
              <w:autoSpaceDE w:val="0"/>
              <w:autoSpaceDN w:val="0"/>
              <w:adjustRightInd w:val="0"/>
              <w:jc w:val="both"/>
              <w:rPr>
                <w:color w:val="000000"/>
              </w:rPr>
            </w:pPr>
            <w:r w:rsidRPr="001D7630">
              <w:rPr>
                <w:color w:val="000000"/>
              </w:rPr>
              <w:t xml:space="preserve">II. Transporta enerģijas likuma anotācijā (2.lpp) ir norādīts, ka “…atjaunojamās transporta enerģijas mērķī netiks ņemts vērā Latvijā izmantotais 1.paaudzes biodegvielu apjoms. Vienlaikus netiek paredzēts jebkāds aizliegums Latvijā audzēt 1.paaudzes biodegvielu ražošanai nepieciešamās izejvielas, vai Latvijā ražot šo 1.paaudzes biodegvielu.” </w:t>
            </w:r>
          </w:p>
          <w:p w14:paraId="2FB94755" w14:textId="77777777" w:rsidR="00780010" w:rsidRPr="001D7630" w:rsidRDefault="00780010" w:rsidP="00780010">
            <w:pPr>
              <w:autoSpaceDE w:val="0"/>
              <w:autoSpaceDN w:val="0"/>
              <w:adjustRightInd w:val="0"/>
              <w:jc w:val="both"/>
              <w:rPr>
                <w:color w:val="000000"/>
              </w:rPr>
            </w:pPr>
            <w:r w:rsidRPr="001D7630">
              <w:rPr>
                <w:color w:val="000000"/>
              </w:rPr>
              <w:t xml:space="preserve">Latvijas biogāzes asociācija ir neizpratnē un lūdz skaidrojumu, kāpēc klaji tiek ignorēta iespēja ražot biometānu kā 1. paaudzes transporta degvielu. Uzskatām, ka isptā ir atklāta atsevišķu ražotāju grupu diskriminācija un priekšrocību noteikšana citu degvielu veidu ražotājiem. </w:t>
            </w:r>
          </w:p>
          <w:p w14:paraId="71F25B59" w14:textId="77777777" w:rsidR="00780010" w:rsidRPr="001D7630" w:rsidRDefault="00780010" w:rsidP="00780010">
            <w:pPr>
              <w:jc w:val="both"/>
              <w:rPr>
                <w:b/>
                <w:bCs/>
              </w:rPr>
            </w:pPr>
            <w:r w:rsidRPr="001D7630">
              <w:rPr>
                <w:color w:val="000000"/>
              </w:rPr>
              <w:t xml:space="preserve">Vēlamies norādīt, ka jauktu paaudžu biometāna ražošanas iespēja sākotnējā periodā sekmētu straujāku biogāzes ražotāju pāreju no Obligātā iepirkuma sistēmas elektroenerģijas ražošanā uz biometāna ražošanu. Proti, biometāna ražošanas attīstības sākuma posmā veidosies situācija, kad esošās biogāzes stacijas, kuru izejvielu sastāvā daļa no izejvielām ir zaļā biomasa, kas nav iekļauta likuma 1. pielikuma sarakstā, ražojot biometānu, tikai daļu no tā ar </w:t>
            </w:r>
            <w:r w:rsidRPr="001D7630">
              <w:rPr>
                <w:color w:val="000000"/>
              </w:rPr>
              <w:lastRenderedPageBreak/>
              <w:t>izcelsmes apliecinājumiem varēs attiecināt uz 2. paaudzes degvielām. Turpmākā darbības gaitā, organizējot piegādes un aizstājot zaļo biomasu ar attiecīgu atkritumu daudzumu, viss biometāns varēs tikt klasificēts kā modernā degviela. Tas nozīmē, ka sākuma periodā (to varētu saukt arī pārejas periodu) ar likumu būtu jāļauj ražot arī pirmās paaudzes biometānu (biogāzi).</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79A74C81" w14:textId="77777777" w:rsidR="00780010" w:rsidRPr="001D7630" w:rsidRDefault="00780010" w:rsidP="00780010">
            <w:pPr>
              <w:jc w:val="center"/>
              <w:rPr>
                <w:b/>
                <w:bCs/>
                <w:iCs/>
              </w:rPr>
            </w:pPr>
            <w:r w:rsidRPr="001D7630">
              <w:rPr>
                <w:b/>
                <w:bCs/>
                <w:iCs/>
              </w:rPr>
              <w:lastRenderedPageBreak/>
              <w:t>Ņemts vērā</w:t>
            </w:r>
          </w:p>
          <w:p w14:paraId="222EF5B7" w14:textId="77777777" w:rsidR="00780010" w:rsidRPr="001D7630" w:rsidRDefault="00780010" w:rsidP="00780010">
            <w:pPr>
              <w:rPr>
                <w:iCs/>
              </w:rPr>
            </w:pPr>
            <w:r w:rsidRPr="001D7630">
              <w:rPr>
                <w:iCs/>
              </w:rPr>
              <w:t>Skaidrojam, ka NEKP2030, kā arī likumprojektā ir iekļauti konkrēti atjaunojamās transporta enerģijas mērķi – 7%, kurā tiek ieskaitīts obligātais modernās biodegvielas un biogāzes mērķi 3,5% 2030.gadā un kurā ir noteikts, ka atlikušie 3,5% ir jāsasniedz ar moderno biodegvielu un biogāzi, atjaunojamo elektroenerģiju, pārstrādātā oglekļa degvielas un no atjaunojamiem energoresursiem ražotas nebioloģiskas izcelsmes degviela.</w:t>
            </w:r>
          </w:p>
          <w:p w14:paraId="7E9522E7" w14:textId="77777777" w:rsidR="00780010" w:rsidRPr="001D7630" w:rsidRDefault="00780010" w:rsidP="00780010">
            <w:pPr>
              <w:rPr>
                <w:iCs/>
              </w:rPr>
            </w:pPr>
            <w:r w:rsidRPr="001D7630">
              <w:rPr>
                <w:iCs/>
              </w:rPr>
              <w:t xml:space="preserve">Līdz ar to ir saprotams, ka saistošajā moderno biodegvielu / biogāzes mērķi (direktīvas 2018/2001 25.panta 4.rindkopa) nebūs iespējams ņemt vērā 1.paaudzes biodegvielu vai biogāzi. Vienlaikus skaidrojam, ka, ja daļa no biogāzes ir atzīta par moderno biogāzi, tad tā daļa </w:t>
            </w:r>
            <w:r w:rsidRPr="001D7630">
              <w:rPr>
                <w:iCs/>
              </w:rPr>
              <w:lastRenderedPageBreak/>
              <w:t>tiks ņemta vērā mērķu izpildē.</w:t>
            </w:r>
          </w:p>
          <w:p w14:paraId="3A68E550" w14:textId="77777777" w:rsidR="00780010" w:rsidRPr="001D7630" w:rsidRDefault="00780010" w:rsidP="00780010">
            <w:pPr>
              <w:rPr>
                <w:iCs/>
              </w:rPr>
            </w:pPr>
            <w:r w:rsidRPr="001D7630">
              <w:rPr>
                <w:iCs/>
              </w:rPr>
              <w:t>Vienlaikus skaidrojam, ka netiek aizliegts degvielas piegādātājiem izmantot 1.paaudzes biodegvielu arī lai sasniegtu likumprojekta 9.pantā noteiktos mērķus.</w:t>
            </w:r>
          </w:p>
        </w:tc>
        <w:tc>
          <w:tcPr>
            <w:tcW w:w="4291" w:type="dxa"/>
            <w:tcBorders>
              <w:top w:val="single" w:sz="4" w:space="0" w:color="auto"/>
              <w:left w:val="single" w:sz="4" w:space="0" w:color="auto"/>
              <w:bottom w:val="single" w:sz="4" w:space="0" w:color="auto"/>
            </w:tcBorders>
            <w:shd w:val="clear" w:color="auto" w:fill="auto"/>
          </w:tcPr>
          <w:p w14:paraId="65320F64" w14:textId="77777777"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lastRenderedPageBreak/>
              <w:t>Likumprojekta anotācija ir precizēta</w:t>
            </w:r>
          </w:p>
        </w:tc>
      </w:tr>
      <w:tr w:rsidR="00780010" w:rsidRPr="001D7630" w14:paraId="01463804"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35CCA950" w14:textId="77777777" w:rsidR="00780010" w:rsidRPr="001D7630" w:rsidRDefault="00780010" w:rsidP="00780010">
            <w:pPr>
              <w:pStyle w:val="naisc"/>
              <w:spacing w:before="0" w:after="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07882F64"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0E8ED431" w14:textId="77777777" w:rsidR="00780010" w:rsidRPr="001D7630" w:rsidRDefault="00780010" w:rsidP="00780010">
            <w:pPr>
              <w:jc w:val="center"/>
              <w:rPr>
                <w:b/>
                <w:bCs/>
              </w:rPr>
            </w:pPr>
            <w:r w:rsidRPr="001D7630">
              <w:rPr>
                <w:b/>
                <w:bCs/>
              </w:rPr>
              <w:t>Latvijas Degvielas tirgotāju asociācija</w:t>
            </w:r>
          </w:p>
          <w:p w14:paraId="186F0C82" w14:textId="77777777" w:rsidR="00780010" w:rsidRPr="001D7630" w:rsidRDefault="00780010" w:rsidP="00780010">
            <w:pPr>
              <w:jc w:val="center"/>
              <w:rPr>
                <w:b/>
                <w:bCs/>
              </w:rPr>
            </w:pPr>
            <w:r w:rsidRPr="001D7630">
              <w:rPr>
                <w:b/>
                <w:bCs/>
              </w:rPr>
              <w:t>(25.03.2021.)</w:t>
            </w:r>
          </w:p>
          <w:p w14:paraId="773F8D3F" w14:textId="77777777" w:rsidR="00780010" w:rsidRPr="001D7630" w:rsidRDefault="00780010" w:rsidP="00780010">
            <w:pPr>
              <w:jc w:val="both"/>
            </w:pPr>
            <w:r w:rsidRPr="001D7630">
              <w:t>[1.] Lūdzam anotācijā paskaidrot, kas 5.panta otrajā daļā tiek domāts ar esošas degvielas uzpildes stacijas pārbūves vai renovācijas procesu.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5C1AA8AA" w14:textId="77777777" w:rsidR="00780010" w:rsidRPr="001D7630" w:rsidRDefault="00780010" w:rsidP="00780010">
            <w:pPr>
              <w:jc w:val="center"/>
              <w:rPr>
                <w:b/>
                <w:bCs/>
                <w:iCs/>
              </w:rPr>
            </w:pPr>
            <w:r w:rsidRPr="001D7630">
              <w:rPr>
                <w:b/>
                <w:bCs/>
                <w:iCs/>
              </w:rPr>
              <w:t>Ņemts vērā</w:t>
            </w:r>
          </w:p>
        </w:tc>
        <w:tc>
          <w:tcPr>
            <w:tcW w:w="4291" w:type="dxa"/>
            <w:tcBorders>
              <w:top w:val="single" w:sz="4" w:space="0" w:color="auto"/>
              <w:left w:val="single" w:sz="4" w:space="0" w:color="auto"/>
              <w:bottom w:val="single" w:sz="4" w:space="0" w:color="auto"/>
            </w:tcBorders>
            <w:shd w:val="clear" w:color="auto" w:fill="auto"/>
          </w:tcPr>
          <w:p w14:paraId="05C5687D" w14:textId="77777777" w:rsidR="00780010" w:rsidRPr="001D7630" w:rsidRDefault="00780010" w:rsidP="00780010">
            <w:pPr>
              <w:ind w:right="80"/>
              <w:jc w:val="both"/>
            </w:pPr>
            <w:r w:rsidRPr="001D7630">
              <w:t>Anotācijas I sadaļas 2.punkta sadaļa “</w:t>
            </w:r>
            <w:r w:rsidRPr="001D7630">
              <w:rPr>
                <w:u w:val="single"/>
              </w:rPr>
              <w:t>Likumprojekta 5.pants</w:t>
            </w:r>
            <w:r w:rsidRPr="001D7630">
              <w:t>” ir papildināta</w:t>
            </w:r>
          </w:p>
        </w:tc>
      </w:tr>
      <w:tr w:rsidR="00780010" w:rsidRPr="001D7630" w14:paraId="4F3E91F5" w14:textId="77777777" w:rsidTr="005D0902">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7DDF9231" w14:textId="77777777" w:rsidR="00780010" w:rsidRPr="001D7630" w:rsidRDefault="00780010" w:rsidP="00780010">
            <w:pPr>
              <w:pStyle w:val="naisc"/>
              <w:spacing w:before="0" w:after="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04F87078"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49FF649D" w14:textId="77777777" w:rsidR="00780010" w:rsidRPr="001D7630" w:rsidRDefault="00780010" w:rsidP="00780010">
            <w:pPr>
              <w:jc w:val="center"/>
              <w:rPr>
                <w:b/>
                <w:bCs/>
              </w:rPr>
            </w:pPr>
            <w:r w:rsidRPr="001D7630">
              <w:rPr>
                <w:b/>
                <w:bCs/>
              </w:rPr>
              <w:t>Latvijas Lielo pilsētu asociācija</w:t>
            </w:r>
          </w:p>
          <w:p w14:paraId="65C3BDA4" w14:textId="77777777" w:rsidR="00780010" w:rsidRPr="001D7630" w:rsidRDefault="00780010" w:rsidP="00780010">
            <w:pPr>
              <w:jc w:val="center"/>
              <w:rPr>
                <w:b/>
                <w:bCs/>
              </w:rPr>
            </w:pPr>
            <w:r w:rsidRPr="001D7630">
              <w:rPr>
                <w:b/>
                <w:bCs/>
              </w:rPr>
              <w:t>(26.03.2021.)</w:t>
            </w:r>
          </w:p>
          <w:p w14:paraId="214F17EB" w14:textId="77777777" w:rsidR="00780010" w:rsidRPr="001D7630" w:rsidRDefault="00780010" w:rsidP="00780010">
            <w:pPr>
              <w:jc w:val="both"/>
            </w:pPr>
            <w:r w:rsidRPr="001D7630">
              <w:t>Likumprojekta anotācijā minēts, ka valstspilsetām līdz 2030. gadam jānodrošina izmantoto transportlīdzekļu apjomā vismaz 50% tādi transportlīdzekļi, kuri ir darbināmi ar atjaunojamo enerģiju. </w:t>
            </w:r>
          </w:p>
          <w:p w14:paraId="725555F4" w14:textId="77777777" w:rsidR="00780010" w:rsidRPr="001D7630" w:rsidRDefault="00780010" w:rsidP="00780010">
            <w:pPr>
              <w:jc w:val="both"/>
              <w:rPr>
                <w:lang w:eastAsia="en-US"/>
              </w:rPr>
            </w:pPr>
            <w:r w:rsidRPr="001D7630">
              <w:t xml:space="preserve">Eiropas Parlamenta un Padomes Direktīva 2019/1161 (2019.gada 20.jūnijs) ar ko groza Direktīvu 2009/33/EK par "tīro" un energoefektīvo autotransporta līdzekļu izmantošanas veicināšanu nosaka, valstspilsētām šajā laika periodā ir jāiegādājas "tīrie" un bezemisiju autobusi. Šādi autobusi ir līdz </w:t>
            </w:r>
            <w:r w:rsidRPr="001D7630">
              <w:lastRenderedPageBreak/>
              <w:t xml:space="preserve">pat 2,5 reizēm dārgāki kā ar fosilo degvielu darbināmi autobusi.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4ECF6BB3" w14:textId="77777777" w:rsidR="00780010" w:rsidRPr="001D7630" w:rsidRDefault="00780010" w:rsidP="00780010">
            <w:pPr>
              <w:jc w:val="center"/>
              <w:rPr>
                <w:b/>
                <w:iCs/>
              </w:rPr>
            </w:pPr>
            <w:r w:rsidRPr="001D7630">
              <w:rPr>
                <w:b/>
                <w:iCs/>
              </w:rPr>
              <w:lastRenderedPageBreak/>
              <w:t>Ņemts vērā</w:t>
            </w:r>
          </w:p>
          <w:p w14:paraId="066387D3" w14:textId="77777777" w:rsidR="00780010" w:rsidRPr="001D7630" w:rsidRDefault="00780010" w:rsidP="00780010">
            <w:pPr>
              <w:rPr>
                <w:b/>
                <w:iCs/>
              </w:rPr>
            </w:pPr>
          </w:p>
          <w:p w14:paraId="335E5C4E" w14:textId="77777777" w:rsidR="00780010" w:rsidRPr="001D7630" w:rsidRDefault="00780010" w:rsidP="00780010">
            <w:pPr>
              <w:rPr>
                <w:iCs/>
              </w:rPr>
            </w:pPr>
            <w:r w:rsidRPr="001D7630">
              <w:rPr>
                <w:iCs/>
              </w:rPr>
              <w:t>Visas atsauces uz Direktīvu 2019/1161 likumprojekta anotācijā ir svītrota.</w:t>
            </w:r>
          </w:p>
          <w:p w14:paraId="4607EE15" w14:textId="77777777" w:rsidR="00780010" w:rsidRPr="001D7630" w:rsidRDefault="00780010" w:rsidP="00780010">
            <w:pPr>
              <w:rPr>
                <w:iCs/>
              </w:rPr>
            </w:pPr>
            <w:r w:rsidRPr="001D7630">
              <w:rPr>
                <w:iCs/>
              </w:rPr>
              <w:t>Ir iekļauta informācija par NEKP2030 pasākumiem, kuru izpildei ir izstrādāts likumprojekta 6.pants.</w:t>
            </w:r>
          </w:p>
          <w:p w14:paraId="39457BFD" w14:textId="77777777" w:rsidR="00780010" w:rsidRPr="001D7630" w:rsidRDefault="00780010" w:rsidP="00780010">
            <w:pPr>
              <w:rPr>
                <w:iCs/>
              </w:rPr>
            </w:pPr>
          </w:p>
          <w:p w14:paraId="39B26304" w14:textId="77777777" w:rsidR="00780010" w:rsidRPr="001D7630" w:rsidRDefault="00780010" w:rsidP="00780010">
            <w:pPr>
              <w:rPr>
                <w:iCs/>
              </w:rPr>
            </w:pPr>
            <w:r w:rsidRPr="001D7630">
              <w:rPr>
                <w:iCs/>
              </w:rPr>
              <w:t>Norādām, ka direktīvas 2019/1161 transponēšanai ir izstrādāti citi likumprojekti, kuri šobrīd tiek skatīti Saeimā.</w:t>
            </w:r>
          </w:p>
          <w:p w14:paraId="0B8D5C95" w14:textId="77777777" w:rsidR="00780010" w:rsidRPr="001D7630" w:rsidRDefault="00780010" w:rsidP="00780010">
            <w:pPr>
              <w:rPr>
                <w:iCs/>
              </w:rPr>
            </w:pPr>
          </w:p>
          <w:p w14:paraId="49258896" w14:textId="77777777" w:rsidR="00780010" w:rsidRPr="001D7630" w:rsidRDefault="00780010" w:rsidP="00780010">
            <w:pPr>
              <w:rPr>
                <w:b/>
                <w:bCs/>
                <w:iCs/>
              </w:rPr>
            </w:pPr>
            <w:r w:rsidRPr="001D7630">
              <w:rPr>
                <w:iCs/>
              </w:rPr>
              <w:lastRenderedPageBreak/>
              <w:t>Likumprojekta 6.panta pienākuma izpildē ir ieskaitāmi arī ar biometānu darbināmu transportlīdzekļu izmantošana, ja tiek attiecīgi pamatots, ka šajos transportlīdzekļos tiek izmantots tikai un vienīgi biometāns un netiek izmantota fosilā dabasgāze. CNG autobusu cenas variē tādā robežās, kādas ir arī dīzeļdegvielas autobusu cenām, piedevām – ir iespēja arī dīzeļdegvielas autobusus pārbūvēt, lai tajos izmantotu biometānu. Likumprojekts neparedz, ka obligāti ir jāiegādājas jauni transportlīdzekļi.</w:t>
            </w:r>
          </w:p>
        </w:tc>
        <w:tc>
          <w:tcPr>
            <w:tcW w:w="4291" w:type="dxa"/>
            <w:tcBorders>
              <w:top w:val="single" w:sz="4" w:space="0" w:color="auto"/>
              <w:left w:val="single" w:sz="4" w:space="0" w:color="auto"/>
              <w:bottom w:val="single" w:sz="4" w:space="0" w:color="auto"/>
            </w:tcBorders>
            <w:shd w:val="clear" w:color="auto" w:fill="auto"/>
          </w:tcPr>
          <w:p w14:paraId="3FF5AEC5" w14:textId="77777777" w:rsidR="00780010" w:rsidRPr="001D7630" w:rsidRDefault="00780010" w:rsidP="00780010">
            <w:pPr>
              <w:ind w:right="80"/>
              <w:jc w:val="both"/>
            </w:pPr>
            <w:r w:rsidRPr="001D7630">
              <w:lastRenderedPageBreak/>
              <w:t>Likumprojekta I sadaļas 2.punkta sadaļa “</w:t>
            </w:r>
            <w:r w:rsidRPr="001D7630">
              <w:rPr>
                <w:u w:val="single"/>
              </w:rPr>
              <w:t>Likumprojekta 6.pants</w:t>
            </w:r>
            <w:r w:rsidRPr="001D7630">
              <w:t>” ir papildināta</w:t>
            </w:r>
          </w:p>
        </w:tc>
      </w:tr>
      <w:tr w:rsidR="00780010" w:rsidRPr="001D7630" w14:paraId="57F326D3"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662ECC8" w14:textId="77777777" w:rsidR="00780010" w:rsidRPr="001D7630" w:rsidRDefault="00780010" w:rsidP="00780010">
            <w:pPr>
              <w:pStyle w:val="naisc"/>
              <w:spacing w:before="0" w:after="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5C228A86"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25B4D7C1" w14:textId="77777777" w:rsidR="00780010" w:rsidRPr="001D7630" w:rsidRDefault="00780010" w:rsidP="00780010">
            <w:pPr>
              <w:jc w:val="center"/>
              <w:rPr>
                <w:b/>
                <w:bCs/>
              </w:rPr>
            </w:pPr>
            <w:r w:rsidRPr="001D7630">
              <w:rPr>
                <w:b/>
                <w:bCs/>
              </w:rPr>
              <w:t>Finanšu ministrija</w:t>
            </w:r>
          </w:p>
          <w:p w14:paraId="77DD3342" w14:textId="77777777" w:rsidR="00780010" w:rsidRPr="001D7630" w:rsidRDefault="00780010" w:rsidP="00780010">
            <w:pPr>
              <w:jc w:val="center"/>
              <w:rPr>
                <w:b/>
                <w:bCs/>
              </w:rPr>
            </w:pPr>
            <w:r w:rsidRPr="001D7630">
              <w:rPr>
                <w:b/>
                <w:bCs/>
              </w:rPr>
              <w:t>(16.06.2021. atzinums)</w:t>
            </w:r>
          </w:p>
          <w:p w14:paraId="342916AA" w14:textId="1E624DBF" w:rsidR="00780010" w:rsidRPr="001D7630" w:rsidRDefault="00780010" w:rsidP="00780010">
            <w:pPr>
              <w:jc w:val="both"/>
            </w:pPr>
            <w:r w:rsidRPr="001D7630">
              <w:t xml:space="preserve">1. Likumprojekta anotācijā ir noteikts, ka transporta enerģijas tirgus uzraudzību veic Ministru kabineta noteikta institūcija (BVKB) saskaņā ar Informatīvo ziņojumu. Nav skaidrs, kāpēc likumprojektā netiek nosaukta konkrēta iestāde, kas uzrauga šos procesus, bet tiek lietota – Ministru kabineta noteikta institūcija. Finanšu ministrijai, kas ir atbildīga par kopējo valsts nodevu noteikšanas un </w:t>
            </w:r>
            <w:r w:rsidRPr="001D7630">
              <w:lastRenderedPageBreak/>
              <w:t>administrēšanas politiku, ir svarīgi zināt likumprojektā reglamentētās valsts nodevas administrējošo iestādi, ņemot vērā, ka tai ir veicama konkrētās valsts nodevas uzskaite saskaņā ar Ministru kabineta 2018.gada 7.augusta noteikumiem Nr.453 “Valsts nodevu uzskaites noteikumi”. Ja tas nav iespējams, lūdzam sniegt argumentētu viedokli anotācijā par šo. Vienlaikus izvērtējams, vai nav nepieciešams paredzēt precizēt/papildināt Ministru kabineta 2014.gada 30.septembra noteikumus Nr.576 “Būvniecības valsts kontroles biroja nolikums” ar tam noteiktajām funkcijām, tiesībām un pienākumiem, kuri izriet no likumprojektā iekļautajām tiesību normām.</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3174369B" w14:textId="509B4B1B" w:rsidR="00780010" w:rsidRPr="001D7630" w:rsidRDefault="00780010" w:rsidP="00780010">
            <w:pPr>
              <w:jc w:val="center"/>
              <w:rPr>
                <w:b/>
                <w:iCs/>
              </w:rPr>
            </w:pPr>
            <w:r w:rsidRPr="001D7630">
              <w:rPr>
                <w:b/>
                <w:iCs/>
              </w:rPr>
              <w:lastRenderedPageBreak/>
              <w:t>Ņemts vērā</w:t>
            </w:r>
          </w:p>
          <w:p w14:paraId="130FC6E7" w14:textId="77777777" w:rsidR="00780010" w:rsidRPr="001D7630" w:rsidRDefault="00780010" w:rsidP="00780010">
            <w:pPr>
              <w:rPr>
                <w:bCs/>
                <w:iCs/>
              </w:rPr>
            </w:pPr>
            <w:r w:rsidRPr="001D7630">
              <w:rPr>
                <w:bCs/>
                <w:iCs/>
              </w:rPr>
              <w:t>Norādām, ka BVKB nolikums tika papildināts ar MK noteikumiem Nr.687 (17.12.2019.), un tajā tika iekļauti BVKB pienākumi “nodrošināt enerģētikas politikas īstenošanu”.</w:t>
            </w:r>
          </w:p>
          <w:p w14:paraId="1AFC28A0" w14:textId="77777777" w:rsidR="00780010" w:rsidRPr="001D7630" w:rsidRDefault="00780010" w:rsidP="00780010">
            <w:pPr>
              <w:rPr>
                <w:bCs/>
                <w:iCs/>
              </w:rPr>
            </w:pPr>
            <w:r w:rsidRPr="001D7630">
              <w:rPr>
                <w:bCs/>
                <w:iCs/>
              </w:rPr>
              <w:t>EM apsvērs nepieciešamību papildināt BVKB nolikuma 1.3.punktu ar atsauci uz Transporta enerģijas likumu.</w:t>
            </w:r>
          </w:p>
          <w:p w14:paraId="27574563" w14:textId="468F871B" w:rsidR="00780010" w:rsidRPr="001D7630" w:rsidRDefault="00780010" w:rsidP="00780010">
            <w:pPr>
              <w:rPr>
                <w:b/>
                <w:iCs/>
              </w:rPr>
            </w:pPr>
            <w:r w:rsidRPr="001D7630">
              <w:rPr>
                <w:bCs/>
                <w:iCs/>
              </w:rPr>
              <w:lastRenderedPageBreak/>
              <w:t>Vienlaikus norādām, ka pienākumus degvielas un biodegvielas kvalitātes uzraudzības jomā BVKB nosaka jau spēkā esošie MKN Nr.332 (26.09.2000) un MKN Nr.772 (18.10.2005.)</w:t>
            </w:r>
          </w:p>
        </w:tc>
        <w:tc>
          <w:tcPr>
            <w:tcW w:w="4291" w:type="dxa"/>
            <w:tcBorders>
              <w:top w:val="single" w:sz="4" w:space="0" w:color="auto"/>
              <w:left w:val="single" w:sz="4" w:space="0" w:color="auto"/>
              <w:bottom w:val="single" w:sz="4" w:space="0" w:color="auto"/>
            </w:tcBorders>
            <w:shd w:val="clear" w:color="auto" w:fill="auto"/>
          </w:tcPr>
          <w:p w14:paraId="51E9A056" w14:textId="6738B31B" w:rsidR="00780010" w:rsidRPr="001D7630" w:rsidRDefault="00780010" w:rsidP="00780010">
            <w:pPr>
              <w:ind w:right="80"/>
              <w:jc w:val="both"/>
            </w:pPr>
            <w:r w:rsidRPr="001D7630">
              <w:lastRenderedPageBreak/>
              <w:t>Likumprojekta anotācijas I sadaļas 2.punkta sadaļa “</w:t>
            </w:r>
            <w:r w:rsidRPr="001D7630">
              <w:rPr>
                <w:u w:val="single"/>
              </w:rPr>
              <w:t>Tiesiskā regulējuma būtība</w:t>
            </w:r>
            <w:r w:rsidRPr="001D7630">
              <w:t>” ir papildināta.</w:t>
            </w:r>
          </w:p>
          <w:p w14:paraId="5A0DA155" w14:textId="0AB8DEE2" w:rsidR="00780010" w:rsidRPr="001D7630" w:rsidRDefault="00780010" w:rsidP="00780010">
            <w:pPr>
              <w:ind w:right="80"/>
              <w:jc w:val="both"/>
            </w:pPr>
          </w:p>
        </w:tc>
      </w:tr>
      <w:tr w:rsidR="00780010" w:rsidRPr="001D7630" w14:paraId="3EF3E459"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2C8B0B85"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6D45AFA0"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256F83D0" w14:textId="77777777" w:rsidR="00780010" w:rsidRPr="001D7630" w:rsidRDefault="00780010" w:rsidP="00780010">
            <w:pPr>
              <w:autoSpaceDE w:val="0"/>
              <w:autoSpaceDN w:val="0"/>
              <w:adjustRightInd w:val="0"/>
              <w:jc w:val="center"/>
              <w:rPr>
                <w:b/>
                <w:bCs/>
              </w:rPr>
            </w:pPr>
            <w:r w:rsidRPr="001D7630">
              <w:rPr>
                <w:b/>
                <w:bCs/>
              </w:rPr>
              <w:t>Tieslietu ministrija</w:t>
            </w:r>
          </w:p>
          <w:p w14:paraId="4220919D" w14:textId="77777777" w:rsidR="00780010" w:rsidRPr="001D7630" w:rsidRDefault="00780010" w:rsidP="00780010">
            <w:pPr>
              <w:autoSpaceDE w:val="0"/>
              <w:autoSpaceDN w:val="0"/>
              <w:adjustRightInd w:val="0"/>
              <w:jc w:val="center"/>
              <w:rPr>
                <w:b/>
                <w:bCs/>
              </w:rPr>
            </w:pPr>
            <w:r w:rsidRPr="001D7630">
              <w:rPr>
                <w:b/>
                <w:bCs/>
              </w:rPr>
              <w:t>(16.06.2021. atzinums)</w:t>
            </w:r>
          </w:p>
          <w:p w14:paraId="767EFFB6" w14:textId="77777777" w:rsidR="00780010" w:rsidRPr="001D7630" w:rsidRDefault="00780010" w:rsidP="00780010">
            <w:pPr>
              <w:jc w:val="both"/>
            </w:pPr>
            <w:r w:rsidRPr="001D7630">
              <w:t xml:space="preserve">3. Projekta 14. pantā paredzēta transporta enerģijas aprites cikla emisiju intensitātes samazināšanas valsts nodeva. No projekta 14. panta pirmās daļas izriet, ka šīs nodevas mērķis ir veicināt transporta enerģijas izmantošanas radīto siltumnīcefekta gāzu emisiju samazināšanu, atjaunojamās transporta enerģijas izmantošanu un energoefektivitātes uzlabošanu transporta sektorā. Savukārt projekta anotācijā vairākkārt dažādos veidos </w:t>
            </w:r>
            <w:r w:rsidRPr="001D7630">
              <w:lastRenderedPageBreak/>
              <w:t>norādīts, ka šīs nodevas mērķis ir panākt, ka "degvielas piegādātājs nodrošina sava galapatēriņam realizētās transporta enerģijas apjoma SEG emisiju samazināšanu". Tādējādi projekta anotācija nav pilnībā saskaņota ar projekta saturu.</w:t>
            </w:r>
          </w:p>
          <w:p w14:paraId="0124D47E" w14:textId="77777777" w:rsidR="00780010" w:rsidRPr="001D7630" w:rsidRDefault="00780010" w:rsidP="00780010">
            <w:pPr>
              <w:pStyle w:val="ListParagraph"/>
              <w:numPr>
                <w:ilvl w:val="1"/>
                <w:numId w:val="23"/>
              </w:numPr>
              <w:spacing w:after="0" w:line="240" w:lineRule="auto"/>
              <w:ind w:left="0" w:firstLine="360"/>
              <w:contextualSpacing w:val="0"/>
              <w:jc w:val="both"/>
              <w:rPr>
                <w:rFonts w:ascii="Times New Roman" w:hAnsi="Times New Roman"/>
                <w:sz w:val="24"/>
                <w:szCs w:val="24"/>
              </w:rPr>
            </w:pPr>
            <w:r w:rsidRPr="001D7630">
              <w:rPr>
                <w:rFonts w:ascii="Times New Roman" w:hAnsi="Times New Roman"/>
                <w:sz w:val="24"/>
                <w:szCs w:val="24"/>
              </w:rPr>
              <w:t>Saskaņā ar likuma "Par nodokļiem un nodevām" 1. panta 2. punktu valsts nodeva ir obligāts maksājums valsts budžetā vai šajā likumā noteiktajos gadījumos pašvaldības budžetā par valsts vai pašvaldības institūcijas veicamo darbību, kas izriet no šīs institūcijas funkcijām. Valsts nodevas mērķis ir personu darbību regulēšana (kontrolēšana, veicināšana, ierobežošana).</w:t>
            </w:r>
          </w:p>
          <w:p w14:paraId="7CF8A47C" w14:textId="77777777" w:rsidR="00780010" w:rsidRPr="001D7630" w:rsidRDefault="00780010" w:rsidP="00780010">
            <w:pPr>
              <w:pStyle w:val="ListParagraph"/>
              <w:numPr>
                <w:ilvl w:val="1"/>
                <w:numId w:val="23"/>
              </w:numPr>
              <w:spacing w:after="0" w:line="240" w:lineRule="auto"/>
              <w:ind w:left="0" w:firstLine="360"/>
              <w:contextualSpacing w:val="0"/>
              <w:jc w:val="both"/>
              <w:rPr>
                <w:rFonts w:ascii="Times New Roman" w:hAnsi="Times New Roman"/>
                <w:sz w:val="24"/>
                <w:szCs w:val="24"/>
              </w:rPr>
            </w:pPr>
            <w:r w:rsidRPr="001D7630">
              <w:rPr>
                <w:rFonts w:ascii="Times New Roman" w:hAnsi="Times New Roman"/>
                <w:sz w:val="24"/>
                <w:szCs w:val="24"/>
              </w:rPr>
              <w:t>Piekrītam projekta anotācijā norādītajam, ka šādas nodevas mērķis varētu būt darbības kontrolēšana un veicināšana, kas kopumā atbilst projekta 14. panta pirmajā daļā norādītajiem nodevas mērķiem. Tomēr nodevas būtiska pazīme ir arī tā, ka nodeva ir maksājums par valsts vai pašvaldības institūcijas veicamo darbību. Lūdzam projekta anotācijā ietvert skaidru norādi par to, kāda konkrētajā gadījumā ir valsts institūcijas veicamā darbība. Pretējā gadījumā pastāv šaubas, ka šāda "nodeva" patiesībā ir sodoša rakstura administratīva sankcija.</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69CB2A86" w14:textId="737A5981" w:rsidR="00780010" w:rsidRPr="001D7630" w:rsidRDefault="00780010" w:rsidP="00780010">
            <w:pPr>
              <w:jc w:val="center"/>
              <w:rPr>
                <w:b/>
                <w:bCs/>
                <w:iCs/>
              </w:rPr>
            </w:pPr>
            <w:r w:rsidRPr="001D7630">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322B3743" w14:textId="707BCBD8"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sidRPr="001D7630">
              <w:rPr>
                <w:rFonts w:ascii="Times New Roman" w:hAnsi="Times New Roman"/>
                <w:sz w:val="24"/>
                <w:szCs w:val="24"/>
                <w:lang w:eastAsia="lv-LV"/>
              </w:rPr>
              <w:t>Likumprojekta anotācijas I sadaļas 2.punkta sadaļa “</w:t>
            </w:r>
            <w:r w:rsidRPr="001D7630">
              <w:rPr>
                <w:rFonts w:ascii="Times New Roman" w:hAnsi="Times New Roman"/>
                <w:sz w:val="24"/>
                <w:szCs w:val="24"/>
                <w:u w:val="single"/>
                <w:lang w:eastAsia="lv-LV"/>
              </w:rPr>
              <w:t>Likumprojekta 14.pants</w:t>
            </w:r>
            <w:r w:rsidRPr="001D7630">
              <w:rPr>
                <w:rFonts w:ascii="Times New Roman" w:hAnsi="Times New Roman"/>
                <w:sz w:val="24"/>
                <w:szCs w:val="24"/>
                <w:lang w:eastAsia="lv-LV"/>
              </w:rPr>
              <w:t>” ir precizēta un papildināta.</w:t>
            </w:r>
          </w:p>
        </w:tc>
      </w:tr>
      <w:tr w:rsidR="00780010" w:rsidRPr="001D7630" w14:paraId="09E9320F"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4D78172F"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31E54E5"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0772D173" w14:textId="77777777" w:rsidR="00780010" w:rsidRDefault="00780010" w:rsidP="00780010">
            <w:pPr>
              <w:autoSpaceDE w:val="0"/>
              <w:autoSpaceDN w:val="0"/>
              <w:adjustRightInd w:val="0"/>
              <w:jc w:val="center"/>
              <w:rPr>
                <w:b/>
                <w:bCs/>
              </w:rPr>
            </w:pPr>
            <w:r>
              <w:rPr>
                <w:b/>
                <w:bCs/>
              </w:rPr>
              <w:t>Vides aizsardzības un reģionālās attīstības ministrija</w:t>
            </w:r>
          </w:p>
          <w:p w14:paraId="241A3AFE" w14:textId="77777777" w:rsidR="00780010" w:rsidRDefault="00780010" w:rsidP="00780010">
            <w:pPr>
              <w:autoSpaceDE w:val="0"/>
              <w:autoSpaceDN w:val="0"/>
              <w:adjustRightInd w:val="0"/>
              <w:jc w:val="center"/>
              <w:rPr>
                <w:b/>
                <w:bCs/>
              </w:rPr>
            </w:pPr>
            <w:r>
              <w:rPr>
                <w:b/>
                <w:bCs/>
              </w:rPr>
              <w:t>(14.07.2021. atzinums)</w:t>
            </w:r>
          </w:p>
          <w:p w14:paraId="1FC472BA" w14:textId="740336AE" w:rsidR="00780010" w:rsidRPr="009A5411" w:rsidRDefault="00780010" w:rsidP="00780010">
            <w:pPr>
              <w:autoSpaceDE w:val="0"/>
              <w:autoSpaceDN w:val="0"/>
              <w:adjustRightInd w:val="0"/>
            </w:pPr>
            <w:r>
              <w:t xml:space="preserve">1) </w:t>
            </w:r>
            <w:r w:rsidRPr="009A5411">
              <w:t>Lūdzam likumprojekta anotācijas 2. sadaļas “Pašreizējā situācija”  2.-4. rindkopu precizēt šādā redakcijā:</w:t>
            </w:r>
          </w:p>
          <w:p w14:paraId="4E71FA20" w14:textId="77777777" w:rsidR="00780010" w:rsidRPr="009A5411" w:rsidRDefault="00780010" w:rsidP="00780010">
            <w:pPr>
              <w:autoSpaceDE w:val="0"/>
              <w:autoSpaceDN w:val="0"/>
              <w:adjustRightInd w:val="0"/>
            </w:pPr>
            <w:r w:rsidRPr="009A5411">
              <w:t xml:space="preserve">“Intensīvāka no AER iegūtas enerģijas jeb atjaunojamās enerģijas izmantošana un izmantošanas veicināšanas politika un pasākumi tiek veikti starptautisko un Eiropas Savienības (turpmāk – ES) klimata pārmaiņu mazināšanas apņemšanos īstenošanai. Latvija ir ratificējusi Apvienoto Nāciju Organizācijas (turpmāk – ANO) Vispārējo konvenciju par klimata pārmaiņām un tās Kioto protokolu un Kioto protokola Dohas grozījumus, kā arī ANO Parīzes nolīgumu. Latvija kā Eiropas Savienības dalībvalsts kopā ar citām dalībvalstīm Kioto protokola Dohas grozījumā un Parīzes nolīgumā iekļautos nosacījumus un pienākumus īsteno kopīgi. ES Parīzes nolīguma ietvaros saskaņā ar atjaunināto nacionālo noteikto devumu (NDC), kas ANO Vispārējās konvencijas par klimata pārmaiņām sekretariātā iesniegts  2020. gada 17. decembrī,  ir apņēmusies samazināt kopējās ES SEG emisijas 2030. gadā par vismaz 55 % salīdzinājumā ar 1990. gadu. </w:t>
            </w:r>
          </w:p>
          <w:p w14:paraId="05956C14" w14:textId="77777777" w:rsidR="00780010" w:rsidRPr="009A5411" w:rsidRDefault="00780010" w:rsidP="00780010">
            <w:pPr>
              <w:autoSpaceDE w:val="0"/>
              <w:autoSpaceDN w:val="0"/>
              <w:adjustRightInd w:val="0"/>
            </w:pPr>
            <w:r w:rsidRPr="009A5411">
              <w:lastRenderedPageBreak/>
              <w:t xml:space="preserve">Turklāt Eiropas Parlamenta un Padomes 2021. gada 30. jūnija regulā ar ko izveido klimatneitralitātes panākšanas satvaru un groza Regulas (EK) Nr. 401/2009 un (ES) 2018/1999 (“Eiropas Klimata akts”) 2. panta 1. punktā noteikts  ES klimatneitralitātes mērķis 2050. gadā. </w:t>
            </w:r>
          </w:p>
          <w:p w14:paraId="505FF58F" w14:textId="77777777" w:rsidR="00780010" w:rsidRPr="009A5411" w:rsidRDefault="00780010" w:rsidP="00780010">
            <w:pPr>
              <w:autoSpaceDE w:val="0"/>
              <w:autoSpaceDN w:val="0"/>
              <w:adjustRightInd w:val="0"/>
            </w:pPr>
            <w:r w:rsidRPr="009A5411">
              <w:t>Atbilstoši līdzšinējam ES SEG emisiju samazināšanas mērķim (vismaz 40% samazinājums 2030. gadā salīdzinoši ar 1990. gadu) ES tika noteikti vairāki ES kopīgie un katras dalībvalsts sektorālie mērķi SEG emisiju samazināšanas nodrošināšanai, no kuriem būtiskākie ir[1]:”</w:t>
            </w:r>
          </w:p>
          <w:p w14:paraId="0DABA179" w14:textId="0C5C54EE" w:rsidR="00780010" w:rsidRPr="001D7630" w:rsidRDefault="00780010" w:rsidP="009A5411">
            <w:pPr>
              <w:autoSpaceDE w:val="0"/>
              <w:autoSpaceDN w:val="0"/>
              <w:adjustRightInd w:val="0"/>
              <w:rPr>
                <w:b/>
                <w:bCs/>
              </w:rPr>
            </w:pPr>
            <w:r w:rsidRPr="009A5411">
              <w:t>2)</w:t>
            </w:r>
            <w:r w:rsidRPr="009A5411">
              <w:tab/>
              <w:t>Lūdzam likumprojekta anotācijas 2. sadaļā “Pašreizējā situācija”  pēc  vārdiem “…, kur viena no ziņojuma sadaļām ir integrētais ziņojums par atjaunojamo enerģiju, kur savukārt jāiekļauj informāciju par AER transportā” (4. lpp.) pievienot rindkopu: “Turklāt jāņem vērā, ka iepriekš minētie nacionālie un sektorālie klimata un enerģētikas mērķi tiks pārskatīti un kāpināti, lai ES varētu sasniegt jauno SEG emisiju samazināšanas mērķi (vismaz -55% samazinājumu 2030. gadā, salīdzinot ar 1990. gadu).”</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0C5E4EFD" w14:textId="4B676253" w:rsidR="00780010" w:rsidRPr="001D7630" w:rsidRDefault="00780010" w:rsidP="00780010">
            <w:pPr>
              <w:jc w:val="center"/>
              <w:rPr>
                <w:b/>
                <w:bCs/>
                <w:iCs/>
              </w:rPr>
            </w:pPr>
            <w:r>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190903F3" w14:textId="5686D8C2" w:rsidR="00780010" w:rsidRPr="001D7630" w:rsidRDefault="00780010" w:rsidP="00780010">
            <w:pPr>
              <w:pStyle w:val="ListParagraph"/>
              <w:spacing w:after="0" w:line="240" w:lineRule="auto"/>
              <w:ind w:left="0"/>
              <w:contextualSpacing w:val="0"/>
              <w:rPr>
                <w:rFonts w:ascii="Times New Roman" w:hAnsi="Times New Roman"/>
                <w:sz w:val="24"/>
                <w:szCs w:val="24"/>
                <w:lang w:eastAsia="lv-LV"/>
              </w:rPr>
            </w:pPr>
            <w:r>
              <w:rPr>
                <w:rFonts w:ascii="Times New Roman" w:hAnsi="Times New Roman"/>
                <w:sz w:val="24"/>
                <w:szCs w:val="24"/>
                <w:lang w:eastAsia="lv-LV"/>
              </w:rPr>
              <w:t>Likumprojekta anotācijas I sadaļas 2.punkts ir atbilstoši precizēts</w:t>
            </w:r>
          </w:p>
        </w:tc>
      </w:tr>
      <w:tr w:rsidR="00780010" w:rsidRPr="001D7630" w14:paraId="412C2D75"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0E5FEB88" w14:textId="77777777" w:rsidR="00780010" w:rsidRPr="001D7630" w:rsidRDefault="00780010"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0DB7250" w14:textId="77777777" w:rsidR="00780010" w:rsidRPr="001D7630" w:rsidRDefault="00780010"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60341791" w14:textId="77777777" w:rsidR="00780010" w:rsidRDefault="00780010" w:rsidP="00780010">
            <w:pPr>
              <w:autoSpaceDE w:val="0"/>
              <w:autoSpaceDN w:val="0"/>
              <w:adjustRightInd w:val="0"/>
              <w:jc w:val="center"/>
              <w:rPr>
                <w:b/>
                <w:bCs/>
              </w:rPr>
            </w:pPr>
            <w:r>
              <w:rPr>
                <w:b/>
                <w:bCs/>
              </w:rPr>
              <w:t>Tieslietu ministrija</w:t>
            </w:r>
          </w:p>
          <w:p w14:paraId="0377AD92" w14:textId="77777777" w:rsidR="00780010" w:rsidRDefault="00780010" w:rsidP="00780010">
            <w:pPr>
              <w:autoSpaceDE w:val="0"/>
              <w:autoSpaceDN w:val="0"/>
              <w:adjustRightInd w:val="0"/>
              <w:jc w:val="center"/>
              <w:rPr>
                <w:b/>
                <w:bCs/>
              </w:rPr>
            </w:pPr>
            <w:r>
              <w:rPr>
                <w:b/>
                <w:bCs/>
              </w:rPr>
              <w:t>(15.07.2021. atzinums)</w:t>
            </w:r>
          </w:p>
          <w:p w14:paraId="4A000FC3" w14:textId="77777777" w:rsidR="00780010" w:rsidRDefault="00780010" w:rsidP="009A5411">
            <w:pPr>
              <w:jc w:val="both"/>
              <w:rPr>
                <w:sz w:val="22"/>
                <w:szCs w:val="22"/>
              </w:rPr>
            </w:pPr>
            <w:r>
              <w:lastRenderedPageBreak/>
              <w:t>3. Projekta anotācijā norādīts, ka par projekta 7. panta sestajā daļā noteiktā pienākuma – informācijas sniegšana – neizpildi var piemērot Administratīvo sodu likuma par pārkāpumiem pārvaldes, sabiedriskās kārtības un valsts valodas lietošanas jomā (turpmāk – Administratīvo sodu likums) 4. pantu.</w:t>
            </w:r>
          </w:p>
          <w:p w14:paraId="4DBD197D" w14:textId="7C960EB4" w:rsidR="00780010" w:rsidRPr="009A5411" w:rsidRDefault="00780010" w:rsidP="009A5411">
            <w:pPr>
              <w:jc w:val="both"/>
            </w:pPr>
            <w:r>
              <w:t>Administratīvo sodu likuma 4. pants nav piemērojams projekta 7. panta sestajā daļā minētajā gadījumā. Līdz ar to precizējama projekta anotācija. Informācijas sniegšanas iestādei pārkāpumi ir paredzēti Administratīvo sodu likuma 3. pantā (kompetence – šā likuma 29. pantā). Turklāt, izvērtējot attiecīgās informācijas sniegšanas mērķi un tās tālāku izmantošanu, pastāv šaubas, vai administratīvā atbildība šādā gadījumā vispār būtu piemērots un samērīgs līdzeklis.</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6A87B39D" w14:textId="1F97AF93" w:rsidR="00780010" w:rsidRDefault="00780010" w:rsidP="00780010">
            <w:pPr>
              <w:jc w:val="center"/>
              <w:rPr>
                <w:b/>
                <w:bCs/>
                <w:iCs/>
              </w:rPr>
            </w:pPr>
            <w:r>
              <w:rPr>
                <w:b/>
                <w:bCs/>
                <w:iCs/>
              </w:rPr>
              <w:lastRenderedPageBreak/>
              <w:t>Ņemts vērā</w:t>
            </w:r>
          </w:p>
        </w:tc>
        <w:tc>
          <w:tcPr>
            <w:tcW w:w="4291" w:type="dxa"/>
            <w:tcBorders>
              <w:top w:val="single" w:sz="4" w:space="0" w:color="auto"/>
              <w:left w:val="single" w:sz="4" w:space="0" w:color="auto"/>
              <w:bottom w:val="single" w:sz="4" w:space="0" w:color="auto"/>
            </w:tcBorders>
            <w:shd w:val="clear" w:color="auto" w:fill="auto"/>
          </w:tcPr>
          <w:p w14:paraId="73027AC1" w14:textId="3D5A2D68" w:rsidR="00780010" w:rsidRPr="006F55CB" w:rsidRDefault="00780010" w:rsidP="009A5411">
            <w:pPr>
              <w:pStyle w:val="ListParagraph"/>
              <w:spacing w:after="0" w:line="240" w:lineRule="auto"/>
              <w:ind w:left="0"/>
              <w:contextualSpacing w:val="0"/>
              <w:jc w:val="both"/>
              <w:rPr>
                <w:rFonts w:ascii="Times New Roman" w:hAnsi="Times New Roman"/>
                <w:sz w:val="24"/>
                <w:szCs w:val="24"/>
                <w:lang w:eastAsia="lv-LV"/>
              </w:rPr>
            </w:pPr>
            <w:r>
              <w:rPr>
                <w:rFonts w:ascii="Times New Roman" w:hAnsi="Times New Roman"/>
                <w:sz w:val="24"/>
                <w:szCs w:val="24"/>
                <w:lang w:eastAsia="lv-LV"/>
              </w:rPr>
              <w:t>Likumprojekta anotācijas I sadaļas 2.punkta sadaļa “</w:t>
            </w:r>
            <w:r>
              <w:rPr>
                <w:rFonts w:ascii="Times New Roman" w:hAnsi="Times New Roman"/>
                <w:sz w:val="24"/>
                <w:szCs w:val="24"/>
                <w:u w:val="single"/>
                <w:lang w:eastAsia="lv-LV"/>
              </w:rPr>
              <w:t>Likumprojekta 7.pants</w:t>
            </w:r>
            <w:r>
              <w:rPr>
                <w:rFonts w:ascii="Times New Roman" w:hAnsi="Times New Roman"/>
                <w:sz w:val="24"/>
                <w:szCs w:val="24"/>
                <w:lang w:eastAsia="lv-LV"/>
              </w:rPr>
              <w:t>” ir precizēta</w:t>
            </w:r>
          </w:p>
        </w:tc>
      </w:tr>
      <w:tr w:rsidR="00F06343" w:rsidRPr="001D7630" w14:paraId="502964E8" w14:textId="77777777" w:rsidTr="001D7630">
        <w:trPr>
          <w:jc w:val="center"/>
        </w:trPr>
        <w:tc>
          <w:tcPr>
            <w:tcW w:w="637" w:type="dxa"/>
            <w:tcBorders>
              <w:top w:val="single" w:sz="6" w:space="0" w:color="000000"/>
              <w:left w:val="single" w:sz="6" w:space="0" w:color="000000"/>
              <w:bottom w:val="single" w:sz="6" w:space="0" w:color="000000"/>
              <w:right w:val="single" w:sz="6" w:space="0" w:color="000000"/>
            </w:tcBorders>
            <w:shd w:val="clear" w:color="auto" w:fill="auto"/>
          </w:tcPr>
          <w:p w14:paraId="2B69BA91" w14:textId="77777777" w:rsidR="00F06343" w:rsidRPr="001D7630" w:rsidRDefault="00F06343" w:rsidP="00780010">
            <w:pPr>
              <w:pStyle w:val="naisc"/>
              <w:numPr>
                <w:ilvl w:val="0"/>
                <w:numId w:val="16"/>
              </w:numPr>
              <w:spacing w:before="0" w:after="0"/>
              <w:ind w:left="0" w:firstLine="0"/>
              <w:rPr>
                <w:b/>
              </w:rPr>
            </w:pPr>
          </w:p>
        </w:tc>
        <w:tc>
          <w:tcPr>
            <w:tcW w:w="3041" w:type="dxa"/>
            <w:tcBorders>
              <w:top w:val="single" w:sz="6" w:space="0" w:color="000000"/>
              <w:left w:val="single" w:sz="6" w:space="0" w:color="000000"/>
              <w:bottom w:val="single" w:sz="6" w:space="0" w:color="000000"/>
              <w:right w:val="single" w:sz="6" w:space="0" w:color="000000"/>
            </w:tcBorders>
            <w:shd w:val="clear" w:color="auto" w:fill="auto"/>
          </w:tcPr>
          <w:p w14:paraId="12270447" w14:textId="77777777" w:rsidR="00F06343" w:rsidRPr="001D7630" w:rsidRDefault="00F06343" w:rsidP="00780010">
            <w:pPr>
              <w:pStyle w:val="ListParagraph"/>
              <w:spacing w:after="0" w:line="240" w:lineRule="auto"/>
              <w:ind w:left="0"/>
              <w:contextualSpacing w:val="0"/>
              <w:rPr>
                <w:rFonts w:ascii="Times New Roman" w:hAnsi="Times New Roman"/>
                <w:color w:val="000000" w:themeColor="text1"/>
                <w:sz w:val="24"/>
                <w:szCs w:val="24"/>
                <w:lang w:eastAsia="lv-LV"/>
              </w:rPr>
            </w:pPr>
          </w:p>
        </w:tc>
        <w:tc>
          <w:tcPr>
            <w:tcW w:w="4047" w:type="dxa"/>
            <w:tcBorders>
              <w:top w:val="single" w:sz="6" w:space="0" w:color="000000"/>
              <w:left w:val="single" w:sz="6" w:space="0" w:color="000000"/>
              <w:bottom w:val="single" w:sz="6" w:space="0" w:color="000000"/>
              <w:right w:val="single" w:sz="6" w:space="0" w:color="000000"/>
            </w:tcBorders>
            <w:shd w:val="clear" w:color="auto" w:fill="auto"/>
          </w:tcPr>
          <w:p w14:paraId="7E9899E6" w14:textId="77777777" w:rsidR="00F06343" w:rsidRDefault="00F06343" w:rsidP="00780010">
            <w:pPr>
              <w:autoSpaceDE w:val="0"/>
              <w:autoSpaceDN w:val="0"/>
              <w:adjustRightInd w:val="0"/>
              <w:jc w:val="center"/>
              <w:rPr>
                <w:b/>
                <w:bCs/>
              </w:rPr>
            </w:pPr>
            <w:r>
              <w:rPr>
                <w:b/>
                <w:bCs/>
              </w:rPr>
              <w:t>Finanšu ministrija</w:t>
            </w:r>
          </w:p>
          <w:p w14:paraId="1781947D" w14:textId="77777777" w:rsidR="00F06343" w:rsidRDefault="00F06343" w:rsidP="00780010">
            <w:pPr>
              <w:autoSpaceDE w:val="0"/>
              <w:autoSpaceDN w:val="0"/>
              <w:adjustRightInd w:val="0"/>
              <w:jc w:val="center"/>
              <w:rPr>
                <w:b/>
                <w:bCs/>
              </w:rPr>
            </w:pPr>
            <w:r>
              <w:rPr>
                <w:b/>
                <w:bCs/>
              </w:rPr>
              <w:t>(20.07.2021. atzinums)</w:t>
            </w:r>
          </w:p>
          <w:p w14:paraId="7DDBC2B9" w14:textId="46A119B1" w:rsidR="00F06343" w:rsidRPr="009A5411" w:rsidRDefault="00F06343" w:rsidP="009A5411">
            <w:pPr>
              <w:rPr>
                <w:sz w:val="22"/>
                <w:szCs w:val="22"/>
              </w:rPr>
            </w:pPr>
            <w:r>
              <w:t xml:space="preserve">2. Likumprojekta 12.panta otrajā daļā ir noteikts, ka, ja tiek konstatēta transporta enerģijas kvalitātes neatbilstība likumprojektā un uz tā pamata izdotajos Ministru kabineta noteikumos noteiktajām prasībām, tad ar transporta enerģijas kvalitātes noteikšanu saistītos izdevumus sedz attiecīgās transporta enerģijas īpašnieks vai valdītājs, attiecīgos līdzekļus </w:t>
            </w:r>
            <w:r w:rsidRPr="00F06343">
              <w:rPr>
                <w:u w:val="single"/>
              </w:rPr>
              <w:t xml:space="preserve">pārskaitot uz </w:t>
            </w:r>
            <w:r w:rsidRPr="00F06343">
              <w:rPr>
                <w:u w:val="single"/>
              </w:rPr>
              <w:lastRenderedPageBreak/>
              <w:t>paziņojumā norādīto kontu Valsts kasē</w:t>
            </w:r>
            <w:r>
              <w:t xml:space="preserve">, savukārt anotācijas III sadaļas 6.punktā ir norādīts, ka līdzekļus ieskaita </w:t>
            </w:r>
            <w:r w:rsidRPr="00F06343">
              <w:rPr>
                <w:u w:val="single"/>
              </w:rPr>
              <w:t>Ekonomikas ministrijas apakšprogrammas 29.01.00 “Naftas produktu rezervju uzturēšana” kontā</w:t>
            </w:r>
            <w:r>
              <w:t xml:space="preserve">. Turklāt minētājā anotācijas sadaļā ir norādīts, ka šo ieņēmumu plānošana Ekonomikas ministrijas budžetā netiks veikta un anotācijas I sadaļas 2.punktā (20 lpp.) ir minēts, ka Būvniecības valsts kontroles birojam papildu pienākumu īstenošanai nepieciešamo finanšu līdzekļu iespējamais finansējuma avots varētu būt likumprojekta 15.pantā minētie finanšu līdzekļi. Ņemot vērā minēto, lūdzam attiecīgi precizēt anotācijas III sadaļas 6.punktā sniegto informāciju. </w:t>
            </w:r>
          </w:p>
        </w:tc>
        <w:tc>
          <w:tcPr>
            <w:tcW w:w="2976" w:type="dxa"/>
            <w:tcBorders>
              <w:top w:val="single" w:sz="6" w:space="0" w:color="000000"/>
              <w:left w:val="single" w:sz="6" w:space="0" w:color="000000"/>
              <w:bottom w:val="single" w:sz="6" w:space="0" w:color="000000"/>
              <w:right w:val="single" w:sz="6" w:space="0" w:color="000000"/>
            </w:tcBorders>
            <w:shd w:val="clear" w:color="auto" w:fill="auto"/>
          </w:tcPr>
          <w:p w14:paraId="2AF9DD82" w14:textId="77777777" w:rsidR="00F06343" w:rsidRDefault="00FA66AC" w:rsidP="00780010">
            <w:pPr>
              <w:jc w:val="center"/>
              <w:rPr>
                <w:b/>
                <w:bCs/>
                <w:iCs/>
              </w:rPr>
            </w:pPr>
            <w:r>
              <w:rPr>
                <w:b/>
                <w:bCs/>
                <w:iCs/>
              </w:rPr>
              <w:lastRenderedPageBreak/>
              <w:t>Ņemts vērā</w:t>
            </w:r>
          </w:p>
          <w:p w14:paraId="780B9762" w14:textId="77777777" w:rsidR="00FA66AC" w:rsidRDefault="00FA66AC" w:rsidP="00FA66AC">
            <w:pPr>
              <w:rPr>
                <w:iCs/>
              </w:rPr>
            </w:pPr>
          </w:p>
          <w:p w14:paraId="56A6AAC2" w14:textId="2AA0DB58" w:rsidR="00FA66AC" w:rsidRDefault="00FA66AC" w:rsidP="00FA66AC">
            <w:pPr>
              <w:rPr>
                <w:iCs/>
              </w:rPr>
            </w:pPr>
            <w:r>
              <w:rPr>
                <w:iCs/>
              </w:rPr>
              <w:t xml:space="preserve">Norādām, ka likumprojekta 12.panta 2.daļā minētie līdzekļi, kurus segs degvielas piegādātājs, ja tiks konstatēts, ka tas realizē kvalitātes prasībām neatbilstošu transporta enerģiju, tiks pārskaitīti uz 29.01.00 EM apakšprogrammu, lai </w:t>
            </w:r>
            <w:r>
              <w:rPr>
                <w:iCs/>
              </w:rPr>
              <w:lastRenderedPageBreak/>
              <w:t xml:space="preserve">kompensētu BVKB izdevumus. </w:t>
            </w:r>
          </w:p>
          <w:p w14:paraId="72CA367B" w14:textId="30118179" w:rsidR="00FA66AC" w:rsidRPr="009A5411" w:rsidRDefault="00FA66AC" w:rsidP="009A5411">
            <w:pPr>
              <w:rPr>
                <w:iCs/>
              </w:rPr>
            </w:pPr>
            <w:r>
              <w:rPr>
                <w:iCs/>
              </w:rPr>
              <w:t>Savukārt likumprojekta 15.pantā minētie līdzekļi tiks izmantoti, lai BVKB nodrošinātu papildu finansējumu papildu pienākumu veikšanai, piemēram, transporta enerģijas kvalitātes prasību uzraudzībai ne tikai dīzeļdegvielai vai benzīnam, kā tas ir noteikts šobrīd, bet arī, piemēram, sašķidrinātajai naftas gāzei, dabasgāzei, kas tiek izmantota transportā, biodegvielai, biometānam uc.</w:t>
            </w:r>
          </w:p>
        </w:tc>
        <w:tc>
          <w:tcPr>
            <w:tcW w:w="4291" w:type="dxa"/>
            <w:tcBorders>
              <w:top w:val="single" w:sz="4" w:space="0" w:color="auto"/>
              <w:left w:val="single" w:sz="4" w:space="0" w:color="auto"/>
              <w:bottom w:val="single" w:sz="4" w:space="0" w:color="auto"/>
            </w:tcBorders>
            <w:shd w:val="clear" w:color="auto" w:fill="auto"/>
          </w:tcPr>
          <w:p w14:paraId="5298EF83" w14:textId="755F0AB3" w:rsidR="00F06343" w:rsidRDefault="00FA66AC" w:rsidP="00780010">
            <w:pPr>
              <w:pStyle w:val="ListParagraph"/>
              <w:spacing w:after="0" w:line="240" w:lineRule="auto"/>
              <w:ind w:left="0"/>
              <w:contextualSpacing w:val="0"/>
              <w:jc w:val="both"/>
              <w:rPr>
                <w:rFonts w:ascii="Times New Roman" w:hAnsi="Times New Roman"/>
                <w:sz w:val="24"/>
                <w:szCs w:val="24"/>
                <w:lang w:eastAsia="lv-LV"/>
              </w:rPr>
            </w:pPr>
            <w:r>
              <w:rPr>
                <w:rFonts w:ascii="Times New Roman" w:hAnsi="Times New Roman"/>
                <w:sz w:val="24"/>
                <w:szCs w:val="24"/>
                <w:lang w:eastAsia="lv-LV"/>
              </w:rPr>
              <w:lastRenderedPageBreak/>
              <w:t>Likumprojekta anotācijas I sadaļas 2.punkts un III sadaļas 6.punkts ir precizēti</w:t>
            </w:r>
          </w:p>
        </w:tc>
      </w:tr>
    </w:tbl>
    <w:p w14:paraId="2E724E67" w14:textId="77777777" w:rsidR="00D473EB" w:rsidRPr="001D7630" w:rsidRDefault="00D473EB" w:rsidP="001D7630">
      <w:pPr>
        <w:pStyle w:val="naisf"/>
        <w:spacing w:before="0" w:after="0"/>
        <w:ind w:firstLine="0"/>
        <w:jc w:val="left"/>
        <w:rPr>
          <w:sz w:val="8"/>
          <w:szCs w:val="8"/>
        </w:rPr>
      </w:pPr>
    </w:p>
    <w:tbl>
      <w:tblPr>
        <w:tblpPr w:leftFromText="180" w:rightFromText="180" w:vertAnchor="text" w:horzAnchor="margin" w:tblpY="127"/>
        <w:tblW w:w="14627" w:type="dxa"/>
        <w:tblLook w:val="00A0" w:firstRow="1" w:lastRow="0" w:firstColumn="1" w:lastColumn="0" w:noHBand="0" w:noVBand="0"/>
      </w:tblPr>
      <w:tblGrid>
        <w:gridCol w:w="14627"/>
      </w:tblGrid>
      <w:tr w:rsidR="007028DA" w:rsidRPr="001D7630" w14:paraId="3420FD4E" w14:textId="77777777" w:rsidTr="007028DA">
        <w:trPr>
          <w:trHeight w:val="344"/>
        </w:trPr>
        <w:tc>
          <w:tcPr>
            <w:tcW w:w="14627" w:type="dxa"/>
            <w:tcBorders>
              <w:bottom w:val="single" w:sz="4" w:space="0" w:color="000000"/>
            </w:tcBorders>
            <w:vAlign w:val="bottom"/>
          </w:tcPr>
          <w:p w14:paraId="72369C8F" w14:textId="77777777" w:rsidR="007028DA" w:rsidRPr="001D7630" w:rsidRDefault="007028DA" w:rsidP="001D7630">
            <w:pPr>
              <w:rPr>
                <w:sz w:val="20"/>
                <w:szCs w:val="20"/>
              </w:rPr>
            </w:pPr>
            <w:r w:rsidRPr="001D7630">
              <w:rPr>
                <w:sz w:val="20"/>
                <w:szCs w:val="20"/>
              </w:rPr>
              <w:t>Helēna Rimša</w:t>
            </w:r>
          </w:p>
        </w:tc>
      </w:tr>
      <w:tr w:rsidR="00D473EB" w:rsidRPr="001D7630" w14:paraId="002E6C3B" w14:textId="77777777" w:rsidTr="007028DA">
        <w:trPr>
          <w:trHeight w:val="344"/>
        </w:trPr>
        <w:tc>
          <w:tcPr>
            <w:tcW w:w="14627" w:type="dxa"/>
            <w:tcBorders>
              <w:top w:val="single" w:sz="4" w:space="0" w:color="000000"/>
            </w:tcBorders>
          </w:tcPr>
          <w:p w14:paraId="70A26DC7" w14:textId="77777777" w:rsidR="00D473EB" w:rsidRPr="001D7630" w:rsidRDefault="00D473EB" w:rsidP="001D7630">
            <w:pPr>
              <w:jc w:val="center"/>
              <w:rPr>
                <w:sz w:val="20"/>
                <w:szCs w:val="20"/>
              </w:rPr>
            </w:pPr>
            <w:r w:rsidRPr="001D7630">
              <w:rPr>
                <w:sz w:val="20"/>
                <w:szCs w:val="20"/>
              </w:rPr>
              <w:t>(par projektu atbildīgās amatpersonas vārds un uzvārds)</w:t>
            </w:r>
          </w:p>
          <w:p w14:paraId="225A6055" w14:textId="77777777" w:rsidR="00D473EB" w:rsidRPr="001D7630" w:rsidRDefault="00D473EB" w:rsidP="001D7630">
            <w:pPr>
              <w:jc w:val="center"/>
              <w:rPr>
                <w:sz w:val="20"/>
                <w:szCs w:val="20"/>
              </w:rPr>
            </w:pPr>
          </w:p>
        </w:tc>
      </w:tr>
      <w:tr w:rsidR="00D473EB" w:rsidRPr="001D7630" w14:paraId="24BBB2A7" w14:textId="77777777" w:rsidTr="00A34D63">
        <w:trPr>
          <w:trHeight w:val="94"/>
        </w:trPr>
        <w:tc>
          <w:tcPr>
            <w:tcW w:w="14627" w:type="dxa"/>
            <w:tcBorders>
              <w:bottom w:val="single" w:sz="4" w:space="0" w:color="000000"/>
            </w:tcBorders>
          </w:tcPr>
          <w:p w14:paraId="0FFAD4A0" w14:textId="77777777" w:rsidR="00D473EB" w:rsidRPr="001D7630" w:rsidRDefault="00DC3A80" w:rsidP="001D7630">
            <w:pPr>
              <w:rPr>
                <w:sz w:val="20"/>
                <w:szCs w:val="20"/>
              </w:rPr>
            </w:pPr>
            <w:r w:rsidRPr="001D7630">
              <w:rPr>
                <w:sz w:val="20"/>
                <w:szCs w:val="20"/>
              </w:rPr>
              <w:t xml:space="preserve">Ekonomikas ministrijas </w:t>
            </w:r>
            <w:r w:rsidR="00954136" w:rsidRPr="001D7630">
              <w:rPr>
                <w:sz w:val="20"/>
                <w:szCs w:val="20"/>
              </w:rPr>
              <w:t>Ilgtspējīgas enerģētikas politikas departament</w:t>
            </w:r>
            <w:r w:rsidRPr="001D7630">
              <w:rPr>
                <w:sz w:val="20"/>
                <w:szCs w:val="20"/>
              </w:rPr>
              <w:t>a vecākā eksperte</w:t>
            </w:r>
          </w:p>
        </w:tc>
      </w:tr>
      <w:tr w:rsidR="00D473EB" w:rsidRPr="001D7630" w14:paraId="4D38AA7A" w14:textId="77777777" w:rsidTr="00A34D63">
        <w:trPr>
          <w:trHeight w:val="239"/>
        </w:trPr>
        <w:tc>
          <w:tcPr>
            <w:tcW w:w="14627" w:type="dxa"/>
            <w:tcBorders>
              <w:top w:val="single" w:sz="4" w:space="0" w:color="000000"/>
            </w:tcBorders>
          </w:tcPr>
          <w:p w14:paraId="4FC17F2C" w14:textId="77777777" w:rsidR="00D473EB" w:rsidRPr="001D7630" w:rsidRDefault="00D473EB" w:rsidP="001D7630">
            <w:pPr>
              <w:jc w:val="center"/>
              <w:rPr>
                <w:sz w:val="20"/>
                <w:szCs w:val="20"/>
              </w:rPr>
            </w:pPr>
            <w:r w:rsidRPr="001D7630">
              <w:rPr>
                <w:sz w:val="20"/>
                <w:szCs w:val="20"/>
              </w:rPr>
              <w:t>(amats)</w:t>
            </w:r>
          </w:p>
        </w:tc>
      </w:tr>
      <w:tr w:rsidR="00D473EB" w:rsidRPr="001D7630" w14:paraId="630BB7F1" w14:textId="77777777" w:rsidTr="00A34D63">
        <w:trPr>
          <w:trHeight w:val="254"/>
        </w:trPr>
        <w:tc>
          <w:tcPr>
            <w:tcW w:w="14627" w:type="dxa"/>
            <w:tcBorders>
              <w:bottom w:val="single" w:sz="4" w:space="0" w:color="000000"/>
            </w:tcBorders>
          </w:tcPr>
          <w:p w14:paraId="11F0EEF4" w14:textId="77777777" w:rsidR="00D473EB" w:rsidRPr="001D7630" w:rsidRDefault="00DC3A80" w:rsidP="001D7630">
            <w:pPr>
              <w:tabs>
                <w:tab w:val="left" w:pos="5207"/>
              </w:tabs>
              <w:rPr>
                <w:sz w:val="20"/>
                <w:szCs w:val="20"/>
              </w:rPr>
            </w:pPr>
            <w:r w:rsidRPr="001D7630">
              <w:rPr>
                <w:sz w:val="20"/>
                <w:szCs w:val="20"/>
              </w:rPr>
              <w:t>67013244</w:t>
            </w:r>
            <w:r w:rsidR="00D473EB" w:rsidRPr="001D7630">
              <w:rPr>
                <w:sz w:val="20"/>
                <w:szCs w:val="20"/>
              </w:rPr>
              <w:tab/>
            </w:r>
          </w:p>
        </w:tc>
      </w:tr>
      <w:tr w:rsidR="00D473EB" w:rsidRPr="001D7630" w14:paraId="36D9D59A" w14:textId="77777777" w:rsidTr="00A34D63">
        <w:trPr>
          <w:trHeight w:val="239"/>
        </w:trPr>
        <w:tc>
          <w:tcPr>
            <w:tcW w:w="14627" w:type="dxa"/>
            <w:tcBorders>
              <w:top w:val="single" w:sz="4" w:space="0" w:color="000000"/>
            </w:tcBorders>
          </w:tcPr>
          <w:p w14:paraId="539C8652" w14:textId="77777777" w:rsidR="00D473EB" w:rsidRPr="001D7630" w:rsidRDefault="00D473EB" w:rsidP="001D7630">
            <w:pPr>
              <w:jc w:val="center"/>
              <w:rPr>
                <w:sz w:val="20"/>
                <w:szCs w:val="20"/>
              </w:rPr>
            </w:pPr>
            <w:r w:rsidRPr="001D7630">
              <w:rPr>
                <w:sz w:val="20"/>
                <w:szCs w:val="20"/>
              </w:rPr>
              <w:t>(tālruņa un faksa numurs)</w:t>
            </w:r>
          </w:p>
        </w:tc>
      </w:tr>
      <w:tr w:rsidR="00D473EB" w:rsidRPr="001D7630" w14:paraId="1750ED7E" w14:textId="77777777" w:rsidTr="00A34D63">
        <w:trPr>
          <w:trHeight w:val="254"/>
        </w:trPr>
        <w:tc>
          <w:tcPr>
            <w:tcW w:w="14627" w:type="dxa"/>
            <w:tcBorders>
              <w:bottom w:val="single" w:sz="4" w:space="0" w:color="000000"/>
            </w:tcBorders>
          </w:tcPr>
          <w:p w14:paraId="5DE4384E" w14:textId="77777777" w:rsidR="00D473EB" w:rsidRPr="001D7630" w:rsidRDefault="00D473EB" w:rsidP="001D7630">
            <w:pPr>
              <w:rPr>
                <w:sz w:val="20"/>
                <w:szCs w:val="20"/>
              </w:rPr>
            </w:pPr>
            <w:r w:rsidRPr="001D7630">
              <w:rPr>
                <w:sz w:val="20"/>
                <w:szCs w:val="20"/>
              </w:rPr>
              <w:t xml:space="preserve"> </w:t>
            </w:r>
            <w:hyperlink r:id="rId19" w:history="1">
              <w:r w:rsidR="00954136" w:rsidRPr="001D7630">
                <w:rPr>
                  <w:rStyle w:val="Hyperlink"/>
                  <w:sz w:val="20"/>
                  <w:szCs w:val="20"/>
                </w:rPr>
                <w:t>Helena.Rimsa@em.gov.lv</w:t>
              </w:r>
            </w:hyperlink>
            <w:r w:rsidR="00954136" w:rsidRPr="001D7630">
              <w:rPr>
                <w:sz w:val="20"/>
                <w:szCs w:val="20"/>
              </w:rPr>
              <w:t xml:space="preserve"> </w:t>
            </w:r>
          </w:p>
        </w:tc>
      </w:tr>
      <w:tr w:rsidR="00D473EB" w:rsidRPr="007028DA" w14:paraId="076CD0B3" w14:textId="77777777" w:rsidTr="00A34D63">
        <w:trPr>
          <w:trHeight w:val="254"/>
        </w:trPr>
        <w:tc>
          <w:tcPr>
            <w:tcW w:w="14627" w:type="dxa"/>
            <w:tcBorders>
              <w:top w:val="single" w:sz="4" w:space="0" w:color="000000"/>
            </w:tcBorders>
          </w:tcPr>
          <w:p w14:paraId="16B3B67E" w14:textId="77777777" w:rsidR="00D473EB" w:rsidRPr="007028DA" w:rsidRDefault="00D473EB" w:rsidP="001D7630">
            <w:pPr>
              <w:jc w:val="center"/>
              <w:rPr>
                <w:sz w:val="20"/>
                <w:szCs w:val="20"/>
              </w:rPr>
            </w:pPr>
            <w:r w:rsidRPr="001D7630">
              <w:rPr>
                <w:sz w:val="20"/>
                <w:szCs w:val="20"/>
              </w:rPr>
              <w:t>(e-pasta adrese)</w:t>
            </w:r>
          </w:p>
        </w:tc>
      </w:tr>
    </w:tbl>
    <w:p w14:paraId="748F1D18" w14:textId="77777777" w:rsidR="007116C7" w:rsidRDefault="007116C7" w:rsidP="001D7630">
      <w:pPr>
        <w:pStyle w:val="naisf"/>
        <w:tabs>
          <w:tab w:val="left" w:pos="6840"/>
        </w:tabs>
        <w:spacing w:before="0" w:after="0"/>
        <w:ind w:firstLine="720"/>
        <w:rPr>
          <w:sz w:val="28"/>
          <w:szCs w:val="28"/>
        </w:rPr>
      </w:pPr>
    </w:p>
    <w:sectPr w:rsidR="007116C7" w:rsidSect="00DC3A80">
      <w:headerReference w:type="first" r:id="rId20"/>
      <w:pgSz w:w="16838" w:h="11906" w:orient="landscape" w:code="9"/>
      <w:pgMar w:top="1418" w:right="1134" w:bottom="1134" w:left="1701"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10CB0" w14:textId="77777777" w:rsidR="0084187A" w:rsidRDefault="0084187A">
      <w:r>
        <w:separator/>
      </w:r>
    </w:p>
  </w:endnote>
  <w:endnote w:type="continuationSeparator" w:id="0">
    <w:p w14:paraId="1E9818C5" w14:textId="77777777" w:rsidR="0084187A" w:rsidRDefault="0084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Italic">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E9C6" w14:textId="5AE1C691" w:rsidR="000C7339" w:rsidRPr="0064499E" w:rsidRDefault="000C7339" w:rsidP="0060493C">
    <w:pPr>
      <w:pStyle w:val="Footer"/>
      <w:rPr>
        <w:sz w:val="20"/>
        <w:szCs w:val="20"/>
      </w:rPr>
    </w:pPr>
    <w:r w:rsidRPr="0064499E">
      <w:rPr>
        <w:sz w:val="20"/>
        <w:szCs w:val="20"/>
      </w:rPr>
      <w:fldChar w:fldCharType="begin"/>
    </w:r>
    <w:r w:rsidRPr="0064499E">
      <w:rPr>
        <w:sz w:val="20"/>
        <w:szCs w:val="20"/>
      </w:rPr>
      <w:instrText xml:space="preserve"> FILENAME   \* MERGEFORMAT </w:instrText>
    </w:r>
    <w:r w:rsidRPr="0064499E">
      <w:rPr>
        <w:sz w:val="20"/>
        <w:szCs w:val="20"/>
      </w:rPr>
      <w:fldChar w:fldCharType="separate"/>
    </w:r>
    <w:r w:rsidR="00D33E67">
      <w:rPr>
        <w:noProof/>
        <w:sz w:val="20"/>
        <w:szCs w:val="20"/>
      </w:rPr>
      <w:t>EMIzz_23072021_TEL.docx</w:t>
    </w:r>
    <w:r w:rsidRPr="0064499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8EC39" w14:textId="228BA06A" w:rsidR="000C7339" w:rsidRPr="0064499E" w:rsidRDefault="000C7339" w:rsidP="0060493C">
    <w:pPr>
      <w:pStyle w:val="Footer"/>
      <w:rPr>
        <w:sz w:val="20"/>
        <w:szCs w:val="20"/>
      </w:rPr>
    </w:pPr>
    <w:r w:rsidRPr="0064499E">
      <w:rPr>
        <w:sz w:val="20"/>
        <w:szCs w:val="20"/>
      </w:rPr>
      <w:fldChar w:fldCharType="begin"/>
    </w:r>
    <w:r w:rsidRPr="0064499E">
      <w:rPr>
        <w:sz w:val="20"/>
        <w:szCs w:val="20"/>
      </w:rPr>
      <w:instrText xml:space="preserve"> FILENAME   \* MERGEFORMAT </w:instrText>
    </w:r>
    <w:r w:rsidRPr="0064499E">
      <w:rPr>
        <w:sz w:val="20"/>
        <w:szCs w:val="20"/>
      </w:rPr>
      <w:fldChar w:fldCharType="separate"/>
    </w:r>
    <w:r w:rsidR="00D33E67">
      <w:rPr>
        <w:noProof/>
        <w:sz w:val="20"/>
        <w:szCs w:val="20"/>
      </w:rPr>
      <w:t>EMIzz_23072021_TEL.docx</w:t>
    </w:r>
    <w:r w:rsidRPr="0064499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42D0A" w14:textId="77777777" w:rsidR="0084187A" w:rsidRDefault="0084187A">
      <w:r>
        <w:separator/>
      </w:r>
    </w:p>
  </w:footnote>
  <w:footnote w:type="continuationSeparator" w:id="0">
    <w:p w14:paraId="6C073E37" w14:textId="77777777" w:rsidR="0084187A" w:rsidRDefault="0084187A">
      <w:r>
        <w:continuationSeparator/>
      </w:r>
    </w:p>
  </w:footnote>
  <w:footnote w:id="1">
    <w:p w14:paraId="4A7CDD5F" w14:textId="77777777" w:rsidR="000C7339" w:rsidRPr="00E2021E" w:rsidRDefault="000C7339" w:rsidP="00673FEE">
      <w:pPr>
        <w:pStyle w:val="FootnoteText"/>
        <w:rPr>
          <w:rFonts w:ascii="Times New Roman" w:hAnsi="Times New Roman"/>
        </w:rPr>
      </w:pPr>
      <w:r w:rsidRPr="00E2021E">
        <w:rPr>
          <w:rStyle w:val="FootnoteReference"/>
          <w:rFonts w:ascii="Times New Roman" w:hAnsi="Times New Roman"/>
        </w:rPr>
        <w:footnoteRef/>
      </w:r>
      <w:r w:rsidRPr="00E2021E">
        <w:rPr>
          <w:rFonts w:ascii="Times New Roman" w:hAnsi="Times New Roman"/>
        </w:rPr>
        <w:t xml:space="preserve"> </w:t>
      </w:r>
      <w:hyperlink r:id="rId1" w:history="1">
        <w:r w:rsidRPr="00E2021E">
          <w:rPr>
            <w:rStyle w:val="Hyperlink"/>
            <w:rFonts w:ascii="Times New Roman" w:hAnsi="Times New Roman"/>
          </w:rPr>
          <w:t>http://tap.mk.gov.lv/mk/vsssanaksmes/saraksts/protokols/?protokols=2020-01-09</w:t>
        </w:r>
      </w:hyperlink>
    </w:p>
  </w:footnote>
  <w:footnote w:id="2">
    <w:p w14:paraId="3345540A" w14:textId="77777777" w:rsidR="000C7339" w:rsidRPr="00E2021E" w:rsidRDefault="000C7339" w:rsidP="00673FEE">
      <w:pPr>
        <w:pStyle w:val="FootnoteText"/>
        <w:rPr>
          <w:rFonts w:ascii="Times New Roman" w:hAnsi="Times New Roman"/>
          <w:color w:val="000000" w:themeColor="text1"/>
        </w:rPr>
      </w:pPr>
      <w:r w:rsidRPr="00E2021E">
        <w:rPr>
          <w:rStyle w:val="FootnoteReference"/>
          <w:rFonts w:ascii="Times New Roman" w:hAnsi="Times New Roman"/>
        </w:rPr>
        <w:footnoteRef/>
      </w:r>
      <w:r w:rsidRPr="00E2021E">
        <w:rPr>
          <w:rFonts w:ascii="Times New Roman" w:hAnsi="Times New Roman"/>
        </w:rPr>
        <w:t xml:space="preserve"> </w:t>
      </w:r>
      <w:r w:rsidRPr="00E2021E">
        <w:rPr>
          <w:rFonts w:ascii="Times New Roman" w:hAnsi="Times New Roman"/>
          <w:color w:val="000000" w:themeColor="text1"/>
        </w:rPr>
        <w:t>Satversmes tiesas 2015. gada 14. oktobra spriedums lietā Nr. 2015-05-03, 13.1. apakšpunkts.</w:t>
      </w:r>
    </w:p>
  </w:footnote>
  <w:footnote w:id="3">
    <w:p w14:paraId="05B5C4E6" w14:textId="77777777" w:rsidR="000C7339" w:rsidRPr="00E2021E" w:rsidRDefault="000C7339" w:rsidP="00673FEE">
      <w:pPr>
        <w:pStyle w:val="FootnoteText"/>
        <w:rPr>
          <w:rFonts w:ascii="Times New Roman" w:hAnsi="Times New Roman"/>
        </w:rPr>
      </w:pPr>
      <w:r w:rsidRPr="00E2021E">
        <w:rPr>
          <w:rStyle w:val="FootnoteReference"/>
          <w:rFonts w:ascii="Times New Roman" w:hAnsi="Times New Roman"/>
        </w:rPr>
        <w:footnoteRef/>
      </w:r>
      <w:r w:rsidRPr="00E2021E">
        <w:rPr>
          <w:rFonts w:ascii="Times New Roman" w:hAnsi="Times New Roman"/>
        </w:rPr>
        <w:t xml:space="preserve"> </w:t>
      </w:r>
      <w:r w:rsidRPr="00E2021E">
        <w:rPr>
          <w:rFonts w:ascii="Times New Roman" w:hAnsi="Times New Roman"/>
          <w:color w:val="000000" w:themeColor="text1"/>
        </w:rPr>
        <w:t>Satversmes tiesas 2011. gada 11. janvāra spriedums lietā Nr. 2010-40-03, 10.1. apakšpunkts.</w:t>
      </w:r>
    </w:p>
  </w:footnote>
  <w:footnote w:id="4">
    <w:p w14:paraId="294F670D" w14:textId="77777777" w:rsidR="000C7339" w:rsidRPr="00E2021E" w:rsidRDefault="000C7339" w:rsidP="00673FEE">
      <w:pPr>
        <w:pStyle w:val="FootnoteText"/>
        <w:rPr>
          <w:rFonts w:ascii="Times New Roman" w:hAnsi="Times New Roman"/>
        </w:rPr>
      </w:pPr>
      <w:r w:rsidRPr="00E2021E">
        <w:rPr>
          <w:rStyle w:val="FootnoteReference"/>
          <w:rFonts w:ascii="Times New Roman" w:hAnsi="Times New Roman"/>
        </w:rPr>
        <w:footnoteRef/>
      </w:r>
      <w:r w:rsidRPr="00E2021E">
        <w:rPr>
          <w:rFonts w:ascii="Times New Roman" w:hAnsi="Times New Roman"/>
        </w:rPr>
        <w:t xml:space="preserve"> </w:t>
      </w:r>
      <w:r w:rsidRPr="00E2021E">
        <w:rPr>
          <w:rFonts w:ascii="Times New Roman" w:hAnsi="Times New Roman"/>
          <w:color w:val="000000" w:themeColor="text1"/>
        </w:rPr>
        <w:t>Satversmes tiesas 2011. gada 6. maija spriedums lietā Nr. 2010-57-03, 13.3. apakšpunkts.</w:t>
      </w:r>
    </w:p>
  </w:footnote>
  <w:footnote w:id="5">
    <w:p w14:paraId="663119BD" w14:textId="77777777" w:rsidR="000C7339" w:rsidRPr="00E2021E" w:rsidRDefault="000C7339" w:rsidP="00673FEE">
      <w:pPr>
        <w:pStyle w:val="FootnoteText"/>
        <w:rPr>
          <w:rFonts w:ascii="Times New Roman" w:hAnsi="Times New Roman"/>
          <w:color w:val="000000" w:themeColor="text1"/>
        </w:rPr>
      </w:pPr>
      <w:r w:rsidRPr="00E2021E">
        <w:rPr>
          <w:rStyle w:val="FootnoteReference"/>
          <w:rFonts w:ascii="Times New Roman" w:hAnsi="Times New Roman"/>
          <w:color w:val="000000" w:themeColor="text1"/>
        </w:rPr>
        <w:footnoteRef/>
      </w:r>
      <w:r w:rsidRPr="00E2021E">
        <w:rPr>
          <w:rFonts w:ascii="Times New Roman" w:hAnsi="Times New Roman"/>
          <w:color w:val="000000" w:themeColor="text1"/>
        </w:rPr>
        <w:t xml:space="preserve"> Satversmes tiesas 2016. gada 2. marta spriedums lietā Nr. </w:t>
      </w:r>
      <w:r w:rsidRPr="00E2021E">
        <w:rPr>
          <w:rFonts w:ascii="Times New Roman" w:hAnsi="Times New Roman"/>
          <w:color w:val="000000" w:themeColor="text1"/>
          <w:shd w:val="clear" w:color="auto" w:fill="FFFFFF"/>
        </w:rPr>
        <w:t>2015-11-03, 23.3. apakšpunkts.</w:t>
      </w:r>
    </w:p>
  </w:footnote>
  <w:footnote w:id="6">
    <w:p w14:paraId="04B55476" w14:textId="77777777" w:rsidR="000C7339" w:rsidRPr="00E2021E" w:rsidRDefault="000C7339" w:rsidP="00F42EC9">
      <w:pPr>
        <w:pStyle w:val="FootnoteText"/>
        <w:rPr>
          <w:rFonts w:ascii="Times New Roman" w:hAnsi="Times New Roman"/>
        </w:rPr>
      </w:pPr>
      <w:r w:rsidRPr="00E2021E">
        <w:rPr>
          <w:rStyle w:val="FootnoteReference"/>
          <w:rFonts w:ascii="Times New Roman" w:hAnsi="Times New Roman"/>
        </w:rPr>
        <w:footnoteRef/>
      </w:r>
      <w:r w:rsidRPr="00E2021E">
        <w:rPr>
          <w:rFonts w:ascii="Times New Roman" w:hAnsi="Times New Roman"/>
        </w:rPr>
        <w:t xml:space="preserve"> </w:t>
      </w:r>
      <w:hyperlink r:id="rId2" w:history="1">
        <w:r w:rsidRPr="00E2021E">
          <w:rPr>
            <w:rStyle w:val="Hyperlink"/>
            <w:rFonts w:ascii="Times New Roman" w:hAnsi="Times New Roman"/>
          </w:rPr>
          <w:t>https://www.em.gov.lv/lv/diskusiju-dokumenti</w:t>
        </w:r>
      </w:hyperlink>
      <w:r w:rsidRPr="00E2021E">
        <w:rPr>
          <w:rFonts w:ascii="Times New Roman" w:hAnsi="Times New Roman"/>
        </w:rPr>
        <w:t xml:space="preserve"> </w:t>
      </w:r>
    </w:p>
  </w:footnote>
  <w:footnote w:id="7">
    <w:p w14:paraId="3B75DC74" w14:textId="77777777" w:rsidR="000C7339" w:rsidRPr="00A8399B" w:rsidRDefault="000C7339" w:rsidP="00A8399B">
      <w:pPr>
        <w:pStyle w:val="FootnoteText"/>
        <w:rPr>
          <w:sz w:val="18"/>
          <w:szCs w:val="18"/>
        </w:rPr>
      </w:pPr>
      <w:r>
        <w:rPr>
          <w:rStyle w:val="FootnoteReference"/>
          <w:sz w:val="18"/>
          <w:szCs w:val="18"/>
        </w:rPr>
        <w:footnoteRef/>
      </w:r>
      <w:r>
        <w:rPr>
          <w:sz w:val="18"/>
          <w:szCs w:val="18"/>
        </w:rPr>
        <w:t xml:space="preserve"> </w:t>
      </w:r>
      <w:hyperlink r:id="rId3" w:history="1">
        <w:r>
          <w:rPr>
            <w:rStyle w:val="Hyperlink"/>
            <w:sz w:val="18"/>
            <w:szCs w:val="18"/>
          </w:rPr>
          <w:t>https://www.em.gov.lv/lv/diskusiju-dokumenti</w:t>
        </w:r>
      </w:hyperlink>
      <w:r>
        <w:rPr>
          <w:sz w:val="18"/>
          <w:szCs w:val="18"/>
        </w:rPr>
        <w:t xml:space="preserve"> </w:t>
      </w:r>
    </w:p>
  </w:footnote>
  <w:footnote w:id="8">
    <w:p w14:paraId="339720B6" w14:textId="77777777" w:rsidR="000C7339" w:rsidRDefault="000C7339" w:rsidP="00A8399B">
      <w:pPr>
        <w:pStyle w:val="FootnoteText"/>
        <w:rPr>
          <w:sz w:val="18"/>
          <w:szCs w:val="18"/>
        </w:rPr>
      </w:pPr>
      <w:r>
        <w:rPr>
          <w:rStyle w:val="FootnoteReference"/>
          <w:sz w:val="18"/>
          <w:szCs w:val="18"/>
        </w:rPr>
        <w:footnoteRef/>
      </w:r>
      <w:r>
        <w:rPr>
          <w:sz w:val="18"/>
          <w:szCs w:val="18"/>
        </w:rPr>
        <w:t xml:space="preserve"> </w:t>
      </w:r>
      <w:hyperlink r:id="rId4" w:history="1">
        <w:r>
          <w:rPr>
            <w:rStyle w:val="Hyperlink"/>
            <w:sz w:val="18"/>
            <w:szCs w:val="18"/>
          </w:rPr>
          <w:t>https://www.em.gov.lv/lv/diskusiju-dokumenti</w:t>
        </w:r>
      </w:hyperlink>
      <w:r>
        <w:rPr>
          <w:sz w:val="18"/>
          <w:szCs w:val="18"/>
        </w:rPr>
        <w:t xml:space="preserve"> </w:t>
      </w:r>
    </w:p>
  </w:footnote>
  <w:footnote w:id="9">
    <w:p w14:paraId="47CEC666" w14:textId="77777777" w:rsidR="000C7339" w:rsidRPr="00E2021E" w:rsidRDefault="000C7339" w:rsidP="00BA19C3">
      <w:pPr>
        <w:pStyle w:val="FootnoteText"/>
        <w:rPr>
          <w:rFonts w:ascii="Times New Roman" w:hAnsi="Times New Roman"/>
        </w:rPr>
      </w:pPr>
      <w:r w:rsidRPr="00E2021E">
        <w:rPr>
          <w:rStyle w:val="FootnoteReference"/>
          <w:rFonts w:ascii="Times New Roman" w:hAnsi="Times New Roman"/>
        </w:rPr>
        <w:footnoteRef/>
      </w:r>
      <w:r w:rsidRPr="00E2021E">
        <w:rPr>
          <w:rFonts w:ascii="Times New Roman" w:hAnsi="Times New Roman"/>
        </w:rPr>
        <w:t xml:space="preserve"> MK 12.12.2017. noteikumi Nr. 736 “Kārtība, kādā novērš, ierobežo un kontrolē gaisu piesārņojošo vielu emisiju no sadedzināšanas iekārtām” https://likumi.lv/ta/id/295798-kartiba-kada-novers-ierobezo-un-kontrole-gaisu-piesarnojoso-vielu-emisiju-no-sadedzinasanas-iekartam</w:t>
      </w:r>
    </w:p>
  </w:footnote>
  <w:footnote w:id="10">
    <w:p w14:paraId="629E208D" w14:textId="77777777" w:rsidR="000C7339" w:rsidRPr="00E2021E" w:rsidRDefault="000C7339" w:rsidP="004F626B">
      <w:pPr>
        <w:pStyle w:val="Prliminairetype"/>
        <w:spacing w:before="0"/>
        <w:jc w:val="left"/>
        <w:rPr>
          <w:b w:val="0"/>
          <w:noProof/>
          <w:sz w:val="20"/>
          <w:szCs w:val="20"/>
        </w:rPr>
      </w:pPr>
      <w:r w:rsidRPr="00E2021E">
        <w:rPr>
          <w:rStyle w:val="FootnoteReference"/>
          <w:sz w:val="20"/>
          <w:szCs w:val="20"/>
        </w:rPr>
        <w:footnoteRef/>
      </w:r>
      <w:r w:rsidRPr="00E2021E">
        <w:rPr>
          <w:sz w:val="20"/>
          <w:szCs w:val="20"/>
        </w:rPr>
        <w:t xml:space="preserve"> </w:t>
      </w:r>
      <w:r w:rsidRPr="00E2021E">
        <w:rPr>
          <w:b w:val="0"/>
          <w:noProof/>
          <w:sz w:val="20"/>
          <w:szCs w:val="20"/>
        </w:rPr>
        <w:t>BALTĀ</w:t>
      </w:r>
      <w:r w:rsidRPr="00E2021E">
        <w:rPr>
          <w:noProof/>
          <w:sz w:val="20"/>
          <w:szCs w:val="20"/>
        </w:rPr>
        <w:t xml:space="preserve"> </w:t>
      </w:r>
      <w:r w:rsidRPr="00E2021E">
        <w:rPr>
          <w:b w:val="0"/>
          <w:noProof/>
          <w:sz w:val="20"/>
          <w:szCs w:val="20"/>
        </w:rPr>
        <w:t>GRĀMATA</w:t>
      </w:r>
      <w:r w:rsidRPr="00E2021E">
        <w:rPr>
          <w:noProof/>
          <w:sz w:val="20"/>
          <w:szCs w:val="20"/>
        </w:rPr>
        <w:t xml:space="preserve"> </w:t>
      </w:r>
      <w:bookmarkStart w:id="12" w:name="_Toc288822465"/>
      <w:r w:rsidRPr="00E2021E">
        <w:rPr>
          <w:b w:val="0"/>
          <w:noProof/>
          <w:sz w:val="20"/>
          <w:szCs w:val="20"/>
        </w:rPr>
        <w:t>Ceļvedis uz Eiropas vienoto transporta telpu — virzība uz konkurētspējīgu un resursefektīvu transporta sistēmu</w:t>
      </w:r>
      <w:bookmarkEnd w:id="12"/>
      <w:r w:rsidRPr="00E2021E">
        <w:rPr>
          <w:b w:val="0"/>
          <w:noProof/>
          <w:sz w:val="20"/>
          <w:szCs w:val="20"/>
        </w:rPr>
        <w:t xml:space="preserve"> (33.punkts 9.lp.)</w:t>
      </w:r>
    </w:p>
    <w:p w14:paraId="6753B7D5" w14:textId="77777777" w:rsidR="000C7339" w:rsidRPr="00E2021E" w:rsidRDefault="000C7339" w:rsidP="005440CB">
      <w:pPr>
        <w:pStyle w:val="FootnoteText"/>
        <w:rPr>
          <w:rFonts w:ascii="Times New Roman" w:hAnsi="Times New Roman"/>
        </w:rPr>
      </w:pPr>
    </w:p>
  </w:footnote>
  <w:footnote w:id="11">
    <w:p w14:paraId="11C054D4" w14:textId="77777777" w:rsidR="000C7339" w:rsidRPr="00E2021E" w:rsidRDefault="000C7339" w:rsidP="005440CB">
      <w:pPr>
        <w:pStyle w:val="FootnoteText"/>
        <w:rPr>
          <w:rFonts w:ascii="Times New Roman" w:hAnsi="Times New Roman"/>
        </w:rPr>
      </w:pPr>
      <w:r w:rsidRPr="00E2021E">
        <w:rPr>
          <w:rStyle w:val="FootnoteReference"/>
          <w:rFonts w:ascii="Times New Roman" w:hAnsi="Times New Roman"/>
        </w:rPr>
        <w:footnoteRef/>
      </w:r>
      <w:r w:rsidRPr="00E2021E">
        <w:rPr>
          <w:rFonts w:ascii="Times New Roman" w:hAnsi="Times New Roman"/>
        </w:rPr>
        <w:t xml:space="preserve"> </w:t>
      </w:r>
      <w:hyperlink r:id="rId5" w:history="1">
        <w:r w:rsidRPr="00E2021E">
          <w:rPr>
            <w:rStyle w:val="Hyperlink"/>
            <w:rFonts w:ascii="Times New Roman" w:hAnsi="Times New Roman"/>
          </w:rPr>
          <w:t>https://emobility.lv/lv/</w:t>
        </w:r>
      </w:hyperlink>
    </w:p>
  </w:footnote>
  <w:footnote w:id="12">
    <w:p w14:paraId="1A82F274" w14:textId="77777777" w:rsidR="000C7339" w:rsidRPr="00E2021E" w:rsidRDefault="000C7339" w:rsidP="005440CB">
      <w:pPr>
        <w:spacing w:before="120" w:after="120"/>
        <w:rPr>
          <w:sz w:val="20"/>
          <w:szCs w:val="20"/>
        </w:rPr>
      </w:pPr>
      <w:r w:rsidRPr="00E2021E">
        <w:rPr>
          <w:rStyle w:val="FootnoteReference"/>
          <w:sz w:val="20"/>
          <w:szCs w:val="20"/>
        </w:rPr>
        <w:footnoteRef/>
      </w:r>
      <w:r w:rsidRPr="00E2021E">
        <w:rPr>
          <w:sz w:val="20"/>
          <w:szCs w:val="20"/>
        </w:rPr>
        <w:t xml:space="preserve"> </w:t>
      </w:r>
      <w:hyperlink r:id="rId6" w:history="1">
        <w:r w:rsidRPr="00E2021E">
          <w:rPr>
            <w:rStyle w:val="Hyperlink"/>
            <w:sz w:val="20"/>
            <w:szCs w:val="20"/>
          </w:rPr>
          <w:t>https://www.statista.com/statistics/955066/public-and-semi-public-charging-stations-for-electric-vehicles-in-netherlands/</w:t>
        </w:r>
      </w:hyperlink>
    </w:p>
    <w:p w14:paraId="2C9C10C7" w14:textId="77777777" w:rsidR="000C7339" w:rsidRPr="00E2021E" w:rsidRDefault="000C7339" w:rsidP="005440CB">
      <w:pPr>
        <w:pStyle w:val="FootnoteText"/>
        <w:rPr>
          <w:rFonts w:ascii="Times New Roman" w:hAnsi="Times New Roman"/>
        </w:rPr>
      </w:pPr>
    </w:p>
  </w:footnote>
  <w:footnote w:id="13">
    <w:p w14:paraId="7A3C6474" w14:textId="77777777" w:rsidR="000C7339" w:rsidRPr="00E2021E" w:rsidRDefault="000C7339" w:rsidP="00BA19C3">
      <w:pPr>
        <w:pStyle w:val="FootnoteText"/>
        <w:rPr>
          <w:rFonts w:ascii="Times New Roman" w:hAnsi="Times New Roman"/>
        </w:rPr>
      </w:pPr>
      <w:r w:rsidRPr="00E2021E">
        <w:rPr>
          <w:rStyle w:val="FootnoteReference"/>
          <w:rFonts w:ascii="Times New Roman" w:hAnsi="Times New Roman"/>
        </w:rPr>
        <w:footnoteRef/>
      </w:r>
      <w:r w:rsidRPr="00E2021E">
        <w:rPr>
          <w:rFonts w:ascii="Times New Roman" w:hAnsi="Times New Roman"/>
        </w:rPr>
        <w:t xml:space="preserve"> </w:t>
      </w:r>
      <w:r w:rsidRPr="00E2021E">
        <w:rPr>
          <w:rFonts w:ascii="Times New Roman" w:eastAsia="Times New Roman" w:hAnsi="Times New Roman"/>
          <w:lang w:eastAsia="lv-LV"/>
        </w:rPr>
        <w:t>http://tap.mk.gov.lv/lv/mk/tap/?pid=40487868</w:t>
      </w:r>
    </w:p>
  </w:footnote>
  <w:footnote w:id="14">
    <w:p w14:paraId="79E69EE3" w14:textId="77777777" w:rsidR="000C7339" w:rsidRPr="00E2021E" w:rsidRDefault="000C7339" w:rsidP="004F626B">
      <w:pPr>
        <w:pStyle w:val="FootnoteText"/>
        <w:ind w:right="-330"/>
        <w:jc w:val="both"/>
        <w:rPr>
          <w:rFonts w:ascii="Times New Roman" w:eastAsiaTheme="minorHAnsi" w:hAnsi="Times New Roman"/>
        </w:rPr>
      </w:pPr>
      <w:r w:rsidRPr="00E2021E">
        <w:rPr>
          <w:rStyle w:val="FootnoteReference"/>
          <w:rFonts w:ascii="Times New Roman" w:hAnsi="Times New Roman"/>
        </w:rPr>
        <w:footnoteRef/>
      </w:r>
      <w:r w:rsidRPr="00E2021E">
        <w:rPr>
          <w:rFonts w:ascii="Times New Roman" w:hAnsi="Times New Roman"/>
        </w:rPr>
        <w:t xml:space="preserve"> </w:t>
      </w:r>
      <w:r w:rsidRPr="00E2021E">
        <w:rPr>
          <w:rFonts w:ascii="Times New Roman" w:hAnsi="Times New Roman"/>
          <w:color w:val="000000"/>
          <w:shd w:val="clear" w:color="auto" w:fill="FFFFFF"/>
        </w:rPr>
        <w:t>Dalībvalstis degvielas piegādātājus, kuri piegādā elektroenerģiju vai no atjaunojamajiem energoresursiem ražotas nebioloģiskas izcelsmes šķidro un gāzveida transporta degvielu, var attiecībā uz minētajām degvielām atbrīvot no prasības par minimālo daudzumu, kas jānodrošina ar modernajām biodegvielām un biogāzi, kas ražota no IX pielikuma A daļā uzskaitītajām izejvielām, attiecībā uz minētajām degvielām.</w:t>
      </w:r>
    </w:p>
  </w:footnote>
  <w:footnote w:id="15">
    <w:p w14:paraId="1F6A6846" w14:textId="77777777" w:rsidR="000C7339" w:rsidRPr="00E2021E" w:rsidRDefault="000C7339" w:rsidP="001325D6">
      <w:pPr>
        <w:pStyle w:val="FootnoteText"/>
        <w:rPr>
          <w:rFonts w:ascii="Times New Roman" w:hAnsi="Times New Roman"/>
        </w:rPr>
      </w:pPr>
      <w:r w:rsidRPr="00E2021E">
        <w:rPr>
          <w:rStyle w:val="FootnoteReference"/>
          <w:rFonts w:ascii="Times New Roman" w:hAnsi="Times New Roman"/>
        </w:rPr>
        <w:footnoteRef/>
      </w:r>
      <w:r w:rsidRPr="00E2021E">
        <w:rPr>
          <w:rFonts w:ascii="Times New Roman" w:hAnsi="Times New Roman"/>
        </w:rPr>
        <w:t xml:space="preserve"> </w:t>
      </w:r>
      <w:hyperlink r:id="rId7" w:history="1">
        <w:r w:rsidRPr="00E2021E">
          <w:rPr>
            <w:rStyle w:val="Hyperlink"/>
            <w:rFonts w:ascii="Times New Roman" w:hAnsi="Times New Roman"/>
          </w:rPr>
          <w:t>https://lvportals.lv/skaidrojumi/321550-ka-nosaka-administrativa-soda-veidu-un-apmeru-2020</w:t>
        </w:r>
      </w:hyperlink>
      <w:r w:rsidRPr="00E2021E">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750476"/>
      <w:docPartObj>
        <w:docPartGallery w:val="Page Numbers (Top of Page)"/>
        <w:docPartUnique/>
      </w:docPartObj>
    </w:sdtPr>
    <w:sdtEndPr>
      <w:rPr>
        <w:noProof/>
      </w:rPr>
    </w:sdtEndPr>
    <w:sdtContent>
      <w:p w14:paraId="5A44A21E" w14:textId="77777777" w:rsidR="000C7339" w:rsidRDefault="000C7339">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160C3FC7" w14:textId="77777777" w:rsidR="000C7339" w:rsidRDefault="000C7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468900"/>
      <w:docPartObj>
        <w:docPartGallery w:val="Page Numbers (Top of Page)"/>
        <w:docPartUnique/>
      </w:docPartObj>
    </w:sdtPr>
    <w:sdtEndPr>
      <w:rPr>
        <w:noProof/>
        <w:sz w:val="4"/>
        <w:szCs w:val="4"/>
      </w:rPr>
    </w:sdtEndPr>
    <w:sdtContent>
      <w:p w14:paraId="26BCE53F" w14:textId="77777777" w:rsidR="000C7339" w:rsidRDefault="000C7339" w:rsidP="00DC3A80">
        <w:pPr>
          <w:pStyle w:val="Header"/>
          <w:jc w:val="center"/>
          <w:rPr>
            <w:noProof/>
          </w:rPr>
        </w:pPr>
        <w:r>
          <w:fldChar w:fldCharType="begin"/>
        </w:r>
        <w:r>
          <w:instrText xml:space="preserve"> PAGE   \* MERGEFORMAT </w:instrText>
        </w:r>
        <w:r>
          <w:fldChar w:fldCharType="separate"/>
        </w:r>
        <w:r>
          <w:rPr>
            <w:noProof/>
          </w:rPr>
          <w:t>4</w:t>
        </w:r>
        <w:r>
          <w:rPr>
            <w:noProof/>
          </w:rPr>
          <w:fldChar w:fldCharType="end"/>
        </w:r>
      </w:p>
      <w:p w14:paraId="37B364A6" w14:textId="77777777" w:rsidR="000C7339" w:rsidRPr="00DC3A80" w:rsidRDefault="000C7339" w:rsidP="00DC3A80">
        <w:pPr>
          <w:pStyle w:val="Header"/>
          <w:rPr>
            <w:noProof/>
            <w:sz w:val="4"/>
            <w:szCs w:val="4"/>
          </w:rPr>
        </w:pPr>
      </w:p>
      <w:p w14:paraId="78290812" w14:textId="77777777" w:rsidR="000C7339" w:rsidRPr="00BF4DEC" w:rsidRDefault="00115CE0">
        <w:pPr>
          <w:pStyle w:val="Header"/>
          <w:jc w:val="center"/>
          <w:rPr>
            <w:sz w:val="4"/>
            <w:szCs w:val="4"/>
          </w:rPr>
        </w:pPr>
      </w:p>
    </w:sdtContent>
  </w:sdt>
  <w:p w14:paraId="59279D96" w14:textId="77777777" w:rsidR="000C7339" w:rsidRPr="0008467A" w:rsidRDefault="000C7339" w:rsidP="0008467A">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85E0A" w14:textId="77777777" w:rsidR="000C7339" w:rsidRDefault="000C7339">
    <w:pPr>
      <w:pStyle w:val="Header"/>
      <w:jc w:val="center"/>
    </w:pPr>
  </w:p>
  <w:p w14:paraId="2D9C84B8" w14:textId="77777777" w:rsidR="000C7339" w:rsidRDefault="000C73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968900"/>
      <w:docPartObj>
        <w:docPartGallery w:val="Page Numbers (Top of Page)"/>
        <w:docPartUnique/>
      </w:docPartObj>
    </w:sdtPr>
    <w:sdtEndPr>
      <w:rPr>
        <w:noProof/>
      </w:rPr>
    </w:sdtEndPr>
    <w:sdtContent>
      <w:p w14:paraId="27FCF351" w14:textId="77777777" w:rsidR="000C7339" w:rsidRDefault="000C733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E0F1F7A" w14:textId="77777777" w:rsidR="000C7339" w:rsidRDefault="000C7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4A5D5A"/>
    <w:multiLevelType w:val="hybridMultilevel"/>
    <w:tmpl w:val="48D8E536"/>
    <w:lvl w:ilvl="0" w:tplc="EC200ADC">
      <w:start w:val="1"/>
      <w:numFmt w:val="decimal"/>
      <w:lvlText w:val="%1."/>
      <w:lvlJc w:val="left"/>
      <w:pPr>
        <w:ind w:left="1080" w:hanging="360"/>
      </w:pPr>
      <w:rPr>
        <w:rFonts w:hint="default"/>
      </w:rPr>
    </w:lvl>
    <w:lvl w:ilvl="1" w:tplc="E4C03AE0">
      <w:start w:val="1"/>
      <w:numFmt w:val="lowerLetter"/>
      <w:lvlText w:val="%2."/>
      <w:lvlJc w:val="left"/>
      <w:pPr>
        <w:ind w:left="1800" w:hanging="360"/>
      </w:pPr>
    </w:lvl>
    <w:lvl w:ilvl="2" w:tplc="0A8E30EA" w:tentative="1">
      <w:start w:val="1"/>
      <w:numFmt w:val="lowerRoman"/>
      <w:lvlText w:val="%3."/>
      <w:lvlJc w:val="right"/>
      <w:pPr>
        <w:ind w:left="2520" w:hanging="180"/>
      </w:pPr>
    </w:lvl>
    <w:lvl w:ilvl="3" w:tplc="DF34784E" w:tentative="1">
      <w:start w:val="1"/>
      <w:numFmt w:val="decimal"/>
      <w:lvlText w:val="%4."/>
      <w:lvlJc w:val="left"/>
      <w:pPr>
        <w:ind w:left="3240" w:hanging="360"/>
      </w:pPr>
    </w:lvl>
    <w:lvl w:ilvl="4" w:tplc="C66A8CE2" w:tentative="1">
      <w:start w:val="1"/>
      <w:numFmt w:val="lowerLetter"/>
      <w:lvlText w:val="%5."/>
      <w:lvlJc w:val="left"/>
      <w:pPr>
        <w:ind w:left="3960" w:hanging="360"/>
      </w:pPr>
    </w:lvl>
    <w:lvl w:ilvl="5" w:tplc="63145096" w:tentative="1">
      <w:start w:val="1"/>
      <w:numFmt w:val="lowerRoman"/>
      <w:lvlText w:val="%6."/>
      <w:lvlJc w:val="right"/>
      <w:pPr>
        <w:ind w:left="4680" w:hanging="180"/>
      </w:pPr>
    </w:lvl>
    <w:lvl w:ilvl="6" w:tplc="0E4CFE62" w:tentative="1">
      <w:start w:val="1"/>
      <w:numFmt w:val="decimal"/>
      <w:lvlText w:val="%7."/>
      <w:lvlJc w:val="left"/>
      <w:pPr>
        <w:ind w:left="5400" w:hanging="360"/>
      </w:pPr>
    </w:lvl>
    <w:lvl w:ilvl="7" w:tplc="7F9A995C" w:tentative="1">
      <w:start w:val="1"/>
      <w:numFmt w:val="lowerLetter"/>
      <w:lvlText w:val="%8."/>
      <w:lvlJc w:val="left"/>
      <w:pPr>
        <w:ind w:left="6120" w:hanging="360"/>
      </w:pPr>
    </w:lvl>
    <w:lvl w:ilvl="8" w:tplc="D9C28D92" w:tentative="1">
      <w:start w:val="1"/>
      <w:numFmt w:val="lowerRoman"/>
      <w:lvlText w:val="%9."/>
      <w:lvlJc w:val="right"/>
      <w:pPr>
        <w:ind w:left="6840" w:hanging="180"/>
      </w:pPr>
    </w:lvl>
  </w:abstractNum>
  <w:abstractNum w:abstractNumId="1" w15:restartNumberingAfterBreak="0">
    <w:nsid w:val="15144AED"/>
    <w:multiLevelType w:val="hybridMultilevel"/>
    <w:tmpl w:val="84704F6A"/>
    <w:lvl w:ilvl="0" w:tplc="EFEE3B5E">
      <w:start w:val="1"/>
      <w:numFmt w:val="decimal"/>
      <w:lvlText w:val="%1)"/>
      <w:lvlJc w:val="left"/>
      <w:pPr>
        <w:ind w:left="1571" w:hanging="360"/>
      </w:pPr>
      <w:rPr>
        <w:b w:val="0"/>
        <w:bCs w:val="0"/>
      </w:r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 w15:restartNumberingAfterBreak="0">
    <w:nsid w:val="1DDD5B0C"/>
    <w:multiLevelType w:val="hybridMultilevel"/>
    <w:tmpl w:val="FFB423F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0F7561C"/>
    <w:multiLevelType w:val="hybridMultilevel"/>
    <w:tmpl w:val="D2885936"/>
    <w:lvl w:ilvl="0" w:tplc="4352102C">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 w15:restartNumberingAfterBreak="1">
    <w:nsid w:val="28601BEB"/>
    <w:multiLevelType w:val="hybridMultilevel"/>
    <w:tmpl w:val="79D42B5C"/>
    <w:lvl w:ilvl="0" w:tplc="42901D74">
      <w:start w:val="1"/>
      <w:numFmt w:val="decimal"/>
      <w:lvlText w:val="%1)"/>
      <w:lvlJc w:val="left"/>
      <w:pPr>
        <w:ind w:left="720" w:hanging="360"/>
      </w:pPr>
    </w:lvl>
    <w:lvl w:ilvl="1" w:tplc="3B188996" w:tentative="1">
      <w:start w:val="1"/>
      <w:numFmt w:val="lowerLetter"/>
      <w:lvlText w:val="%2."/>
      <w:lvlJc w:val="left"/>
      <w:pPr>
        <w:ind w:left="1440" w:hanging="360"/>
      </w:pPr>
    </w:lvl>
    <w:lvl w:ilvl="2" w:tplc="B606A0C2" w:tentative="1">
      <w:start w:val="1"/>
      <w:numFmt w:val="lowerRoman"/>
      <w:lvlText w:val="%3."/>
      <w:lvlJc w:val="right"/>
      <w:pPr>
        <w:ind w:left="2160" w:hanging="180"/>
      </w:pPr>
    </w:lvl>
    <w:lvl w:ilvl="3" w:tplc="B7249026" w:tentative="1">
      <w:start w:val="1"/>
      <w:numFmt w:val="decimal"/>
      <w:lvlText w:val="%4."/>
      <w:lvlJc w:val="left"/>
      <w:pPr>
        <w:ind w:left="2880" w:hanging="360"/>
      </w:pPr>
    </w:lvl>
    <w:lvl w:ilvl="4" w:tplc="85661D50" w:tentative="1">
      <w:start w:val="1"/>
      <w:numFmt w:val="lowerLetter"/>
      <w:lvlText w:val="%5."/>
      <w:lvlJc w:val="left"/>
      <w:pPr>
        <w:ind w:left="3600" w:hanging="360"/>
      </w:pPr>
    </w:lvl>
    <w:lvl w:ilvl="5" w:tplc="CDC6C758" w:tentative="1">
      <w:start w:val="1"/>
      <w:numFmt w:val="lowerRoman"/>
      <w:lvlText w:val="%6."/>
      <w:lvlJc w:val="right"/>
      <w:pPr>
        <w:ind w:left="4320" w:hanging="180"/>
      </w:pPr>
    </w:lvl>
    <w:lvl w:ilvl="6" w:tplc="004E0D48" w:tentative="1">
      <w:start w:val="1"/>
      <w:numFmt w:val="decimal"/>
      <w:lvlText w:val="%7."/>
      <w:lvlJc w:val="left"/>
      <w:pPr>
        <w:ind w:left="5040" w:hanging="360"/>
      </w:pPr>
    </w:lvl>
    <w:lvl w:ilvl="7" w:tplc="EE887830" w:tentative="1">
      <w:start w:val="1"/>
      <w:numFmt w:val="lowerLetter"/>
      <w:lvlText w:val="%8."/>
      <w:lvlJc w:val="left"/>
      <w:pPr>
        <w:ind w:left="5760" w:hanging="360"/>
      </w:pPr>
    </w:lvl>
    <w:lvl w:ilvl="8" w:tplc="6F52F6D4" w:tentative="1">
      <w:start w:val="1"/>
      <w:numFmt w:val="lowerRoman"/>
      <w:lvlText w:val="%9."/>
      <w:lvlJc w:val="right"/>
      <w:pPr>
        <w:ind w:left="6480" w:hanging="180"/>
      </w:pPr>
    </w:lvl>
  </w:abstractNum>
  <w:abstractNum w:abstractNumId="5" w15:restartNumberingAfterBreak="1">
    <w:nsid w:val="2CC656F4"/>
    <w:multiLevelType w:val="hybridMultilevel"/>
    <w:tmpl w:val="2A04602E"/>
    <w:lvl w:ilvl="0" w:tplc="C6843CC8">
      <w:start w:val="1"/>
      <w:numFmt w:val="decimal"/>
      <w:lvlText w:val="%1."/>
      <w:lvlJc w:val="left"/>
      <w:pPr>
        <w:ind w:left="1080" w:hanging="360"/>
      </w:pPr>
    </w:lvl>
    <w:lvl w:ilvl="1" w:tplc="454ABC14" w:tentative="1">
      <w:start w:val="1"/>
      <w:numFmt w:val="lowerLetter"/>
      <w:lvlText w:val="%2."/>
      <w:lvlJc w:val="left"/>
      <w:pPr>
        <w:ind w:left="1800" w:hanging="360"/>
      </w:pPr>
    </w:lvl>
    <w:lvl w:ilvl="2" w:tplc="D7BAA63C" w:tentative="1">
      <w:start w:val="1"/>
      <w:numFmt w:val="lowerRoman"/>
      <w:lvlText w:val="%3."/>
      <w:lvlJc w:val="right"/>
      <w:pPr>
        <w:ind w:left="2520" w:hanging="180"/>
      </w:pPr>
    </w:lvl>
    <w:lvl w:ilvl="3" w:tplc="DD42C54C" w:tentative="1">
      <w:start w:val="1"/>
      <w:numFmt w:val="decimal"/>
      <w:lvlText w:val="%4."/>
      <w:lvlJc w:val="left"/>
      <w:pPr>
        <w:ind w:left="3240" w:hanging="360"/>
      </w:pPr>
    </w:lvl>
    <w:lvl w:ilvl="4" w:tplc="A68844A0" w:tentative="1">
      <w:start w:val="1"/>
      <w:numFmt w:val="lowerLetter"/>
      <w:lvlText w:val="%5."/>
      <w:lvlJc w:val="left"/>
      <w:pPr>
        <w:ind w:left="3960" w:hanging="360"/>
      </w:pPr>
    </w:lvl>
    <w:lvl w:ilvl="5" w:tplc="17E29BE8" w:tentative="1">
      <w:start w:val="1"/>
      <w:numFmt w:val="lowerRoman"/>
      <w:lvlText w:val="%6."/>
      <w:lvlJc w:val="right"/>
      <w:pPr>
        <w:ind w:left="4680" w:hanging="180"/>
      </w:pPr>
    </w:lvl>
    <w:lvl w:ilvl="6" w:tplc="C24A437A" w:tentative="1">
      <w:start w:val="1"/>
      <w:numFmt w:val="decimal"/>
      <w:lvlText w:val="%7."/>
      <w:lvlJc w:val="left"/>
      <w:pPr>
        <w:ind w:left="5400" w:hanging="360"/>
      </w:pPr>
    </w:lvl>
    <w:lvl w:ilvl="7" w:tplc="ED1CCBA6" w:tentative="1">
      <w:start w:val="1"/>
      <w:numFmt w:val="lowerLetter"/>
      <w:lvlText w:val="%8."/>
      <w:lvlJc w:val="left"/>
      <w:pPr>
        <w:ind w:left="6120" w:hanging="360"/>
      </w:pPr>
    </w:lvl>
    <w:lvl w:ilvl="8" w:tplc="4652387C" w:tentative="1">
      <w:start w:val="1"/>
      <w:numFmt w:val="lowerRoman"/>
      <w:lvlText w:val="%9."/>
      <w:lvlJc w:val="right"/>
      <w:pPr>
        <w:ind w:left="6840" w:hanging="180"/>
      </w:pPr>
    </w:lvl>
  </w:abstractNum>
  <w:abstractNum w:abstractNumId="6" w15:restartNumberingAfterBreak="0">
    <w:nsid w:val="2DD204F5"/>
    <w:multiLevelType w:val="hybridMultilevel"/>
    <w:tmpl w:val="BF6E5F56"/>
    <w:lvl w:ilvl="0" w:tplc="804A3124">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7" w15:restartNumberingAfterBreak="0">
    <w:nsid w:val="2EF244B1"/>
    <w:multiLevelType w:val="hybridMultilevel"/>
    <w:tmpl w:val="1E2C01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1">
    <w:nsid w:val="2F4A56D8"/>
    <w:multiLevelType w:val="hybridMultilevel"/>
    <w:tmpl w:val="E410EAFA"/>
    <w:lvl w:ilvl="0" w:tplc="3B64EB24">
      <w:start w:val="1"/>
      <w:numFmt w:val="decimal"/>
      <w:lvlText w:val="%1)"/>
      <w:lvlJc w:val="left"/>
      <w:pPr>
        <w:ind w:left="1498" w:hanging="360"/>
      </w:pPr>
    </w:lvl>
    <w:lvl w:ilvl="1" w:tplc="752ED1E6" w:tentative="1">
      <w:start w:val="1"/>
      <w:numFmt w:val="lowerLetter"/>
      <w:lvlText w:val="%2."/>
      <w:lvlJc w:val="left"/>
      <w:pPr>
        <w:ind w:left="2218" w:hanging="360"/>
      </w:pPr>
    </w:lvl>
    <w:lvl w:ilvl="2" w:tplc="ED36AED6" w:tentative="1">
      <w:start w:val="1"/>
      <w:numFmt w:val="lowerRoman"/>
      <w:lvlText w:val="%3."/>
      <w:lvlJc w:val="right"/>
      <w:pPr>
        <w:ind w:left="2938" w:hanging="180"/>
      </w:pPr>
    </w:lvl>
    <w:lvl w:ilvl="3" w:tplc="DF7EA168" w:tentative="1">
      <w:start w:val="1"/>
      <w:numFmt w:val="decimal"/>
      <w:lvlText w:val="%4."/>
      <w:lvlJc w:val="left"/>
      <w:pPr>
        <w:ind w:left="3658" w:hanging="360"/>
      </w:pPr>
    </w:lvl>
    <w:lvl w:ilvl="4" w:tplc="8BB4DC34" w:tentative="1">
      <w:start w:val="1"/>
      <w:numFmt w:val="lowerLetter"/>
      <w:lvlText w:val="%5."/>
      <w:lvlJc w:val="left"/>
      <w:pPr>
        <w:ind w:left="4378" w:hanging="360"/>
      </w:pPr>
    </w:lvl>
    <w:lvl w:ilvl="5" w:tplc="44F49E10" w:tentative="1">
      <w:start w:val="1"/>
      <w:numFmt w:val="lowerRoman"/>
      <w:lvlText w:val="%6."/>
      <w:lvlJc w:val="right"/>
      <w:pPr>
        <w:ind w:left="5098" w:hanging="180"/>
      </w:pPr>
    </w:lvl>
    <w:lvl w:ilvl="6" w:tplc="7BAE3D44" w:tentative="1">
      <w:start w:val="1"/>
      <w:numFmt w:val="decimal"/>
      <w:lvlText w:val="%7."/>
      <w:lvlJc w:val="left"/>
      <w:pPr>
        <w:ind w:left="5818" w:hanging="360"/>
      </w:pPr>
    </w:lvl>
    <w:lvl w:ilvl="7" w:tplc="BBD09C78" w:tentative="1">
      <w:start w:val="1"/>
      <w:numFmt w:val="lowerLetter"/>
      <w:lvlText w:val="%8."/>
      <w:lvlJc w:val="left"/>
      <w:pPr>
        <w:ind w:left="6538" w:hanging="360"/>
      </w:pPr>
    </w:lvl>
    <w:lvl w:ilvl="8" w:tplc="2A7C2462" w:tentative="1">
      <w:start w:val="1"/>
      <w:numFmt w:val="lowerRoman"/>
      <w:lvlText w:val="%9."/>
      <w:lvlJc w:val="right"/>
      <w:pPr>
        <w:ind w:left="7258" w:hanging="180"/>
      </w:pPr>
    </w:lvl>
  </w:abstractNum>
  <w:abstractNum w:abstractNumId="9" w15:restartNumberingAfterBreak="0">
    <w:nsid w:val="36540112"/>
    <w:multiLevelType w:val="hybridMultilevel"/>
    <w:tmpl w:val="8C96C280"/>
    <w:lvl w:ilvl="0" w:tplc="21FAE916">
      <w:start w:val="1"/>
      <w:numFmt w:val="bullet"/>
      <w:lvlText w:val="–"/>
      <w:lvlJc w:val="left"/>
      <w:pPr>
        <w:ind w:left="720" w:hanging="360"/>
      </w:pPr>
      <w:rPr>
        <w:rFonts w:ascii="Times New Roman" w:eastAsia="Times New Roman" w:hAnsi="Times New Roman" w:cs="Times New Roman" w:hint="default"/>
      </w:rPr>
    </w:lvl>
    <w:lvl w:ilvl="1" w:tplc="87843AAA">
      <w:start w:val="1"/>
      <w:numFmt w:val="bullet"/>
      <w:lvlText w:val="o"/>
      <w:lvlJc w:val="left"/>
      <w:pPr>
        <w:ind w:left="1440" w:hanging="360"/>
      </w:pPr>
      <w:rPr>
        <w:rFonts w:ascii="Courier New" w:hAnsi="Courier New" w:cs="Courier New" w:hint="default"/>
      </w:rPr>
    </w:lvl>
    <w:lvl w:ilvl="2" w:tplc="D606542C">
      <w:start w:val="1"/>
      <w:numFmt w:val="bullet"/>
      <w:lvlText w:val=""/>
      <w:lvlJc w:val="left"/>
      <w:pPr>
        <w:ind w:left="2160" w:hanging="360"/>
      </w:pPr>
      <w:rPr>
        <w:rFonts w:ascii="Wingdings" w:hAnsi="Wingdings" w:hint="default"/>
      </w:rPr>
    </w:lvl>
    <w:lvl w:ilvl="3" w:tplc="AE4AC120">
      <w:start w:val="1"/>
      <w:numFmt w:val="bullet"/>
      <w:lvlText w:val=""/>
      <w:lvlJc w:val="left"/>
      <w:pPr>
        <w:ind w:left="2880" w:hanging="360"/>
      </w:pPr>
      <w:rPr>
        <w:rFonts w:ascii="Symbol" w:hAnsi="Symbol" w:hint="default"/>
      </w:rPr>
    </w:lvl>
    <w:lvl w:ilvl="4" w:tplc="59A80C2A">
      <w:start w:val="1"/>
      <w:numFmt w:val="bullet"/>
      <w:lvlText w:val="o"/>
      <w:lvlJc w:val="left"/>
      <w:pPr>
        <w:ind w:left="3600" w:hanging="360"/>
      </w:pPr>
      <w:rPr>
        <w:rFonts w:ascii="Courier New" w:hAnsi="Courier New" w:cs="Courier New" w:hint="default"/>
      </w:rPr>
    </w:lvl>
    <w:lvl w:ilvl="5" w:tplc="2D20B202">
      <w:start w:val="1"/>
      <w:numFmt w:val="bullet"/>
      <w:lvlText w:val=""/>
      <w:lvlJc w:val="left"/>
      <w:pPr>
        <w:ind w:left="4320" w:hanging="360"/>
      </w:pPr>
      <w:rPr>
        <w:rFonts w:ascii="Wingdings" w:hAnsi="Wingdings" w:hint="default"/>
      </w:rPr>
    </w:lvl>
    <w:lvl w:ilvl="6" w:tplc="9EEA01A0">
      <w:start w:val="1"/>
      <w:numFmt w:val="bullet"/>
      <w:lvlText w:val=""/>
      <w:lvlJc w:val="left"/>
      <w:pPr>
        <w:ind w:left="5040" w:hanging="360"/>
      </w:pPr>
      <w:rPr>
        <w:rFonts w:ascii="Symbol" w:hAnsi="Symbol" w:hint="default"/>
      </w:rPr>
    </w:lvl>
    <w:lvl w:ilvl="7" w:tplc="DA1635DA">
      <w:start w:val="1"/>
      <w:numFmt w:val="bullet"/>
      <w:lvlText w:val="o"/>
      <w:lvlJc w:val="left"/>
      <w:pPr>
        <w:ind w:left="5760" w:hanging="360"/>
      </w:pPr>
      <w:rPr>
        <w:rFonts w:ascii="Courier New" w:hAnsi="Courier New" w:cs="Courier New" w:hint="default"/>
      </w:rPr>
    </w:lvl>
    <w:lvl w:ilvl="8" w:tplc="76D42B98">
      <w:start w:val="1"/>
      <w:numFmt w:val="bullet"/>
      <w:lvlText w:val=""/>
      <w:lvlJc w:val="left"/>
      <w:pPr>
        <w:ind w:left="6480" w:hanging="360"/>
      </w:pPr>
      <w:rPr>
        <w:rFonts w:ascii="Wingdings" w:hAnsi="Wingdings" w:hint="default"/>
      </w:rPr>
    </w:lvl>
  </w:abstractNum>
  <w:abstractNum w:abstractNumId="10" w15:restartNumberingAfterBreak="0">
    <w:nsid w:val="370741CE"/>
    <w:multiLevelType w:val="hybridMultilevel"/>
    <w:tmpl w:val="5FB87AE2"/>
    <w:lvl w:ilvl="0" w:tplc="0426000F">
      <w:start w:val="1"/>
      <w:numFmt w:val="decimal"/>
      <w:lvlText w:val="%1."/>
      <w:lvlJc w:val="left"/>
      <w:pPr>
        <w:ind w:left="928"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166036"/>
    <w:multiLevelType w:val="multilevel"/>
    <w:tmpl w:val="2F647DD4"/>
    <w:lvl w:ilvl="0">
      <w:start w:val="1"/>
      <w:numFmt w:val="decimal"/>
      <w:pStyle w:val="Punkts1Lmenis"/>
      <w:lvlText w:val="%1."/>
      <w:lvlJc w:val="left"/>
      <w:pPr>
        <w:tabs>
          <w:tab w:val="num" w:pos="1815"/>
        </w:tabs>
        <w:ind w:left="851" w:firstLine="0"/>
      </w:pPr>
      <w:rPr>
        <w:rFonts w:cs="Times New Roman" w:hint="default"/>
        <w:sz w:val="28"/>
        <w:szCs w:val="28"/>
      </w:rPr>
    </w:lvl>
    <w:lvl w:ilvl="1">
      <w:start w:val="1"/>
      <w:numFmt w:val="decimal"/>
      <w:pStyle w:val="Punkts2Lmenis"/>
      <w:isLgl/>
      <w:lvlText w:val="%1.%2."/>
      <w:lvlJc w:val="left"/>
      <w:pPr>
        <w:tabs>
          <w:tab w:val="num" w:pos="2468"/>
        </w:tabs>
        <w:ind w:left="1277" w:firstLine="0"/>
      </w:pPr>
      <w:rPr>
        <w:rFonts w:cs="Times New Roman" w:hint="default"/>
        <w:b w:val="0"/>
        <w:sz w:val="28"/>
        <w:szCs w:val="28"/>
      </w:rPr>
    </w:lvl>
    <w:lvl w:ilvl="2">
      <w:start w:val="1"/>
      <w:numFmt w:val="decimal"/>
      <w:pStyle w:val="Punkts3Lmenis"/>
      <w:lvlText w:val="%1.%2.%3."/>
      <w:lvlJc w:val="left"/>
      <w:pPr>
        <w:tabs>
          <w:tab w:val="num" w:pos="2184"/>
        </w:tabs>
        <w:ind w:left="709" w:firstLine="0"/>
      </w:pPr>
      <w:rPr>
        <w:rFonts w:cs="Times New Roman" w:hint="default"/>
        <w:b w:val="0"/>
        <w:sz w:val="28"/>
        <w:szCs w:val="28"/>
      </w:rPr>
    </w:lvl>
    <w:lvl w:ilvl="3">
      <w:start w:val="1"/>
      <w:numFmt w:val="none"/>
      <w:lvlText w:val="35.4.4.1."/>
      <w:lvlJc w:val="left"/>
      <w:pPr>
        <w:tabs>
          <w:tab w:val="num" w:pos="851"/>
        </w:tabs>
        <w:ind w:left="284" w:firstLine="0"/>
      </w:pPr>
      <w:rPr>
        <w:rFonts w:cs="Times New Roman" w:hint="default"/>
      </w:rPr>
    </w:lvl>
    <w:lvl w:ilvl="4">
      <w:start w:val="1"/>
      <w:numFmt w:val="lowerLetter"/>
      <w:lvlText w:val="%5."/>
      <w:lvlJc w:val="left"/>
      <w:pPr>
        <w:tabs>
          <w:tab w:val="num" w:pos="877"/>
        </w:tabs>
        <w:ind w:left="310" w:firstLine="0"/>
      </w:pPr>
      <w:rPr>
        <w:rFonts w:cs="Times New Roman" w:hint="default"/>
      </w:rPr>
    </w:lvl>
    <w:lvl w:ilvl="5">
      <w:start w:val="1"/>
      <w:numFmt w:val="lowerRoman"/>
      <w:lvlText w:val="%6."/>
      <w:lvlJc w:val="right"/>
      <w:pPr>
        <w:tabs>
          <w:tab w:val="num" w:pos="990"/>
        </w:tabs>
        <w:ind w:left="423" w:firstLine="0"/>
      </w:pPr>
      <w:rPr>
        <w:rFonts w:cs="Times New Roman" w:hint="default"/>
      </w:rPr>
    </w:lvl>
    <w:lvl w:ilvl="6">
      <w:start w:val="1"/>
      <w:numFmt w:val="decimal"/>
      <w:lvlText w:val="%7."/>
      <w:lvlJc w:val="left"/>
      <w:pPr>
        <w:tabs>
          <w:tab w:val="num" w:pos="1103"/>
        </w:tabs>
        <w:ind w:left="536" w:firstLine="0"/>
      </w:pPr>
      <w:rPr>
        <w:rFonts w:cs="Times New Roman" w:hint="default"/>
      </w:rPr>
    </w:lvl>
    <w:lvl w:ilvl="7">
      <w:start w:val="1"/>
      <w:numFmt w:val="lowerLetter"/>
      <w:lvlText w:val="%8."/>
      <w:lvlJc w:val="left"/>
      <w:pPr>
        <w:tabs>
          <w:tab w:val="num" w:pos="1216"/>
        </w:tabs>
        <w:ind w:left="649" w:firstLine="0"/>
      </w:pPr>
      <w:rPr>
        <w:rFonts w:cs="Times New Roman" w:hint="default"/>
      </w:rPr>
    </w:lvl>
    <w:lvl w:ilvl="8">
      <w:start w:val="1"/>
      <w:numFmt w:val="lowerRoman"/>
      <w:lvlText w:val="%9."/>
      <w:lvlJc w:val="right"/>
      <w:pPr>
        <w:tabs>
          <w:tab w:val="num" w:pos="1329"/>
        </w:tabs>
        <w:ind w:left="762" w:firstLine="0"/>
      </w:pPr>
      <w:rPr>
        <w:rFonts w:cs="Times New Roman" w:hint="default"/>
      </w:rPr>
    </w:lvl>
  </w:abstractNum>
  <w:abstractNum w:abstractNumId="12" w15:restartNumberingAfterBreak="0">
    <w:nsid w:val="41AD4D65"/>
    <w:multiLevelType w:val="hybridMultilevel"/>
    <w:tmpl w:val="B322B776"/>
    <w:lvl w:ilvl="0" w:tplc="04260001">
      <w:start w:val="1"/>
      <w:numFmt w:val="bullet"/>
      <w:lvlText w:val=""/>
      <w:lvlJc w:val="left"/>
      <w:pPr>
        <w:ind w:left="787" w:hanging="360"/>
      </w:pPr>
      <w:rPr>
        <w:rFonts w:ascii="Symbol" w:hAnsi="Symbol" w:hint="default"/>
      </w:rPr>
    </w:lvl>
    <w:lvl w:ilvl="1" w:tplc="04260003" w:tentative="1">
      <w:start w:val="1"/>
      <w:numFmt w:val="bullet"/>
      <w:lvlText w:val="o"/>
      <w:lvlJc w:val="left"/>
      <w:pPr>
        <w:ind w:left="1507" w:hanging="360"/>
      </w:pPr>
      <w:rPr>
        <w:rFonts w:ascii="Courier New" w:hAnsi="Courier New" w:cs="Courier New" w:hint="default"/>
      </w:rPr>
    </w:lvl>
    <w:lvl w:ilvl="2" w:tplc="04260005" w:tentative="1">
      <w:start w:val="1"/>
      <w:numFmt w:val="bullet"/>
      <w:lvlText w:val=""/>
      <w:lvlJc w:val="left"/>
      <w:pPr>
        <w:ind w:left="2227" w:hanging="360"/>
      </w:pPr>
      <w:rPr>
        <w:rFonts w:ascii="Wingdings" w:hAnsi="Wingdings" w:hint="default"/>
      </w:rPr>
    </w:lvl>
    <w:lvl w:ilvl="3" w:tplc="04260001" w:tentative="1">
      <w:start w:val="1"/>
      <w:numFmt w:val="bullet"/>
      <w:lvlText w:val=""/>
      <w:lvlJc w:val="left"/>
      <w:pPr>
        <w:ind w:left="2947" w:hanging="360"/>
      </w:pPr>
      <w:rPr>
        <w:rFonts w:ascii="Symbol" w:hAnsi="Symbol" w:hint="default"/>
      </w:rPr>
    </w:lvl>
    <w:lvl w:ilvl="4" w:tplc="04260003" w:tentative="1">
      <w:start w:val="1"/>
      <w:numFmt w:val="bullet"/>
      <w:lvlText w:val="o"/>
      <w:lvlJc w:val="left"/>
      <w:pPr>
        <w:ind w:left="3667" w:hanging="360"/>
      </w:pPr>
      <w:rPr>
        <w:rFonts w:ascii="Courier New" w:hAnsi="Courier New" w:cs="Courier New" w:hint="default"/>
      </w:rPr>
    </w:lvl>
    <w:lvl w:ilvl="5" w:tplc="04260005" w:tentative="1">
      <w:start w:val="1"/>
      <w:numFmt w:val="bullet"/>
      <w:lvlText w:val=""/>
      <w:lvlJc w:val="left"/>
      <w:pPr>
        <w:ind w:left="4387" w:hanging="360"/>
      </w:pPr>
      <w:rPr>
        <w:rFonts w:ascii="Wingdings" w:hAnsi="Wingdings" w:hint="default"/>
      </w:rPr>
    </w:lvl>
    <w:lvl w:ilvl="6" w:tplc="04260001" w:tentative="1">
      <w:start w:val="1"/>
      <w:numFmt w:val="bullet"/>
      <w:lvlText w:val=""/>
      <w:lvlJc w:val="left"/>
      <w:pPr>
        <w:ind w:left="5107" w:hanging="360"/>
      </w:pPr>
      <w:rPr>
        <w:rFonts w:ascii="Symbol" w:hAnsi="Symbol" w:hint="default"/>
      </w:rPr>
    </w:lvl>
    <w:lvl w:ilvl="7" w:tplc="04260003" w:tentative="1">
      <w:start w:val="1"/>
      <w:numFmt w:val="bullet"/>
      <w:lvlText w:val="o"/>
      <w:lvlJc w:val="left"/>
      <w:pPr>
        <w:ind w:left="5827" w:hanging="360"/>
      </w:pPr>
      <w:rPr>
        <w:rFonts w:ascii="Courier New" w:hAnsi="Courier New" w:cs="Courier New" w:hint="default"/>
      </w:rPr>
    </w:lvl>
    <w:lvl w:ilvl="8" w:tplc="04260005" w:tentative="1">
      <w:start w:val="1"/>
      <w:numFmt w:val="bullet"/>
      <w:lvlText w:val=""/>
      <w:lvlJc w:val="left"/>
      <w:pPr>
        <w:ind w:left="6547" w:hanging="360"/>
      </w:pPr>
      <w:rPr>
        <w:rFonts w:ascii="Wingdings" w:hAnsi="Wingdings" w:hint="default"/>
      </w:rPr>
    </w:lvl>
  </w:abstractNum>
  <w:abstractNum w:abstractNumId="13" w15:restartNumberingAfterBreak="0">
    <w:nsid w:val="43C52816"/>
    <w:multiLevelType w:val="hybridMultilevel"/>
    <w:tmpl w:val="FB08224A"/>
    <w:lvl w:ilvl="0" w:tplc="0426000F">
      <w:start w:val="43"/>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5520FA"/>
    <w:multiLevelType w:val="hybridMultilevel"/>
    <w:tmpl w:val="B4B61A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5A361187"/>
    <w:multiLevelType w:val="hybridMultilevel"/>
    <w:tmpl w:val="101667B4"/>
    <w:lvl w:ilvl="0" w:tplc="28A82864">
      <w:start w:val="1"/>
      <w:numFmt w:val="bullet"/>
      <w:lvlText w:val="-"/>
      <w:lvlJc w:val="left"/>
      <w:pPr>
        <w:ind w:left="1069" w:hanging="360"/>
      </w:pPr>
      <w:rPr>
        <w:rFonts w:ascii="Times New Roman" w:eastAsia="Calibri"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16" w15:restartNumberingAfterBreak="0">
    <w:nsid w:val="5CBE2F89"/>
    <w:multiLevelType w:val="hybridMultilevel"/>
    <w:tmpl w:val="F26245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E378FD16">
      <w:start w:val="1"/>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652051A7"/>
    <w:multiLevelType w:val="hybridMultilevel"/>
    <w:tmpl w:val="8826C232"/>
    <w:lvl w:ilvl="0" w:tplc="804A3124">
      <w:start w:val="1"/>
      <w:numFmt w:val="bullet"/>
      <w:lvlText w:val=""/>
      <w:lvlJc w:val="left"/>
      <w:pPr>
        <w:ind w:left="2160" w:hanging="360"/>
      </w:pPr>
      <w:rPr>
        <w:rFonts w:ascii="Symbol" w:hAnsi="Symbol" w:hint="default"/>
      </w:rPr>
    </w:lvl>
    <w:lvl w:ilvl="1" w:tplc="04260003">
      <w:start w:val="1"/>
      <w:numFmt w:val="bullet"/>
      <w:lvlText w:val="o"/>
      <w:lvlJc w:val="left"/>
      <w:pPr>
        <w:ind w:left="2880" w:hanging="360"/>
      </w:pPr>
      <w:rPr>
        <w:rFonts w:ascii="Courier New" w:hAnsi="Courier New" w:cs="Courier New" w:hint="default"/>
      </w:rPr>
    </w:lvl>
    <w:lvl w:ilvl="2" w:tplc="04260005">
      <w:start w:val="1"/>
      <w:numFmt w:val="bullet"/>
      <w:lvlText w:val=""/>
      <w:lvlJc w:val="left"/>
      <w:pPr>
        <w:ind w:left="3600" w:hanging="360"/>
      </w:pPr>
      <w:rPr>
        <w:rFonts w:ascii="Wingdings" w:hAnsi="Wingdings" w:hint="default"/>
      </w:rPr>
    </w:lvl>
    <w:lvl w:ilvl="3" w:tplc="04260001">
      <w:start w:val="1"/>
      <w:numFmt w:val="bullet"/>
      <w:lvlText w:val=""/>
      <w:lvlJc w:val="left"/>
      <w:pPr>
        <w:ind w:left="4320" w:hanging="360"/>
      </w:pPr>
      <w:rPr>
        <w:rFonts w:ascii="Symbol" w:hAnsi="Symbol" w:hint="default"/>
      </w:rPr>
    </w:lvl>
    <w:lvl w:ilvl="4" w:tplc="04260003">
      <w:start w:val="1"/>
      <w:numFmt w:val="bullet"/>
      <w:lvlText w:val="o"/>
      <w:lvlJc w:val="left"/>
      <w:pPr>
        <w:ind w:left="5040" w:hanging="360"/>
      </w:pPr>
      <w:rPr>
        <w:rFonts w:ascii="Courier New" w:hAnsi="Courier New" w:cs="Courier New" w:hint="default"/>
      </w:rPr>
    </w:lvl>
    <w:lvl w:ilvl="5" w:tplc="04260005">
      <w:start w:val="1"/>
      <w:numFmt w:val="bullet"/>
      <w:lvlText w:val=""/>
      <w:lvlJc w:val="left"/>
      <w:pPr>
        <w:ind w:left="5760" w:hanging="360"/>
      </w:pPr>
      <w:rPr>
        <w:rFonts w:ascii="Wingdings" w:hAnsi="Wingdings" w:hint="default"/>
      </w:rPr>
    </w:lvl>
    <w:lvl w:ilvl="6" w:tplc="04260001">
      <w:start w:val="1"/>
      <w:numFmt w:val="bullet"/>
      <w:lvlText w:val=""/>
      <w:lvlJc w:val="left"/>
      <w:pPr>
        <w:ind w:left="6480" w:hanging="360"/>
      </w:pPr>
      <w:rPr>
        <w:rFonts w:ascii="Symbol" w:hAnsi="Symbol" w:hint="default"/>
      </w:rPr>
    </w:lvl>
    <w:lvl w:ilvl="7" w:tplc="04260003">
      <w:start w:val="1"/>
      <w:numFmt w:val="bullet"/>
      <w:lvlText w:val="o"/>
      <w:lvlJc w:val="left"/>
      <w:pPr>
        <w:ind w:left="7200" w:hanging="360"/>
      </w:pPr>
      <w:rPr>
        <w:rFonts w:ascii="Courier New" w:hAnsi="Courier New" w:cs="Courier New" w:hint="default"/>
      </w:rPr>
    </w:lvl>
    <w:lvl w:ilvl="8" w:tplc="04260005">
      <w:start w:val="1"/>
      <w:numFmt w:val="bullet"/>
      <w:lvlText w:val=""/>
      <w:lvlJc w:val="left"/>
      <w:pPr>
        <w:ind w:left="7920" w:hanging="360"/>
      </w:pPr>
      <w:rPr>
        <w:rFonts w:ascii="Wingdings" w:hAnsi="Wingdings" w:hint="default"/>
      </w:rPr>
    </w:lvl>
  </w:abstractNum>
  <w:abstractNum w:abstractNumId="18" w15:restartNumberingAfterBreak="1">
    <w:nsid w:val="687D48C7"/>
    <w:multiLevelType w:val="hybridMultilevel"/>
    <w:tmpl w:val="96E69C86"/>
    <w:lvl w:ilvl="0" w:tplc="8040B978">
      <w:start w:val="1"/>
      <w:numFmt w:val="decimal"/>
      <w:lvlText w:val="%1)"/>
      <w:lvlJc w:val="left"/>
      <w:pPr>
        <w:ind w:left="720" w:hanging="360"/>
      </w:pPr>
    </w:lvl>
    <w:lvl w:ilvl="1" w:tplc="BFCEDC5C" w:tentative="1">
      <w:start w:val="1"/>
      <w:numFmt w:val="lowerLetter"/>
      <w:lvlText w:val="%2."/>
      <w:lvlJc w:val="left"/>
      <w:pPr>
        <w:ind w:left="1440" w:hanging="360"/>
      </w:pPr>
    </w:lvl>
    <w:lvl w:ilvl="2" w:tplc="3A40FDE2" w:tentative="1">
      <w:start w:val="1"/>
      <w:numFmt w:val="lowerRoman"/>
      <w:lvlText w:val="%3."/>
      <w:lvlJc w:val="right"/>
      <w:pPr>
        <w:ind w:left="2160" w:hanging="180"/>
      </w:pPr>
    </w:lvl>
    <w:lvl w:ilvl="3" w:tplc="59044000" w:tentative="1">
      <w:start w:val="1"/>
      <w:numFmt w:val="decimal"/>
      <w:lvlText w:val="%4."/>
      <w:lvlJc w:val="left"/>
      <w:pPr>
        <w:ind w:left="2880" w:hanging="360"/>
      </w:pPr>
    </w:lvl>
    <w:lvl w:ilvl="4" w:tplc="ADA4114C" w:tentative="1">
      <w:start w:val="1"/>
      <w:numFmt w:val="lowerLetter"/>
      <w:lvlText w:val="%5."/>
      <w:lvlJc w:val="left"/>
      <w:pPr>
        <w:ind w:left="3600" w:hanging="360"/>
      </w:pPr>
    </w:lvl>
    <w:lvl w:ilvl="5" w:tplc="D21E5E04" w:tentative="1">
      <w:start w:val="1"/>
      <w:numFmt w:val="lowerRoman"/>
      <w:lvlText w:val="%6."/>
      <w:lvlJc w:val="right"/>
      <w:pPr>
        <w:ind w:left="4320" w:hanging="180"/>
      </w:pPr>
    </w:lvl>
    <w:lvl w:ilvl="6" w:tplc="1408C98E" w:tentative="1">
      <w:start w:val="1"/>
      <w:numFmt w:val="decimal"/>
      <w:lvlText w:val="%7."/>
      <w:lvlJc w:val="left"/>
      <w:pPr>
        <w:ind w:left="5040" w:hanging="360"/>
      </w:pPr>
    </w:lvl>
    <w:lvl w:ilvl="7" w:tplc="F4D4EC76" w:tentative="1">
      <w:start w:val="1"/>
      <w:numFmt w:val="lowerLetter"/>
      <w:lvlText w:val="%8."/>
      <w:lvlJc w:val="left"/>
      <w:pPr>
        <w:ind w:left="5760" w:hanging="360"/>
      </w:pPr>
    </w:lvl>
    <w:lvl w:ilvl="8" w:tplc="10B2C5A4" w:tentative="1">
      <w:start w:val="1"/>
      <w:numFmt w:val="lowerRoman"/>
      <w:lvlText w:val="%9."/>
      <w:lvlJc w:val="right"/>
      <w:pPr>
        <w:ind w:left="6480" w:hanging="180"/>
      </w:pPr>
    </w:lvl>
  </w:abstractNum>
  <w:abstractNum w:abstractNumId="19" w15:restartNumberingAfterBreak="0">
    <w:nsid w:val="698325AA"/>
    <w:multiLevelType w:val="hybridMultilevel"/>
    <w:tmpl w:val="CADE349C"/>
    <w:lvl w:ilvl="0" w:tplc="0426000F">
      <w:start w:val="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2364E79"/>
    <w:multiLevelType w:val="hybridMultilevel"/>
    <w:tmpl w:val="03866D88"/>
    <w:lvl w:ilvl="0" w:tplc="51BE4DB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762C3A00"/>
    <w:multiLevelType w:val="hybridMultilevel"/>
    <w:tmpl w:val="A380051C"/>
    <w:lvl w:ilvl="0" w:tplc="75828730">
      <w:start w:val="1"/>
      <w:numFmt w:val="lowerLetter"/>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2" w15:restartNumberingAfterBreak="0">
    <w:nsid w:val="76405997"/>
    <w:multiLevelType w:val="hybridMultilevel"/>
    <w:tmpl w:val="4A8C546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3" w15:restartNumberingAfterBreak="0">
    <w:nsid w:val="7BD90B91"/>
    <w:multiLevelType w:val="hybridMultilevel"/>
    <w:tmpl w:val="FC585F52"/>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4" w15:restartNumberingAfterBreak="0">
    <w:nsid w:val="7D016D7F"/>
    <w:multiLevelType w:val="hybridMultilevel"/>
    <w:tmpl w:val="98FC62A2"/>
    <w:lvl w:ilvl="0" w:tplc="B4E41686">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num w:numId="1">
    <w:abstractNumId w:val="11"/>
  </w:num>
  <w:num w:numId="2">
    <w:abstractNumId w:val="8"/>
  </w:num>
  <w:num w:numId="3">
    <w:abstractNumId w:val="5"/>
  </w:num>
  <w:num w:numId="4">
    <w:abstractNumId w:val="22"/>
  </w:num>
  <w:num w:numId="5">
    <w:abstractNumId w:val="6"/>
  </w:num>
  <w:num w:numId="6">
    <w:abstractNumId w:val="17"/>
  </w:num>
  <w:num w:numId="7">
    <w:abstractNumId w:val="14"/>
  </w:num>
  <w:num w:numId="8">
    <w:abstractNumId w:val="10"/>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3"/>
  </w:num>
  <w:num w:numId="17">
    <w:abstractNumId w:val="18"/>
  </w:num>
  <w:num w:numId="18">
    <w:abstractNumId w:val="4"/>
  </w:num>
  <w:num w:numId="19">
    <w:abstractNumId w:val="3"/>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E4"/>
    <w:rsid w:val="00001F89"/>
    <w:rsid w:val="00003C53"/>
    <w:rsid w:val="0000456E"/>
    <w:rsid w:val="000055EA"/>
    <w:rsid w:val="00005F25"/>
    <w:rsid w:val="00005F65"/>
    <w:rsid w:val="00006BF1"/>
    <w:rsid w:val="0001118D"/>
    <w:rsid w:val="0001131F"/>
    <w:rsid w:val="00011663"/>
    <w:rsid w:val="00011C9C"/>
    <w:rsid w:val="0001249F"/>
    <w:rsid w:val="0001255C"/>
    <w:rsid w:val="000125C0"/>
    <w:rsid w:val="0001270C"/>
    <w:rsid w:val="000136AA"/>
    <w:rsid w:val="00013B4C"/>
    <w:rsid w:val="00013BF6"/>
    <w:rsid w:val="0001554C"/>
    <w:rsid w:val="00015B94"/>
    <w:rsid w:val="00015DE5"/>
    <w:rsid w:val="000172E2"/>
    <w:rsid w:val="00017449"/>
    <w:rsid w:val="00017AE8"/>
    <w:rsid w:val="00017D5C"/>
    <w:rsid w:val="00020249"/>
    <w:rsid w:val="00022338"/>
    <w:rsid w:val="0002296A"/>
    <w:rsid w:val="00022B0F"/>
    <w:rsid w:val="00022B9A"/>
    <w:rsid w:val="00023FD6"/>
    <w:rsid w:val="0002416A"/>
    <w:rsid w:val="00024BE4"/>
    <w:rsid w:val="00024CCD"/>
    <w:rsid w:val="00024D20"/>
    <w:rsid w:val="000253DB"/>
    <w:rsid w:val="00026288"/>
    <w:rsid w:val="00026415"/>
    <w:rsid w:val="000268DB"/>
    <w:rsid w:val="00027696"/>
    <w:rsid w:val="000278E7"/>
    <w:rsid w:val="00027A63"/>
    <w:rsid w:val="00027F9D"/>
    <w:rsid w:val="000307B5"/>
    <w:rsid w:val="00032457"/>
    <w:rsid w:val="00032BD4"/>
    <w:rsid w:val="0003413A"/>
    <w:rsid w:val="000349CA"/>
    <w:rsid w:val="0003557A"/>
    <w:rsid w:val="00035C06"/>
    <w:rsid w:val="000366DF"/>
    <w:rsid w:val="000376CD"/>
    <w:rsid w:val="00040A5C"/>
    <w:rsid w:val="00041442"/>
    <w:rsid w:val="00043005"/>
    <w:rsid w:val="0004345F"/>
    <w:rsid w:val="00043A64"/>
    <w:rsid w:val="00044026"/>
    <w:rsid w:val="00046075"/>
    <w:rsid w:val="0004607A"/>
    <w:rsid w:val="00046CAD"/>
    <w:rsid w:val="00046F5C"/>
    <w:rsid w:val="00047385"/>
    <w:rsid w:val="00050554"/>
    <w:rsid w:val="00052EBE"/>
    <w:rsid w:val="00053706"/>
    <w:rsid w:val="00053817"/>
    <w:rsid w:val="00053E04"/>
    <w:rsid w:val="000566E7"/>
    <w:rsid w:val="000579E6"/>
    <w:rsid w:val="00060E03"/>
    <w:rsid w:val="0006232B"/>
    <w:rsid w:val="00063935"/>
    <w:rsid w:val="000641CE"/>
    <w:rsid w:val="0006472D"/>
    <w:rsid w:val="00064C88"/>
    <w:rsid w:val="00064DB7"/>
    <w:rsid w:val="00065271"/>
    <w:rsid w:val="00065916"/>
    <w:rsid w:val="00066176"/>
    <w:rsid w:val="0006618D"/>
    <w:rsid w:val="00066885"/>
    <w:rsid w:val="0006694E"/>
    <w:rsid w:val="00066A37"/>
    <w:rsid w:val="00066F05"/>
    <w:rsid w:val="00067CDC"/>
    <w:rsid w:val="00070BD5"/>
    <w:rsid w:val="00072628"/>
    <w:rsid w:val="000728ED"/>
    <w:rsid w:val="000733F5"/>
    <w:rsid w:val="000733FF"/>
    <w:rsid w:val="0007577A"/>
    <w:rsid w:val="000775D0"/>
    <w:rsid w:val="000816CE"/>
    <w:rsid w:val="00081B0F"/>
    <w:rsid w:val="0008283D"/>
    <w:rsid w:val="00083090"/>
    <w:rsid w:val="00083214"/>
    <w:rsid w:val="00083B8F"/>
    <w:rsid w:val="0008467A"/>
    <w:rsid w:val="00084B11"/>
    <w:rsid w:val="00085322"/>
    <w:rsid w:val="0008656F"/>
    <w:rsid w:val="00086AB9"/>
    <w:rsid w:val="00086BCE"/>
    <w:rsid w:val="00086F36"/>
    <w:rsid w:val="00090168"/>
    <w:rsid w:val="00090C76"/>
    <w:rsid w:val="00091033"/>
    <w:rsid w:val="00091F10"/>
    <w:rsid w:val="0009302B"/>
    <w:rsid w:val="00093EC2"/>
    <w:rsid w:val="000941FF"/>
    <w:rsid w:val="00094F94"/>
    <w:rsid w:val="000958A2"/>
    <w:rsid w:val="000965E7"/>
    <w:rsid w:val="000A0041"/>
    <w:rsid w:val="000A06FC"/>
    <w:rsid w:val="000A07BC"/>
    <w:rsid w:val="000A199F"/>
    <w:rsid w:val="000A1A02"/>
    <w:rsid w:val="000A1D74"/>
    <w:rsid w:val="000A2F83"/>
    <w:rsid w:val="000A4035"/>
    <w:rsid w:val="000A44C4"/>
    <w:rsid w:val="000A483A"/>
    <w:rsid w:val="000A55D2"/>
    <w:rsid w:val="000A64D3"/>
    <w:rsid w:val="000A77B9"/>
    <w:rsid w:val="000A7EA7"/>
    <w:rsid w:val="000B0403"/>
    <w:rsid w:val="000B057B"/>
    <w:rsid w:val="000B06E7"/>
    <w:rsid w:val="000B0C94"/>
    <w:rsid w:val="000B15E5"/>
    <w:rsid w:val="000B2382"/>
    <w:rsid w:val="000B3171"/>
    <w:rsid w:val="000B34A5"/>
    <w:rsid w:val="000B4746"/>
    <w:rsid w:val="000B7966"/>
    <w:rsid w:val="000B7CB1"/>
    <w:rsid w:val="000C0AE6"/>
    <w:rsid w:val="000C0D0D"/>
    <w:rsid w:val="000C2555"/>
    <w:rsid w:val="000C3545"/>
    <w:rsid w:val="000C3CB2"/>
    <w:rsid w:val="000C3D56"/>
    <w:rsid w:val="000C4014"/>
    <w:rsid w:val="000C498A"/>
    <w:rsid w:val="000C4C16"/>
    <w:rsid w:val="000C56FC"/>
    <w:rsid w:val="000C6047"/>
    <w:rsid w:val="000C7339"/>
    <w:rsid w:val="000C7907"/>
    <w:rsid w:val="000C7A11"/>
    <w:rsid w:val="000C7F5E"/>
    <w:rsid w:val="000D00AC"/>
    <w:rsid w:val="000D0AED"/>
    <w:rsid w:val="000D3602"/>
    <w:rsid w:val="000D3FCD"/>
    <w:rsid w:val="000D4D89"/>
    <w:rsid w:val="000D6BBD"/>
    <w:rsid w:val="000D7751"/>
    <w:rsid w:val="000D7C23"/>
    <w:rsid w:val="000E0A16"/>
    <w:rsid w:val="000E0A45"/>
    <w:rsid w:val="000E0DA6"/>
    <w:rsid w:val="000E1BFA"/>
    <w:rsid w:val="000E2142"/>
    <w:rsid w:val="000E21D0"/>
    <w:rsid w:val="000E2A38"/>
    <w:rsid w:val="000E2ACC"/>
    <w:rsid w:val="000E3F61"/>
    <w:rsid w:val="000E5509"/>
    <w:rsid w:val="000E585F"/>
    <w:rsid w:val="000E66F8"/>
    <w:rsid w:val="000E6765"/>
    <w:rsid w:val="000E6EFC"/>
    <w:rsid w:val="000F054F"/>
    <w:rsid w:val="000F079D"/>
    <w:rsid w:val="000F0D9D"/>
    <w:rsid w:val="000F17DD"/>
    <w:rsid w:val="000F1D56"/>
    <w:rsid w:val="000F2534"/>
    <w:rsid w:val="000F28D9"/>
    <w:rsid w:val="000F2978"/>
    <w:rsid w:val="000F2D43"/>
    <w:rsid w:val="000F2F9A"/>
    <w:rsid w:val="000F3256"/>
    <w:rsid w:val="000F3AA0"/>
    <w:rsid w:val="000F4AEB"/>
    <w:rsid w:val="000F4B40"/>
    <w:rsid w:val="000F4C3B"/>
    <w:rsid w:val="000F4E7B"/>
    <w:rsid w:val="000F57C3"/>
    <w:rsid w:val="000F5C37"/>
    <w:rsid w:val="000F5DF0"/>
    <w:rsid w:val="000F5FB1"/>
    <w:rsid w:val="000F6A0B"/>
    <w:rsid w:val="000F7695"/>
    <w:rsid w:val="000F7E61"/>
    <w:rsid w:val="001012E3"/>
    <w:rsid w:val="00101EEB"/>
    <w:rsid w:val="0010375A"/>
    <w:rsid w:val="00103879"/>
    <w:rsid w:val="001038ED"/>
    <w:rsid w:val="00103911"/>
    <w:rsid w:val="001042B0"/>
    <w:rsid w:val="00106F4F"/>
    <w:rsid w:val="001071D3"/>
    <w:rsid w:val="001075A8"/>
    <w:rsid w:val="00110259"/>
    <w:rsid w:val="00110AA9"/>
    <w:rsid w:val="0011254D"/>
    <w:rsid w:val="00113103"/>
    <w:rsid w:val="001139C2"/>
    <w:rsid w:val="00114559"/>
    <w:rsid w:val="00114EA9"/>
    <w:rsid w:val="00115CE0"/>
    <w:rsid w:val="00115ED0"/>
    <w:rsid w:val="0011624A"/>
    <w:rsid w:val="0011683C"/>
    <w:rsid w:val="001179E8"/>
    <w:rsid w:val="0012021B"/>
    <w:rsid w:val="0012222D"/>
    <w:rsid w:val="00123D75"/>
    <w:rsid w:val="00123DB8"/>
    <w:rsid w:val="001255E6"/>
    <w:rsid w:val="00125FF0"/>
    <w:rsid w:val="0013053A"/>
    <w:rsid w:val="0013066A"/>
    <w:rsid w:val="001315EF"/>
    <w:rsid w:val="00131F39"/>
    <w:rsid w:val="00132375"/>
    <w:rsid w:val="001325D6"/>
    <w:rsid w:val="00132E73"/>
    <w:rsid w:val="00133025"/>
    <w:rsid w:val="00133505"/>
    <w:rsid w:val="00134188"/>
    <w:rsid w:val="00136E05"/>
    <w:rsid w:val="00137403"/>
    <w:rsid w:val="00137E5D"/>
    <w:rsid w:val="00140706"/>
    <w:rsid w:val="0014122A"/>
    <w:rsid w:val="00141E85"/>
    <w:rsid w:val="00142988"/>
    <w:rsid w:val="0014319C"/>
    <w:rsid w:val="001436B3"/>
    <w:rsid w:val="00143976"/>
    <w:rsid w:val="00143DAC"/>
    <w:rsid w:val="00144622"/>
    <w:rsid w:val="00144781"/>
    <w:rsid w:val="00144917"/>
    <w:rsid w:val="001461E0"/>
    <w:rsid w:val="0014702D"/>
    <w:rsid w:val="00147596"/>
    <w:rsid w:val="001511B1"/>
    <w:rsid w:val="00152718"/>
    <w:rsid w:val="001530CF"/>
    <w:rsid w:val="00153F12"/>
    <w:rsid w:val="001543DB"/>
    <w:rsid w:val="00155473"/>
    <w:rsid w:val="00155DC2"/>
    <w:rsid w:val="00156465"/>
    <w:rsid w:val="00156D90"/>
    <w:rsid w:val="00156E9F"/>
    <w:rsid w:val="00157A57"/>
    <w:rsid w:val="00157DB6"/>
    <w:rsid w:val="00157EC2"/>
    <w:rsid w:val="00162A68"/>
    <w:rsid w:val="00162E08"/>
    <w:rsid w:val="001633F1"/>
    <w:rsid w:val="0016360E"/>
    <w:rsid w:val="00163669"/>
    <w:rsid w:val="00164CE0"/>
    <w:rsid w:val="0016531E"/>
    <w:rsid w:val="0016565C"/>
    <w:rsid w:val="00166314"/>
    <w:rsid w:val="00166746"/>
    <w:rsid w:val="00167590"/>
    <w:rsid w:val="00167918"/>
    <w:rsid w:val="00167C1E"/>
    <w:rsid w:val="00167DE7"/>
    <w:rsid w:val="0017043B"/>
    <w:rsid w:val="00170636"/>
    <w:rsid w:val="001706A1"/>
    <w:rsid w:val="00170914"/>
    <w:rsid w:val="00170DF2"/>
    <w:rsid w:val="00174841"/>
    <w:rsid w:val="001760D7"/>
    <w:rsid w:val="001761FD"/>
    <w:rsid w:val="00177D61"/>
    <w:rsid w:val="00180125"/>
    <w:rsid w:val="001808CA"/>
    <w:rsid w:val="00180923"/>
    <w:rsid w:val="00180CE5"/>
    <w:rsid w:val="00181886"/>
    <w:rsid w:val="00181BAA"/>
    <w:rsid w:val="00181D2D"/>
    <w:rsid w:val="00181FA1"/>
    <w:rsid w:val="0018210A"/>
    <w:rsid w:val="001824DF"/>
    <w:rsid w:val="00182DE0"/>
    <w:rsid w:val="0018386C"/>
    <w:rsid w:val="00184479"/>
    <w:rsid w:val="0018472C"/>
    <w:rsid w:val="00184838"/>
    <w:rsid w:val="00185755"/>
    <w:rsid w:val="00187398"/>
    <w:rsid w:val="00187F73"/>
    <w:rsid w:val="00187FB0"/>
    <w:rsid w:val="001902E9"/>
    <w:rsid w:val="00190327"/>
    <w:rsid w:val="00190A0A"/>
    <w:rsid w:val="00190DA5"/>
    <w:rsid w:val="00191157"/>
    <w:rsid w:val="001926F2"/>
    <w:rsid w:val="00193BCE"/>
    <w:rsid w:val="00194B87"/>
    <w:rsid w:val="0019569A"/>
    <w:rsid w:val="00195962"/>
    <w:rsid w:val="00197533"/>
    <w:rsid w:val="001977E7"/>
    <w:rsid w:val="001977EB"/>
    <w:rsid w:val="00197CCA"/>
    <w:rsid w:val="001A0D8A"/>
    <w:rsid w:val="001A192D"/>
    <w:rsid w:val="001A52A0"/>
    <w:rsid w:val="001A59C2"/>
    <w:rsid w:val="001A5E4C"/>
    <w:rsid w:val="001A6ACB"/>
    <w:rsid w:val="001A7C72"/>
    <w:rsid w:val="001B084B"/>
    <w:rsid w:val="001B0CEC"/>
    <w:rsid w:val="001B0EC0"/>
    <w:rsid w:val="001B0FFC"/>
    <w:rsid w:val="001B1CF2"/>
    <w:rsid w:val="001B1D2E"/>
    <w:rsid w:val="001B38AD"/>
    <w:rsid w:val="001B3CF8"/>
    <w:rsid w:val="001B4388"/>
    <w:rsid w:val="001B463E"/>
    <w:rsid w:val="001B49E0"/>
    <w:rsid w:val="001B4A6F"/>
    <w:rsid w:val="001B5009"/>
    <w:rsid w:val="001B5066"/>
    <w:rsid w:val="001B5377"/>
    <w:rsid w:val="001B6553"/>
    <w:rsid w:val="001B6647"/>
    <w:rsid w:val="001B6A47"/>
    <w:rsid w:val="001B6B0A"/>
    <w:rsid w:val="001B6C3C"/>
    <w:rsid w:val="001C0824"/>
    <w:rsid w:val="001C0B83"/>
    <w:rsid w:val="001C1510"/>
    <w:rsid w:val="001C1989"/>
    <w:rsid w:val="001C28FD"/>
    <w:rsid w:val="001C3349"/>
    <w:rsid w:val="001C4ABA"/>
    <w:rsid w:val="001C546B"/>
    <w:rsid w:val="001C5EA2"/>
    <w:rsid w:val="001C6159"/>
    <w:rsid w:val="001C6608"/>
    <w:rsid w:val="001C6C7D"/>
    <w:rsid w:val="001C6FCF"/>
    <w:rsid w:val="001C7BA4"/>
    <w:rsid w:val="001D123A"/>
    <w:rsid w:val="001D1CB1"/>
    <w:rsid w:val="001D2AC0"/>
    <w:rsid w:val="001D2DBA"/>
    <w:rsid w:val="001D2FD0"/>
    <w:rsid w:val="001D3830"/>
    <w:rsid w:val="001D3BA6"/>
    <w:rsid w:val="001D5564"/>
    <w:rsid w:val="001D6FAA"/>
    <w:rsid w:val="001D70FA"/>
    <w:rsid w:val="001D7630"/>
    <w:rsid w:val="001D7BA9"/>
    <w:rsid w:val="001E039D"/>
    <w:rsid w:val="001E22E7"/>
    <w:rsid w:val="001E2714"/>
    <w:rsid w:val="001E398C"/>
    <w:rsid w:val="001E3EA5"/>
    <w:rsid w:val="001E4456"/>
    <w:rsid w:val="001E4899"/>
    <w:rsid w:val="001E4950"/>
    <w:rsid w:val="001E4DDC"/>
    <w:rsid w:val="001E661C"/>
    <w:rsid w:val="001E774F"/>
    <w:rsid w:val="001E7C1D"/>
    <w:rsid w:val="001E7E13"/>
    <w:rsid w:val="001F073F"/>
    <w:rsid w:val="001F20D3"/>
    <w:rsid w:val="001F2C77"/>
    <w:rsid w:val="001F3009"/>
    <w:rsid w:val="001F3358"/>
    <w:rsid w:val="001F35CB"/>
    <w:rsid w:val="001F390F"/>
    <w:rsid w:val="001F51F4"/>
    <w:rsid w:val="001F5CD1"/>
    <w:rsid w:val="001F7257"/>
    <w:rsid w:val="001F7739"/>
    <w:rsid w:val="001F79CD"/>
    <w:rsid w:val="0020011B"/>
    <w:rsid w:val="0020026B"/>
    <w:rsid w:val="00201045"/>
    <w:rsid w:val="0020187E"/>
    <w:rsid w:val="00201DC6"/>
    <w:rsid w:val="00202375"/>
    <w:rsid w:val="002025EA"/>
    <w:rsid w:val="00202884"/>
    <w:rsid w:val="00202E44"/>
    <w:rsid w:val="00203556"/>
    <w:rsid w:val="00204371"/>
    <w:rsid w:val="00204D0F"/>
    <w:rsid w:val="00204DB6"/>
    <w:rsid w:val="002056ED"/>
    <w:rsid w:val="00205C3A"/>
    <w:rsid w:val="00211793"/>
    <w:rsid w:val="00211C11"/>
    <w:rsid w:val="00212345"/>
    <w:rsid w:val="00213908"/>
    <w:rsid w:val="00214809"/>
    <w:rsid w:val="002149A1"/>
    <w:rsid w:val="00214E7A"/>
    <w:rsid w:val="00215BFE"/>
    <w:rsid w:val="00215C44"/>
    <w:rsid w:val="00216E73"/>
    <w:rsid w:val="0021774C"/>
    <w:rsid w:val="00217CF6"/>
    <w:rsid w:val="00217FF6"/>
    <w:rsid w:val="002202D6"/>
    <w:rsid w:val="00221628"/>
    <w:rsid w:val="00221C54"/>
    <w:rsid w:val="00222386"/>
    <w:rsid w:val="00222AB2"/>
    <w:rsid w:val="00222F51"/>
    <w:rsid w:val="00222F96"/>
    <w:rsid w:val="002230E1"/>
    <w:rsid w:val="00223361"/>
    <w:rsid w:val="00223807"/>
    <w:rsid w:val="002244BA"/>
    <w:rsid w:val="002247AA"/>
    <w:rsid w:val="00224DA7"/>
    <w:rsid w:val="002261CB"/>
    <w:rsid w:val="002268BF"/>
    <w:rsid w:val="00227BDE"/>
    <w:rsid w:val="00230045"/>
    <w:rsid w:val="0023012E"/>
    <w:rsid w:val="0023014E"/>
    <w:rsid w:val="002308FA"/>
    <w:rsid w:val="0023132F"/>
    <w:rsid w:val="00231AA5"/>
    <w:rsid w:val="00232F90"/>
    <w:rsid w:val="0023339B"/>
    <w:rsid w:val="00234365"/>
    <w:rsid w:val="0023469C"/>
    <w:rsid w:val="00234C71"/>
    <w:rsid w:val="00235511"/>
    <w:rsid w:val="00235F46"/>
    <w:rsid w:val="002366E0"/>
    <w:rsid w:val="00236DE1"/>
    <w:rsid w:val="002372EE"/>
    <w:rsid w:val="002372FD"/>
    <w:rsid w:val="0023764D"/>
    <w:rsid w:val="0024063D"/>
    <w:rsid w:val="002415BC"/>
    <w:rsid w:val="00241C8E"/>
    <w:rsid w:val="00241C98"/>
    <w:rsid w:val="002434B2"/>
    <w:rsid w:val="00243E45"/>
    <w:rsid w:val="002442F4"/>
    <w:rsid w:val="002445EA"/>
    <w:rsid w:val="00244ECE"/>
    <w:rsid w:val="00244FC5"/>
    <w:rsid w:val="00245D1D"/>
    <w:rsid w:val="00247548"/>
    <w:rsid w:val="00250EDA"/>
    <w:rsid w:val="00251502"/>
    <w:rsid w:val="002518E8"/>
    <w:rsid w:val="00251C10"/>
    <w:rsid w:val="00252E1E"/>
    <w:rsid w:val="002538BA"/>
    <w:rsid w:val="0025469D"/>
    <w:rsid w:val="00254E1E"/>
    <w:rsid w:val="002552B1"/>
    <w:rsid w:val="00255D01"/>
    <w:rsid w:val="00256E55"/>
    <w:rsid w:val="00257E0E"/>
    <w:rsid w:val="00257FF4"/>
    <w:rsid w:val="00260FCB"/>
    <w:rsid w:val="002615F5"/>
    <w:rsid w:val="002616B9"/>
    <w:rsid w:val="0026217B"/>
    <w:rsid w:val="002629E4"/>
    <w:rsid w:val="00262C4F"/>
    <w:rsid w:val="00263FE3"/>
    <w:rsid w:val="00265593"/>
    <w:rsid w:val="002658FC"/>
    <w:rsid w:val="002675EA"/>
    <w:rsid w:val="0026760C"/>
    <w:rsid w:val="002676F7"/>
    <w:rsid w:val="00267BC5"/>
    <w:rsid w:val="00267CBE"/>
    <w:rsid w:val="00267E0B"/>
    <w:rsid w:val="00267EF5"/>
    <w:rsid w:val="00270680"/>
    <w:rsid w:val="00271103"/>
    <w:rsid w:val="002721FA"/>
    <w:rsid w:val="0027230C"/>
    <w:rsid w:val="00272B99"/>
    <w:rsid w:val="00272BF7"/>
    <w:rsid w:val="0027380D"/>
    <w:rsid w:val="0027468E"/>
    <w:rsid w:val="00274826"/>
    <w:rsid w:val="00275005"/>
    <w:rsid w:val="002752AB"/>
    <w:rsid w:val="002756D6"/>
    <w:rsid w:val="0027573C"/>
    <w:rsid w:val="002806D0"/>
    <w:rsid w:val="002815D0"/>
    <w:rsid w:val="002820A7"/>
    <w:rsid w:val="00283431"/>
    <w:rsid w:val="00283B82"/>
    <w:rsid w:val="00283E13"/>
    <w:rsid w:val="00285A39"/>
    <w:rsid w:val="00286478"/>
    <w:rsid w:val="00287EDD"/>
    <w:rsid w:val="00291321"/>
    <w:rsid w:val="0029141B"/>
    <w:rsid w:val="002927D3"/>
    <w:rsid w:val="00292AA9"/>
    <w:rsid w:val="00293146"/>
    <w:rsid w:val="002939CE"/>
    <w:rsid w:val="00294BDE"/>
    <w:rsid w:val="00295DB6"/>
    <w:rsid w:val="00296031"/>
    <w:rsid w:val="0029788B"/>
    <w:rsid w:val="00297D1B"/>
    <w:rsid w:val="00297F4D"/>
    <w:rsid w:val="002A0226"/>
    <w:rsid w:val="002A0661"/>
    <w:rsid w:val="002A1CF2"/>
    <w:rsid w:val="002A2ED0"/>
    <w:rsid w:val="002A3A84"/>
    <w:rsid w:val="002A4C3E"/>
    <w:rsid w:val="002A56BC"/>
    <w:rsid w:val="002A5C53"/>
    <w:rsid w:val="002A6AD6"/>
    <w:rsid w:val="002A72CC"/>
    <w:rsid w:val="002A76AB"/>
    <w:rsid w:val="002A7A4F"/>
    <w:rsid w:val="002A7AFE"/>
    <w:rsid w:val="002B01DB"/>
    <w:rsid w:val="002B09C0"/>
    <w:rsid w:val="002B13B3"/>
    <w:rsid w:val="002B183D"/>
    <w:rsid w:val="002B1DBF"/>
    <w:rsid w:val="002B207F"/>
    <w:rsid w:val="002B2A48"/>
    <w:rsid w:val="002B2BEE"/>
    <w:rsid w:val="002B31AD"/>
    <w:rsid w:val="002B3EA7"/>
    <w:rsid w:val="002B4BAE"/>
    <w:rsid w:val="002B50AD"/>
    <w:rsid w:val="002B538B"/>
    <w:rsid w:val="002B581B"/>
    <w:rsid w:val="002B5EE1"/>
    <w:rsid w:val="002B7DB0"/>
    <w:rsid w:val="002C2892"/>
    <w:rsid w:val="002C58AB"/>
    <w:rsid w:val="002C6D84"/>
    <w:rsid w:val="002C7D21"/>
    <w:rsid w:val="002D1564"/>
    <w:rsid w:val="002D1CA4"/>
    <w:rsid w:val="002D1E29"/>
    <w:rsid w:val="002D2C09"/>
    <w:rsid w:val="002D2C45"/>
    <w:rsid w:val="002D2F8D"/>
    <w:rsid w:val="002D3C51"/>
    <w:rsid w:val="002D472C"/>
    <w:rsid w:val="002D4969"/>
    <w:rsid w:val="002D4EE1"/>
    <w:rsid w:val="002D4F49"/>
    <w:rsid w:val="002D778E"/>
    <w:rsid w:val="002E04D7"/>
    <w:rsid w:val="002E06DD"/>
    <w:rsid w:val="002E171A"/>
    <w:rsid w:val="002E1D7D"/>
    <w:rsid w:val="002E2A24"/>
    <w:rsid w:val="002E2E68"/>
    <w:rsid w:val="002E3D66"/>
    <w:rsid w:val="002E3F11"/>
    <w:rsid w:val="002E4B11"/>
    <w:rsid w:val="002E4F70"/>
    <w:rsid w:val="002E5886"/>
    <w:rsid w:val="002E5AD3"/>
    <w:rsid w:val="002E635D"/>
    <w:rsid w:val="002E748E"/>
    <w:rsid w:val="002E7562"/>
    <w:rsid w:val="002F071F"/>
    <w:rsid w:val="002F16D5"/>
    <w:rsid w:val="002F1A90"/>
    <w:rsid w:val="002F1C2F"/>
    <w:rsid w:val="002F3238"/>
    <w:rsid w:val="002F351E"/>
    <w:rsid w:val="002F3D1C"/>
    <w:rsid w:val="002F4EA1"/>
    <w:rsid w:val="002F52DE"/>
    <w:rsid w:val="002F55C1"/>
    <w:rsid w:val="002F66CB"/>
    <w:rsid w:val="002F797A"/>
    <w:rsid w:val="00300483"/>
    <w:rsid w:val="00301C91"/>
    <w:rsid w:val="00303F2B"/>
    <w:rsid w:val="00304607"/>
    <w:rsid w:val="0030467A"/>
    <w:rsid w:val="00304BCF"/>
    <w:rsid w:val="00304D4E"/>
    <w:rsid w:val="00304FFD"/>
    <w:rsid w:val="00305608"/>
    <w:rsid w:val="00305B72"/>
    <w:rsid w:val="0030610A"/>
    <w:rsid w:val="00306627"/>
    <w:rsid w:val="003069DD"/>
    <w:rsid w:val="00306CAB"/>
    <w:rsid w:val="00310A44"/>
    <w:rsid w:val="0031146F"/>
    <w:rsid w:val="00311795"/>
    <w:rsid w:val="003117B1"/>
    <w:rsid w:val="00311B70"/>
    <w:rsid w:val="00311CBE"/>
    <w:rsid w:val="00312280"/>
    <w:rsid w:val="00312CD0"/>
    <w:rsid w:val="003141CF"/>
    <w:rsid w:val="0031449F"/>
    <w:rsid w:val="003145A5"/>
    <w:rsid w:val="003148B9"/>
    <w:rsid w:val="00314A2E"/>
    <w:rsid w:val="00315266"/>
    <w:rsid w:val="0031693B"/>
    <w:rsid w:val="003169CE"/>
    <w:rsid w:val="00316CB0"/>
    <w:rsid w:val="00316F0A"/>
    <w:rsid w:val="00317DC7"/>
    <w:rsid w:val="003200F9"/>
    <w:rsid w:val="00320F38"/>
    <w:rsid w:val="00321100"/>
    <w:rsid w:val="00321183"/>
    <w:rsid w:val="00321694"/>
    <w:rsid w:val="00321F0A"/>
    <w:rsid w:val="003223CE"/>
    <w:rsid w:val="00322911"/>
    <w:rsid w:val="00322A2D"/>
    <w:rsid w:val="00322E80"/>
    <w:rsid w:val="00324357"/>
    <w:rsid w:val="00324AB7"/>
    <w:rsid w:val="00324D5B"/>
    <w:rsid w:val="00325045"/>
    <w:rsid w:val="00325D91"/>
    <w:rsid w:val="003267B4"/>
    <w:rsid w:val="00330E6D"/>
    <w:rsid w:val="00331193"/>
    <w:rsid w:val="00331E38"/>
    <w:rsid w:val="00332467"/>
    <w:rsid w:val="003333D4"/>
    <w:rsid w:val="00334951"/>
    <w:rsid w:val="00336411"/>
    <w:rsid w:val="0033678D"/>
    <w:rsid w:val="0033720D"/>
    <w:rsid w:val="003373E8"/>
    <w:rsid w:val="003411C7"/>
    <w:rsid w:val="00343E66"/>
    <w:rsid w:val="003443DD"/>
    <w:rsid w:val="00344D5A"/>
    <w:rsid w:val="00345DE9"/>
    <w:rsid w:val="00346EB6"/>
    <w:rsid w:val="00347CE7"/>
    <w:rsid w:val="00347EDB"/>
    <w:rsid w:val="0035003F"/>
    <w:rsid w:val="00350797"/>
    <w:rsid w:val="003507CF"/>
    <w:rsid w:val="00351A85"/>
    <w:rsid w:val="003522E8"/>
    <w:rsid w:val="00353989"/>
    <w:rsid w:val="00353ACC"/>
    <w:rsid w:val="003544A8"/>
    <w:rsid w:val="00355B7A"/>
    <w:rsid w:val="0035617C"/>
    <w:rsid w:val="00356E7E"/>
    <w:rsid w:val="00356EB8"/>
    <w:rsid w:val="003570A5"/>
    <w:rsid w:val="00357B83"/>
    <w:rsid w:val="003614A8"/>
    <w:rsid w:val="0036160E"/>
    <w:rsid w:val="00361B3E"/>
    <w:rsid w:val="00361FDF"/>
    <w:rsid w:val="00362610"/>
    <w:rsid w:val="0036347F"/>
    <w:rsid w:val="00363830"/>
    <w:rsid w:val="00363D2D"/>
    <w:rsid w:val="003642AE"/>
    <w:rsid w:val="00364BB6"/>
    <w:rsid w:val="00364D6B"/>
    <w:rsid w:val="00365408"/>
    <w:rsid w:val="00365CC0"/>
    <w:rsid w:val="003668DF"/>
    <w:rsid w:val="00366E0F"/>
    <w:rsid w:val="003675C6"/>
    <w:rsid w:val="00367688"/>
    <w:rsid w:val="003715A0"/>
    <w:rsid w:val="00372221"/>
    <w:rsid w:val="00372CF2"/>
    <w:rsid w:val="00374C7E"/>
    <w:rsid w:val="003770A6"/>
    <w:rsid w:val="00377353"/>
    <w:rsid w:val="0037736B"/>
    <w:rsid w:val="00377599"/>
    <w:rsid w:val="00381F57"/>
    <w:rsid w:val="0038216E"/>
    <w:rsid w:val="003822E5"/>
    <w:rsid w:val="003830B8"/>
    <w:rsid w:val="003831CF"/>
    <w:rsid w:val="00383262"/>
    <w:rsid w:val="00390215"/>
    <w:rsid w:val="0039066C"/>
    <w:rsid w:val="00391385"/>
    <w:rsid w:val="0039153A"/>
    <w:rsid w:val="00394ABB"/>
    <w:rsid w:val="003A157A"/>
    <w:rsid w:val="003A283F"/>
    <w:rsid w:val="003A2A16"/>
    <w:rsid w:val="003A2FDD"/>
    <w:rsid w:val="003A3C43"/>
    <w:rsid w:val="003A40FF"/>
    <w:rsid w:val="003A5CCC"/>
    <w:rsid w:val="003A70FF"/>
    <w:rsid w:val="003A74D2"/>
    <w:rsid w:val="003A756B"/>
    <w:rsid w:val="003A7841"/>
    <w:rsid w:val="003A7902"/>
    <w:rsid w:val="003A7C13"/>
    <w:rsid w:val="003B04E1"/>
    <w:rsid w:val="003B23D7"/>
    <w:rsid w:val="003B34CB"/>
    <w:rsid w:val="003B3AB4"/>
    <w:rsid w:val="003B3CA8"/>
    <w:rsid w:val="003B45D5"/>
    <w:rsid w:val="003B52FE"/>
    <w:rsid w:val="003B572A"/>
    <w:rsid w:val="003B6325"/>
    <w:rsid w:val="003B71E0"/>
    <w:rsid w:val="003B78A4"/>
    <w:rsid w:val="003C138A"/>
    <w:rsid w:val="003C144E"/>
    <w:rsid w:val="003C1A07"/>
    <w:rsid w:val="003C1E74"/>
    <w:rsid w:val="003C20A2"/>
    <w:rsid w:val="003C266A"/>
    <w:rsid w:val="003C2673"/>
    <w:rsid w:val="003C27A2"/>
    <w:rsid w:val="003C567C"/>
    <w:rsid w:val="003C59B8"/>
    <w:rsid w:val="003C6809"/>
    <w:rsid w:val="003C6AC1"/>
    <w:rsid w:val="003C6CF7"/>
    <w:rsid w:val="003C7847"/>
    <w:rsid w:val="003C7897"/>
    <w:rsid w:val="003D0937"/>
    <w:rsid w:val="003D17E6"/>
    <w:rsid w:val="003D1A20"/>
    <w:rsid w:val="003D1AC9"/>
    <w:rsid w:val="003D2AC9"/>
    <w:rsid w:val="003D2CD8"/>
    <w:rsid w:val="003D3724"/>
    <w:rsid w:val="003D4377"/>
    <w:rsid w:val="003D46A7"/>
    <w:rsid w:val="003D6376"/>
    <w:rsid w:val="003E1235"/>
    <w:rsid w:val="003E2A35"/>
    <w:rsid w:val="003E2B56"/>
    <w:rsid w:val="003E2CE1"/>
    <w:rsid w:val="003E2DCB"/>
    <w:rsid w:val="003E4C3F"/>
    <w:rsid w:val="003E4D7C"/>
    <w:rsid w:val="003E5BFA"/>
    <w:rsid w:val="003E5FA8"/>
    <w:rsid w:val="003E6252"/>
    <w:rsid w:val="003F0328"/>
    <w:rsid w:val="003F1200"/>
    <w:rsid w:val="003F1421"/>
    <w:rsid w:val="003F1844"/>
    <w:rsid w:val="003F241E"/>
    <w:rsid w:val="003F28C0"/>
    <w:rsid w:val="003F52B2"/>
    <w:rsid w:val="003F6A93"/>
    <w:rsid w:val="003F716E"/>
    <w:rsid w:val="00400061"/>
    <w:rsid w:val="0040068A"/>
    <w:rsid w:val="00400813"/>
    <w:rsid w:val="004013AD"/>
    <w:rsid w:val="00402215"/>
    <w:rsid w:val="0040253F"/>
    <w:rsid w:val="00402AB5"/>
    <w:rsid w:val="00402C35"/>
    <w:rsid w:val="0040405B"/>
    <w:rsid w:val="00404195"/>
    <w:rsid w:val="00404211"/>
    <w:rsid w:val="004042A4"/>
    <w:rsid w:val="00404346"/>
    <w:rsid w:val="004043F3"/>
    <w:rsid w:val="00404DAA"/>
    <w:rsid w:val="00404DDD"/>
    <w:rsid w:val="0040578B"/>
    <w:rsid w:val="004065D6"/>
    <w:rsid w:val="0040687D"/>
    <w:rsid w:val="0040709D"/>
    <w:rsid w:val="0040713F"/>
    <w:rsid w:val="004075A3"/>
    <w:rsid w:val="004077A4"/>
    <w:rsid w:val="00410AE3"/>
    <w:rsid w:val="00410C48"/>
    <w:rsid w:val="00413430"/>
    <w:rsid w:val="00413C2E"/>
    <w:rsid w:val="00415DCF"/>
    <w:rsid w:val="00416277"/>
    <w:rsid w:val="00416E24"/>
    <w:rsid w:val="0042063D"/>
    <w:rsid w:val="00422B23"/>
    <w:rsid w:val="00423A60"/>
    <w:rsid w:val="0042651C"/>
    <w:rsid w:val="00426E9B"/>
    <w:rsid w:val="00427D55"/>
    <w:rsid w:val="004322E4"/>
    <w:rsid w:val="0043233C"/>
    <w:rsid w:val="004345A6"/>
    <w:rsid w:val="00435B2F"/>
    <w:rsid w:val="00435E03"/>
    <w:rsid w:val="0043633B"/>
    <w:rsid w:val="004373E1"/>
    <w:rsid w:val="004374A3"/>
    <w:rsid w:val="00437A7E"/>
    <w:rsid w:val="00437B6C"/>
    <w:rsid w:val="00440144"/>
    <w:rsid w:val="0044064E"/>
    <w:rsid w:val="00440805"/>
    <w:rsid w:val="004412E1"/>
    <w:rsid w:val="00441554"/>
    <w:rsid w:val="00441A13"/>
    <w:rsid w:val="004426E3"/>
    <w:rsid w:val="00442E48"/>
    <w:rsid w:val="00443DCD"/>
    <w:rsid w:val="00443E7E"/>
    <w:rsid w:val="00444C06"/>
    <w:rsid w:val="004454DF"/>
    <w:rsid w:val="0044645B"/>
    <w:rsid w:val="00446804"/>
    <w:rsid w:val="00447152"/>
    <w:rsid w:val="004478D4"/>
    <w:rsid w:val="00450380"/>
    <w:rsid w:val="004505C6"/>
    <w:rsid w:val="00450603"/>
    <w:rsid w:val="00450BAD"/>
    <w:rsid w:val="004520CD"/>
    <w:rsid w:val="00452366"/>
    <w:rsid w:val="004526B8"/>
    <w:rsid w:val="00452DF3"/>
    <w:rsid w:val="004534F5"/>
    <w:rsid w:val="004536FC"/>
    <w:rsid w:val="00453765"/>
    <w:rsid w:val="00454DF4"/>
    <w:rsid w:val="00454EC3"/>
    <w:rsid w:val="0045530A"/>
    <w:rsid w:val="004554AE"/>
    <w:rsid w:val="004554C3"/>
    <w:rsid w:val="00455FB6"/>
    <w:rsid w:val="00456ECA"/>
    <w:rsid w:val="00457197"/>
    <w:rsid w:val="00457555"/>
    <w:rsid w:val="00457971"/>
    <w:rsid w:val="00457DD8"/>
    <w:rsid w:val="004603D0"/>
    <w:rsid w:val="004624AE"/>
    <w:rsid w:val="0046250E"/>
    <w:rsid w:val="00462E9C"/>
    <w:rsid w:val="00464B48"/>
    <w:rsid w:val="00465231"/>
    <w:rsid w:val="004654CA"/>
    <w:rsid w:val="004662AD"/>
    <w:rsid w:val="00466516"/>
    <w:rsid w:val="00467B65"/>
    <w:rsid w:val="00471501"/>
    <w:rsid w:val="00471EA5"/>
    <w:rsid w:val="004720C9"/>
    <w:rsid w:val="00472257"/>
    <w:rsid w:val="00472D93"/>
    <w:rsid w:val="00472E49"/>
    <w:rsid w:val="004732BB"/>
    <w:rsid w:val="00474C60"/>
    <w:rsid w:val="00475944"/>
    <w:rsid w:val="00475DF0"/>
    <w:rsid w:val="00476525"/>
    <w:rsid w:val="004772E2"/>
    <w:rsid w:val="0047739F"/>
    <w:rsid w:val="00477F97"/>
    <w:rsid w:val="0048025F"/>
    <w:rsid w:val="00480A2D"/>
    <w:rsid w:val="00480AFB"/>
    <w:rsid w:val="00481247"/>
    <w:rsid w:val="004828DC"/>
    <w:rsid w:val="00482FF7"/>
    <w:rsid w:val="00483098"/>
    <w:rsid w:val="00483AFB"/>
    <w:rsid w:val="0048402B"/>
    <w:rsid w:val="0048414A"/>
    <w:rsid w:val="00485C56"/>
    <w:rsid w:val="00486B79"/>
    <w:rsid w:val="00486CA2"/>
    <w:rsid w:val="004906DF"/>
    <w:rsid w:val="00490B25"/>
    <w:rsid w:val="00490FD6"/>
    <w:rsid w:val="004911C4"/>
    <w:rsid w:val="0049163A"/>
    <w:rsid w:val="00491EC8"/>
    <w:rsid w:val="0049234E"/>
    <w:rsid w:val="004938A2"/>
    <w:rsid w:val="00494900"/>
    <w:rsid w:val="00494CC8"/>
    <w:rsid w:val="004955E7"/>
    <w:rsid w:val="0049589C"/>
    <w:rsid w:val="00495EF1"/>
    <w:rsid w:val="00496ED4"/>
    <w:rsid w:val="00497D4A"/>
    <w:rsid w:val="004A0441"/>
    <w:rsid w:val="004A0679"/>
    <w:rsid w:val="004A084C"/>
    <w:rsid w:val="004A15B3"/>
    <w:rsid w:val="004A1935"/>
    <w:rsid w:val="004A1D01"/>
    <w:rsid w:val="004A22AE"/>
    <w:rsid w:val="004A2A54"/>
    <w:rsid w:val="004A2EF3"/>
    <w:rsid w:val="004A3B0D"/>
    <w:rsid w:val="004A52F5"/>
    <w:rsid w:val="004A5D3A"/>
    <w:rsid w:val="004A6897"/>
    <w:rsid w:val="004A692B"/>
    <w:rsid w:val="004A6EB6"/>
    <w:rsid w:val="004A794C"/>
    <w:rsid w:val="004B256D"/>
    <w:rsid w:val="004B2949"/>
    <w:rsid w:val="004B3C3D"/>
    <w:rsid w:val="004B3EC7"/>
    <w:rsid w:val="004B5664"/>
    <w:rsid w:val="004B77DA"/>
    <w:rsid w:val="004C2107"/>
    <w:rsid w:val="004C51FF"/>
    <w:rsid w:val="004C5FC6"/>
    <w:rsid w:val="004C6435"/>
    <w:rsid w:val="004C649B"/>
    <w:rsid w:val="004C76DF"/>
    <w:rsid w:val="004C7B9C"/>
    <w:rsid w:val="004C7D55"/>
    <w:rsid w:val="004D089A"/>
    <w:rsid w:val="004D0C72"/>
    <w:rsid w:val="004D0D43"/>
    <w:rsid w:val="004D1CDB"/>
    <w:rsid w:val="004D2CD4"/>
    <w:rsid w:val="004D3184"/>
    <w:rsid w:val="004D3545"/>
    <w:rsid w:val="004D488C"/>
    <w:rsid w:val="004D5030"/>
    <w:rsid w:val="004D5510"/>
    <w:rsid w:val="004D6045"/>
    <w:rsid w:val="004D6FD5"/>
    <w:rsid w:val="004D7546"/>
    <w:rsid w:val="004D7EC5"/>
    <w:rsid w:val="004E02B0"/>
    <w:rsid w:val="004E0B29"/>
    <w:rsid w:val="004E0E11"/>
    <w:rsid w:val="004E0F08"/>
    <w:rsid w:val="004E1546"/>
    <w:rsid w:val="004E1626"/>
    <w:rsid w:val="004E1681"/>
    <w:rsid w:val="004E19DC"/>
    <w:rsid w:val="004E35E8"/>
    <w:rsid w:val="004E50F0"/>
    <w:rsid w:val="004E6A03"/>
    <w:rsid w:val="004F0070"/>
    <w:rsid w:val="004F0468"/>
    <w:rsid w:val="004F0C51"/>
    <w:rsid w:val="004F0C54"/>
    <w:rsid w:val="004F263C"/>
    <w:rsid w:val="004F289A"/>
    <w:rsid w:val="004F2BB1"/>
    <w:rsid w:val="004F2EC7"/>
    <w:rsid w:val="004F36F5"/>
    <w:rsid w:val="004F3774"/>
    <w:rsid w:val="004F3CE8"/>
    <w:rsid w:val="004F626B"/>
    <w:rsid w:val="004F6BFB"/>
    <w:rsid w:val="004F74D4"/>
    <w:rsid w:val="004F7E4A"/>
    <w:rsid w:val="0050147C"/>
    <w:rsid w:val="0050182B"/>
    <w:rsid w:val="005021EC"/>
    <w:rsid w:val="00502579"/>
    <w:rsid w:val="005029F7"/>
    <w:rsid w:val="00502B01"/>
    <w:rsid w:val="00503D4C"/>
    <w:rsid w:val="00504C0C"/>
    <w:rsid w:val="00504E48"/>
    <w:rsid w:val="005070FF"/>
    <w:rsid w:val="0050745F"/>
    <w:rsid w:val="00512BBC"/>
    <w:rsid w:val="00512D8D"/>
    <w:rsid w:val="005134FB"/>
    <w:rsid w:val="005135FD"/>
    <w:rsid w:val="0051366C"/>
    <w:rsid w:val="00514459"/>
    <w:rsid w:val="0051573E"/>
    <w:rsid w:val="0051643B"/>
    <w:rsid w:val="0051684F"/>
    <w:rsid w:val="00516A92"/>
    <w:rsid w:val="00516B9F"/>
    <w:rsid w:val="00517693"/>
    <w:rsid w:val="005205AB"/>
    <w:rsid w:val="00520610"/>
    <w:rsid w:val="00521025"/>
    <w:rsid w:val="005225C1"/>
    <w:rsid w:val="00523298"/>
    <w:rsid w:val="00523378"/>
    <w:rsid w:val="005233C0"/>
    <w:rsid w:val="00523BF1"/>
    <w:rsid w:val="0052550F"/>
    <w:rsid w:val="00526A97"/>
    <w:rsid w:val="00526B14"/>
    <w:rsid w:val="00526C0F"/>
    <w:rsid w:val="0052702A"/>
    <w:rsid w:val="005276CF"/>
    <w:rsid w:val="00530397"/>
    <w:rsid w:val="00530F73"/>
    <w:rsid w:val="00533B8E"/>
    <w:rsid w:val="005340EE"/>
    <w:rsid w:val="00535417"/>
    <w:rsid w:val="00535833"/>
    <w:rsid w:val="005365F1"/>
    <w:rsid w:val="00536D28"/>
    <w:rsid w:val="005372C5"/>
    <w:rsid w:val="00537A26"/>
    <w:rsid w:val="00540E47"/>
    <w:rsid w:val="00543283"/>
    <w:rsid w:val="0054364C"/>
    <w:rsid w:val="005440CB"/>
    <w:rsid w:val="00544F6E"/>
    <w:rsid w:val="00546747"/>
    <w:rsid w:val="00547510"/>
    <w:rsid w:val="00547ECC"/>
    <w:rsid w:val="00551D5A"/>
    <w:rsid w:val="00551EC3"/>
    <w:rsid w:val="0055212E"/>
    <w:rsid w:val="0055223F"/>
    <w:rsid w:val="00553418"/>
    <w:rsid w:val="00554A44"/>
    <w:rsid w:val="00554C53"/>
    <w:rsid w:val="00554F18"/>
    <w:rsid w:val="00555220"/>
    <w:rsid w:val="005555F0"/>
    <w:rsid w:val="00555739"/>
    <w:rsid w:val="005568BA"/>
    <w:rsid w:val="00556E75"/>
    <w:rsid w:val="0056069A"/>
    <w:rsid w:val="00560788"/>
    <w:rsid w:val="00560C3B"/>
    <w:rsid w:val="00561EA1"/>
    <w:rsid w:val="00562799"/>
    <w:rsid w:val="005638EB"/>
    <w:rsid w:val="00563986"/>
    <w:rsid w:val="00564804"/>
    <w:rsid w:val="00565598"/>
    <w:rsid w:val="00565B5A"/>
    <w:rsid w:val="005663BF"/>
    <w:rsid w:val="00566B13"/>
    <w:rsid w:val="0056758E"/>
    <w:rsid w:val="00567CAC"/>
    <w:rsid w:val="00567E8F"/>
    <w:rsid w:val="00567FD0"/>
    <w:rsid w:val="005702D6"/>
    <w:rsid w:val="00572588"/>
    <w:rsid w:val="00573A50"/>
    <w:rsid w:val="005746D2"/>
    <w:rsid w:val="00574E8A"/>
    <w:rsid w:val="005750B4"/>
    <w:rsid w:val="00575D4F"/>
    <w:rsid w:val="00575F84"/>
    <w:rsid w:val="00577775"/>
    <w:rsid w:val="0058121A"/>
    <w:rsid w:val="00581863"/>
    <w:rsid w:val="00581EA3"/>
    <w:rsid w:val="0058205A"/>
    <w:rsid w:val="0058260B"/>
    <w:rsid w:val="00583592"/>
    <w:rsid w:val="00584B46"/>
    <w:rsid w:val="00584D1E"/>
    <w:rsid w:val="00585C33"/>
    <w:rsid w:val="00586795"/>
    <w:rsid w:val="00586B82"/>
    <w:rsid w:val="00587E13"/>
    <w:rsid w:val="005914A3"/>
    <w:rsid w:val="005933AA"/>
    <w:rsid w:val="005940AA"/>
    <w:rsid w:val="00594614"/>
    <w:rsid w:val="00594C06"/>
    <w:rsid w:val="00594E10"/>
    <w:rsid w:val="00596306"/>
    <w:rsid w:val="00596487"/>
    <w:rsid w:val="005A0809"/>
    <w:rsid w:val="005A0B91"/>
    <w:rsid w:val="005A1494"/>
    <w:rsid w:val="005A2A60"/>
    <w:rsid w:val="005A3590"/>
    <w:rsid w:val="005A4A1C"/>
    <w:rsid w:val="005A5965"/>
    <w:rsid w:val="005A5BD8"/>
    <w:rsid w:val="005A6742"/>
    <w:rsid w:val="005A692A"/>
    <w:rsid w:val="005A6AB8"/>
    <w:rsid w:val="005B11C2"/>
    <w:rsid w:val="005B17CF"/>
    <w:rsid w:val="005B180A"/>
    <w:rsid w:val="005B1B9F"/>
    <w:rsid w:val="005B382C"/>
    <w:rsid w:val="005B3C11"/>
    <w:rsid w:val="005B40DA"/>
    <w:rsid w:val="005B4226"/>
    <w:rsid w:val="005B5AA4"/>
    <w:rsid w:val="005B656B"/>
    <w:rsid w:val="005B69EA"/>
    <w:rsid w:val="005B71B3"/>
    <w:rsid w:val="005B76A4"/>
    <w:rsid w:val="005C04A7"/>
    <w:rsid w:val="005C1607"/>
    <w:rsid w:val="005C17A4"/>
    <w:rsid w:val="005C23DD"/>
    <w:rsid w:val="005C24AD"/>
    <w:rsid w:val="005C27CC"/>
    <w:rsid w:val="005C370D"/>
    <w:rsid w:val="005C504E"/>
    <w:rsid w:val="005C6153"/>
    <w:rsid w:val="005C6405"/>
    <w:rsid w:val="005C68BF"/>
    <w:rsid w:val="005C78B0"/>
    <w:rsid w:val="005C7B95"/>
    <w:rsid w:val="005D01EB"/>
    <w:rsid w:val="005D0220"/>
    <w:rsid w:val="005D0902"/>
    <w:rsid w:val="005D0DFB"/>
    <w:rsid w:val="005D1112"/>
    <w:rsid w:val="005D1C85"/>
    <w:rsid w:val="005D237C"/>
    <w:rsid w:val="005D25E2"/>
    <w:rsid w:val="005D25FF"/>
    <w:rsid w:val="005D2632"/>
    <w:rsid w:val="005D38E0"/>
    <w:rsid w:val="005D3F32"/>
    <w:rsid w:val="005D4E3E"/>
    <w:rsid w:val="005D5080"/>
    <w:rsid w:val="005D67F7"/>
    <w:rsid w:val="005D7D7E"/>
    <w:rsid w:val="005E00B4"/>
    <w:rsid w:val="005E0B59"/>
    <w:rsid w:val="005E1105"/>
    <w:rsid w:val="005E162F"/>
    <w:rsid w:val="005E1B78"/>
    <w:rsid w:val="005E2C60"/>
    <w:rsid w:val="005E31F6"/>
    <w:rsid w:val="005E3244"/>
    <w:rsid w:val="005E3622"/>
    <w:rsid w:val="005E6046"/>
    <w:rsid w:val="005E60B3"/>
    <w:rsid w:val="005E676C"/>
    <w:rsid w:val="005E6981"/>
    <w:rsid w:val="005E6CB9"/>
    <w:rsid w:val="005E7EDC"/>
    <w:rsid w:val="005E7F14"/>
    <w:rsid w:val="005F0154"/>
    <w:rsid w:val="005F0176"/>
    <w:rsid w:val="005F021D"/>
    <w:rsid w:val="005F1BA0"/>
    <w:rsid w:val="005F1D60"/>
    <w:rsid w:val="005F1EAC"/>
    <w:rsid w:val="005F308F"/>
    <w:rsid w:val="005F4869"/>
    <w:rsid w:val="005F4BFD"/>
    <w:rsid w:val="005F5164"/>
    <w:rsid w:val="005F5748"/>
    <w:rsid w:val="005F5834"/>
    <w:rsid w:val="005F5E11"/>
    <w:rsid w:val="00600137"/>
    <w:rsid w:val="006003E5"/>
    <w:rsid w:val="00600E63"/>
    <w:rsid w:val="00601561"/>
    <w:rsid w:val="00601E55"/>
    <w:rsid w:val="00602037"/>
    <w:rsid w:val="006026EC"/>
    <w:rsid w:val="006029DD"/>
    <w:rsid w:val="00602C6A"/>
    <w:rsid w:val="00603912"/>
    <w:rsid w:val="00603AF5"/>
    <w:rsid w:val="0060493C"/>
    <w:rsid w:val="00605292"/>
    <w:rsid w:val="0060539A"/>
    <w:rsid w:val="00606C66"/>
    <w:rsid w:val="006100FB"/>
    <w:rsid w:val="00610145"/>
    <w:rsid w:val="00610D1F"/>
    <w:rsid w:val="006123C6"/>
    <w:rsid w:val="00612C02"/>
    <w:rsid w:val="00612CDD"/>
    <w:rsid w:val="0061547A"/>
    <w:rsid w:val="0061562E"/>
    <w:rsid w:val="00616D41"/>
    <w:rsid w:val="00617292"/>
    <w:rsid w:val="006200A9"/>
    <w:rsid w:val="00621DA8"/>
    <w:rsid w:val="00622206"/>
    <w:rsid w:val="00622225"/>
    <w:rsid w:val="00622D03"/>
    <w:rsid w:val="00622DCD"/>
    <w:rsid w:val="00622F57"/>
    <w:rsid w:val="00623DD5"/>
    <w:rsid w:val="00624269"/>
    <w:rsid w:val="00624A34"/>
    <w:rsid w:val="006254D8"/>
    <w:rsid w:val="0062568D"/>
    <w:rsid w:val="006256D3"/>
    <w:rsid w:val="006267F5"/>
    <w:rsid w:val="00627337"/>
    <w:rsid w:val="00630069"/>
    <w:rsid w:val="00630583"/>
    <w:rsid w:val="006308AE"/>
    <w:rsid w:val="00630D2E"/>
    <w:rsid w:val="00630D39"/>
    <w:rsid w:val="00631B39"/>
    <w:rsid w:val="00631E19"/>
    <w:rsid w:val="00633E76"/>
    <w:rsid w:val="00633EC9"/>
    <w:rsid w:val="006340F5"/>
    <w:rsid w:val="00634542"/>
    <w:rsid w:val="00635B82"/>
    <w:rsid w:val="00635E4D"/>
    <w:rsid w:val="0063620C"/>
    <w:rsid w:val="006362FD"/>
    <w:rsid w:val="00636C73"/>
    <w:rsid w:val="0063768F"/>
    <w:rsid w:val="006377AA"/>
    <w:rsid w:val="00637E18"/>
    <w:rsid w:val="0064032E"/>
    <w:rsid w:val="0064038D"/>
    <w:rsid w:val="00641A0B"/>
    <w:rsid w:val="00641D5A"/>
    <w:rsid w:val="00641E06"/>
    <w:rsid w:val="00643007"/>
    <w:rsid w:val="006431D0"/>
    <w:rsid w:val="006432C5"/>
    <w:rsid w:val="006436FA"/>
    <w:rsid w:val="00643852"/>
    <w:rsid w:val="00643C27"/>
    <w:rsid w:val="0064429C"/>
    <w:rsid w:val="0064499E"/>
    <w:rsid w:val="006455E7"/>
    <w:rsid w:val="00645758"/>
    <w:rsid w:val="006461A1"/>
    <w:rsid w:val="00646769"/>
    <w:rsid w:val="00647422"/>
    <w:rsid w:val="00647E6B"/>
    <w:rsid w:val="00650752"/>
    <w:rsid w:val="00650E84"/>
    <w:rsid w:val="0065198B"/>
    <w:rsid w:val="006525AF"/>
    <w:rsid w:val="0065266A"/>
    <w:rsid w:val="00653F9C"/>
    <w:rsid w:val="00655470"/>
    <w:rsid w:val="00655632"/>
    <w:rsid w:val="00656431"/>
    <w:rsid w:val="00656FEE"/>
    <w:rsid w:val="0065758F"/>
    <w:rsid w:val="00660897"/>
    <w:rsid w:val="00661028"/>
    <w:rsid w:val="006617BD"/>
    <w:rsid w:val="0066194D"/>
    <w:rsid w:val="00663E79"/>
    <w:rsid w:val="00664695"/>
    <w:rsid w:val="00664840"/>
    <w:rsid w:val="00664B44"/>
    <w:rsid w:val="006652BF"/>
    <w:rsid w:val="0066630C"/>
    <w:rsid w:val="00667BBD"/>
    <w:rsid w:val="00670D2E"/>
    <w:rsid w:val="00671149"/>
    <w:rsid w:val="00671615"/>
    <w:rsid w:val="00671741"/>
    <w:rsid w:val="00671766"/>
    <w:rsid w:val="00672914"/>
    <w:rsid w:val="00673FEE"/>
    <w:rsid w:val="006744C3"/>
    <w:rsid w:val="0067537F"/>
    <w:rsid w:val="00675E41"/>
    <w:rsid w:val="00676410"/>
    <w:rsid w:val="00676AAA"/>
    <w:rsid w:val="006800EB"/>
    <w:rsid w:val="00680509"/>
    <w:rsid w:val="006805CB"/>
    <w:rsid w:val="00681CC1"/>
    <w:rsid w:val="0068233B"/>
    <w:rsid w:val="00682E11"/>
    <w:rsid w:val="00683081"/>
    <w:rsid w:val="00684C95"/>
    <w:rsid w:val="006850D3"/>
    <w:rsid w:val="00685249"/>
    <w:rsid w:val="00685260"/>
    <w:rsid w:val="006856B9"/>
    <w:rsid w:val="00685BDE"/>
    <w:rsid w:val="00686085"/>
    <w:rsid w:val="00687C0D"/>
    <w:rsid w:val="0069070F"/>
    <w:rsid w:val="00691237"/>
    <w:rsid w:val="006920E6"/>
    <w:rsid w:val="00692555"/>
    <w:rsid w:val="00693A43"/>
    <w:rsid w:val="006955FE"/>
    <w:rsid w:val="006958BE"/>
    <w:rsid w:val="00696566"/>
    <w:rsid w:val="006966BA"/>
    <w:rsid w:val="0069722D"/>
    <w:rsid w:val="00697A80"/>
    <w:rsid w:val="00697BC2"/>
    <w:rsid w:val="00697FF5"/>
    <w:rsid w:val="006A0052"/>
    <w:rsid w:val="006A0A9E"/>
    <w:rsid w:val="006A1F1C"/>
    <w:rsid w:val="006A2AC5"/>
    <w:rsid w:val="006A3836"/>
    <w:rsid w:val="006A3DD3"/>
    <w:rsid w:val="006A4610"/>
    <w:rsid w:val="006A4625"/>
    <w:rsid w:val="006A47AE"/>
    <w:rsid w:val="006A5B5E"/>
    <w:rsid w:val="006A67CB"/>
    <w:rsid w:val="006A7376"/>
    <w:rsid w:val="006B02CD"/>
    <w:rsid w:val="006B0368"/>
    <w:rsid w:val="006B0D0A"/>
    <w:rsid w:val="006B0F6E"/>
    <w:rsid w:val="006B1D7B"/>
    <w:rsid w:val="006B27D4"/>
    <w:rsid w:val="006B2C9C"/>
    <w:rsid w:val="006B2FD9"/>
    <w:rsid w:val="006B48EB"/>
    <w:rsid w:val="006B4C00"/>
    <w:rsid w:val="006B4D2B"/>
    <w:rsid w:val="006B56FC"/>
    <w:rsid w:val="006B6DDA"/>
    <w:rsid w:val="006B73D9"/>
    <w:rsid w:val="006B7DF0"/>
    <w:rsid w:val="006B7E06"/>
    <w:rsid w:val="006B7E74"/>
    <w:rsid w:val="006C0D75"/>
    <w:rsid w:val="006C1BC0"/>
    <w:rsid w:val="006C1C48"/>
    <w:rsid w:val="006C27AA"/>
    <w:rsid w:val="006C3821"/>
    <w:rsid w:val="006C3C1D"/>
    <w:rsid w:val="006C41FF"/>
    <w:rsid w:val="006C472E"/>
    <w:rsid w:val="006C5145"/>
    <w:rsid w:val="006C65A8"/>
    <w:rsid w:val="006C6798"/>
    <w:rsid w:val="006D05AD"/>
    <w:rsid w:val="006D0EC1"/>
    <w:rsid w:val="006D16F8"/>
    <w:rsid w:val="006D1813"/>
    <w:rsid w:val="006D24A9"/>
    <w:rsid w:val="006D2AF3"/>
    <w:rsid w:val="006D2EAC"/>
    <w:rsid w:val="006D31DA"/>
    <w:rsid w:val="006D4D79"/>
    <w:rsid w:val="006D4FBD"/>
    <w:rsid w:val="006D55F5"/>
    <w:rsid w:val="006D5879"/>
    <w:rsid w:val="006D5D93"/>
    <w:rsid w:val="006D63FD"/>
    <w:rsid w:val="006D65B4"/>
    <w:rsid w:val="006D67ED"/>
    <w:rsid w:val="006D754A"/>
    <w:rsid w:val="006D7B9C"/>
    <w:rsid w:val="006E04C6"/>
    <w:rsid w:val="006E0A31"/>
    <w:rsid w:val="006E0A65"/>
    <w:rsid w:val="006E1B01"/>
    <w:rsid w:val="006E1BE8"/>
    <w:rsid w:val="006E3E3D"/>
    <w:rsid w:val="006E4056"/>
    <w:rsid w:val="006E4836"/>
    <w:rsid w:val="006E550D"/>
    <w:rsid w:val="006E5DDD"/>
    <w:rsid w:val="006E6315"/>
    <w:rsid w:val="006E7811"/>
    <w:rsid w:val="006F04DA"/>
    <w:rsid w:val="006F0557"/>
    <w:rsid w:val="006F05CD"/>
    <w:rsid w:val="006F0EA3"/>
    <w:rsid w:val="006F17B3"/>
    <w:rsid w:val="006F1B5D"/>
    <w:rsid w:val="006F212B"/>
    <w:rsid w:val="006F37F7"/>
    <w:rsid w:val="006F4560"/>
    <w:rsid w:val="006F4A61"/>
    <w:rsid w:val="006F4ADC"/>
    <w:rsid w:val="006F52B8"/>
    <w:rsid w:val="006F55CB"/>
    <w:rsid w:val="006F643D"/>
    <w:rsid w:val="006F675C"/>
    <w:rsid w:val="006F6D13"/>
    <w:rsid w:val="006F7759"/>
    <w:rsid w:val="006F7D95"/>
    <w:rsid w:val="0070062F"/>
    <w:rsid w:val="00700D41"/>
    <w:rsid w:val="00700E9D"/>
    <w:rsid w:val="00701B21"/>
    <w:rsid w:val="00702384"/>
    <w:rsid w:val="007028DA"/>
    <w:rsid w:val="00704BAE"/>
    <w:rsid w:val="00705807"/>
    <w:rsid w:val="00705C74"/>
    <w:rsid w:val="00705C78"/>
    <w:rsid w:val="007060E1"/>
    <w:rsid w:val="00706824"/>
    <w:rsid w:val="00706B85"/>
    <w:rsid w:val="007071FC"/>
    <w:rsid w:val="00707C84"/>
    <w:rsid w:val="00710A59"/>
    <w:rsid w:val="00710FDE"/>
    <w:rsid w:val="00711028"/>
    <w:rsid w:val="007116C7"/>
    <w:rsid w:val="00711C5A"/>
    <w:rsid w:val="00712B66"/>
    <w:rsid w:val="00713C31"/>
    <w:rsid w:val="0071428D"/>
    <w:rsid w:val="007144C9"/>
    <w:rsid w:val="0071635C"/>
    <w:rsid w:val="00716B3C"/>
    <w:rsid w:val="007170C2"/>
    <w:rsid w:val="00717EE4"/>
    <w:rsid w:val="00717F2D"/>
    <w:rsid w:val="00720453"/>
    <w:rsid w:val="00720853"/>
    <w:rsid w:val="00722129"/>
    <w:rsid w:val="00724173"/>
    <w:rsid w:val="00724499"/>
    <w:rsid w:val="00726172"/>
    <w:rsid w:val="007266BD"/>
    <w:rsid w:val="00726730"/>
    <w:rsid w:val="00730598"/>
    <w:rsid w:val="00731C24"/>
    <w:rsid w:val="00731E19"/>
    <w:rsid w:val="0073257E"/>
    <w:rsid w:val="00732A32"/>
    <w:rsid w:val="00733066"/>
    <w:rsid w:val="0073311F"/>
    <w:rsid w:val="00733469"/>
    <w:rsid w:val="007334ED"/>
    <w:rsid w:val="00733539"/>
    <w:rsid w:val="00735557"/>
    <w:rsid w:val="00735808"/>
    <w:rsid w:val="00736A73"/>
    <w:rsid w:val="00737108"/>
    <w:rsid w:val="007379CE"/>
    <w:rsid w:val="007419A7"/>
    <w:rsid w:val="00741B21"/>
    <w:rsid w:val="00741DD8"/>
    <w:rsid w:val="00741E49"/>
    <w:rsid w:val="0074250D"/>
    <w:rsid w:val="0074317F"/>
    <w:rsid w:val="007445E2"/>
    <w:rsid w:val="00745496"/>
    <w:rsid w:val="00745A3E"/>
    <w:rsid w:val="00745F02"/>
    <w:rsid w:val="007460DA"/>
    <w:rsid w:val="0074705B"/>
    <w:rsid w:val="007470EC"/>
    <w:rsid w:val="0075020B"/>
    <w:rsid w:val="00751017"/>
    <w:rsid w:val="00751960"/>
    <w:rsid w:val="007535C7"/>
    <w:rsid w:val="00756551"/>
    <w:rsid w:val="0075771E"/>
    <w:rsid w:val="00757769"/>
    <w:rsid w:val="0076067E"/>
    <w:rsid w:val="00761BFD"/>
    <w:rsid w:val="00761D5C"/>
    <w:rsid w:val="00761FE5"/>
    <w:rsid w:val="00762476"/>
    <w:rsid w:val="00762A18"/>
    <w:rsid w:val="00763AE2"/>
    <w:rsid w:val="0076467D"/>
    <w:rsid w:val="00766245"/>
    <w:rsid w:val="00766D90"/>
    <w:rsid w:val="00767C19"/>
    <w:rsid w:val="00767D4E"/>
    <w:rsid w:val="00771067"/>
    <w:rsid w:val="007722ED"/>
    <w:rsid w:val="007737CD"/>
    <w:rsid w:val="0077408B"/>
    <w:rsid w:val="00774AF6"/>
    <w:rsid w:val="00774EC8"/>
    <w:rsid w:val="00774F48"/>
    <w:rsid w:val="00776781"/>
    <w:rsid w:val="00776BD1"/>
    <w:rsid w:val="007776CC"/>
    <w:rsid w:val="00777CE9"/>
    <w:rsid w:val="00777E4E"/>
    <w:rsid w:val="00777F3D"/>
    <w:rsid w:val="00780010"/>
    <w:rsid w:val="00780D05"/>
    <w:rsid w:val="00782C7F"/>
    <w:rsid w:val="00783C7B"/>
    <w:rsid w:val="0078556C"/>
    <w:rsid w:val="007855C5"/>
    <w:rsid w:val="007856D3"/>
    <w:rsid w:val="00785ABD"/>
    <w:rsid w:val="007860C6"/>
    <w:rsid w:val="00786254"/>
    <w:rsid w:val="007864D0"/>
    <w:rsid w:val="00786DB0"/>
    <w:rsid w:val="00787D47"/>
    <w:rsid w:val="00787EBC"/>
    <w:rsid w:val="0079014E"/>
    <w:rsid w:val="0079148B"/>
    <w:rsid w:val="00792971"/>
    <w:rsid w:val="007935C6"/>
    <w:rsid w:val="00794129"/>
    <w:rsid w:val="00794516"/>
    <w:rsid w:val="00794878"/>
    <w:rsid w:val="00795512"/>
    <w:rsid w:val="00795AB7"/>
    <w:rsid w:val="00795E37"/>
    <w:rsid w:val="0079694C"/>
    <w:rsid w:val="00796D89"/>
    <w:rsid w:val="00796DA2"/>
    <w:rsid w:val="007A0415"/>
    <w:rsid w:val="007A06BA"/>
    <w:rsid w:val="007A27BD"/>
    <w:rsid w:val="007A294A"/>
    <w:rsid w:val="007A3826"/>
    <w:rsid w:val="007A4C96"/>
    <w:rsid w:val="007A51A6"/>
    <w:rsid w:val="007A523D"/>
    <w:rsid w:val="007A55E6"/>
    <w:rsid w:val="007A5629"/>
    <w:rsid w:val="007A56E5"/>
    <w:rsid w:val="007A60CA"/>
    <w:rsid w:val="007A615D"/>
    <w:rsid w:val="007A6F0F"/>
    <w:rsid w:val="007A708C"/>
    <w:rsid w:val="007A75B5"/>
    <w:rsid w:val="007A7985"/>
    <w:rsid w:val="007A7ABE"/>
    <w:rsid w:val="007B03C5"/>
    <w:rsid w:val="007B102A"/>
    <w:rsid w:val="007B2107"/>
    <w:rsid w:val="007B26E1"/>
    <w:rsid w:val="007B3045"/>
    <w:rsid w:val="007B4C0F"/>
    <w:rsid w:val="007B5E25"/>
    <w:rsid w:val="007B6E0E"/>
    <w:rsid w:val="007C0F5F"/>
    <w:rsid w:val="007C16FE"/>
    <w:rsid w:val="007C1EAD"/>
    <w:rsid w:val="007C27FB"/>
    <w:rsid w:val="007C2CBB"/>
    <w:rsid w:val="007C2E52"/>
    <w:rsid w:val="007C309C"/>
    <w:rsid w:val="007C4209"/>
    <w:rsid w:val="007C5EB9"/>
    <w:rsid w:val="007C7449"/>
    <w:rsid w:val="007C7EA5"/>
    <w:rsid w:val="007D1A95"/>
    <w:rsid w:val="007D2411"/>
    <w:rsid w:val="007D245E"/>
    <w:rsid w:val="007D2CC0"/>
    <w:rsid w:val="007D3764"/>
    <w:rsid w:val="007D454C"/>
    <w:rsid w:val="007D485A"/>
    <w:rsid w:val="007D54FF"/>
    <w:rsid w:val="007D57D4"/>
    <w:rsid w:val="007D6315"/>
    <w:rsid w:val="007D724A"/>
    <w:rsid w:val="007D75A3"/>
    <w:rsid w:val="007D7FFB"/>
    <w:rsid w:val="007E05D0"/>
    <w:rsid w:val="007E16E2"/>
    <w:rsid w:val="007E19FE"/>
    <w:rsid w:val="007E1AAC"/>
    <w:rsid w:val="007E1B7F"/>
    <w:rsid w:val="007E3B9C"/>
    <w:rsid w:val="007E4A2F"/>
    <w:rsid w:val="007E5849"/>
    <w:rsid w:val="007E5C4A"/>
    <w:rsid w:val="007E630A"/>
    <w:rsid w:val="007E6915"/>
    <w:rsid w:val="007E74CA"/>
    <w:rsid w:val="007E7AD3"/>
    <w:rsid w:val="007F0070"/>
    <w:rsid w:val="007F0441"/>
    <w:rsid w:val="007F0CBC"/>
    <w:rsid w:val="007F0E99"/>
    <w:rsid w:val="007F20F1"/>
    <w:rsid w:val="007F4224"/>
    <w:rsid w:val="007F4DD2"/>
    <w:rsid w:val="007F4FB9"/>
    <w:rsid w:val="007F5E40"/>
    <w:rsid w:val="007F7022"/>
    <w:rsid w:val="007F7690"/>
    <w:rsid w:val="00800F1E"/>
    <w:rsid w:val="008011CC"/>
    <w:rsid w:val="008012DD"/>
    <w:rsid w:val="00801404"/>
    <w:rsid w:val="008017AA"/>
    <w:rsid w:val="00801CBA"/>
    <w:rsid w:val="00801D92"/>
    <w:rsid w:val="00804BCF"/>
    <w:rsid w:val="00804FA4"/>
    <w:rsid w:val="00805275"/>
    <w:rsid w:val="00806A62"/>
    <w:rsid w:val="00806E55"/>
    <w:rsid w:val="008075CE"/>
    <w:rsid w:val="00810DBE"/>
    <w:rsid w:val="00812179"/>
    <w:rsid w:val="008124E2"/>
    <w:rsid w:val="00813928"/>
    <w:rsid w:val="00815321"/>
    <w:rsid w:val="008166DB"/>
    <w:rsid w:val="00816753"/>
    <w:rsid w:val="008173E0"/>
    <w:rsid w:val="008175C1"/>
    <w:rsid w:val="008200D4"/>
    <w:rsid w:val="00820370"/>
    <w:rsid w:val="00820CC6"/>
    <w:rsid w:val="0082154C"/>
    <w:rsid w:val="00821C74"/>
    <w:rsid w:val="008225FF"/>
    <w:rsid w:val="00822C41"/>
    <w:rsid w:val="00825043"/>
    <w:rsid w:val="00825267"/>
    <w:rsid w:val="008253E3"/>
    <w:rsid w:val="008264EC"/>
    <w:rsid w:val="0082687B"/>
    <w:rsid w:val="00827C0D"/>
    <w:rsid w:val="00830642"/>
    <w:rsid w:val="00831250"/>
    <w:rsid w:val="00831D8D"/>
    <w:rsid w:val="00832F28"/>
    <w:rsid w:val="008333B7"/>
    <w:rsid w:val="008336EC"/>
    <w:rsid w:val="008337B9"/>
    <w:rsid w:val="00833B4B"/>
    <w:rsid w:val="00834FD2"/>
    <w:rsid w:val="00835084"/>
    <w:rsid w:val="00835184"/>
    <w:rsid w:val="00835569"/>
    <w:rsid w:val="00835802"/>
    <w:rsid w:val="00836295"/>
    <w:rsid w:val="008370EE"/>
    <w:rsid w:val="0084093F"/>
    <w:rsid w:val="0084098A"/>
    <w:rsid w:val="00840C5A"/>
    <w:rsid w:val="00840DB0"/>
    <w:rsid w:val="00840EDE"/>
    <w:rsid w:val="008417CC"/>
    <w:rsid w:val="0084187A"/>
    <w:rsid w:val="008418A5"/>
    <w:rsid w:val="0084245F"/>
    <w:rsid w:val="00843548"/>
    <w:rsid w:val="0084383C"/>
    <w:rsid w:val="00843CC0"/>
    <w:rsid w:val="00844ADD"/>
    <w:rsid w:val="0084534E"/>
    <w:rsid w:val="00846062"/>
    <w:rsid w:val="0084640E"/>
    <w:rsid w:val="008474C1"/>
    <w:rsid w:val="00847C1C"/>
    <w:rsid w:val="0085055E"/>
    <w:rsid w:val="00850C3B"/>
    <w:rsid w:val="00851605"/>
    <w:rsid w:val="00852CA0"/>
    <w:rsid w:val="00852D85"/>
    <w:rsid w:val="00852F6C"/>
    <w:rsid w:val="00852F81"/>
    <w:rsid w:val="0085465C"/>
    <w:rsid w:val="00854967"/>
    <w:rsid w:val="0085540B"/>
    <w:rsid w:val="00855511"/>
    <w:rsid w:val="0085582C"/>
    <w:rsid w:val="00855FD3"/>
    <w:rsid w:val="00857086"/>
    <w:rsid w:val="00857572"/>
    <w:rsid w:val="00860379"/>
    <w:rsid w:val="00860F4D"/>
    <w:rsid w:val="008611DE"/>
    <w:rsid w:val="00861375"/>
    <w:rsid w:val="0086172F"/>
    <w:rsid w:val="00861774"/>
    <w:rsid w:val="00861C56"/>
    <w:rsid w:val="00861F29"/>
    <w:rsid w:val="008620A2"/>
    <w:rsid w:val="00862741"/>
    <w:rsid w:val="00862BBD"/>
    <w:rsid w:val="00863C9F"/>
    <w:rsid w:val="008645D6"/>
    <w:rsid w:val="0086475C"/>
    <w:rsid w:val="0086552B"/>
    <w:rsid w:val="008655A2"/>
    <w:rsid w:val="0086584F"/>
    <w:rsid w:val="008671C7"/>
    <w:rsid w:val="008673E2"/>
    <w:rsid w:val="00867EB8"/>
    <w:rsid w:val="00867FCF"/>
    <w:rsid w:val="00870335"/>
    <w:rsid w:val="00870398"/>
    <w:rsid w:val="00870AA2"/>
    <w:rsid w:val="00872022"/>
    <w:rsid w:val="0087372A"/>
    <w:rsid w:val="00873D88"/>
    <w:rsid w:val="0087433B"/>
    <w:rsid w:val="0087621E"/>
    <w:rsid w:val="008767B2"/>
    <w:rsid w:val="00876BAB"/>
    <w:rsid w:val="00877328"/>
    <w:rsid w:val="0087787A"/>
    <w:rsid w:val="008802F0"/>
    <w:rsid w:val="00880992"/>
    <w:rsid w:val="00881692"/>
    <w:rsid w:val="0088212D"/>
    <w:rsid w:val="008829F0"/>
    <w:rsid w:val="00883143"/>
    <w:rsid w:val="00886154"/>
    <w:rsid w:val="0088770E"/>
    <w:rsid w:val="00890277"/>
    <w:rsid w:val="0089061A"/>
    <w:rsid w:val="008915C6"/>
    <w:rsid w:val="00891677"/>
    <w:rsid w:val="00892DA4"/>
    <w:rsid w:val="00892DB5"/>
    <w:rsid w:val="00892E4B"/>
    <w:rsid w:val="00893166"/>
    <w:rsid w:val="0089318C"/>
    <w:rsid w:val="00894B61"/>
    <w:rsid w:val="00895255"/>
    <w:rsid w:val="00895DF1"/>
    <w:rsid w:val="00896645"/>
    <w:rsid w:val="00896959"/>
    <w:rsid w:val="008975D2"/>
    <w:rsid w:val="008A035B"/>
    <w:rsid w:val="008A035E"/>
    <w:rsid w:val="008A0459"/>
    <w:rsid w:val="008A1183"/>
    <w:rsid w:val="008A1218"/>
    <w:rsid w:val="008A15B6"/>
    <w:rsid w:val="008A1A6E"/>
    <w:rsid w:val="008A202A"/>
    <w:rsid w:val="008A2BC1"/>
    <w:rsid w:val="008A36C9"/>
    <w:rsid w:val="008A5AF9"/>
    <w:rsid w:val="008B05B2"/>
    <w:rsid w:val="008B16DE"/>
    <w:rsid w:val="008B251F"/>
    <w:rsid w:val="008B2602"/>
    <w:rsid w:val="008B2727"/>
    <w:rsid w:val="008B316B"/>
    <w:rsid w:val="008B5059"/>
    <w:rsid w:val="008B56D4"/>
    <w:rsid w:val="008B5BF2"/>
    <w:rsid w:val="008B6934"/>
    <w:rsid w:val="008B6CF8"/>
    <w:rsid w:val="008B72F6"/>
    <w:rsid w:val="008C0BAD"/>
    <w:rsid w:val="008C0D57"/>
    <w:rsid w:val="008C119E"/>
    <w:rsid w:val="008C1E24"/>
    <w:rsid w:val="008C296B"/>
    <w:rsid w:val="008C2A46"/>
    <w:rsid w:val="008C2CAB"/>
    <w:rsid w:val="008C2D3D"/>
    <w:rsid w:val="008C4278"/>
    <w:rsid w:val="008C520E"/>
    <w:rsid w:val="008C563B"/>
    <w:rsid w:val="008C567E"/>
    <w:rsid w:val="008C5DEE"/>
    <w:rsid w:val="008C624A"/>
    <w:rsid w:val="008C6285"/>
    <w:rsid w:val="008C7182"/>
    <w:rsid w:val="008C7268"/>
    <w:rsid w:val="008C7CA5"/>
    <w:rsid w:val="008C7D9D"/>
    <w:rsid w:val="008D0416"/>
    <w:rsid w:val="008D13C6"/>
    <w:rsid w:val="008D1B04"/>
    <w:rsid w:val="008D1CB7"/>
    <w:rsid w:val="008D3235"/>
    <w:rsid w:val="008D33C8"/>
    <w:rsid w:val="008D3893"/>
    <w:rsid w:val="008D45CD"/>
    <w:rsid w:val="008D55F1"/>
    <w:rsid w:val="008D5908"/>
    <w:rsid w:val="008D5CD7"/>
    <w:rsid w:val="008D718E"/>
    <w:rsid w:val="008E09C5"/>
    <w:rsid w:val="008E0AA7"/>
    <w:rsid w:val="008E2355"/>
    <w:rsid w:val="008E3151"/>
    <w:rsid w:val="008E3386"/>
    <w:rsid w:val="008E5410"/>
    <w:rsid w:val="008E5A3F"/>
    <w:rsid w:val="008E6DF6"/>
    <w:rsid w:val="008E7209"/>
    <w:rsid w:val="008E7448"/>
    <w:rsid w:val="008F11BB"/>
    <w:rsid w:val="008F16FF"/>
    <w:rsid w:val="008F182F"/>
    <w:rsid w:val="008F1E95"/>
    <w:rsid w:val="008F2279"/>
    <w:rsid w:val="008F2304"/>
    <w:rsid w:val="008F57DD"/>
    <w:rsid w:val="008F5AEE"/>
    <w:rsid w:val="008F6BC0"/>
    <w:rsid w:val="008F6EAA"/>
    <w:rsid w:val="008F7800"/>
    <w:rsid w:val="008F7BCA"/>
    <w:rsid w:val="00900F4D"/>
    <w:rsid w:val="0090167B"/>
    <w:rsid w:val="00902696"/>
    <w:rsid w:val="00902D27"/>
    <w:rsid w:val="00902DEC"/>
    <w:rsid w:val="0090342E"/>
    <w:rsid w:val="00903D3A"/>
    <w:rsid w:val="009044B9"/>
    <w:rsid w:val="009047B1"/>
    <w:rsid w:val="00904C86"/>
    <w:rsid w:val="0090680D"/>
    <w:rsid w:val="0091045D"/>
    <w:rsid w:val="00912532"/>
    <w:rsid w:val="0091281A"/>
    <w:rsid w:val="00912B24"/>
    <w:rsid w:val="00913448"/>
    <w:rsid w:val="009138EA"/>
    <w:rsid w:val="009139B5"/>
    <w:rsid w:val="00914514"/>
    <w:rsid w:val="00914549"/>
    <w:rsid w:val="00914C08"/>
    <w:rsid w:val="00914F2F"/>
    <w:rsid w:val="00915136"/>
    <w:rsid w:val="00915981"/>
    <w:rsid w:val="00916057"/>
    <w:rsid w:val="00916AD1"/>
    <w:rsid w:val="00917637"/>
    <w:rsid w:val="00917FEE"/>
    <w:rsid w:val="0092023D"/>
    <w:rsid w:val="00920472"/>
    <w:rsid w:val="00921251"/>
    <w:rsid w:val="00921861"/>
    <w:rsid w:val="0092189E"/>
    <w:rsid w:val="009219FD"/>
    <w:rsid w:val="00921DF7"/>
    <w:rsid w:val="009257B0"/>
    <w:rsid w:val="009258BD"/>
    <w:rsid w:val="00925DEB"/>
    <w:rsid w:val="009263C0"/>
    <w:rsid w:val="009268F3"/>
    <w:rsid w:val="009302D4"/>
    <w:rsid w:val="009307F2"/>
    <w:rsid w:val="00930CEC"/>
    <w:rsid w:val="00930F4A"/>
    <w:rsid w:val="00930FF2"/>
    <w:rsid w:val="0093375E"/>
    <w:rsid w:val="00933817"/>
    <w:rsid w:val="00933BEF"/>
    <w:rsid w:val="0093787E"/>
    <w:rsid w:val="00940484"/>
    <w:rsid w:val="009412CC"/>
    <w:rsid w:val="00941600"/>
    <w:rsid w:val="0094388B"/>
    <w:rsid w:val="00943D09"/>
    <w:rsid w:val="00944826"/>
    <w:rsid w:val="009457A1"/>
    <w:rsid w:val="00946AE7"/>
    <w:rsid w:val="00947971"/>
    <w:rsid w:val="00947C5D"/>
    <w:rsid w:val="00947CA9"/>
    <w:rsid w:val="009501C4"/>
    <w:rsid w:val="00950478"/>
    <w:rsid w:val="00950888"/>
    <w:rsid w:val="00950AF9"/>
    <w:rsid w:val="00950B5F"/>
    <w:rsid w:val="00950D35"/>
    <w:rsid w:val="0095144C"/>
    <w:rsid w:val="0095165B"/>
    <w:rsid w:val="00951B17"/>
    <w:rsid w:val="00951B8D"/>
    <w:rsid w:val="009536A8"/>
    <w:rsid w:val="00954136"/>
    <w:rsid w:val="00954596"/>
    <w:rsid w:val="00955851"/>
    <w:rsid w:val="0095628F"/>
    <w:rsid w:val="00956ED2"/>
    <w:rsid w:val="00957E23"/>
    <w:rsid w:val="0096050F"/>
    <w:rsid w:val="00961487"/>
    <w:rsid w:val="00961BA7"/>
    <w:rsid w:val="00961CA0"/>
    <w:rsid w:val="00961F01"/>
    <w:rsid w:val="00962162"/>
    <w:rsid w:val="009623BC"/>
    <w:rsid w:val="009628BE"/>
    <w:rsid w:val="009631C8"/>
    <w:rsid w:val="009635FB"/>
    <w:rsid w:val="00963AE4"/>
    <w:rsid w:val="00963C14"/>
    <w:rsid w:val="009645CD"/>
    <w:rsid w:val="00964947"/>
    <w:rsid w:val="00964B8A"/>
    <w:rsid w:val="00964D84"/>
    <w:rsid w:val="00965940"/>
    <w:rsid w:val="00965A4E"/>
    <w:rsid w:val="00966B11"/>
    <w:rsid w:val="00966BE5"/>
    <w:rsid w:val="00966EB0"/>
    <w:rsid w:val="00971116"/>
    <w:rsid w:val="00972D77"/>
    <w:rsid w:val="00972E28"/>
    <w:rsid w:val="00973030"/>
    <w:rsid w:val="009733F3"/>
    <w:rsid w:val="00974252"/>
    <w:rsid w:val="009748E4"/>
    <w:rsid w:val="00975EC7"/>
    <w:rsid w:val="00976D65"/>
    <w:rsid w:val="00977949"/>
    <w:rsid w:val="00977CE6"/>
    <w:rsid w:val="00977DBA"/>
    <w:rsid w:val="00980776"/>
    <w:rsid w:val="009807AC"/>
    <w:rsid w:val="00980C18"/>
    <w:rsid w:val="009810E9"/>
    <w:rsid w:val="0098141C"/>
    <w:rsid w:val="00981AA9"/>
    <w:rsid w:val="00981C68"/>
    <w:rsid w:val="00981C91"/>
    <w:rsid w:val="00983132"/>
    <w:rsid w:val="00983314"/>
    <w:rsid w:val="00983DF2"/>
    <w:rsid w:val="0098433A"/>
    <w:rsid w:val="00985675"/>
    <w:rsid w:val="00985939"/>
    <w:rsid w:val="0098637F"/>
    <w:rsid w:val="00986A9B"/>
    <w:rsid w:val="00986B9C"/>
    <w:rsid w:val="00987BAB"/>
    <w:rsid w:val="00987F83"/>
    <w:rsid w:val="009906BF"/>
    <w:rsid w:val="00990D9A"/>
    <w:rsid w:val="009913F3"/>
    <w:rsid w:val="00991DA1"/>
    <w:rsid w:val="009927F1"/>
    <w:rsid w:val="0099281E"/>
    <w:rsid w:val="009936C4"/>
    <w:rsid w:val="009948ED"/>
    <w:rsid w:val="00994D38"/>
    <w:rsid w:val="00995ADA"/>
    <w:rsid w:val="0099643A"/>
    <w:rsid w:val="00997959"/>
    <w:rsid w:val="009A0BAF"/>
    <w:rsid w:val="009A1431"/>
    <w:rsid w:val="009A153D"/>
    <w:rsid w:val="009A1634"/>
    <w:rsid w:val="009A2665"/>
    <w:rsid w:val="009A365A"/>
    <w:rsid w:val="009A3804"/>
    <w:rsid w:val="009A3A34"/>
    <w:rsid w:val="009A3FE2"/>
    <w:rsid w:val="009A400C"/>
    <w:rsid w:val="009A4742"/>
    <w:rsid w:val="009A4B2C"/>
    <w:rsid w:val="009A5411"/>
    <w:rsid w:val="009A5592"/>
    <w:rsid w:val="009A59BA"/>
    <w:rsid w:val="009A6417"/>
    <w:rsid w:val="009A6636"/>
    <w:rsid w:val="009A6B13"/>
    <w:rsid w:val="009A6C28"/>
    <w:rsid w:val="009A7B29"/>
    <w:rsid w:val="009B01DF"/>
    <w:rsid w:val="009B020D"/>
    <w:rsid w:val="009B030D"/>
    <w:rsid w:val="009B072F"/>
    <w:rsid w:val="009B07A1"/>
    <w:rsid w:val="009B09CC"/>
    <w:rsid w:val="009B0A70"/>
    <w:rsid w:val="009B0AD5"/>
    <w:rsid w:val="009B0B04"/>
    <w:rsid w:val="009B173B"/>
    <w:rsid w:val="009B1A1A"/>
    <w:rsid w:val="009B25FA"/>
    <w:rsid w:val="009B2608"/>
    <w:rsid w:val="009B2A71"/>
    <w:rsid w:val="009B30D0"/>
    <w:rsid w:val="009B4027"/>
    <w:rsid w:val="009B4975"/>
    <w:rsid w:val="009B4D81"/>
    <w:rsid w:val="009B561F"/>
    <w:rsid w:val="009B5773"/>
    <w:rsid w:val="009B5D2D"/>
    <w:rsid w:val="009C058F"/>
    <w:rsid w:val="009C0BDE"/>
    <w:rsid w:val="009C11F5"/>
    <w:rsid w:val="009C2B3E"/>
    <w:rsid w:val="009C2EA2"/>
    <w:rsid w:val="009C3721"/>
    <w:rsid w:val="009C4141"/>
    <w:rsid w:val="009C4B55"/>
    <w:rsid w:val="009C5FCC"/>
    <w:rsid w:val="009C61A2"/>
    <w:rsid w:val="009C6DF6"/>
    <w:rsid w:val="009C6E92"/>
    <w:rsid w:val="009D04F7"/>
    <w:rsid w:val="009D1589"/>
    <w:rsid w:val="009D2003"/>
    <w:rsid w:val="009D294C"/>
    <w:rsid w:val="009D38C2"/>
    <w:rsid w:val="009D417F"/>
    <w:rsid w:val="009D426A"/>
    <w:rsid w:val="009D45E5"/>
    <w:rsid w:val="009D4916"/>
    <w:rsid w:val="009D4B85"/>
    <w:rsid w:val="009D535B"/>
    <w:rsid w:val="009D630B"/>
    <w:rsid w:val="009D6CAA"/>
    <w:rsid w:val="009D6CF6"/>
    <w:rsid w:val="009D6E69"/>
    <w:rsid w:val="009E02DC"/>
    <w:rsid w:val="009E2040"/>
    <w:rsid w:val="009E49AE"/>
    <w:rsid w:val="009E49BE"/>
    <w:rsid w:val="009E4DC7"/>
    <w:rsid w:val="009E660A"/>
    <w:rsid w:val="009E6B64"/>
    <w:rsid w:val="009E72E5"/>
    <w:rsid w:val="009F008B"/>
    <w:rsid w:val="009F09E2"/>
    <w:rsid w:val="009F2DC4"/>
    <w:rsid w:val="009F34E0"/>
    <w:rsid w:val="009F46C8"/>
    <w:rsid w:val="009F4F2A"/>
    <w:rsid w:val="009F660B"/>
    <w:rsid w:val="009F671E"/>
    <w:rsid w:val="009F6E6D"/>
    <w:rsid w:val="009F7ED1"/>
    <w:rsid w:val="00A00220"/>
    <w:rsid w:val="00A00872"/>
    <w:rsid w:val="00A0149B"/>
    <w:rsid w:val="00A01607"/>
    <w:rsid w:val="00A017BE"/>
    <w:rsid w:val="00A018D4"/>
    <w:rsid w:val="00A02F9D"/>
    <w:rsid w:val="00A03767"/>
    <w:rsid w:val="00A04834"/>
    <w:rsid w:val="00A05628"/>
    <w:rsid w:val="00A07DCF"/>
    <w:rsid w:val="00A11BFC"/>
    <w:rsid w:val="00A12979"/>
    <w:rsid w:val="00A131A9"/>
    <w:rsid w:val="00A13EA0"/>
    <w:rsid w:val="00A1496E"/>
    <w:rsid w:val="00A14F84"/>
    <w:rsid w:val="00A16D6D"/>
    <w:rsid w:val="00A17C75"/>
    <w:rsid w:val="00A17E82"/>
    <w:rsid w:val="00A20D83"/>
    <w:rsid w:val="00A211C8"/>
    <w:rsid w:val="00A2121E"/>
    <w:rsid w:val="00A21EAC"/>
    <w:rsid w:val="00A221DE"/>
    <w:rsid w:val="00A22CB2"/>
    <w:rsid w:val="00A23138"/>
    <w:rsid w:val="00A23940"/>
    <w:rsid w:val="00A23ECC"/>
    <w:rsid w:val="00A24CD3"/>
    <w:rsid w:val="00A25461"/>
    <w:rsid w:val="00A26367"/>
    <w:rsid w:val="00A2678A"/>
    <w:rsid w:val="00A269E1"/>
    <w:rsid w:val="00A27C1C"/>
    <w:rsid w:val="00A30F6A"/>
    <w:rsid w:val="00A31F21"/>
    <w:rsid w:val="00A32AEA"/>
    <w:rsid w:val="00A32F32"/>
    <w:rsid w:val="00A33E80"/>
    <w:rsid w:val="00A33EFE"/>
    <w:rsid w:val="00A34D63"/>
    <w:rsid w:val="00A3634B"/>
    <w:rsid w:val="00A36C89"/>
    <w:rsid w:val="00A36F1A"/>
    <w:rsid w:val="00A4148D"/>
    <w:rsid w:val="00A42EA4"/>
    <w:rsid w:val="00A43299"/>
    <w:rsid w:val="00A433E6"/>
    <w:rsid w:val="00A44D0E"/>
    <w:rsid w:val="00A4621D"/>
    <w:rsid w:val="00A509FB"/>
    <w:rsid w:val="00A51C19"/>
    <w:rsid w:val="00A51E04"/>
    <w:rsid w:val="00A522B5"/>
    <w:rsid w:val="00A52C31"/>
    <w:rsid w:val="00A52F37"/>
    <w:rsid w:val="00A533C5"/>
    <w:rsid w:val="00A5388C"/>
    <w:rsid w:val="00A5397B"/>
    <w:rsid w:val="00A53BE1"/>
    <w:rsid w:val="00A54644"/>
    <w:rsid w:val="00A5500A"/>
    <w:rsid w:val="00A55921"/>
    <w:rsid w:val="00A560E3"/>
    <w:rsid w:val="00A5628F"/>
    <w:rsid w:val="00A564AF"/>
    <w:rsid w:val="00A566A8"/>
    <w:rsid w:val="00A56D0B"/>
    <w:rsid w:val="00A5775C"/>
    <w:rsid w:val="00A60E72"/>
    <w:rsid w:val="00A618F7"/>
    <w:rsid w:val="00A61C77"/>
    <w:rsid w:val="00A61F0C"/>
    <w:rsid w:val="00A61FF0"/>
    <w:rsid w:val="00A62580"/>
    <w:rsid w:val="00A63AC9"/>
    <w:rsid w:val="00A64502"/>
    <w:rsid w:val="00A64B5F"/>
    <w:rsid w:val="00A64EC4"/>
    <w:rsid w:val="00A65EA0"/>
    <w:rsid w:val="00A66517"/>
    <w:rsid w:val="00A67B0E"/>
    <w:rsid w:val="00A70836"/>
    <w:rsid w:val="00A718EF"/>
    <w:rsid w:val="00A72134"/>
    <w:rsid w:val="00A72393"/>
    <w:rsid w:val="00A726A8"/>
    <w:rsid w:val="00A72951"/>
    <w:rsid w:val="00A73505"/>
    <w:rsid w:val="00A7464F"/>
    <w:rsid w:val="00A7512D"/>
    <w:rsid w:val="00A754EB"/>
    <w:rsid w:val="00A75E02"/>
    <w:rsid w:val="00A75F99"/>
    <w:rsid w:val="00A76662"/>
    <w:rsid w:val="00A768C1"/>
    <w:rsid w:val="00A76E79"/>
    <w:rsid w:val="00A7771B"/>
    <w:rsid w:val="00A77B53"/>
    <w:rsid w:val="00A80FF4"/>
    <w:rsid w:val="00A811F1"/>
    <w:rsid w:val="00A82887"/>
    <w:rsid w:val="00A82D46"/>
    <w:rsid w:val="00A83010"/>
    <w:rsid w:val="00A8399B"/>
    <w:rsid w:val="00A83BF5"/>
    <w:rsid w:val="00A84CD1"/>
    <w:rsid w:val="00A85E2E"/>
    <w:rsid w:val="00A861F3"/>
    <w:rsid w:val="00A86C0E"/>
    <w:rsid w:val="00A8728F"/>
    <w:rsid w:val="00A8756A"/>
    <w:rsid w:val="00A87641"/>
    <w:rsid w:val="00A87A3E"/>
    <w:rsid w:val="00A87F7D"/>
    <w:rsid w:val="00A90221"/>
    <w:rsid w:val="00A906B7"/>
    <w:rsid w:val="00A9070E"/>
    <w:rsid w:val="00A92DD4"/>
    <w:rsid w:val="00A94D0F"/>
    <w:rsid w:val="00A94F13"/>
    <w:rsid w:val="00A9568C"/>
    <w:rsid w:val="00A95BED"/>
    <w:rsid w:val="00A95EA2"/>
    <w:rsid w:val="00A9787E"/>
    <w:rsid w:val="00A97AF9"/>
    <w:rsid w:val="00AA08E8"/>
    <w:rsid w:val="00AA0DB4"/>
    <w:rsid w:val="00AA11C5"/>
    <w:rsid w:val="00AA17E2"/>
    <w:rsid w:val="00AA21B7"/>
    <w:rsid w:val="00AA2DB2"/>
    <w:rsid w:val="00AA3827"/>
    <w:rsid w:val="00AA382D"/>
    <w:rsid w:val="00AA4A2C"/>
    <w:rsid w:val="00AA59A6"/>
    <w:rsid w:val="00AA6299"/>
    <w:rsid w:val="00AA666F"/>
    <w:rsid w:val="00AA6E05"/>
    <w:rsid w:val="00AB0262"/>
    <w:rsid w:val="00AB14A1"/>
    <w:rsid w:val="00AB202A"/>
    <w:rsid w:val="00AB3181"/>
    <w:rsid w:val="00AB44D4"/>
    <w:rsid w:val="00AB5555"/>
    <w:rsid w:val="00AB55AD"/>
    <w:rsid w:val="00AB5D1B"/>
    <w:rsid w:val="00AB6918"/>
    <w:rsid w:val="00AB6B40"/>
    <w:rsid w:val="00AB740A"/>
    <w:rsid w:val="00AB7508"/>
    <w:rsid w:val="00AC0C79"/>
    <w:rsid w:val="00AC1DA5"/>
    <w:rsid w:val="00AC216B"/>
    <w:rsid w:val="00AC26B1"/>
    <w:rsid w:val="00AC42B8"/>
    <w:rsid w:val="00AC45C5"/>
    <w:rsid w:val="00AC4791"/>
    <w:rsid w:val="00AC4BFE"/>
    <w:rsid w:val="00AC4FB6"/>
    <w:rsid w:val="00AC4FD1"/>
    <w:rsid w:val="00AC5159"/>
    <w:rsid w:val="00AC5FEF"/>
    <w:rsid w:val="00AC6036"/>
    <w:rsid w:val="00AD0328"/>
    <w:rsid w:val="00AD11DC"/>
    <w:rsid w:val="00AD1966"/>
    <w:rsid w:val="00AD19E8"/>
    <w:rsid w:val="00AD2B03"/>
    <w:rsid w:val="00AD2E07"/>
    <w:rsid w:val="00AD38A9"/>
    <w:rsid w:val="00AD4071"/>
    <w:rsid w:val="00AD44EA"/>
    <w:rsid w:val="00AD4782"/>
    <w:rsid w:val="00AD517A"/>
    <w:rsid w:val="00AD5236"/>
    <w:rsid w:val="00AD527D"/>
    <w:rsid w:val="00AD54E0"/>
    <w:rsid w:val="00AD5D06"/>
    <w:rsid w:val="00AD6CE3"/>
    <w:rsid w:val="00AD758E"/>
    <w:rsid w:val="00AD7AB5"/>
    <w:rsid w:val="00AE08B7"/>
    <w:rsid w:val="00AE0DBA"/>
    <w:rsid w:val="00AE160F"/>
    <w:rsid w:val="00AE21DC"/>
    <w:rsid w:val="00AE239B"/>
    <w:rsid w:val="00AE25D2"/>
    <w:rsid w:val="00AE2B47"/>
    <w:rsid w:val="00AE2CAD"/>
    <w:rsid w:val="00AE3090"/>
    <w:rsid w:val="00AE380E"/>
    <w:rsid w:val="00AE3AAD"/>
    <w:rsid w:val="00AE4189"/>
    <w:rsid w:val="00AE503A"/>
    <w:rsid w:val="00AE68E2"/>
    <w:rsid w:val="00AE6F88"/>
    <w:rsid w:val="00AF0157"/>
    <w:rsid w:val="00AF2EC7"/>
    <w:rsid w:val="00AF34C9"/>
    <w:rsid w:val="00AF3AC0"/>
    <w:rsid w:val="00AF4F4A"/>
    <w:rsid w:val="00B00C24"/>
    <w:rsid w:val="00B00F93"/>
    <w:rsid w:val="00B01BBE"/>
    <w:rsid w:val="00B028A8"/>
    <w:rsid w:val="00B03F92"/>
    <w:rsid w:val="00B055D8"/>
    <w:rsid w:val="00B06CD6"/>
    <w:rsid w:val="00B06EBC"/>
    <w:rsid w:val="00B07C8C"/>
    <w:rsid w:val="00B10669"/>
    <w:rsid w:val="00B11D2D"/>
    <w:rsid w:val="00B123F0"/>
    <w:rsid w:val="00B12891"/>
    <w:rsid w:val="00B12E63"/>
    <w:rsid w:val="00B146C1"/>
    <w:rsid w:val="00B146E7"/>
    <w:rsid w:val="00B14F23"/>
    <w:rsid w:val="00B15196"/>
    <w:rsid w:val="00B156DF"/>
    <w:rsid w:val="00B15ABB"/>
    <w:rsid w:val="00B16973"/>
    <w:rsid w:val="00B2030C"/>
    <w:rsid w:val="00B2036A"/>
    <w:rsid w:val="00B21057"/>
    <w:rsid w:val="00B216FD"/>
    <w:rsid w:val="00B2202B"/>
    <w:rsid w:val="00B22DB7"/>
    <w:rsid w:val="00B23422"/>
    <w:rsid w:val="00B24948"/>
    <w:rsid w:val="00B24CBD"/>
    <w:rsid w:val="00B257ED"/>
    <w:rsid w:val="00B25AA0"/>
    <w:rsid w:val="00B25CA3"/>
    <w:rsid w:val="00B30028"/>
    <w:rsid w:val="00B31B5B"/>
    <w:rsid w:val="00B31E8D"/>
    <w:rsid w:val="00B32B33"/>
    <w:rsid w:val="00B3313B"/>
    <w:rsid w:val="00B331E8"/>
    <w:rsid w:val="00B331EA"/>
    <w:rsid w:val="00B34732"/>
    <w:rsid w:val="00B353B8"/>
    <w:rsid w:val="00B35C56"/>
    <w:rsid w:val="00B36F17"/>
    <w:rsid w:val="00B372ED"/>
    <w:rsid w:val="00B40183"/>
    <w:rsid w:val="00B40603"/>
    <w:rsid w:val="00B40AF6"/>
    <w:rsid w:val="00B41071"/>
    <w:rsid w:val="00B41C06"/>
    <w:rsid w:val="00B425C0"/>
    <w:rsid w:val="00B42DB6"/>
    <w:rsid w:val="00B4599B"/>
    <w:rsid w:val="00B46957"/>
    <w:rsid w:val="00B47B54"/>
    <w:rsid w:val="00B50E99"/>
    <w:rsid w:val="00B51926"/>
    <w:rsid w:val="00B51F9A"/>
    <w:rsid w:val="00B53109"/>
    <w:rsid w:val="00B53120"/>
    <w:rsid w:val="00B5494A"/>
    <w:rsid w:val="00B54DA7"/>
    <w:rsid w:val="00B571D6"/>
    <w:rsid w:val="00B576CD"/>
    <w:rsid w:val="00B600C6"/>
    <w:rsid w:val="00B60167"/>
    <w:rsid w:val="00B60FC0"/>
    <w:rsid w:val="00B61665"/>
    <w:rsid w:val="00B61D3D"/>
    <w:rsid w:val="00B63528"/>
    <w:rsid w:val="00B63DAF"/>
    <w:rsid w:val="00B63E98"/>
    <w:rsid w:val="00B65754"/>
    <w:rsid w:val="00B661AA"/>
    <w:rsid w:val="00B66242"/>
    <w:rsid w:val="00B670D3"/>
    <w:rsid w:val="00B67958"/>
    <w:rsid w:val="00B701D1"/>
    <w:rsid w:val="00B709B5"/>
    <w:rsid w:val="00B711F4"/>
    <w:rsid w:val="00B716BB"/>
    <w:rsid w:val="00B716FD"/>
    <w:rsid w:val="00B725EF"/>
    <w:rsid w:val="00B734C2"/>
    <w:rsid w:val="00B73BDA"/>
    <w:rsid w:val="00B74053"/>
    <w:rsid w:val="00B74239"/>
    <w:rsid w:val="00B765A0"/>
    <w:rsid w:val="00B76C02"/>
    <w:rsid w:val="00B76E86"/>
    <w:rsid w:val="00B77BD2"/>
    <w:rsid w:val="00B814CB"/>
    <w:rsid w:val="00B81B6A"/>
    <w:rsid w:val="00B820F4"/>
    <w:rsid w:val="00B835E0"/>
    <w:rsid w:val="00B8396D"/>
    <w:rsid w:val="00B90331"/>
    <w:rsid w:val="00B903ED"/>
    <w:rsid w:val="00B90B2D"/>
    <w:rsid w:val="00B935A1"/>
    <w:rsid w:val="00B9459B"/>
    <w:rsid w:val="00B95DAD"/>
    <w:rsid w:val="00B96C0C"/>
    <w:rsid w:val="00B9734D"/>
    <w:rsid w:val="00B97732"/>
    <w:rsid w:val="00BA089E"/>
    <w:rsid w:val="00BA19C3"/>
    <w:rsid w:val="00BA1A51"/>
    <w:rsid w:val="00BA27F4"/>
    <w:rsid w:val="00BA2BE6"/>
    <w:rsid w:val="00BA2E40"/>
    <w:rsid w:val="00BA3CB7"/>
    <w:rsid w:val="00BA41DE"/>
    <w:rsid w:val="00BA4BE4"/>
    <w:rsid w:val="00BA4DF8"/>
    <w:rsid w:val="00BA556C"/>
    <w:rsid w:val="00BA6BF3"/>
    <w:rsid w:val="00BB0F31"/>
    <w:rsid w:val="00BB15AB"/>
    <w:rsid w:val="00BB189B"/>
    <w:rsid w:val="00BB1D21"/>
    <w:rsid w:val="00BB2E51"/>
    <w:rsid w:val="00BB4BEA"/>
    <w:rsid w:val="00BB4C1A"/>
    <w:rsid w:val="00BB50AB"/>
    <w:rsid w:val="00BB633C"/>
    <w:rsid w:val="00BB6664"/>
    <w:rsid w:val="00BC01FC"/>
    <w:rsid w:val="00BC0E83"/>
    <w:rsid w:val="00BC1420"/>
    <w:rsid w:val="00BC1F79"/>
    <w:rsid w:val="00BC2201"/>
    <w:rsid w:val="00BC3C7A"/>
    <w:rsid w:val="00BC6689"/>
    <w:rsid w:val="00BC7DC6"/>
    <w:rsid w:val="00BD1039"/>
    <w:rsid w:val="00BD13B5"/>
    <w:rsid w:val="00BD2EFC"/>
    <w:rsid w:val="00BD340E"/>
    <w:rsid w:val="00BD3552"/>
    <w:rsid w:val="00BD3EE2"/>
    <w:rsid w:val="00BD52E2"/>
    <w:rsid w:val="00BD60AD"/>
    <w:rsid w:val="00BD6C02"/>
    <w:rsid w:val="00BD7E2D"/>
    <w:rsid w:val="00BE1244"/>
    <w:rsid w:val="00BE165D"/>
    <w:rsid w:val="00BE2394"/>
    <w:rsid w:val="00BE2702"/>
    <w:rsid w:val="00BE4326"/>
    <w:rsid w:val="00BE4653"/>
    <w:rsid w:val="00BE5F4F"/>
    <w:rsid w:val="00BE60DB"/>
    <w:rsid w:val="00BF0191"/>
    <w:rsid w:val="00BF13EC"/>
    <w:rsid w:val="00BF1904"/>
    <w:rsid w:val="00BF1B15"/>
    <w:rsid w:val="00BF1C07"/>
    <w:rsid w:val="00BF3DEE"/>
    <w:rsid w:val="00BF43AD"/>
    <w:rsid w:val="00BF4DEC"/>
    <w:rsid w:val="00BF54AC"/>
    <w:rsid w:val="00BF54BD"/>
    <w:rsid w:val="00BF595A"/>
    <w:rsid w:val="00BF6B8E"/>
    <w:rsid w:val="00C025A5"/>
    <w:rsid w:val="00C03C78"/>
    <w:rsid w:val="00C03D6B"/>
    <w:rsid w:val="00C04FD3"/>
    <w:rsid w:val="00C06226"/>
    <w:rsid w:val="00C0633D"/>
    <w:rsid w:val="00C065A2"/>
    <w:rsid w:val="00C07919"/>
    <w:rsid w:val="00C103F9"/>
    <w:rsid w:val="00C104AC"/>
    <w:rsid w:val="00C107AD"/>
    <w:rsid w:val="00C110E1"/>
    <w:rsid w:val="00C1198F"/>
    <w:rsid w:val="00C11FA1"/>
    <w:rsid w:val="00C12252"/>
    <w:rsid w:val="00C12E21"/>
    <w:rsid w:val="00C12E65"/>
    <w:rsid w:val="00C13C20"/>
    <w:rsid w:val="00C13F74"/>
    <w:rsid w:val="00C146D3"/>
    <w:rsid w:val="00C16BE0"/>
    <w:rsid w:val="00C21C39"/>
    <w:rsid w:val="00C222A5"/>
    <w:rsid w:val="00C22CA6"/>
    <w:rsid w:val="00C2325C"/>
    <w:rsid w:val="00C239ED"/>
    <w:rsid w:val="00C245D5"/>
    <w:rsid w:val="00C24D9D"/>
    <w:rsid w:val="00C25B0F"/>
    <w:rsid w:val="00C25CF3"/>
    <w:rsid w:val="00C263E9"/>
    <w:rsid w:val="00C2775A"/>
    <w:rsid w:val="00C3063A"/>
    <w:rsid w:val="00C30BAD"/>
    <w:rsid w:val="00C31E8F"/>
    <w:rsid w:val="00C335DA"/>
    <w:rsid w:val="00C3371B"/>
    <w:rsid w:val="00C33D3E"/>
    <w:rsid w:val="00C3525D"/>
    <w:rsid w:val="00C35E1E"/>
    <w:rsid w:val="00C362E0"/>
    <w:rsid w:val="00C36ED4"/>
    <w:rsid w:val="00C376CC"/>
    <w:rsid w:val="00C400F7"/>
    <w:rsid w:val="00C40EC6"/>
    <w:rsid w:val="00C419AD"/>
    <w:rsid w:val="00C41B5F"/>
    <w:rsid w:val="00C437BA"/>
    <w:rsid w:val="00C44395"/>
    <w:rsid w:val="00C443B3"/>
    <w:rsid w:val="00C45CE8"/>
    <w:rsid w:val="00C4637B"/>
    <w:rsid w:val="00C46F06"/>
    <w:rsid w:val="00C4761A"/>
    <w:rsid w:val="00C47DA6"/>
    <w:rsid w:val="00C50986"/>
    <w:rsid w:val="00C50ABF"/>
    <w:rsid w:val="00C50EF2"/>
    <w:rsid w:val="00C51256"/>
    <w:rsid w:val="00C51566"/>
    <w:rsid w:val="00C516B7"/>
    <w:rsid w:val="00C516C4"/>
    <w:rsid w:val="00C51C1F"/>
    <w:rsid w:val="00C52433"/>
    <w:rsid w:val="00C5279F"/>
    <w:rsid w:val="00C52D62"/>
    <w:rsid w:val="00C52EF3"/>
    <w:rsid w:val="00C533D4"/>
    <w:rsid w:val="00C53A4C"/>
    <w:rsid w:val="00C5448D"/>
    <w:rsid w:val="00C5477F"/>
    <w:rsid w:val="00C547B7"/>
    <w:rsid w:val="00C5503B"/>
    <w:rsid w:val="00C55A32"/>
    <w:rsid w:val="00C564F2"/>
    <w:rsid w:val="00C56F11"/>
    <w:rsid w:val="00C61F3A"/>
    <w:rsid w:val="00C6204B"/>
    <w:rsid w:val="00C629CB"/>
    <w:rsid w:val="00C62B75"/>
    <w:rsid w:val="00C648D8"/>
    <w:rsid w:val="00C657B5"/>
    <w:rsid w:val="00C661E1"/>
    <w:rsid w:val="00C66542"/>
    <w:rsid w:val="00C66686"/>
    <w:rsid w:val="00C678C4"/>
    <w:rsid w:val="00C71215"/>
    <w:rsid w:val="00C7216B"/>
    <w:rsid w:val="00C727BE"/>
    <w:rsid w:val="00C732A9"/>
    <w:rsid w:val="00C73448"/>
    <w:rsid w:val="00C73E2E"/>
    <w:rsid w:val="00C74546"/>
    <w:rsid w:val="00C748E2"/>
    <w:rsid w:val="00C7588E"/>
    <w:rsid w:val="00C77263"/>
    <w:rsid w:val="00C7776C"/>
    <w:rsid w:val="00C77898"/>
    <w:rsid w:val="00C819C3"/>
    <w:rsid w:val="00C8398D"/>
    <w:rsid w:val="00C840CA"/>
    <w:rsid w:val="00C84BC2"/>
    <w:rsid w:val="00C85139"/>
    <w:rsid w:val="00C85657"/>
    <w:rsid w:val="00C9022C"/>
    <w:rsid w:val="00C905F1"/>
    <w:rsid w:val="00C9135B"/>
    <w:rsid w:val="00C91C88"/>
    <w:rsid w:val="00C9250B"/>
    <w:rsid w:val="00C92CF4"/>
    <w:rsid w:val="00C939C3"/>
    <w:rsid w:val="00C94228"/>
    <w:rsid w:val="00C96D56"/>
    <w:rsid w:val="00C977E6"/>
    <w:rsid w:val="00CA0020"/>
    <w:rsid w:val="00CA0828"/>
    <w:rsid w:val="00CA0B2E"/>
    <w:rsid w:val="00CA18CA"/>
    <w:rsid w:val="00CA2557"/>
    <w:rsid w:val="00CA4952"/>
    <w:rsid w:val="00CA5413"/>
    <w:rsid w:val="00CA5674"/>
    <w:rsid w:val="00CA5BDA"/>
    <w:rsid w:val="00CA5C1A"/>
    <w:rsid w:val="00CA633F"/>
    <w:rsid w:val="00CA641E"/>
    <w:rsid w:val="00CA7558"/>
    <w:rsid w:val="00CA785F"/>
    <w:rsid w:val="00CA792A"/>
    <w:rsid w:val="00CA7949"/>
    <w:rsid w:val="00CB06FE"/>
    <w:rsid w:val="00CB0C6E"/>
    <w:rsid w:val="00CB0C89"/>
    <w:rsid w:val="00CB226B"/>
    <w:rsid w:val="00CB229B"/>
    <w:rsid w:val="00CB2F27"/>
    <w:rsid w:val="00CB33B4"/>
    <w:rsid w:val="00CB3D93"/>
    <w:rsid w:val="00CB4441"/>
    <w:rsid w:val="00CB4B1A"/>
    <w:rsid w:val="00CB4E1F"/>
    <w:rsid w:val="00CB6289"/>
    <w:rsid w:val="00CB7EF0"/>
    <w:rsid w:val="00CC152E"/>
    <w:rsid w:val="00CC1FB4"/>
    <w:rsid w:val="00CC2493"/>
    <w:rsid w:val="00CC2CEB"/>
    <w:rsid w:val="00CC2D66"/>
    <w:rsid w:val="00CC3222"/>
    <w:rsid w:val="00CC35F1"/>
    <w:rsid w:val="00CC35FF"/>
    <w:rsid w:val="00CC49EE"/>
    <w:rsid w:val="00CC66C4"/>
    <w:rsid w:val="00CD0E6E"/>
    <w:rsid w:val="00CD1F5B"/>
    <w:rsid w:val="00CD23AE"/>
    <w:rsid w:val="00CD27DF"/>
    <w:rsid w:val="00CD2D8A"/>
    <w:rsid w:val="00CD3BAC"/>
    <w:rsid w:val="00CD3FF2"/>
    <w:rsid w:val="00CD4601"/>
    <w:rsid w:val="00CD4A65"/>
    <w:rsid w:val="00CD531F"/>
    <w:rsid w:val="00CD6FA3"/>
    <w:rsid w:val="00CD7985"/>
    <w:rsid w:val="00CE1F6A"/>
    <w:rsid w:val="00CE2184"/>
    <w:rsid w:val="00CE3B7F"/>
    <w:rsid w:val="00CE3FA2"/>
    <w:rsid w:val="00CE41A0"/>
    <w:rsid w:val="00CE4479"/>
    <w:rsid w:val="00CE4958"/>
    <w:rsid w:val="00CE68E2"/>
    <w:rsid w:val="00CE706E"/>
    <w:rsid w:val="00CE70B1"/>
    <w:rsid w:val="00CE75B2"/>
    <w:rsid w:val="00CE7AE4"/>
    <w:rsid w:val="00CF050C"/>
    <w:rsid w:val="00CF0769"/>
    <w:rsid w:val="00CF0A4C"/>
    <w:rsid w:val="00CF150A"/>
    <w:rsid w:val="00CF2225"/>
    <w:rsid w:val="00CF22AB"/>
    <w:rsid w:val="00CF25E7"/>
    <w:rsid w:val="00CF3C77"/>
    <w:rsid w:val="00CF41EF"/>
    <w:rsid w:val="00CF45A2"/>
    <w:rsid w:val="00CF52E7"/>
    <w:rsid w:val="00CF5F5D"/>
    <w:rsid w:val="00CF64B5"/>
    <w:rsid w:val="00CF7853"/>
    <w:rsid w:val="00D004ED"/>
    <w:rsid w:val="00D0260F"/>
    <w:rsid w:val="00D026C7"/>
    <w:rsid w:val="00D03708"/>
    <w:rsid w:val="00D06776"/>
    <w:rsid w:val="00D06853"/>
    <w:rsid w:val="00D06E46"/>
    <w:rsid w:val="00D06F95"/>
    <w:rsid w:val="00D1010D"/>
    <w:rsid w:val="00D1158C"/>
    <w:rsid w:val="00D11600"/>
    <w:rsid w:val="00D119A2"/>
    <w:rsid w:val="00D12E31"/>
    <w:rsid w:val="00D137F9"/>
    <w:rsid w:val="00D13A0B"/>
    <w:rsid w:val="00D13CF4"/>
    <w:rsid w:val="00D144C2"/>
    <w:rsid w:val="00D1458C"/>
    <w:rsid w:val="00D1620E"/>
    <w:rsid w:val="00D16867"/>
    <w:rsid w:val="00D16880"/>
    <w:rsid w:val="00D16EEC"/>
    <w:rsid w:val="00D2047A"/>
    <w:rsid w:val="00D20631"/>
    <w:rsid w:val="00D207FC"/>
    <w:rsid w:val="00D2260B"/>
    <w:rsid w:val="00D2291D"/>
    <w:rsid w:val="00D22D49"/>
    <w:rsid w:val="00D23930"/>
    <w:rsid w:val="00D23A23"/>
    <w:rsid w:val="00D24D8A"/>
    <w:rsid w:val="00D24DA4"/>
    <w:rsid w:val="00D25235"/>
    <w:rsid w:val="00D25383"/>
    <w:rsid w:val="00D2552A"/>
    <w:rsid w:val="00D25670"/>
    <w:rsid w:val="00D277FB"/>
    <w:rsid w:val="00D301FF"/>
    <w:rsid w:val="00D3257F"/>
    <w:rsid w:val="00D33789"/>
    <w:rsid w:val="00D33E67"/>
    <w:rsid w:val="00D340E2"/>
    <w:rsid w:val="00D342A6"/>
    <w:rsid w:val="00D35B60"/>
    <w:rsid w:val="00D36887"/>
    <w:rsid w:val="00D36955"/>
    <w:rsid w:val="00D373FE"/>
    <w:rsid w:val="00D37563"/>
    <w:rsid w:val="00D379EB"/>
    <w:rsid w:val="00D37EBE"/>
    <w:rsid w:val="00D400B8"/>
    <w:rsid w:val="00D4022C"/>
    <w:rsid w:val="00D41023"/>
    <w:rsid w:val="00D41C6C"/>
    <w:rsid w:val="00D42465"/>
    <w:rsid w:val="00D42E5B"/>
    <w:rsid w:val="00D4308B"/>
    <w:rsid w:val="00D439D1"/>
    <w:rsid w:val="00D43C68"/>
    <w:rsid w:val="00D4411C"/>
    <w:rsid w:val="00D444B2"/>
    <w:rsid w:val="00D44BFE"/>
    <w:rsid w:val="00D453E4"/>
    <w:rsid w:val="00D47226"/>
    <w:rsid w:val="00D473EB"/>
    <w:rsid w:val="00D50B21"/>
    <w:rsid w:val="00D50C2C"/>
    <w:rsid w:val="00D51349"/>
    <w:rsid w:val="00D51BC6"/>
    <w:rsid w:val="00D51F02"/>
    <w:rsid w:val="00D527AF"/>
    <w:rsid w:val="00D529E1"/>
    <w:rsid w:val="00D534C2"/>
    <w:rsid w:val="00D5410F"/>
    <w:rsid w:val="00D5539F"/>
    <w:rsid w:val="00D556F4"/>
    <w:rsid w:val="00D55BC4"/>
    <w:rsid w:val="00D564DF"/>
    <w:rsid w:val="00D576DD"/>
    <w:rsid w:val="00D57CB4"/>
    <w:rsid w:val="00D61477"/>
    <w:rsid w:val="00D619A5"/>
    <w:rsid w:val="00D619E2"/>
    <w:rsid w:val="00D62036"/>
    <w:rsid w:val="00D620CC"/>
    <w:rsid w:val="00D634B8"/>
    <w:rsid w:val="00D63EF3"/>
    <w:rsid w:val="00D64441"/>
    <w:rsid w:val="00D65497"/>
    <w:rsid w:val="00D654DA"/>
    <w:rsid w:val="00D65E94"/>
    <w:rsid w:val="00D6609E"/>
    <w:rsid w:val="00D67A9F"/>
    <w:rsid w:val="00D67C20"/>
    <w:rsid w:val="00D67F0D"/>
    <w:rsid w:val="00D70C1B"/>
    <w:rsid w:val="00D70E5C"/>
    <w:rsid w:val="00D7146C"/>
    <w:rsid w:val="00D718CD"/>
    <w:rsid w:val="00D7416F"/>
    <w:rsid w:val="00D755F2"/>
    <w:rsid w:val="00D762AC"/>
    <w:rsid w:val="00D775E7"/>
    <w:rsid w:val="00D7796E"/>
    <w:rsid w:val="00D77B9E"/>
    <w:rsid w:val="00D81CA9"/>
    <w:rsid w:val="00D822CC"/>
    <w:rsid w:val="00D839D8"/>
    <w:rsid w:val="00D83F9E"/>
    <w:rsid w:val="00D840C2"/>
    <w:rsid w:val="00D84562"/>
    <w:rsid w:val="00D85C16"/>
    <w:rsid w:val="00D8604B"/>
    <w:rsid w:val="00D86169"/>
    <w:rsid w:val="00D8676D"/>
    <w:rsid w:val="00D86C2A"/>
    <w:rsid w:val="00D86F8A"/>
    <w:rsid w:val="00D8732E"/>
    <w:rsid w:val="00D91294"/>
    <w:rsid w:val="00D9186A"/>
    <w:rsid w:val="00D92D47"/>
    <w:rsid w:val="00D93F6C"/>
    <w:rsid w:val="00D94213"/>
    <w:rsid w:val="00D94BEB"/>
    <w:rsid w:val="00D94EA5"/>
    <w:rsid w:val="00D9570C"/>
    <w:rsid w:val="00D95A63"/>
    <w:rsid w:val="00D95B84"/>
    <w:rsid w:val="00D95F32"/>
    <w:rsid w:val="00D95FA4"/>
    <w:rsid w:val="00D96C1D"/>
    <w:rsid w:val="00DA024A"/>
    <w:rsid w:val="00DA07EE"/>
    <w:rsid w:val="00DA0A58"/>
    <w:rsid w:val="00DA13BA"/>
    <w:rsid w:val="00DA1954"/>
    <w:rsid w:val="00DA1C85"/>
    <w:rsid w:val="00DA1CC9"/>
    <w:rsid w:val="00DA2E58"/>
    <w:rsid w:val="00DA328E"/>
    <w:rsid w:val="00DA3897"/>
    <w:rsid w:val="00DA3AA6"/>
    <w:rsid w:val="00DA46C1"/>
    <w:rsid w:val="00DA53D3"/>
    <w:rsid w:val="00DA70DD"/>
    <w:rsid w:val="00DA7771"/>
    <w:rsid w:val="00DB088F"/>
    <w:rsid w:val="00DB0B4A"/>
    <w:rsid w:val="00DB1487"/>
    <w:rsid w:val="00DB19B4"/>
    <w:rsid w:val="00DB19F1"/>
    <w:rsid w:val="00DB26AE"/>
    <w:rsid w:val="00DB297D"/>
    <w:rsid w:val="00DB4411"/>
    <w:rsid w:val="00DB466D"/>
    <w:rsid w:val="00DB5FD0"/>
    <w:rsid w:val="00DB7395"/>
    <w:rsid w:val="00DB75C2"/>
    <w:rsid w:val="00DB7E2C"/>
    <w:rsid w:val="00DB7EF8"/>
    <w:rsid w:val="00DC0070"/>
    <w:rsid w:val="00DC027B"/>
    <w:rsid w:val="00DC094B"/>
    <w:rsid w:val="00DC0A64"/>
    <w:rsid w:val="00DC0FC4"/>
    <w:rsid w:val="00DC1B9A"/>
    <w:rsid w:val="00DC225C"/>
    <w:rsid w:val="00DC2344"/>
    <w:rsid w:val="00DC2E4F"/>
    <w:rsid w:val="00DC384C"/>
    <w:rsid w:val="00DC3A80"/>
    <w:rsid w:val="00DC40C4"/>
    <w:rsid w:val="00DC482B"/>
    <w:rsid w:val="00DC4AFD"/>
    <w:rsid w:val="00DC4D87"/>
    <w:rsid w:val="00DC4D8A"/>
    <w:rsid w:val="00DC6DF6"/>
    <w:rsid w:val="00DC7BFE"/>
    <w:rsid w:val="00DD08C7"/>
    <w:rsid w:val="00DD1A10"/>
    <w:rsid w:val="00DD200D"/>
    <w:rsid w:val="00DD2990"/>
    <w:rsid w:val="00DD2FE9"/>
    <w:rsid w:val="00DD3A7E"/>
    <w:rsid w:val="00DD434E"/>
    <w:rsid w:val="00DD4402"/>
    <w:rsid w:val="00DD60D0"/>
    <w:rsid w:val="00DD6200"/>
    <w:rsid w:val="00DD686C"/>
    <w:rsid w:val="00DD6E86"/>
    <w:rsid w:val="00DE095E"/>
    <w:rsid w:val="00DE0E5D"/>
    <w:rsid w:val="00DE1823"/>
    <w:rsid w:val="00DE447F"/>
    <w:rsid w:val="00DE48F0"/>
    <w:rsid w:val="00DE4A77"/>
    <w:rsid w:val="00DE68EE"/>
    <w:rsid w:val="00DE6D24"/>
    <w:rsid w:val="00DE7285"/>
    <w:rsid w:val="00DE7C40"/>
    <w:rsid w:val="00DF01A4"/>
    <w:rsid w:val="00DF0EA5"/>
    <w:rsid w:val="00DF128E"/>
    <w:rsid w:val="00DF1F1D"/>
    <w:rsid w:val="00DF23A5"/>
    <w:rsid w:val="00DF2F24"/>
    <w:rsid w:val="00DF31B5"/>
    <w:rsid w:val="00DF4C6E"/>
    <w:rsid w:val="00DF6666"/>
    <w:rsid w:val="00DF745E"/>
    <w:rsid w:val="00DF762E"/>
    <w:rsid w:val="00E0044E"/>
    <w:rsid w:val="00E00816"/>
    <w:rsid w:val="00E0239F"/>
    <w:rsid w:val="00E0267B"/>
    <w:rsid w:val="00E04441"/>
    <w:rsid w:val="00E05402"/>
    <w:rsid w:val="00E05F03"/>
    <w:rsid w:val="00E06370"/>
    <w:rsid w:val="00E06B7B"/>
    <w:rsid w:val="00E06E20"/>
    <w:rsid w:val="00E07DD9"/>
    <w:rsid w:val="00E102F8"/>
    <w:rsid w:val="00E12FCF"/>
    <w:rsid w:val="00E13273"/>
    <w:rsid w:val="00E13379"/>
    <w:rsid w:val="00E139AB"/>
    <w:rsid w:val="00E139EE"/>
    <w:rsid w:val="00E14D83"/>
    <w:rsid w:val="00E14FA6"/>
    <w:rsid w:val="00E15A0D"/>
    <w:rsid w:val="00E16626"/>
    <w:rsid w:val="00E16640"/>
    <w:rsid w:val="00E1740F"/>
    <w:rsid w:val="00E178CC"/>
    <w:rsid w:val="00E200CF"/>
    <w:rsid w:val="00E2021E"/>
    <w:rsid w:val="00E22487"/>
    <w:rsid w:val="00E230E8"/>
    <w:rsid w:val="00E23519"/>
    <w:rsid w:val="00E24287"/>
    <w:rsid w:val="00E27986"/>
    <w:rsid w:val="00E30698"/>
    <w:rsid w:val="00E31367"/>
    <w:rsid w:val="00E3181C"/>
    <w:rsid w:val="00E31FF9"/>
    <w:rsid w:val="00E32EF3"/>
    <w:rsid w:val="00E33E21"/>
    <w:rsid w:val="00E34BC4"/>
    <w:rsid w:val="00E3540C"/>
    <w:rsid w:val="00E36187"/>
    <w:rsid w:val="00E36332"/>
    <w:rsid w:val="00E36C9B"/>
    <w:rsid w:val="00E37638"/>
    <w:rsid w:val="00E37BB2"/>
    <w:rsid w:val="00E37E9D"/>
    <w:rsid w:val="00E41B71"/>
    <w:rsid w:val="00E41F76"/>
    <w:rsid w:val="00E42569"/>
    <w:rsid w:val="00E434A0"/>
    <w:rsid w:val="00E44D30"/>
    <w:rsid w:val="00E4597F"/>
    <w:rsid w:val="00E46CB7"/>
    <w:rsid w:val="00E4723D"/>
    <w:rsid w:val="00E47971"/>
    <w:rsid w:val="00E5077C"/>
    <w:rsid w:val="00E50EC8"/>
    <w:rsid w:val="00E5159B"/>
    <w:rsid w:val="00E515C6"/>
    <w:rsid w:val="00E51771"/>
    <w:rsid w:val="00E52E0D"/>
    <w:rsid w:val="00E52FE2"/>
    <w:rsid w:val="00E53712"/>
    <w:rsid w:val="00E54629"/>
    <w:rsid w:val="00E54715"/>
    <w:rsid w:val="00E54ACD"/>
    <w:rsid w:val="00E54D6B"/>
    <w:rsid w:val="00E54E6F"/>
    <w:rsid w:val="00E55338"/>
    <w:rsid w:val="00E55DF1"/>
    <w:rsid w:val="00E56370"/>
    <w:rsid w:val="00E569AF"/>
    <w:rsid w:val="00E57398"/>
    <w:rsid w:val="00E5774E"/>
    <w:rsid w:val="00E57EEB"/>
    <w:rsid w:val="00E60318"/>
    <w:rsid w:val="00E60BA8"/>
    <w:rsid w:val="00E618A8"/>
    <w:rsid w:val="00E61E25"/>
    <w:rsid w:val="00E61E28"/>
    <w:rsid w:val="00E628E4"/>
    <w:rsid w:val="00E62F58"/>
    <w:rsid w:val="00E647F7"/>
    <w:rsid w:val="00E65505"/>
    <w:rsid w:val="00E65FF5"/>
    <w:rsid w:val="00E66857"/>
    <w:rsid w:val="00E67190"/>
    <w:rsid w:val="00E67556"/>
    <w:rsid w:val="00E70918"/>
    <w:rsid w:val="00E71891"/>
    <w:rsid w:val="00E7252F"/>
    <w:rsid w:val="00E73FC2"/>
    <w:rsid w:val="00E74481"/>
    <w:rsid w:val="00E74517"/>
    <w:rsid w:val="00E755D7"/>
    <w:rsid w:val="00E7566D"/>
    <w:rsid w:val="00E76E91"/>
    <w:rsid w:val="00E77225"/>
    <w:rsid w:val="00E774B4"/>
    <w:rsid w:val="00E778F5"/>
    <w:rsid w:val="00E80E7C"/>
    <w:rsid w:val="00E81779"/>
    <w:rsid w:val="00E81A04"/>
    <w:rsid w:val="00E8205B"/>
    <w:rsid w:val="00E82444"/>
    <w:rsid w:val="00E8341C"/>
    <w:rsid w:val="00E83691"/>
    <w:rsid w:val="00E85F6F"/>
    <w:rsid w:val="00E8602B"/>
    <w:rsid w:val="00E86B5F"/>
    <w:rsid w:val="00E87C8F"/>
    <w:rsid w:val="00E87D05"/>
    <w:rsid w:val="00E911BF"/>
    <w:rsid w:val="00E91F96"/>
    <w:rsid w:val="00E92E99"/>
    <w:rsid w:val="00E92FE5"/>
    <w:rsid w:val="00E93377"/>
    <w:rsid w:val="00E968FD"/>
    <w:rsid w:val="00E96D55"/>
    <w:rsid w:val="00E97784"/>
    <w:rsid w:val="00E97993"/>
    <w:rsid w:val="00EA0D5D"/>
    <w:rsid w:val="00EA0ECF"/>
    <w:rsid w:val="00EA1192"/>
    <w:rsid w:val="00EA153F"/>
    <w:rsid w:val="00EA2788"/>
    <w:rsid w:val="00EA2C6E"/>
    <w:rsid w:val="00EA487C"/>
    <w:rsid w:val="00EA4964"/>
    <w:rsid w:val="00EA4F1A"/>
    <w:rsid w:val="00EA567C"/>
    <w:rsid w:val="00EA7847"/>
    <w:rsid w:val="00EB02DE"/>
    <w:rsid w:val="00EB0A07"/>
    <w:rsid w:val="00EB1B69"/>
    <w:rsid w:val="00EB1C78"/>
    <w:rsid w:val="00EB2886"/>
    <w:rsid w:val="00EB3B46"/>
    <w:rsid w:val="00EB4F08"/>
    <w:rsid w:val="00EB54F4"/>
    <w:rsid w:val="00EC2E07"/>
    <w:rsid w:val="00EC43C7"/>
    <w:rsid w:val="00EC465D"/>
    <w:rsid w:val="00EC5C89"/>
    <w:rsid w:val="00EC63D2"/>
    <w:rsid w:val="00EC66D2"/>
    <w:rsid w:val="00EC67E7"/>
    <w:rsid w:val="00ED0A1B"/>
    <w:rsid w:val="00ED21BC"/>
    <w:rsid w:val="00ED2FEC"/>
    <w:rsid w:val="00ED3F67"/>
    <w:rsid w:val="00ED440A"/>
    <w:rsid w:val="00ED4F83"/>
    <w:rsid w:val="00ED7971"/>
    <w:rsid w:val="00EE0748"/>
    <w:rsid w:val="00EE29A0"/>
    <w:rsid w:val="00EE2CEA"/>
    <w:rsid w:val="00EE3365"/>
    <w:rsid w:val="00EE48DF"/>
    <w:rsid w:val="00EE4AB3"/>
    <w:rsid w:val="00EE5A3D"/>
    <w:rsid w:val="00EE7405"/>
    <w:rsid w:val="00EF033E"/>
    <w:rsid w:val="00EF06EC"/>
    <w:rsid w:val="00EF14FF"/>
    <w:rsid w:val="00EF2BFE"/>
    <w:rsid w:val="00EF2D85"/>
    <w:rsid w:val="00EF402C"/>
    <w:rsid w:val="00EF45E0"/>
    <w:rsid w:val="00EF4E6F"/>
    <w:rsid w:val="00EF5C82"/>
    <w:rsid w:val="00EF7A15"/>
    <w:rsid w:val="00F00E67"/>
    <w:rsid w:val="00F01F8C"/>
    <w:rsid w:val="00F02F4C"/>
    <w:rsid w:val="00F035A6"/>
    <w:rsid w:val="00F04AD0"/>
    <w:rsid w:val="00F04CA5"/>
    <w:rsid w:val="00F06343"/>
    <w:rsid w:val="00F06E87"/>
    <w:rsid w:val="00F07C9C"/>
    <w:rsid w:val="00F10033"/>
    <w:rsid w:val="00F1067F"/>
    <w:rsid w:val="00F10848"/>
    <w:rsid w:val="00F10B68"/>
    <w:rsid w:val="00F1164C"/>
    <w:rsid w:val="00F11F55"/>
    <w:rsid w:val="00F12DEC"/>
    <w:rsid w:val="00F13151"/>
    <w:rsid w:val="00F1365D"/>
    <w:rsid w:val="00F14C07"/>
    <w:rsid w:val="00F1503B"/>
    <w:rsid w:val="00F15523"/>
    <w:rsid w:val="00F16391"/>
    <w:rsid w:val="00F17401"/>
    <w:rsid w:val="00F205C0"/>
    <w:rsid w:val="00F2062B"/>
    <w:rsid w:val="00F21A18"/>
    <w:rsid w:val="00F21E61"/>
    <w:rsid w:val="00F220EA"/>
    <w:rsid w:val="00F222CD"/>
    <w:rsid w:val="00F24EA4"/>
    <w:rsid w:val="00F24F37"/>
    <w:rsid w:val="00F25319"/>
    <w:rsid w:val="00F2625A"/>
    <w:rsid w:val="00F279EC"/>
    <w:rsid w:val="00F31A03"/>
    <w:rsid w:val="00F3283C"/>
    <w:rsid w:val="00F32D0F"/>
    <w:rsid w:val="00F343F0"/>
    <w:rsid w:val="00F34620"/>
    <w:rsid w:val="00F34AAB"/>
    <w:rsid w:val="00F34C4D"/>
    <w:rsid w:val="00F350CF"/>
    <w:rsid w:val="00F35582"/>
    <w:rsid w:val="00F37004"/>
    <w:rsid w:val="00F376A1"/>
    <w:rsid w:val="00F37B8E"/>
    <w:rsid w:val="00F37D3F"/>
    <w:rsid w:val="00F40F88"/>
    <w:rsid w:val="00F41746"/>
    <w:rsid w:val="00F41E79"/>
    <w:rsid w:val="00F42EC9"/>
    <w:rsid w:val="00F4315F"/>
    <w:rsid w:val="00F445F6"/>
    <w:rsid w:val="00F4512F"/>
    <w:rsid w:val="00F45763"/>
    <w:rsid w:val="00F4582A"/>
    <w:rsid w:val="00F45BCF"/>
    <w:rsid w:val="00F45BEA"/>
    <w:rsid w:val="00F45CFE"/>
    <w:rsid w:val="00F46877"/>
    <w:rsid w:val="00F47F3E"/>
    <w:rsid w:val="00F530E6"/>
    <w:rsid w:val="00F532C7"/>
    <w:rsid w:val="00F5428B"/>
    <w:rsid w:val="00F54EE5"/>
    <w:rsid w:val="00F55358"/>
    <w:rsid w:val="00F5603C"/>
    <w:rsid w:val="00F5605C"/>
    <w:rsid w:val="00F560E5"/>
    <w:rsid w:val="00F564B9"/>
    <w:rsid w:val="00F57909"/>
    <w:rsid w:val="00F612D6"/>
    <w:rsid w:val="00F61CB3"/>
    <w:rsid w:val="00F63400"/>
    <w:rsid w:val="00F636C6"/>
    <w:rsid w:val="00F6433D"/>
    <w:rsid w:val="00F649E4"/>
    <w:rsid w:val="00F6573E"/>
    <w:rsid w:val="00F65F32"/>
    <w:rsid w:val="00F662EB"/>
    <w:rsid w:val="00F66D57"/>
    <w:rsid w:val="00F67606"/>
    <w:rsid w:val="00F70057"/>
    <w:rsid w:val="00F70327"/>
    <w:rsid w:val="00F70FEF"/>
    <w:rsid w:val="00F72FA8"/>
    <w:rsid w:val="00F75415"/>
    <w:rsid w:val="00F76682"/>
    <w:rsid w:val="00F773F9"/>
    <w:rsid w:val="00F77CA8"/>
    <w:rsid w:val="00F77E34"/>
    <w:rsid w:val="00F8101C"/>
    <w:rsid w:val="00F81666"/>
    <w:rsid w:val="00F817B9"/>
    <w:rsid w:val="00F81CB7"/>
    <w:rsid w:val="00F82280"/>
    <w:rsid w:val="00F8235F"/>
    <w:rsid w:val="00F828D6"/>
    <w:rsid w:val="00F83A22"/>
    <w:rsid w:val="00F83A97"/>
    <w:rsid w:val="00F844F0"/>
    <w:rsid w:val="00F84895"/>
    <w:rsid w:val="00F849CD"/>
    <w:rsid w:val="00F84E9D"/>
    <w:rsid w:val="00F8659E"/>
    <w:rsid w:val="00F86CE4"/>
    <w:rsid w:val="00F86F42"/>
    <w:rsid w:val="00F90073"/>
    <w:rsid w:val="00F90C45"/>
    <w:rsid w:val="00F91941"/>
    <w:rsid w:val="00F92E3F"/>
    <w:rsid w:val="00F938D2"/>
    <w:rsid w:val="00F96389"/>
    <w:rsid w:val="00F9650E"/>
    <w:rsid w:val="00F96B73"/>
    <w:rsid w:val="00F977C7"/>
    <w:rsid w:val="00FA0890"/>
    <w:rsid w:val="00FA164A"/>
    <w:rsid w:val="00FA3F3E"/>
    <w:rsid w:val="00FA4272"/>
    <w:rsid w:val="00FA4855"/>
    <w:rsid w:val="00FA4ACD"/>
    <w:rsid w:val="00FA625F"/>
    <w:rsid w:val="00FA6428"/>
    <w:rsid w:val="00FA66AC"/>
    <w:rsid w:val="00FA7144"/>
    <w:rsid w:val="00FA7184"/>
    <w:rsid w:val="00FB1D9D"/>
    <w:rsid w:val="00FB21B9"/>
    <w:rsid w:val="00FB252A"/>
    <w:rsid w:val="00FB3304"/>
    <w:rsid w:val="00FB46B8"/>
    <w:rsid w:val="00FB4B38"/>
    <w:rsid w:val="00FB54BB"/>
    <w:rsid w:val="00FB5AC0"/>
    <w:rsid w:val="00FB5B9B"/>
    <w:rsid w:val="00FB6C91"/>
    <w:rsid w:val="00FB74E8"/>
    <w:rsid w:val="00FC0263"/>
    <w:rsid w:val="00FC0348"/>
    <w:rsid w:val="00FC0FB5"/>
    <w:rsid w:val="00FC102A"/>
    <w:rsid w:val="00FC154C"/>
    <w:rsid w:val="00FC1DBC"/>
    <w:rsid w:val="00FC2637"/>
    <w:rsid w:val="00FC393B"/>
    <w:rsid w:val="00FC4052"/>
    <w:rsid w:val="00FC5252"/>
    <w:rsid w:val="00FC6356"/>
    <w:rsid w:val="00FC7D01"/>
    <w:rsid w:val="00FD008D"/>
    <w:rsid w:val="00FD0130"/>
    <w:rsid w:val="00FD0373"/>
    <w:rsid w:val="00FD0582"/>
    <w:rsid w:val="00FD0C93"/>
    <w:rsid w:val="00FD1062"/>
    <w:rsid w:val="00FD2589"/>
    <w:rsid w:val="00FD4876"/>
    <w:rsid w:val="00FD4956"/>
    <w:rsid w:val="00FD52A3"/>
    <w:rsid w:val="00FD68D4"/>
    <w:rsid w:val="00FE00D9"/>
    <w:rsid w:val="00FE0D32"/>
    <w:rsid w:val="00FE100A"/>
    <w:rsid w:val="00FE1186"/>
    <w:rsid w:val="00FE14A7"/>
    <w:rsid w:val="00FE177A"/>
    <w:rsid w:val="00FE240A"/>
    <w:rsid w:val="00FE299F"/>
    <w:rsid w:val="00FE3E3C"/>
    <w:rsid w:val="00FE43E7"/>
    <w:rsid w:val="00FE4B66"/>
    <w:rsid w:val="00FE4F6E"/>
    <w:rsid w:val="00FE583F"/>
    <w:rsid w:val="00FE5CC4"/>
    <w:rsid w:val="00FE6B13"/>
    <w:rsid w:val="00FE7575"/>
    <w:rsid w:val="00FE79DB"/>
    <w:rsid w:val="00FF1070"/>
    <w:rsid w:val="00FF13E2"/>
    <w:rsid w:val="00FF2237"/>
    <w:rsid w:val="00FF2DFB"/>
    <w:rsid w:val="00FF4953"/>
    <w:rsid w:val="00FF4CEE"/>
    <w:rsid w:val="00FF5FA3"/>
    <w:rsid w:val="00FF5FCE"/>
    <w:rsid w:val="00FF6177"/>
    <w:rsid w:val="00FF6AD9"/>
    <w:rsid w:val="00FF6C7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B109C1"/>
  <w15:docId w15:val="{FE077B15-EA81-45C1-AE0A-A5AD4C13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88C"/>
    <w:rPr>
      <w:sz w:val="24"/>
      <w:szCs w:val="24"/>
    </w:rPr>
  </w:style>
  <w:style w:type="paragraph" w:styleId="Heading1">
    <w:name w:val="heading 1"/>
    <w:basedOn w:val="Normal"/>
    <w:link w:val="Heading1Char"/>
    <w:uiPriority w:val="99"/>
    <w:qFormat/>
    <w:rsid w:val="0094482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locked/>
    <w:rsid w:val="005D508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44826"/>
    <w:rPr>
      <w:rFonts w:ascii="Cambria" w:hAnsi="Cambria" w:cs="Times New Roman"/>
      <w:b/>
      <w:bCs/>
      <w:color w:val="365F91"/>
      <w:sz w:val="28"/>
      <w:szCs w:val="28"/>
    </w:rPr>
  </w:style>
  <w:style w:type="character" w:styleId="Hyperlink">
    <w:name w:val="Hyperlink"/>
    <w:uiPriority w:val="99"/>
    <w:semiHidden/>
    <w:rsid w:val="00944826"/>
    <w:rPr>
      <w:rFonts w:cs="Times New Roman"/>
      <w:color w:val="0000FF"/>
      <w:u w:val="single"/>
    </w:rPr>
  </w:style>
  <w:style w:type="character" w:styleId="FollowedHyperlink">
    <w:name w:val="FollowedHyperlink"/>
    <w:uiPriority w:val="99"/>
    <w:semiHidden/>
    <w:rsid w:val="00944826"/>
    <w:rPr>
      <w:rFonts w:cs="Times New Roman"/>
      <w:color w:val="800080"/>
      <w:u w:val="single"/>
    </w:rPr>
  </w:style>
  <w:style w:type="paragraph" w:customStyle="1" w:styleId="h1">
    <w:name w:val="h1"/>
    <w:basedOn w:val="Normal"/>
    <w:uiPriority w:val="99"/>
    <w:rsid w:val="00944826"/>
    <w:pPr>
      <w:spacing w:after="150"/>
    </w:pPr>
    <w:rPr>
      <w:color w:val="306060"/>
      <w:sz w:val="31"/>
      <w:szCs w:val="31"/>
    </w:rPr>
  </w:style>
  <w:style w:type="paragraph" w:customStyle="1" w:styleId="h2">
    <w:name w:val="h2"/>
    <w:basedOn w:val="Normal"/>
    <w:uiPriority w:val="99"/>
    <w:rsid w:val="00944826"/>
    <w:pPr>
      <w:spacing w:before="100" w:beforeAutospacing="1" w:after="100" w:afterAutospacing="1"/>
    </w:pPr>
    <w:rPr>
      <w:color w:val="306060"/>
    </w:rPr>
  </w:style>
  <w:style w:type="paragraph" w:customStyle="1" w:styleId="a">
    <w:name w:val="a"/>
    <w:basedOn w:val="Normal"/>
    <w:uiPriority w:val="99"/>
    <w:rsid w:val="00944826"/>
    <w:pPr>
      <w:spacing w:before="100" w:beforeAutospacing="1" w:after="100" w:afterAutospacing="1"/>
    </w:pPr>
    <w:rPr>
      <w:color w:val="306060"/>
    </w:rPr>
  </w:style>
  <w:style w:type="paragraph" w:customStyle="1" w:styleId="b">
    <w:name w:val="b"/>
    <w:basedOn w:val="Normal"/>
    <w:uiPriority w:val="99"/>
    <w:rsid w:val="00944826"/>
    <w:pPr>
      <w:spacing w:before="100" w:beforeAutospacing="1" w:after="100" w:afterAutospacing="1"/>
    </w:pPr>
    <w:rPr>
      <w:color w:val="306060"/>
    </w:rPr>
  </w:style>
  <w:style w:type="paragraph" w:customStyle="1" w:styleId="body">
    <w:name w:val="body"/>
    <w:basedOn w:val="Normal"/>
    <w:uiPriority w:val="99"/>
    <w:rsid w:val="00944826"/>
    <w:pPr>
      <w:shd w:val="clear" w:color="auto" w:fill="C9E1DF"/>
      <w:spacing w:before="100" w:beforeAutospacing="1" w:after="100" w:afterAutospacing="1"/>
    </w:pPr>
    <w:rPr>
      <w:rFonts w:ascii="Arial" w:hAnsi="Arial" w:cs="Arial"/>
      <w:color w:val="333333"/>
    </w:rPr>
  </w:style>
  <w:style w:type="paragraph" w:customStyle="1" w:styleId="button">
    <w:name w:val="button"/>
    <w:basedOn w:val="Normal"/>
    <w:uiPriority w:val="99"/>
    <w:rsid w:val="00944826"/>
    <w:pPr>
      <w:spacing w:before="100" w:beforeAutospacing="1" w:after="100" w:afterAutospacing="1"/>
    </w:pPr>
    <w:rPr>
      <w:color w:val="F0F8F8"/>
    </w:rPr>
  </w:style>
  <w:style w:type="paragraph" w:customStyle="1" w:styleId="radio">
    <w:name w:val="radio"/>
    <w:basedOn w:val="Normal"/>
    <w:uiPriority w:val="99"/>
    <w:rsid w:val="00944826"/>
    <w:pPr>
      <w:spacing w:before="100" w:beforeAutospacing="1" w:after="100" w:afterAutospacing="1"/>
    </w:pPr>
  </w:style>
  <w:style w:type="paragraph" w:customStyle="1" w:styleId="headcol">
    <w:name w:val="headcol"/>
    <w:basedOn w:val="Normal"/>
    <w:uiPriority w:val="99"/>
    <w:rsid w:val="00944826"/>
    <w:pPr>
      <w:spacing w:before="100" w:beforeAutospacing="1" w:after="100" w:afterAutospacing="1"/>
    </w:pPr>
    <w:rPr>
      <w:color w:val="F0F8F8"/>
    </w:rPr>
  </w:style>
  <w:style w:type="paragraph" w:customStyle="1" w:styleId="titlecol">
    <w:name w:val="titlecol"/>
    <w:basedOn w:val="Normal"/>
    <w:uiPriority w:val="99"/>
    <w:rsid w:val="00944826"/>
    <w:pPr>
      <w:spacing w:before="100" w:beforeAutospacing="1" w:after="100" w:afterAutospacing="1"/>
      <w:jc w:val="right"/>
    </w:pPr>
    <w:rPr>
      <w:b/>
      <w:bCs/>
    </w:rPr>
  </w:style>
  <w:style w:type="paragraph" w:customStyle="1" w:styleId="th">
    <w:name w:val="th"/>
    <w:basedOn w:val="Normal"/>
    <w:uiPriority w:val="99"/>
    <w:rsid w:val="00944826"/>
    <w:pPr>
      <w:spacing w:before="100" w:beforeAutospacing="1" w:after="100" w:afterAutospacing="1"/>
    </w:pPr>
    <w:rPr>
      <w:b/>
      <w:bCs/>
      <w:color w:val="333333"/>
    </w:rPr>
  </w:style>
  <w:style w:type="paragraph" w:customStyle="1" w:styleId="thr">
    <w:name w:val="thr"/>
    <w:basedOn w:val="Normal"/>
    <w:uiPriority w:val="99"/>
    <w:rsid w:val="00944826"/>
    <w:pPr>
      <w:spacing w:before="100" w:beforeAutospacing="1" w:after="100" w:afterAutospacing="1"/>
      <w:jc w:val="right"/>
    </w:pPr>
  </w:style>
  <w:style w:type="paragraph" w:customStyle="1" w:styleId="bdc">
    <w:name w:val="bdc"/>
    <w:basedOn w:val="Normal"/>
    <w:uiPriority w:val="99"/>
    <w:rsid w:val="00944826"/>
    <w:pPr>
      <w:spacing w:before="100" w:beforeAutospacing="1" w:after="100" w:afterAutospacing="1"/>
    </w:pPr>
    <w:rPr>
      <w:b/>
      <w:bCs/>
    </w:rPr>
  </w:style>
  <w:style w:type="paragraph" w:customStyle="1" w:styleId="input">
    <w:name w:val="input"/>
    <w:basedOn w:val="Normal"/>
    <w:uiPriority w:val="99"/>
    <w:rsid w:val="00944826"/>
    <w:pPr>
      <w:shd w:val="clear" w:color="auto" w:fill="F0F8F8"/>
      <w:spacing w:before="100" w:beforeAutospacing="1" w:after="100" w:afterAutospacing="1"/>
    </w:pPr>
    <w:rPr>
      <w:rFonts w:ascii="Arial" w:hAnsi="Arial" w:cs="Arial"/>
      <w:color w:val="333333"/>
    </w:rPr>
  </w:style>
  <w:style w:type="paragraph" w:customStyle="1" w:styleId="myinput">
    <w:name w:val="myinput"/>
    <w:basedOn w:val="Normal"/>
    <w:uiPriority w:val="99"/>
    <w:rsid w:val="00944826"/>
    <w:pPr>
      <w:shd w:val="clear" w:color="auto" w:fill="F0F8F8"/>
      <w:spacing w:before="100" w:beforeAutospacing="1" w:after="100" w:afterAutospacing="1"/>
    </w:pPr>
    <w:rPr>
      <w:rFonts w:ascii="Arial" w:hAnsi="Arial" w:cs="Arial"/>
      <w:color w:val="333333"/>
    </w:rPr>
  </w:style>
  <w:style w:type="paragraph" w:customStyle="1" w:styleId="select">
    <w:name w:val="select"/>
    <w:basedOn w:val="Normal"/>
    <w:uiPriority w:val="99"/>
    <w:rsid w:val="00944826"/>
    <w:pPr>
      <w:shd w:val="clear" w:color="auto" w:fill="F0F8F8"/>
      <w:spacing w:before="100" w:beforeAutospacing="1" w:after="100" w:afterAutospacing="1"/>
    </w:pPr>
    <w:rPr>
      <w:color w:val="333333"/>
    </w:rPr>
  </w:style>
  <w:style w:type="paragraph" w:customStyle="1" w:styleId="top1">
    <w:name w:val="top1"/>
    <w:basedOn w:val="Normal"/>
    <w:uiPriority w:val="99"/>
    <w:rsid w:val="00944826"/>
    <w:pPr>
      <w:spacing w:before="100" w:beforeAutospacing="1" w:after="100" w:afterAutospacing="1"/>
    </w:pPr>
  </w:style>
  <w:style w:type="paragraph" w:customStyle="1" w:styleId="logo">
    <w:name w:val="logo"/>
    <w:basedOn w:val="Normal"/>
    <w:uiPriority w:val="99"/>
    <w:rsid w:val="00944826"/>
    <w:pPr>
      <w:spacing w:before="100" w:beforeAutospacing="1" w:after="100" w:afterAutospacing="1"/>
    </w:pPr>
  </w:style>
  <w:style w:type="paragraph" w:customStyle="1" w:styleId="top2">
    <w:name w:val="top2"/>
    <w:basedOn w:val="Normal"/>
    <w:uiPriority w:val="99"/>
    <w:rsid w:val="00944826"/>
    <w:pPr>
      <w:spacing w:before="100" w:beforeAutospacing="1" w:after="100" w:afterAutospacing="1"/>
    </w:pPr>
  </w:style>
  <w:style w:type="paragraph" w:customStyle="1" w:styleId="hline">
    <w:name w:val="hline"/>
    <w:basedOn w:val="Normal"/>
    <w:uiPriority w:val="99"/>
    <w:rsid w:val="00944826"/>
    <w:pPr>
      <w:spacing w:before="100" w:beforeAutospacing="1" w:after="100" w:afterAutospacing="1"/>
    </w:pPr>
  </w:style>
  <w:style w:type="paragraph" w:customStyle="1" w:styleId="vline">
    <w:name w:val="vline"/>
    <w:basedOn w:val="Normal"/>
    <w:uiPriority w:val="99"/>
    <w:rsid w:val="00944826"/>
    <w:pPr>
      <w:spacing w:before="100" w:beforeAutospacing="1" w:after="100" w:afterAutospacing="1"/>
    </w:pPr>
  </w:style>
  <w:style w:type="paragraph" w:customStyle="1" w:styleId="zvabri">
    <w:name w:val="zvabri"/>
    <w:basedOn w:val="Normal"/>
    <w:uiPriority w:val="99"/>
    <w:rsid w:val="00944826"/>
    <w:pPr>
      <w:spacing w:before="100" w:beforeAutospacing="1" w:after="100" w:afterAutospacing="1"/>
    </w:pPr>
    <w:rPr>
      <w:color w:val="FF0000"/>
    </w:rPr>
  </w:style>
  <w:style w:type="paragraph" w:styleId="z-TopofForm">
    <w:name w:val="HTML Top of Form"/>
    <w:basedOn w:val="Normal"/>
    <w:next w:val="Normal"/>
    <w:link w:val="z-TopofFormChar"/>
    <w:hidden/>
    <w:uiPriority w:val="99"/>
    <w:semiHidden/>
    <w:rsid w:val="00944826"/>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944826"/>
    <w:rPr>
      <w:rFonts w:ascii="Arial" w:hAnsi="Arial" w:cs="Arial"/>
      <w:vanish/>
      <w:sz w:val="16"/>
      <w:szCs w:val="16"/>
    </w:rPr>
  </w:style>
  <w:style w:type="paragraph" w:styleId="z-BottomofForm">
    <w:name w:val="HTML Bottom of Form"/>
    <w:basedOn w:val="Normal"/>
    <w:next w:val="Normal"/>
    <w:link w:val="z-BottomofFormChar"/>
    <w:hidden/>
    <w:uiPriority w:val="99"/>
    <w:rsid w:val="00944826"/>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locked/>
    <w:rsid w:val="00944826"/>
    <w:rPr>
      <w:rFonts w:ascii="Arial" w:hAnsi="Arial" w:cs="Arial"/>
      <w:vanish/>
      <w:sz w:val="16"/>
      <w:szCs w:val="16"/>
    </w:rPr>
  </w:style>
  <w:style w:type="paragraph" w:styleId="NormalWeb">
    <w:name w:val="Normal (Web)"/>
    <w:basedOn w:val="Normal"/>
    <w:link w:val="NormalWebChar"/>
    <w:uiPriority w:val="99"/>
    <w:rsid w:val="00944826"/>
    <w:pPr>
      <w:spacing w:before="100" w:beforeAutospacing="1" w:after="100" w:afterAutospacing="1"/>
    </w:pPr>
  </w:style>
  <w:style w:type="paragraph" w:customStyle="1" w:styleId="naisf">
    <w:name w:val="naisf"/>
    <w:basedOn w:val="Normal"/>
    <w:uiPriority w:val="99"/>
    <w:rsid w:val="00944826"/>
    <w:pPr>
      <w:spacing w:before="75" w:after="75"/>
      <w:ind w:firstLine="375"/>
      <w:jc w:val="both"/>
    </w:pPr>
  </w:style>
  <w:style w:type="paragraph" w:customStyle="1" w:styleId="nais1">
    <w:name w:val="nais1"/>
    <w:basedOn w:val="Normal"/>
    <w:uiPriority w:val="99"/>
    <w:rsid w:val="00944826"/>
    <w:pPr>
      <w:spacing w:before="75" w:after="75"/>
      <w:ind w:left="450" w:firstLine="375"/>
      <w:jc w:val="both"/>
    </w:pPr>
  </w:style>
  <w:style w:type="paragraph" w:customStyle="1" w:styleId="nais2">
    <w:name w:val="nais2"/>
    <w:basedOn w:val="Normal"/>
    <w:uiPriority w:val="99"/>
    <w:rsid w:val="00944826"/>
    <w:pPr>
      <w:spacing w:before="75" w:after="75"/>
      <w:ind w:left="900" w:firstLine="375"/>
      <w:jc w:val="both"/>
    </w:pPr>
  </w:style>
  <w:style w:type="paragraph" w:customStyle="1" w:styleId="naispant">
    <w:name w:val="naispant"/>
    <w:basedOn w:val="Normal"/>
    <w:uiPriority w:val="99"/>
    <w:rsid w:val="00944826"/>
    <w:pPr>
      <w:spacing w:before="75" w:after="75"/>
      <w:ind w:left="375" w:firstLine="375"/>
      <w:jc w:val="both"/>
    </w:pPr>
    <w:rPr>
      <w:b/>
      <w:bCs/>
    </w:rPr>
  </w:style>
  <w:style w:type="paragraph" w:customStyle="1" w:styleId="naisvisr">
    <w:name w:val="naisvisr"/>
    <w:basedOn w:val="Normal"/>
    <w:uiPriority w:val="99"/>
    <w:rsid w:val="00944826"/>
    <w:pPr>
      <w:spacing w:before="150" w:after="150"/>
      <w:jc w:val="center"/>
    </w:pPr>
    <w:rPr>
      <w:b/>
      <w:bCs/>
      <w:sz w:val="28"/>
      <w:szCs w:val="28"/>
    </w:rPr>
  </w:style>
  <w:style w:type="paragraph" w:customStyle="1" w:styleId="naisnod">
    <w:name w:val="naisnod"/>
    <w:basedOn w:val="Normal"/>
    <w:uiPriority w:val="99"/>
    <w:rsid w:val="00944826"/>
    <w:pPr>
      <w:spacing w:before="150" w:after="150"/>
      <w:jc w:val="center"/>
    </w:pPr>
    <w:rPr>
      <w:b/>
      <w:bCs/>
    </w:rPr>
  </w:style>
  <w:style w:type="paragraph" w:customStyle="1" w:styleId="naislab">
    <w:name w:val="naislab"/>
    <w:basedOn w:val="Normal"/>
    <w:uiPriority w:val="99"/>
    <w:rsid w:val="00944826"/>
    <w:pPr>
      <w:spacing w:before="75" w:after="75"/>
      <w:jc w:val="right"/>
    </w:pPr>
  </w:style>
  <w:style w:type="paragraph" w:customStyle="1" w:styleId="naiskr">
    <w:name w:val="naiskr"/>
    <w:basedOn w:val="Normal"/>
    <w:uiPriority w:val="99"/>
    <w:rsid w:val="00944826"/>
    <w:pPr>
      <w:spacing w:before="75" w:after="75"/>
    </w:pPr>
  </w:style>
  <w:style w:type="paragraph" w:customStyle="1" w:styleId="naisc">
    <w:name w:val="naisc"/>
    <w:basedOn w:val="Normal"/>
    <w:rsid w:val="00944826"/>
    <w:pPr>
      <w:spacing w:before="75" w:after="75"/>
      <w:jc w:val="center"/>
    </w:pPr>
  </w:style>
  <w:style w:type="character" w:styleId="Strong">
    <w:name w:val="Strong"/>
    <w:uiPriority w:val="22"/>
    <w:qFormat/>
    <w:rsid w:val="00944826"/>
    <w:rPr>
      <w:rFonts w:cs="Times New Roman"/>
      <w:b/>
      <w:bCs/>
    </w:rPr>
  </w:style>
  <w:style w:type="character" w:customStyle="1" w:styleId="th1">
    <w:name w:val="th1"/>
    <w:uiPriority w:val="99"/>
    <w:rsid w:val="00944826"/>
    <w:rPr>
      <w:rFonts w:cs="Times New Roman"/>
      <w:b/>
      <w:bCs/>
      <w:color w:val="333333"/>
    </w:rPr>
  </w:style>
  <w:style w:type="character" w:styleId="Emphasis">
    <w:name w:val="Emphasis"/>
    <w:uiPriority w:val="20"/>
    <w:qFormat/>
    <w:rsid w:val="00944826"/>
    <w:rPr>
      <w:rFonts w:cs="Times New Roman"/>
      <w:i/>
      <w:iCs/>
    </w:rPr>
  </w:style>
  <w:style w:type="paragraph" w:styleId="BalloonText">
    <w:name w:val="Balloon Text"/>
    <w:basedOn w:val="Normal"/>
    <w:link w:val="BalloonTextChar"/>
    <w:uiPriority w:val="99"/>
    <w:semiHidden/>
    <w:rsid w:val="002308FA"/>
    <w:rPr>
      <w:rFonts w:ascii="Tahoma" w:hAnsi="Tahoma" w:cs="Tahoma"/>
      <w:sz w:val="16"/>
      <w:szCs w:val="16"/>
    </w:rPr>
  </w:style>
  <w:style w:type="character" w:customStyle="1" w:styleId="BalloonTextChar">
    <w:name w:val="Balloon Text Char"/>
    <w:link w:val="BalloonText"/>
    <w:uiPriority w:val="99"/>
    <w:semiHidden/>
    <w:locked/>
    <w:rsid w:val="002308FA"/>
    <w:rPr>
      <w:rFonts w:ascii="Tahoma" w:hAnsi="Tahoma" w:cs="Tahoma"/>
      <w:sz w:val="16"/>
      <w:szCs w:val="16"/>
    </w:rPr>
  </w:style>
  <w:style w:type="table" w:styleId="TableGrid">
    <w:name w:val="Table Grid"/>
    <w:basedOn w:val="TableNormal"/>
    <w:uiPriority w:val="99"/>
    <w:locked/>
    <w:rsid w:val="00CD2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D24A9"/>
    <w:pPr>
      <w:ind w:firstLine="709"/>
      <w:jc w:val="both"/>
    </w:pPr>
    <w:rPr>
      <w:sz w:val="28"/>
      <w:szCs w:val="28"/>
      <w:lang w:eastAsia="en-US"/>
    </w:rPr>
  </w:style>
  <w:style w:type="character" w:customStyle="1" w:styleId="BodyTextIndent3Char">
    <w:name w:val="Body Text Indent 3 Char"/>
    <w:link w:val="BodyTextIndent3"/>
    <w:uiPriority w:val="99"/>
    <w:locked/>
    <w:rsid w:val="006D24A9"/>
    <w:rPr>
      <w:rFonts w:cs="Times New Roman"/>
      <w:sz w:val="28"/>
      <w:szCs w:val="28"/>
      <w:lang w:val="lv-LV"/>
    </w:rPr>
  </w:style>
  <w:style w:type="paragraph" w:styleId="Header">
    <w:name w:val="header"/>
    <w:basedOn w:val="Normal"/>
    <w:link w:val="HeaderChar"/>
    <w:uiPriority w:val="99"/>
    <w:rsid w:val="00745496"/>
    <w:pPr>
      <w:tabs>
        <w:tab w:val="center" w:pos="4153"/>
        <w:tab w:val="right" w:pos="8306"/>
      </w:tabs>
    </w:pPr>
  </w:style>
  <w:style w:type="character" w:customStyle="1" w:styleId="HeaderChar">
    <w:name w:val="Header Char"/>
    <w:link w:val="Header"/>
    <w:uiPriority w:val="99"/>
    <w:locked/>
    <w:rsid w:val="009A1431"/>
    <w:rPr>
      <w:rFonts w:cs="Times New Roman"/>
      <w:sz w:val="24"/>
      <w:szCs w:val="24"/>
      <w:lang w:val="lv-LV" w:eastAsia="lv-LV"/>
    </w:rPr>
  </w:style>
  <w:style w:type="character" w:styleId="PageNumber">
    <w:name w:val="page number"/>
    <w:uiPriority w:val="99"/>
    <w:rsid w:val="00745496"/>
    <w:rPr>
      <w:rFonts w:cs="Times New Roman"/>
    </w:rPr>
  </w:style>
  <w:style w:type="paragraph" w:styleId="Footer">
    <w:name w:val="footer"/>
    <w:basedOn w:val="Normal"/>
    <w:link w:val="FooterChar"/>
    <w:uiPriority w:val="99"/>
    <w:rsid w:val="00745496"/>
    <w:pPr>
      <w:tabs>
        <w:tab w:val="center" w:pos="4153"/>
        <w:tab w:val="right" w:pos="8306"/>
      </w:tabs>
    </w:pPr>
  </w:style>
  <w:style w:type="character" w:customStyle="1" w:styleId="FooterChar">
    <w:name w:val="Footer Char"/>
    <w:link w:val="Footer"/>
    <w:uiPriority w:val="99"/>
    <w:semiHidden/>
    <w:locked/>
    <w:rsid w:val="009A1431"/>
    <w:rPr>
      <w:rFonts w:cs="Times New Roman"/>
      <w:sz w:val="24"/>
      <w:szCs w:val="24"/>
      <w:lang w:val="lv-LV" w:eastAsia="lv-LV"/>
    </w:rPr>
  </w:style>
  <w:style w:type="paragraph" w:styleId="ListParagraph">
    <w:name w:val="List Paragraph"/>
    <w:aliases w:val="2,Bullet Points,Colorful List - Accent 11,Dot pt,F5 List Paragraph,IFCL - List Paragraph,Indicator Text,List Paragraph Char Char Char,List Paragraph1,List Paragraph12,MAIN CONTENT,No Spacing1,Numbered Para 1,OBC Bullet,Strip"/>
    <w:basedOn w:val="Normal"/>
    <w:link w:val="ListParagraphChar"/>
    <w:uiPriority w:val="34"/>
    <w:qFormat/>
    <w:rsid w:val="00426E9B"/>
    <w:pPr>
      <w:spacing w:after="200" w:line="276" w:lineRule="auto"/>
      <w:ind w:left="720"/>
      <w:contextualSpacing/>
    </w:pPr>
    <w:rPr>
      <w:rFonts w:ascii="Calibri" w:hAnsi="Calibri"/>
      <w:sz w:val="22"/>
      <w:szCs w:val="22"/>
      <w:lang w:eastAsia="en-US"/>
    </w:rPr>
  </w:style>
  <w:style w:type="character" w:styleId="CommentReference">
    <w:name w:val="annotation reference"/>
    <w:uiPriority w:val="99"/>
    <w:semiHidden/>
    <w:unhideWhenUsed/>
    <w:rsid w:val="00FE43E7"/>
    <w:rPr>
      <w:sz w:val="16"/>
      <w:szCs w:val="16"/>
    </w:rPr>
  </w:style>
  <w:style w:type="paragraph" w:styleId="CommentText">
    <w:name w:val="annotation text"/>
    <w:basedOn w:val="Normal"/>
    <w:link w:val="CommentTextChar"/>
    <w:uiPriority w:val="99"/>
    <w:unhideWhenUsed/>
    <w:rsid w:val="00FE43E7"/>
    <w:rPr>
      <w:sz w:val="20"/>
      <w:szCs w:val="20"/>
    </w:rPr>
  </w:style>
  <w:style w:type="character" w:customStyle="1" w:styleId="CommentTextChar">
    <w:name w:val="Comment Text Char"/>
    <w:basedOn w:val="DefaultParagraphFont"/>
    <w:link w:val="CommentText"/>
    <w:uiPriority w:val="99"/>
    <w:rsid w:val="00FE43E7"/>
  </w:style>
  <w:style w:type="paragraph" w:styleId="CommentSubject">
    <w:name w:val="annotation subject"/>
    <w:basedOn w:val="CommentText"/>
    <w:next w:val="CommentText"/>
    <w:link w:val="CommentSubjectChar"/>
    <w:uiPriority w:val="99"/>
    <w:semiHidden/>
    <w:unhideWhenUsed/>
    <w:rsid w:val="00FE43E7"/>
    <w:rPr>
      <w:b/>
      <w:bCs/>
    </w:rPr>
  </w:style>
  <w:style w:type="character" w:customStyle="1" w:styleId="CommentSubjectChar">
    <w:name w:val="Comment Subject Char"/>
    <w:link w:val="CommentSubject"/>
    <w:uiPriority w:val="99"/>
    <w:semiHidden/>
    <w:rsid w:val="00FE43E7"/>
    <w:rPr>
      <w:b/>
      <w:bCs/>
    </w:rPr>
  </w:style>
  <w:style w:type="paragraph" w:styleId="FootnoteText">
    <w:name w:val="footnote text"/>
    <w:aliases w:val="Carattere,Char,Footnote Text Char Char,Footnote Text_EP-LC,Footnote ak,Footnote ak Char Char,Footnotes,Footnotes Char Char,Footnotes Char1,Fußnote,fn,fn Char Char,fn Char1,footnote text Char Char,footnote text Char1,ft,Footnote"/>
    <w:basedOn w:val="Normal"/>
    <w:link w:val="FootnoteTextChar"/>
    <w:uiPriority w:val="99"/>
    <w:unhideWhenUsed/>
    <w:qFormat/>
    <w:rsid w:val="00EA0ECF"/>
    <w:rPr>
      <w:rFonts w:ascii="Calibri" w:eastAsia="Calibri" w:hAnsi="Calibri"/>
      <w:sz w:val="20"/>
      <w:szCs w:val="20"/>
      <w:lang w:eastAsia="en-US"/>
    </w:rPr>
  </w:style>
  <w:style w:type="character" w:customStyle="1" w:styleId="FootnoteTextChar">
    <w:name w:val="Footnote Text Char"/>
    <w:aliases w:val="Carattere Char,Char Char,Footnote Text Char Char Char,Footnote Text_EP-LC Char,Footnote ak Char,Footnote ak Char Char Char,Footnotes Char,Footnotes Char Char Char,Footnotes Char1 Char,Fußnote Char,fn Char,fn Char Char Char,ft Char"/>
    <w:link w:val="FootnoteText"/>
    <w:uiPriority w:val="99"/>
    <w:qFormat/>
    <w:rsid w:val="00EA0ECF"/>
    <w:rPr>
      <w:rFonts w:ascii="Calibri" w:eastAsia="Calibri" w:hAnsi="Calibri"/>
      <w:lang w:eastAsia="en-US"/>
    </w:rPr>
  </w:style>
  <w:style w:type="character" w:styleId="FootnoteReference">
    <w:name w:val="footnote reference"/>
    <w:aliases w:val="-E Fußnotenzeichen,Appel note de bas de p,BVI fnr,EN Footnote Reference,Footnote Reference Superscript,Footnote number,Footnote reference number,Footnote symbol,Nota,Ref,SUPERS,fr,note TESI,number,number Char Char,styl,styli,ftref,No"/>
    <w:link w:val="FootnotesymbolCarZchn"/>
    <w:uiPriority w:val="99"/>
    <w:unhideWhenUsed/>
    <w:qFormat/>
    <w:rsid w:val="00EA0ECF"/>
    <w:rPr>
      <w:vertAlign w:val="superscript"/>
    </w:rPr>
  </w:style>
  <w:style w:type="character" w:customStyle="1" w:styleId="ListParagraphChar">
    <w:name w:val="List Paragraph Char"/>
    <w:aliases w:val="2 Char,Bullet Points Char,Colorful List - Accent 11 Char,Dot pt Char,F5 List Paragraph Char,IFCL - List Paragraph Char,Indicator Text Char,List Paragraph Char Char Char Char,List Paragraph1 Char,List Paragraph12 Char,No Spacing1 Char"/>
    <w:link w:val="ListParagraph"/>
    <w:uiPriority w:val="34"/>
    <w:qFormat/>
    <w:locked/>
    <w:rsid w:val="007E05D0"/>
    <w:rPr>
      <w:rFonts w:ascii="Calibri" w:hAnsi="Calibri"/>
      <w:sz w:val="22"/>
      <w:szCs w:val="22"/>
      <w:lang w:eastAsia="en-US"/>
    </w:rPr>
  </w:style>
  <w:style w:type="paragraph" w:customStyle="1" w:styleId="Punkts1Lmenis">
    <w:name w:val="Punkts 1.Līmenis"/>
    <w:basedOn w:val="Normal"/>
    <w:qFormat/>
    <w:rsid w:val="00064DB7"/>
    <w:pPr>
      <w:keepLines/>
      <w:numPr>
        <w:numId w:val="1"/>
      </w:numPr>
      <w:shd w:val="clear" w:color="auto" w:fill="FFFFFF"/>
      <w:spacing w:after="120"/>
      <w:jc w:val="both"/>
    </w:pPr>
    <w:rPr>
      <w:lang w:val="x-none" w:eastAsia="x-none"/>
    </w:rPr>
  </w:style>
  <w:style w:type="paragraph" w:customStyle="1" w:styleId="Punkts2Lmenis">
    <w:name w:val="Punkts 2.Līmenis"/>
    <w:basedOn w:val="Punkts1Lmenis"/>
    <w:qFormat/>
    <w:rsid w:val="00064DB7"/>
    <w:pPr>
      <w:numPr>
        <w:ilvl w:val="1"/>
      </w:numPr>
    </w:pPr>
  </w:style>
  <w:style w:type="paragraph" w:customStyle="1" w:styleId="Punkts3Lmenis">
    <w:name w:val="Punkts 3.Līmenis"/>
    <w:basedOn w:val="Punkts2Lmenis"/>
    <w:link w:val="Punkts3LmenisChar"/>
    <w:qFormat/>
    <w:rsid w:val="00064DB7"/>
    <w:pPr>
      <w:numPr>
        <w:ilvl w:val="2"/>
      </w:numPr>
    </w:pPr>
    <w:rPr>
      <w:lang w:eastAsia="en-US"/>
    </w:rPr>
  </w:style>
  <w:style w:type="character" w:customStyle="1" w:styleId="Punkts3LmenisChar">
    <w:name w:val="Punkts 3.Līmenis Char"/>
    <w:link w:val="Punkts3Lmenis"/>
    <w:locked/>
    <w:rsid w:val="00064DB7"/>
    <w:rPr>
      <w:sz w:val="24"/>
      <w:szCs w:val="24"/>
      <w:shd w:val="clear" w:color="auto" w:fill="FFFFFF"/>
      <w:lang w:val="x-none" w:eastAsia="en-US"/>
    </w:rPr>
  </w:style>
  <w:style w:type="paragraph" w:customStyle="1" w:styleId="norm">
    <w:name w:val="norm"/>
    <w:basedOn w:val="Normal"/>
    <w:rsid w:val="00A90221"/>
    <w:pPr>
      <w:spacing w:before="100" w:beforeAutospacing="1" w:after="100" w:afterAutospacing="1"/>
    </w:pPr>
  </w:style>
  <w:style w:type="character" w:customStyle="1" w:styleId="Heading3Char">
    <w:name w:val="Heading 3 Char"/>
    <w:basedOn w:val="DefaultParagraphFont"/>
    <w:link w:val="Heading3"/>
    <w:semiHidden/>
    <w:rsid w:val="005D5080"/>
    <w:rPr>
      <w:rFonts w:asciiTheme="majorHAnsi" w:eastAsiaTheme="majorEastAsia" w:hAnsiTheme="majorHAnsi" w:cstheme="majorBidi"/>
      <w:color w:val="243F60" w:themeColor="accent1" w:themeShade="7F"/>
      <w:sz w:val="24"/>
      <w:szCs w:val="24"/>
    </w:rPr>
  </w:style>
  <w:style w:type="character" w:customStyle="1" w:styleId="subscript">
    <w:name w:val="subscript"/>
    <w:basedOn w:val="DefaultParagraphFont"/>
    <w:rsid w:val="0024063D"/>
  </w:style>
  <w:style w:type="character" w:styleId="UnresolvedMention">
    <w:name w:val="Unresolved Mention"/>
    <w:basedOn w:val="DefaultParagraphFont"/>
    <w:uiPriority w:val="99"/>
    <w:semiHidden/>
    <w:unhideWhenUsed/>
    <w:rsid w:val="00954136"/>
    <w:rPr>
      <w:color w:val="808080"/>
      <w:shd w:val="clear" w:color="auto" w:fill="E6E6E6"/>
    </w:rPr>
  </w:style>
  <w:style w:type="paragraph" w:customStyle="1" w:styleId="Normal1">
    <w:name w:val="Normal1"/>
    <w:basedOn w:val="Normal"/>
    <w:rsid w:val="00063935"/>
    <w:pPr>
      <w:spacing w:before="100" w:beforeAutospacing="1" w:after="100" w:afterAutospacing="1"/>
    </w:pPr>
  </w:style>
  <w:style w:type="paragraph" w:customStyle="1" w:styleId="title-gr-seq-level-1">
    <w:name w:val="title-gr-seq-level-1"/>
    <w:basedOn w:val="Normal"/>
    <w:rsid w:val="009A6B13"/>
    <w:pPr>
      <w:spacing w:before="100" w:beforeAutospacing="1" w:after="100" w:afterAutospacing="1"/>
    </w:pPr>
  </w:style>
  <w:style w:type="character" w:customStyle="1" w:styleId="boldface">
    <w:name w:val="boldface"/>
    <w:basedOn w:val="DefaultParagraphFont"/>
    <w:rsid w:val="009A6B13"/>
  </w:style>
  <w:style w:type="character" w:customStyle="1" w:styleId="superscript">
    <w:name w:val="superscript"/>
    <w:basedOn w:val="DefaultParagraphFont"/>
    <w:rsid w:val="009A6B13"/>
  </w:style>
  <w:style w:type="character" w:customStyle="1" w:styleId="c5">
    <w:name w:val="c5"/>
    <w:basedOn w:val="DefaultParagraphFont"/>
    <w:rsid w:val="00B74239"/>
    <w:rPr>
      <w:rFonts w:ascii="Times New Roman" w:hAnsi="Times New Roman" w:cs="Times New Roman" w:hint="default"/>
    </w:rPr>
  </w:style>
  <w:style w:type="character" w:customStyle="1" w:styleId="normaltextrun">
    <w:name w:val="normaltextrun"/>
    <w:basedOn w:val="DefaultParagraphFont"/>
    <w:rsid w:val="00293146"/>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qFormat/>
    <w:rsid w:val="00BA19C3"/>
    <w:pPr>
      <w:spacing w:after="160" w:line="240" w:lineRule="exact"/>
      <w:jc w:val="both"/>
    </w:pPr>
    <w:rPr>
      <w:sz w:val="20"/>
      <w:szCs w:val="20"/>
      <w:vertAlign w:val="superscript"/>
    </w:rPr>
  </w:style>
  <w:style w:type="paragraph" w:customStyle="1" w:styleId="Prliminairetitre">
    <w:name w:val="Préliminaire titre"/>
    <w:basedOn w:val="Normal"/>
    <w:next w:val="Normal"/>
    <w:rsid w:val="005440CB"/>
    <w:pPr>
      <w:spacing w:before="360" w:after="360"/>
      <w:jc w:val="center"/>
    </w:pPr>
    <w:rPr>
      <w:b/>
      <w:lang w:eastAsia="en-GB"/>
    </w:rPr>
  </w:style>
  <w:style w:type="paragraph" w:customStyle="1" w:styleId="Prliminairetype">
    <w:name w:val="Préliminaire type"/>
    <w:basedOn w:val="Normal"/>
    <w:next w:val="Normal"/>
    <w:rsid w:val="005440CB"/>
    <w:pPr>
      <w:spacing w:before="360"/>
      <w:jc w:val="center"/>
    </w:pPr>
    <w:rPr>
      <w:b/>
      <w:lang w:eastAsia="en-GB"/>
    </w:rPr>
  </w:style>
  <w:style w:type="character" w:customStyle="1" w:styleId="fontstyle01">
    <w:name w:val="fontstyle01"/>
    <w:basedOn w:val="DefaultParagraphFont"/>
    <w:rsid w:val="005440CB"/>
    <w:rPr>
      <w:rFonts w:ascii="Calibri-BoldItalic" w:hAnsi="Calibri-BoldItalic" w:hint="default"/>
      <w:b/>
      <w:bCs/>
      <w:i/>
      <w:iCs/>
      <w:color w:val="000000"/>
      <w:sz w:val="22"/>
      <w:szCs w:val="22"/>
    </w:rPr>
  </w:style>
  <w:style w:type="character" w:customStyle="1" w:styleId="fontstyle21">
    <w:name w:val="fontstyle21"/>
    <w:basedOn w:val="DefaultParagraphFont"/>
    <w:rsid w:val="005440CB"/>
    <w:rPr>
      <w:rFonts w:ascii="Calibri-Italic" w:hAnsi="Calibri-Italic" w:hint="default"/>
      <w:b w:val="0"/>
      <w:bCs w:val="0"/>
      <w:i/>
      <w:iCs/>
      <w:color w:val="000000"/>
      <w:sz w:val="22"/>
      <w:szCs w:val="22"/>
    </w:rPr>
  </w:style>
  <w:style w:type="paragraph" w:customStyle="1" w:styleId="Default">
    <w:name w:val="Default"/>
    <w:rsid w:val="005233C0"/>
    <w:pPr>
      <w:autoSpaceDE w:val="0"/>
      <w:autoSpaceDN w:val="0"/>
      <w:adjustRightInd w:val="0"/>
    </w:pPr>
    <w:rPr>
      <w:rFonts w:ascii="Calibri" w:hAnsi="Calibri" w:cs="Calibri"/>
      <w:color w:val="000000"/>
      <w:sz w:val="24"/>
      <w:szCs w:val="24"/>
    </w:rPr>
  </w:style>
  <w:style w:type="paragraph" w:customStyle="1" w:styleId="FootnoteRefernece">
    <w:name w:val="Footnote Refernece"/>
    <w:aliases w:val="Odwołanie przypisu,Footnotes refss,de nota al pie,E,E FNZ"/>
    <w:basedOn w:val="Normal"/>
    <w:next w:val="Normal"/>
    <w:uiPriority w:val="99"/>
    <w:rsid w:val="001C7BA4"/>
    <w:pPr>
      <w:spacing w:after="160" w:line="240" w:lineRule="exact"/>
      <w:ind w:firstLine="720"/>
      <w:jc w:val="both"/>
    </w:pPr>
    <w:rPr>
      <w:sz w:val="20"/>
      <w:szCs w:val="20"/>
      <w:vertAlign w:val="superscript"/>
    </w:rPr>
  </w:style>
  <w:style w:type="paragraph" w:customStyle="1" w:styleId="tv213">
    <w:name w:val="tv213"/>
    <w:basedOn w:val="Normal"/>
    <w:rsid w:val="004F626B"/>
    <w:pPr>
      <w:spacing w:before="100" w:beforeAutospacing="1" w:after="100" w:afterAutospacing="1"/>
    </w:pPr>
  </w:style>
  <w:style w:type="character" w:customStyle="1" w:styleId="NormalWebChar">
    <w:name w:val="Normal (Web) Char"/>
    <w:link w:val="NormalWeb"/>
    <w:uiPriority w:val="99"/>
    <w:locked/>
    <w:rsid w:val="00F42EC9"/>
    <w:rPr>
      <w:sz w:val="24"/>
      <w:szCs w:val="24"/>
    </w:rPr>
  </w:style>
  <w:style w:type="paragraph" w:customStyle="1" w:styleId="gmail-msobodytextindent">
    <w:name w:val="gmail-msobodytextindent"/>
    <w:basedOn w:val="Normal"/>
    <w:rsid w:val="009B30D0"/>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449">
      <w:bodyDiv w:val="1"/>
      <w:marLeft w:val="0"/>
      <w:marRight w:val="0"/>
      <w:marTop w:val="0"/>
      <w:marBottom w:val="0"/>
      <w:divBdr>
        <w:top w:val="none" w:sz="0" w:space="0" w:color="auto"/>
        <w:left w:val="none" w:sz="0" w:space="0" w:color="auto"/>
        <w:bottom w:val="none" w:sz="0" w:space="0" w:color="auto"/>
        <w:right w:val="none" w:sz="0" w:space="0" w:color="auto"/>
      </w:divBdr>
    </w:div>
    <w:div w:id="6450861">
      <w:bodyDiv w:val="1"/>
      <w:marLeft w:val="0"/>
      <w:marRight w:val="0"/>
      <w:marTop w:val="0"/>
      <w:marBottom w:val="0"/>
      <w:divBdr>
        <w:top w:val="none" w:sz="0" w:space="0" w:color="auto"/>
        <w:left w:val="none" w:sz="0" w:space="0" w:color="auto"/>
        <w:bottom w:val="none" w:sz="0" w:space="0" w:color="auto"/>
        <w:right w:val="none" w:sz="0" w:space="0" w:color="auto"/>
      </w:divBdr>
    </w:div>
    <w:div w:id="24333596">
      <w:bodyDiv w:val="1"/>
      <w:marLeft w:val="0"/>
      <w:marRight w:val="0"/>
      <w:marTop w:val="0"/>
      <w:marBottom w:val="0"/>
      <w:divBdr>
        <w:top w:val="none" w:sz="0" w:space="0" w:color="auto"/>
        <w:left w:val="none" w:sz="0" w:space="0" w:color="auto"/>
        <w:bottom w:val="none" w:sz="0" w:space="0" w:color="auto"/>
        <w:right w:val="none" w:sz="0" w:space="0" w:color="auto"/>
      </w:divBdr>
    </w:div>
    <w:div w:id="34701277">
      <w:bodyDiv w:val="1"/>
      <w:marLeft w:val="0"/>
      <w:marRight w:val="0"/>
      <w:marTop w:val="0"/>
      <w:marBottom w:val="0"/>
      <w:divBdr>
        <w:top w:val="none" w:sz="0" w:space="0" w:color="auto"/>
        <w:left w:val="none" w:sz="0" w:space="0" w:color="auto"/>
        <w:bottom w:val="none" w:sz="0" w:space="0" w:color="auto"/>
        <w:right w:val="none" w:sz="0" w:space="0" w:color="auto"/>
      </w:divBdr>
    </w:div>
    <w:div w:id="48577443">
      <w:bodyDiv w:val="1"/>
      <w:marLeft w:val="0"/>
      <w:marRight w:val="0"/>
      <w:marTop w:val="0"/>
      <w:marBottom w:val="0"/>
      <w:divBdr>
        <w:top w:val="none" w:sz="0" w:space="0" w:color="auto"/>
        <w:left w:val="none" w:sz="0" w:space="0" w:color="auto"/>
        <w:bottom w:val="none" w:sz="0" w:space="0" w:color="auto"/>
        <w:right w:val="none" w:sz="0" w:space="0" w:color="auto"/>
      </w:divBdr>
    </w:div>
    <w:div w:id="57557543">
      <w:bodyDiv w:val="1"/>
      <w:marLeft w:val="0"/>
      <w:marRight w:val="0"/>
      <w:marTop w:val="0"/>
      <w:marBottom w:val="0"/>
      <w:divBdr>
        <w:top w:val="none" w:sz="0" w:space="0" w:color="auto"/>
        <w:left w:val="none" w:sz="0" w:space="0" w:color="auto"/>
        <w:bottom w:val="none" w:sz="0" w:space="0" w:color="auto"/>
        <w:right w:val="none" w:sz="0" w:space="0" w:color="auto"/>
      </w:divBdr>
    </w:div>
    <w:div w:id="65609546">
      <w:bodyDiv w:val="1"/>
      <w:marLeft w:val="0"/>
      <w:marRight w:val="0"/>
      <w:marTop w:val="0"/>
      <w:marBottom w:val="0"/>
      <w:divBdr>
        <w:top w:val="none" w:sz="0" w:space="0" w:color="auto"/>
        <w:left w:val="none" w:sz="0" w:space="0" w:color="auto"/>
        <w:bottom w:val="none" w:sz="0" w:space="0" w:color="auto"/>
        <w:right w:val="none" w:sz="0" w:space="0" w:color="auto"/>
      </w:divBdr>
    </w:div>
    <w:div w:id="68969400">
      <w:bodyDiv w:val="1"/>
      <w:marLeft w:val="0"/>
      <w:marRight w:val="0"/>
      <w:marTop w:val="0"/>
      <w:marBottom w:val="0"/>
      <w:divBdr>
        <w:top w:val="none" w:sz="0" w:space="0" w:color="auto"/>
        <w:left w:val="none" w:sz="0" w:space="0" w:color="auto"/>
        <w:bottom w:val="none" w:sz="0" w:space="0" w:color="auto"/>
        <w:right w:val="none" w:sz="0" w:space="0" w:color="auto"/>
      </w:divBdr>
    </w:div>
    <w:div w:id="70347710">
      <w:bodyDiv w:val="1"/>
      <w:marLeft w:val="0"/>
      <w:marRight w:val="0"/>
      <w:marTop w:val="0"/>
      <w:marBottom w:val="0"/>
      <w:divBdr>
        <w:top w:val="none" w:sz="0" w:space="0" w:color="auto"/>
        <w:left w:val="none" w:sz="0" w:space="0" w:color="auto"/>
        <w:bottom w:val="none" w:sz="0" w:space="0" w:color="auto"/>
        <w:right w:val="none" w:sz="0" w:space="0" w:color="auto"/>
      </w:divBdr>
    </w:div>
    <w:div w:id="72170785">
      <w:bodyDiv w:val="1"/>
      <w:marLeft w:val="0"/>
      <w:marRight w:val="0"/>
      <w:marTop w:val="0"/>
      <w:marBottom w:val="0"/>
      <w:divBdr>
        <w:top w:val="none" w:sz="0" w:space="0" w:color="auto"/>
        <w:left w:val="none" w:sz="0" w:space="0" w:color="auto"/>
        <w:bottom w:val="none" w:sz="0" w:space="0" w:color="auto"/>
        <w:right w:val="none" w:sz="0" w:space="0" w:color="auto"/>
      </w:divBdr>
    </w:div>
    <w:div w:id="84886092">
      <w:bodyDiv w:val="1"/>
      <w:marLeft w:val="0"/>
      <w:marRight w:val="0"/>
      <w:marTop w:val="0"/>
      <w:marBottom w:val="0"/>
      <w:divBdr>
        <w:top w:val="none" w:sz="0" w:space="0" w:color="auto"/>
        <w:left w:val="none" w:sz="0" w:space="0" w:color="auto"/>
        <w:bottom w:val="none" w:sz="0" w:space="0" w:color="auto"/>
        <w:right w:val="none" w:sz="0" w:space="0" w:color="auto"/>
      </w:divBdr>
    </w:div>
    <w:div w:id="93672794">
      <w:bodyDiv w:val="1"/>
      <w:marLeft w:val="0"/>
      <w:marRight w:val="0"/>
      <w:marTop w:val="0"/>
      <w:marBottom w:val="0"/>
      <w:divBdr>
        <w:top w:val="none" w:sz="0" w:space="0" w:color="auto"/>
        <w:left w:val="none" w:sz="0" w:space="0" w:color="auto"/>
        <w:bottom w:val="none" w:sz="0" w:space="0" w:color="auto"/>
        <w:right w:val="none" w:sz="0" w:space="0" w:color="auto"/>
      </w:divBdr>
    </w:div>
    <w:div w:id="104814971">
      <w:bodyDiv w:val="1"/>
      <w:marLeft w:val="0"/>
      <w:marRight w:val="0"/>
      <w:marTop w:val="0"/>
      <w:marBottom w:val="0"/>
      <w:divBdr>
        <w:top w:val="none" w:sz="0" w:space="0" w:color="auto"/>
        <w:left w:val="none" w:sz="0" w:space="0" w:color="auto"/>
        <w:bottom w:val="none" w:sz="0" w:space="0" w:color="auto"/>
        <w:right w:val="none" w:sz="0" w:space="0" w:color="auto"/>
      </w:divBdr>
    </w:div>
    <w:div w:id="106121986">
      <w:bodyDiv w:val="1"/>
      <w:marLeft w:val="0"/>
      <w:marRight w:val="0"/>
      <w:marTop w:val="0"/>
      <w:marBottom w:val="0"/>
      <w:divBdr>
        <w:top w:val="none" w:sz="0" w:space="0" w:color="auto"/>
        <w:left w:val="none" w:sz="0" w:space="0" w:color="auto"/>
        <w:bottom w:val="none" w:sz="0" w:space="0" w:color="auto"/>
        <w:right w:val="none" w:sz="0" w:space="0" w:color="auto"/>
      </w:divBdr>
    </w:div>
    <w:div w:id="122234475">
      <w:bodyDiv w:val="1"/>
      <w:marLeft w:val="0"/>
      <w:marRight w:val="0"/>
      <w:marTop w:val="0"/>
      <w:marBottom w:val="0"/>
      <w:divBdr>
        <w:top w:val="none" w:sz="0" w:space="0" w:color="auto"/>
        <w:left w:val="none" w:sz="0" w:space="0" w:color="auto"/>
        <w:bottom w:val="none" w:sz="0" w:space="0" w:color="auto"/>
        <w:right w:val="none" w:sz="0" w:space="0" w:color="auto"/>
      </w:divBdr>
    </w:div>
    <w:div w:id="127623911">
      <w:bodyDiv w:val="1"/>
      <w:marLeft w:val="0"/>
      <w:marRight w:val="0"/>
      <w:marTop w:val="0"/>
      <w:marBottom w:val="0"/>
      <w:divBdr>
        <w:top w:val="none" w:sz="0" w:space="0" w:color="auto"/>
        <w:left w:val="none" w:sz="0" w:space="0" w:color="auto"/>
        <w:bottom w:val="none" w:sz="0" w:space="0" w:color="auto"/>
        <w:right w:val="none" w:sz="0" w:space="0" w:color="auto"/>
      </w:divBdr>
    </w:div>
    <w:div w:id="129250176">
      <w:bodyDiv w:val="1"/>
      <w:marLeft w:val="0"/>
      <w:marRight w:val="0"/>
      <w:marTop w:val="0"/>
      <w:marBottom w:val="0"/>
      <w:divBdr>
        <w:top w:val="none" w:sz="0" w:space="0" w:color="auto"/>
        <w:left w:val="none" w:sz="0" w:space="0" w:color="auto"/>
        <w:bottom w:val="none" w:sz="0" w:space="0" w:color="auto"/>
        <w:right w:val="none" w:sz="0" w:space="0" w:color="auto"/>
      </w:divBdr>
    </w:div>
    <w:div w:id="130755277">
      <w:bodyDiv w:val="1"/>
      <w:marLeft w:val="0"/>
      <w:marRight w:val="0"/>
      <w:marTop w:val="0"/>
      <w:marBottom w:val="0"/>
      <w:divBdr>
        <w:top w:val="none" w:sz="0" w:space="0" w:color="auto"/>
        <w:left w:val="none" w:sz="0" w:space="0" w:color="auto"/>
        <w:bottom w:val="none" w:sz="0" w:space="0" w:color="auto"/>
        <w:right w:val="none" w:sz="0" w:space="0" w:color="auto"/>
      </w:divBdr>
    </w:div>
    <w:div w:id="167064123">
      <w:bodyDiv w:val="1"/>
      <w:marLeft w:val="0"/>
      <w:marRight w:val="0"/>
      <w:marTop w:val="0"/>
      <w:marBottom w:val="0"/>
      <w:divBdr>
        <w:top w:val="none" w:sz="0" w:space="0" w:color="auto"/>
        <w:left w:val="none" w:sz="0" w:space="0" w:color="auto"/>
        <w:bottom w:val="none" w:sz="0" w:space="0" w:color="auto"/>
        <w:right w:val="none" w:sz="0" w:space="0" w:color="auto"/>
      </w:divBdr>
    </w:div>
    <w:div w:id="174536605">
      <w:bodyDiv w:val="1"/>
      <w:marLeft w:val="0"/>
      <w:marRight w:val="0"/>
      <w:marTop w:val="0"/>
      <w:marBottom w:val="0"/>
      <w:divBdr>
        <w:top w:val="none" w:sz="0" w:space="0" w:color="auto"/>
        <w:left w:val="none" w:sz="0" w:space="0" w:color="auto"/>
        <w:bottom w:val="none" w:sz="0" w:space="0" w:color="auto"/>
        <w:right w:val="none" w:sz="0" w:space="0" w:color="auto"/>
      </w:divBdr>
    </w:div>
    <w:div w:id="194320305">
      <w:bodyDiv w:val="1"/>
      <w:marLeft w:val="0"/>
      <w:marRight w:val="0"/>
      <w:marTop w:val="0"/>
      <w:marBottom w:val="0"/>
      <w:divBdr>
        <w:top w:val="none" w:sz="0" w:space="0" w:color="auto"/>
        <w:left w:val="none" w:sz="0" w:space="0" w:color="auto"/>
        <w:bottom w:val="none" w:sz="0" w:space="0" w:color="auto"/>
        <w:right w:val="none" w:sz="0" w:space="0" w:color="auto"/>
      </w:divBdr>
    </w:div>
    <w:div w:id="202906712">
      <w:bodyDiv w:val="1"/>
      <w:marLeft w:val="0"/>
      <w:marRight w:val="0"/>
      <w:marTop w:val="0"/>
      <w:marBottom w:val="0"/>
      <w:divBdr>
        <w:top w:val="none" w:sz="0" w:space="0" w:color="auto"/>
        <w:left w:val="none" w:sz="0" w:space="0" w:color="auto"/>
        <w:bottom w:val="none" w:sz="0" w:space="0" w:color="auto"/>
        <w:right w:val="none" w:sz="0" w:space="0" w:color="auto"/>
      </w:divBdr>
    </w:div>
    <w:div w:id="211426440">
      <w:bodyDiv w:val="1"/>
      <w:marLeft w:val="0"/>
      <w:marRight w:val="0"/>
      <w:marTop w:val="0"/>
      <w:marBottom w:val="0"/>
      <w:divBdr>
        <w:top w:val="none" w:sz="0" w:space="0" w:color="auto"/>
        <w:left w:val="none" w:sz="0" w:space="0" w:color="auto"/>
        <w:bottom w:val="none" w:sz="0" w:space="0" w:color="auto"/>
        <w:right w:val="none" w:sz="0" w:space="0" w:color="auto"/>
      </w:divBdr>
    </w:div>
    <w:div w:id="227424389">
      <w:bodyDiv w:val="1"/>
      <w:marLeft w:val="0"/>
      <w:marRight w:val="0"/>
      <w:marTop w:val="0"/>
      <w:marBottom w:val="0"/>
      <w:divBdr>
        <w:top w:val="none" w:sz="0" w:space="0" w:color="auto"/>
        <w:left w:val="none" w:sz="0" w:space="0" w:color="auto"/>
        <w:bottom w:val="none" w:sz="0" w:space="0" w:color="auto"/>
        <w:right w:val="none" w:sz="0" w:space="0" w:color="auto"/>
      </w:divBdr>
    </w:div>
    <w:div w:id="277642407">
      <w:bodyDiv w:val="1"/>
      <w:marLeft w:val="0"/>
      <w:marRight w:val="0"/>
      <w:marTop w:val="0"/>
      <w:marBottom w:val="0"/>
      <w:divBdr>
        <w:top w:val="none" w:sz="0" w:space="0" w:color="auto"/>
        <w:left w:val="none" w:sz="0" w:space="0" w:color="auto"/>
        <w:bottom w:val="none" w:sz="0" w:space="0" w:color="auto"/>
        <w:right w:val="none" w:sz="0" w:space="0" w:color="auto"/>
      </w:divBdr>
    </w:div>
    <w:div w:id="291131476">
      <w:bodyDiv w:val="1"/>
      <w:marLeft w:val="0"/>
      <w:marRight w:val="0"/>
      <w:marTop w:val="0"/>
      <w:marBottom w:val="0"/>
      <w:divBdr>
        <w:top w:val="none" w:sz="0" w:space="0" w:color="auto"/>
        <w:left w:val="none" w:sz="0" w:space="0" w:color="auto"/>
        <w:bottom w:val="none" w:sz="0" w:space="0" w:color="auto"/>
        <w:right w:val="none" w:sz="0" w:space="0" w:color="auto"/>
      </w:divBdr>
    </w:div>
    <w:div w:id="294217311">
      <w:bodyDiv w:val="1"/>
      <w:marLeft w:val="0"/>
      <w:marRight w:val="0"/>
      <w:marTop w:val="0"/>
      <w:marBottom w:val="0"/>
      <w:divBdr>
        <w:top w:val="none" w:sz="0" w:space="0" w:color="auto"/>
        <w:left w:val="none" w:sz="0" w:space="0" w:color="auto"/>
        <w:bottom w:val="none" w:sz="0" w:space="0" w:color="auto"/>
        <w:right w:val="none" w:sz="0" w:space="0" w:color="auto"/>
      </w:divBdr>
    </w:div>
    <w:div w:id="300431208">
      <w:bodyDiv w:val="1"/>
      <w:marLeft w:val="0"/>
      <w:marRight w:val="0"/>
      <w:marTop w:val="0"/>
      <w:marBottom w:val="0"/>
      <w:divBdr>
        <w:top w:val="none" w:sz="0" w:space="0" w:color="auto"/>
        <w:left w:val="none" w:sz="0" w:space="0" w:color="auto"/>
        <w:bottom w:val="none" w:sz="0" w:space="0" w:color="auto"/>
        <w:right w:val="none" w:sz="0" w:space="0" w:color="auto"/>
      </w:divBdr>
    </w:div>
    <w:div w:id="301741654">
      <w:bodyDiv w:val="1"/>
      <w:marLeft w:val="0"/>
      <w:marRight w:val="0"/>
      <w:marTop w:val="0"/>
      <w:marBottom w:val="0"/>
      <w:divBdr>
        <w:top w:val="none" w:sz="0" w:space="0" w:color="auto"/>
        <w:left w:val="none" w:sz="0" w:space="0" w:color="auto"/>
        <w:bottom w:val="none" w:sz="0" w:space="0" w:color="auto"/>
        <w:right w:val="none" w:sz="0" w:space="0" w:color="auto"/>
      </w:divBdr>
    </w:div>
    <w:div w:id="353195906">
      <w:bodyDiv w:val="1"/>
      <w:marLeft w:val="0"/>
      <w:marRight w:val="0"/>
      <w:marTop w:val="0"/>
      <w:marBottom w:val="0"/>
      <w:divBdr>
        <w:top w:val="none" w:sz="0" w:space="0" w:color="auto"/>
        <w:left w:val="none" w:sz="0" w:space="0" w:color="auto"/>
        <w:bottom w:val="none" w:sz="0" w:space="0" w:color="auto"/>
        <w:right w:val="none" w:sz="0" w:space="0" w:color="auto"/>
      </w:divBdr>
    </w:div>
    <w:div w:id="362246661">
      <w:bodyDiv w:val="1"/>
      <w:marLeft w:val="0"/>
      <w:marRight w:val="0"/>
      <w:marTop w:val="0"/>
      <w:marBottom w:val="0"/>
      <w:divBdr>
        <w:top w:val="none" w:sz="0" w:space="0" w:color="auto"/>
        <w:left w:val="none" w:sz="0" w:space="0" w:color="auto"/>
        <w:bottom w:val="none" w:sz="0" w:space="0" w:color="auto"/>
        <w:right w:val="none" w:sz="0" w:space="0" w:color="auto"/>
      </w:divBdr>
    </w:div>
    <w:div w:id="374895992">
      <w:bodyDiv w:val="1"/>
      <w:marLeft w:val="0"/>
      <w:marRight w:val="0"/>
      <w:marTop w:val="0"/>
      <w:marBottom w:val="0"/>
      <w:divBdr>
        <w:top w:val="none" w:sz="0" w:space="0" w:color="auto"/>
        <w:left w:val="none" w:sz="0" w:space="0" w:color="auto"/>
        <w:bottom w:val="none" w:sz="0" w:space="0" w:color="auto"/>
        <w:right w:val="none" w:sz="0" w:space="0" w:color="auto"/>
      </w:divBdr>
    </w:div>
    <w:div w:id="380518228">
      <w:bodyDiv w:val="1"/>
      <w:marLeft w:val="0"/>
      <w:marRight w:val="0"/>
      <w:marTop w:val="0"/>
      <w:marBottom w:val="0"/>
      <w:divBdr>
        <w:top w:val="none" w:sz="0" w:space="0" w:color="auto"/>
        <w:left w:val="none" w:sz="0" w:space="0" w:color="auto"/>
        <w:bottom w:val="none" w:sz="0" w:space="0" w:color="auto"/>
        <w:right w:val="none" w:sz="0" w:space="0" w:color="auto"/>
      </w:divBdr>
    </w:div>
    <w:div w:id="396973295">
      <w:bodyDiv w:val="1"/>
      <w:marLeft w:val="0"/>
      <w:marRight w:val="0"/>
      <w:marTop w:val="0"/>
      <w:marBottom w:val="0"/>
      <w:divBdr>
        <w:top w:val="none" w:sz="0" w:space="0" w:color="auto"/>
        <w:left w:val="none" w:sz="0" w:space="0" w:color="auto"/>
        <w:bottom w:val="none" w:sz="0" w:space="0" w:color="auto"/>
        <w:right w:val="none" w:sz="0" w:space="0" w:color="auto"/>
      </w:divBdr>
    </w:div>
    <w:div w:id="399015515">
      <w:bodyDiv w:val="1"/>
      <w:marLeft w:val="0"/>
      <w:marRight w:val="0"/>
      <w:marTop w:val="0"/>
      <w:marBottom w:val="0"/>
      <w:divBdr>
        <w:top w:val="none" w:sz="0" w:space="0" w:color="auto"/>
        <w:left w:val="none" w:sz="0" w:space="0" w:color="auto"/>
        <w:bottom w:val="none" w:sz="0" w:space="0" w:color="auto"/>
        <w:right w:val="none" w:sz="0" w:space="0" w:color="auto"/>
      </w:divBdr>
    </w:div>
    <w:div w:id="412312959">
      <w:bodyDiv w:val="1"/>
      <w:marLeft w:val="0"/>
      <w:marRight w:val="0"/>
      <w:marTop w:val="0"/>
      <w:marBottom w:val="0"/>
      <w:divBdr>
        <w:top w:val="none" w:sz="0" w:space="0" w:color="auto"/>
        <w:left w:val="none" w:sz="0" w:space="0" w:color="auto"/>
        <w:bottom w:val="none" w:sz="0" w:space="0" w:color="auto"/>
        <w:right w:val="none" w:sz="0" w:space="0" w:color="auto"/>
      </w:divBdr>
    </w:div>
    <w:div w:id="414984531">
      <w:bodyDiv w:val="1"/>
      <w:marLeft w:val="0"/>
      <w:marRight w:val="0"/>
      <w:marTop w:val="0"/>
      <w:marBottom w:val="0"/>
      <w:divBdr>
        <w:top w:val="none" w:sz="0" w:space="0" w:color="auto"/>
        <w:left w:val="none" w:sz="0" w:space="0" w:color="auto"/>
        <w:bottom w:val="none" w:sz="0" w:space="0" w:color="auto"/>
        <w:right w:val="none" w:sz="0" w:space="0" w:color="auto"/>
      </w:divBdr>
    </w:div>
    <w:div w:id="421335694">
      <w:bodyDiv w:val="1"/>
      <w:marLeft w:val="0"/>
      <w:marRight w:val="0"/>
      <w:marTop w:val="0"/>
      <w:marBottom w:val="0"/>
      <w:divBdr>
        <w:top w:val="none" w:sz="0" w:space="0" w:color="auto"/>
        <w:left w:val="none" w:sz="0" w:space="0" w:color="auto"/>
        <w:bottom w:val="none" w:sz="0" w:space="0" w:color="auto"/>
        <w:right w:val="none" w:sz="0" w:space="0" w:color="auto"/>
      </w:divBdr>
    </w:div>
    <w:div w:id="422723866">
      <w:bodyDiv w:val="1"/>
      <w:marLeft w:val="0"/>
      <w:marRight w:val="0"/>
      <w:marTop w:val="0"/>
      <w:marBottom w:val="0"/>
      <w:divBdr>
        <w:top w:val="none" w:sz="0" w:space="0" w:color="auto"/>
        <w:left w:val="none" w:sz="0" w:space="0" w:color="auto"/>
        <w:bottom w:val="none" w:sz="0" w:space="0" w:color="auto"/>
        <w:right w:val="none" w:sz="0" w:space="0" w:color="auto"/>
      </w:divBdr>
    </w:div>
    <w:div w:id="428963052">
      <w:bodyDiv w:val="1"/>
      <w:marLeft w:val="0"/>
      <w:marRight w:val="0"/>
      <w:marTop w:val="0"/>
      <w:marBottom w:val="0"/>
      <w:divBdr>
        <w:top w:val="none" w:sz="0" w:space="0" w:color="auto"/>
        <w:left w:val="none" w:sz="0" w:space="0" w:color="auto"/>
        <w:bottom w:val="none" w:sz="0" w:space="0" w:color="auto"/>
        <w:right w:val="none" w:sz="0" w:space="0" w:color="auto"/>
      </w:divBdr>
    </w:div>
    <w:div w:id="460342962">
      <w:marLeft w:val="0"/>
      <w:marRight w:val="0"/>
      <w:marTop w:val="0"/>
      <w:marBottom w:val="0"/>
      <w:divBdr>
        <w:top w:val="none" w:sz="0" w:space="0" w:color="auto"/>
        <w:left w:val="none" w:sz="0" w:space="0" w:color="auto"/>
        <w:bottom w:val="none" w:sz="0" w:space="0" w:color="auto"/>
        <w:right w:val="none" w:sz="0" w:space="0" w:color="auto"/>
      </w:divBdr>
    </w:div>
    <w:div w:id="460342965">
      <w:marLeft w:val="0"/>
      <w:marRight w:val="0"/>
      <w:marTop w:val="0"/>
      <w:marBottom w:val="0"/>
      <w:divBdr>
        <w:top w:val="none" w:sz="0" w:space="0" w:color="auto"/>
        <w:left w:val="none" w:sz="0" w:space="0" w:color="auto"/>
        <w:bottom w:val="none" w:sz="0" w:space="0" w:color="auto"/>
        <w:right w:val="none" w:sz="0" w:space="0" w:color="auto"/>
      </w:divBdr>
    </w:div>
    <w:div w:id="460342966">
      <w:marLeft w:val="0"/>
      <w:marRight w:val="0"/>
      <w:marTop w:val="0"/>
      <w:marBottom w:val="0"/>
      <w:divBdr>
        <w:top w:val="none" w:sz="0" w:space="0" w:color="auto"/>
        <w:left w:val="none" w:sz="0" w:space="0" w:color="auto"/>
        <w:bottom w:val="none" w:sz="0" w:space="0" w:color="auto"/>
        <w:right w:val="none" w:sz="0" w:space="0" w:color="auto"/>
      </w:divBdr>
    </w:div>
    <w:div w:id="460342967">
      <w:marLeft w:val="0"/>
      <w:marRight w:val="0"/>
      <w:marTop w:val="0"/>
      <w:marBottom w:val="0"/>
      <w:divBdr>
        <w:top w:val="none" w:sz="0" w:space="0" w:color="auto"/>
        <w:left w:val="none" w:sz="0" w:space="0" w:color="auto"/>
        <w:bottom w:val="none" w:sz="0" w:space="0" w:color="auto"/>
        <w:right w:val="none" w:sz="0" w:space="0" w:color="auto"/>
      </w:divBdr>
      <w:divsChild>
        <w:div w:id="460342963">
          <w:marLeft w:val="0"/>
          <w:marRight w:val="0"/>
          <w:marTop w:val="0"/>
          <w:marBottom w:val="0"/>
          <w:divBdr>
            <w:top w:val="none" w:sz="0" w:space="0" w:color="auto"/>
            <w:left w:val="none" w:sz="0" w:space="0" w:color="auto"/>
            <w:bottom w:val="none" w:sz="0" w:space="0" w:color="auto"/>
            <w:right w:val="none" w:sz="0" w:space="0" w:color="auto"/>
          </w:divBdr>
        </w:div>
        <w:div w:id="460342968">
          <w:marLeft w:val="0"/>
          <w:marRight w:val="0"/>
          <w:marTop w:val="0"/>
          <w:marBottom w:val="0"/>
          <w:divBdr>
            <w:top w:val="single" w:sz="12" w:space="0" w:color="8CC4C3"/>
            <w:left w:val="single" w:sz="12" w:space="0" w:color="8CC4C3"/>
            <w:bottom w:val="single" w:sz="12" w:space="0" w:color="8CC4C3"/>
            <w:right w:val="single" w:sz="12" w:space="0" w:color="8CC4C3"/>
          </w:divBdr>
          <w:divsChild>
            <w:div w:id="460342964">
              <w:marLeft w:val="0"/>
              <w:marRight w:val="0"/>
              <w:marTop w:val="0"/>
              <w:marBottom w:val="0"/>
              <w:divBdr>
                <w:top w:val="none" w:sz="0" w:space="0" w:color="auto"/>
                <w:left w:val="none" w:sz="0" w:space="0" w:color="auto"/>
                <w:bottom w:val="none" w:sz="0" w:space="0" w:color="auto"/>
                <w:right w:val="none" w:sz="0" w:space="0" w:color="auto"/>
              </w:divBdr>
            </w:div>
            <w:div w:id="46034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2970">
      <w:marLeft w:val="0"/>
      <w:marRight w:val="0"/>
      <w:marTop w:val="0"/>
      <w:marBottom w:val="0"/>
      <w:divBdr>
        <w:top w:val="none" w:sz="0" w:space="0" w:color="auto"/>
        <w:left w:val="none" w:sz="0" w:space="0" w:color="auto"/>
        <w:bottom w:val="none" w:sz="0" w:space="0" w:color="auto"/>
        <w:right w:val="none" w:sz="0" w:space="0" w:color="auto"/>
      </w:divBdr>
    </w:div>
    <w:div w:id="460342971">
      <w:marLeft w:val="0"/>
      <w:marRight w:val="0"/>
      <w:marTop w:val="0"/>
      <w:marBottom w:val="0"/>
      <w:divBdr>
        <w:top w:val="none" w:sz="0" w:space="0" w:color="auto"/>
        <w:left w:val="none" w:sz="0" w:space="0" w:color="auto"/>
        <w:bottom w:val="none" w:sz="0" w:space="0" w:color="auto"/>
        <w:right w:val="none" w:sz="0" w:space="0" w:color="auto"/>
      </w:divBdr>
      <w:divsChild>
        <w:div w:id="460342979">
          <w:marLeft w:val="0"/>
          <w:marRight w:val="0"/>
          <w:marTop w:val="0"/>
          <w:marBottom w:val="0"/>
          <w:divBdr>
            <w:top w:val="none" w:sz="0" w:space="0" w:color="auto"/>
            <w:left w:val="none" w:sz="0" w:space="0" w:color="auto"/>
            <w:bottom w:val="none" w:sz="0" w:space="0" w:color="auto"/>
            <w:right w:val="none" w:sz="0" w:space="0" w:color="auto"/>
          </w:divBdr>
        </w:div>
      </w:divsChild>
    </w:div>
    <w:div w:id="460342972">
      <w:marLeft w:val="0"/>
      <w:marRight w:val="0"/>
      <w:marTop w:val="0"/>
      <w:marBottom w:val="0"/>
      <w:divBdr>
        <w:top w:val="none" w:sz="0" w:space="0" w:color="auto"/>
        <w:left w:val="none" w:sz="0" w:space="0" w:color="auto"/>
        <w:bottom w:val="none" w:sz="0" w:space="0" w:color="auto"/>
        <w:right w:val="none" w:sz="0" w:space="0" w:color="auto"/>
      </w:divBdr>
    </w:div>
    <w:div w:id="460342973">
      <w:marLeft w:val="0"/>
      <w:marRight w:val="0"/>
      <w:marTop w:val="0"/>
      <w:marBottom w:val="0"/>
      <w:divBdr>
        <w:top w:val="none" w:sz="0" w:space="0" w:color="auto"/>
        <w:left w:val="none" w:sz="0" w:space="0" w:color="auto"/>
        <w:bottom w:val="none" w:sz="0" w:space="0" w:color="auto"/>
        <w:right w:val="none" w:sz="0" w:space="0" w:color="auto"/>
      </w:divBdr>
    </w:div>
    <w:div w:id="460342974">
      <w:marLeft w:val="0"/>
      <w:marRight w:val="0"/>
      <w:marTop w:val="0"/>
      <w:marBottom w:val="0"/>
      <w:divBdr>
        <w:top w:val="none" w:sz="0" w:space="0" w:color="auto"/>
        <w:left w:val="none" w:sz="0" w:space="0" w:color="auto"/>
        <w:bottom w:val="none" w:sz="0" w:space="0" w:color="auto"/>
        <w:right w:val="none" w:sz="0" w:space="0" w:color="auto"/>
      </w:divBdr>
    </w:div>
    <w:div w:id="460342976">
      <w:marLeft w:val="0"/>
      <w:marRight w:val="0"/>
      <w:marTop w:val="0"/>
      <w:marBottom w:val="0"/>
      <w:divBdr>
        <w:top w:val="none" w:sz="0" w:space="0" w:color="auto"/>
        <w:left w:val="none" w:sz="0" w:space="0" w:color="auto"/>
        <w:bottom w:val="none" w:sz="0" w:space="0" w:color="auto"/>
        <w:right w:val="none" w:sz="0" w:space="0" w:color="auto"/>
      </w:divBdr>
    </w:div>
    <w:div w:id="460342977">
      <w:marLeft w:val="0"/>
      <w:marRight w:val="0"/>
      <w:marTop w:val="0"/>
      <w:marBottom w:val="0"/>
      <w:divBdr>
        <w:top w:val="none" w:sz="0" w:space="0" w:color="auto"/>
        <w:left w:val="none" w:sz="0" w:space="0" w:color="auto"/>
        <w:bottom w:val="none" w:sz="0" w:space="0" w:color="auto"/>
        <w:right w:val="none" w:sz="0" w:space="0" w:color="auto"/>
      </w:divBdr>
    </w:div>
    <w:div w:id="460342978">
      <w:marLeft w:val="0"/>
      <w:marRight w:val="0"/>
      <w:marTop w:val="0"/>
      <w:marBottom w:val="0"/>
      <w:divBdr>
        <w:top w:val="none" w:sz="0" w:space="0" w:color="auto"/>
        <w:left w:val="none" w:sz="0" w:space="0" w:color="auto"/>
        <w:bottom w:val="none" w:sz="0" w:space="0" w:color="auto"/>
        <w:right w:val="none" w:sz="0" w:space="0" w:color="auto"/>
      </w:divBdr>
      <w:divsChild>
        <w:div w:id="460342975">
          <w:marLeft w:val="0"/>
          <w:marRight w:val="0"/>
          <w:marTop w:val="0"/>
          <w:marBottom w:val="0"/>
          <w:divBdr>
            <w:top w:val="none" w:sz="0" w:space="0" w:color="auto"/>
            <w:left w:val="none" w:sz="0" w:space="0" w:color="auto"/>
            <w:bottom w:val="none" w:sz="0" w:space="0" w:color="auto"/>
            <w:right w:val="none" w:sz="0" w:space="0" w:color="auto"/>
          </w:divBdr>
        </w:div>
      </w:divsChild>
    </w:div>
    <w:div w:id="460342980">
      <w:marLeft w:val="0"/>
      <w:marRight w:val="0"/>
      <w:marTop w:val="0"/>
      <w:marBottom w:val="0"/>
      <w:divBdr>
        <w:top w:val="none" w:sz="0" w:space="0" w:color="auto"/>
        <w:left w:val="none" w:sz="0" w:space="0" w:color="auto"/>
        <w:bottom w:val="none" w:sz="0" w:space="0" w:color="auto"/>
        <w:right w:val="none" w:sz="0" w:space="0" w:color="auto"/>
      </w:divBdr>
    </w:div>
    <w:div w:id="474567960">
      <w:bodyDiv w:val="1"/>
      <w:marLeft w:val="0"/>
      <w:marRight w:val="0"/>
      <w:marTop w:val="0"/>
      <w:marBottom w:val="0"/>
      <w:divBdr>
        <w:top w:val="none" w:sz="0" w:space="0" w:color="auto"/>
        <w:left w:val="none" w:sz="0" w:space="0" w:color="auto"/>
        <w:bottom w:val="none" w:sz="0" w:space="0" w:color="auto"/>
        <w:right w:val="none" w:sz="0" w:space="0" w:color="auto"/>
      </w:divBdr>
    </w:div>
    <w:div w:id="479227772">
      <w:bodyDiv w:val="1"/>
      <w:marLeft w:val="0"/>
      <w:marRight w:val="0"/>
      <w:marTop w:val="0"/>
      <w:marBottom w:val="0"/>
      <w:divBdr>
        <w:top w:val="none" w:sz="0" w:space="0" w:color="auto"/>
        <w:left w:val="none" w:sz="0" w:space="0" w:color="auto"/>
        <w:bottom w:val="none" w:sz="0" w:space="0" w:color="auto"/>
        <w:right w:val="none" w:sz="0" w:space="0" w:color="auto"/>
      </w:divBdr>
    </w:div>
    <w:div w:id="490103146">
      <w:bodyDiv w:val="1"/>
      <w:marLeft w:val="0"/>
      <w:marRight w:val="0"/>
      <w:marTop w:val="0"/>
      <w:marBottom w:val="0"/>
      <w:divBdr>
        <w:top w:val="none" w:sz="0" w:space="0" w:color="auto"/>
        <w:left w:val="none" w:sz="0" w:space="0" w:color="auto"/>
        <w:bottom w:val="none" w:sz="0" w:space="0" w:color="auto"/>
        <w:right w:val="none" w:sz="0" w:space="0" w:color="auto"/>
      </w:divBdr>
    </w:div>
    <w:div w:id="496770406">
      <w:bodyDiv w:val="1"/>
      <w:marLeft w:val="0"/>
      <w:marRight w:val="0"/>
      <w:marTop w:val="0"/>
      <w:marBottom w:val="0"/>
      <w:divBdr>
        <w:top w:val="none" w:sz="0" w:space="0" w:color="auto"/>
        <w:left w:val="none" w:sz="0" w:space="0" w:color="auto"/>
        <w:bottom w:val="none" w:sz="0" w:space="0" w:color="auto"/>
        <w:right w:val="none" w:sz="0" w:space="0" w:color="auto"/>
      </w:divBdr>
    </w:div>
    <w:div w:id="508376427">
      <w:bodyDiv w:val="1"/>
      <w:marLeft w:val="0"/>
      <w:marRight w:val="0"/>
      <w:marTop w:val="0"/>
      <w:marBottom w:val="0"/>
      <w:divBdr>
        <w:top w:val="none" w:sz="0" w:space="0" w:color="auto"/>
        <w:left w:val="none" w:sz="0" w:space="0" w:color="auto"/>
        <w:bottom w:val="none" w:sz="0" w:space="0" w:color="auto"/>
        <w:right w:val="none" w:sz="0" w:space="0" w:color="auto"/>
      </w:divBdr>
    </w:div>
    <w:div w:id="510491128">
      <w:bodyDiv w:val="1"/>
      <w:marLeft w:val="0"/>
      <w:marRight w:val="0"/>
      <w:marTop w:val="0"/>
      <w:marBottom w:val="0"/>
      <w:divBdr>
        <w:top w:val="none" w:sz="0" w:space="0" w:color="auto"/>
        <w:left w:val="none" w:sz="0" w:space="0" w:color="auto"/>
        <w:bottom w:val="none" w:sz="0" w:space="0" w:color="auto"/>
        <w:right w:val="none" w:sz="0" w:space="0" w:color="auto"/>
      </w:divBdr>
    </w:div>
    <w:div w:id="517277411">
      <w:bodyDiv w:val="1"/>
      <w:marLeft w:val="0"/>
      <w:marRight w:val="0"/>
      <w:marTop w:val="0"/>
      <w:marBottom w:val="0"/>
      <w:divBdr>
        <w:top w:val="none" w:sz="0" w:space="0" w:color="auto"/>
        <w:left w:val="none" w:sz="0" w:space="0" w:color="auto"/>
        <w:bottom w:val="none" w:sz="0" w:space="0" w:color="auto"/>
        <w:right w:val="none" w:sz="0" w:space="0" w:color="auto"/>
      </w:divBdr>
    </w:div>
    <w:div w:id="519196648">
      <w:bodyDiv w:val="1"/>
      <w:marLeft w:val="0"/>
      <w:marRight w:val="0"/>
      <w:marTop w:val="0"/>
      <w:marBottom w:val="0"/>
      <w:divBdr>
        <w:top w:val="none" w:sz="0" w:space="0" w:color="auto"/>
        <w:left w:val="none" w:sz="0" w:space="0" w:color="auto"/>
        <w:bottom w:val="none" w:sz="0" w:space="0" w:color="auto"/>
        <w:right w:val="none" w:sz="0" w:space="0" w:color="auto"/>
      </w:divBdr>
    </w:div>
    <w:div w:id="528877536">
      <w:bodyDiv w:val="1"/>
      <w:marLeft w:val="0"/>
      <w:marRight w:val="0"/>
      <w:marTop w:val="0"/>
      <w:marBottom w:val="0"/>
      <w:divBdr>
        <w:top w:val="none" w:sz="0" w:space="0" w:color="auto"/>
        <w:left w:val="none" w:sz="0" w:space="0" w:color="auto"/>
        <w:bottom w:val="none" w:sz="0" w:space="0" w:color="auto"/>
        <w:right w:val="none" w:sz="0" w:space="0" w:color="auto"/>
      </w:divBdr>
    </w:div>
    <w:div w:id="533663171">
      <w:bodyDiv w:val="1"/>
      <w:marLeft w:val="0"/>
      <w:marRight w:val="0"/>
      <w:marTop w:val="0"/>
      <w:marBottom w:val="0"/>
      <w:divBdr>
        <w:top w:val="none" w:sz="0" w:space="0" w:color="auto"/>
        <w:left w:val="none" w:sz="0" w:space="0" w:color="auto"/>
        <w:bottom w:val="none" w:sz="0" w:space="0" w:color="auto"/>
        <w:right w:val="none" w:sz="0" w:space="0" w:color="auto"/>
      </w:divBdr>
    </w:div>
    <w:div w:id="542786376">
      <w:bodyDiv w:val="1"/>
      <w:marLeft w:val="0"/>
      <w:marRight w:val="0"/>
      <w:marTop w:val="0"/>
      <w:marBottom w:val="0"/>
      <w:divBdr>
        <w:top w:val="none" w:sz="0" w:space="0" w:color="auto"/>
        <w:left w:val="none" w:sz="0" w:space="0" w:color="auto"/>
        <w:bottom w:val="none" w:sz="0" w:space="0" w:color="auto"/>
        <w:right w:val="none" w:sz="0" w:space="0" w:color="auto"/>
      </w:divBdr>
    </w:div>
    <w:div w:id="550460297">
      <w:bodyDiv w:val="1"/>
      <w:marLeft w:val="0"/>
      <w:marRight w:val="0"/>
      <w:marTop w:val="0"/>
      <w:marBottom w:val="0"/>
      <w:divBdr>
        <w:top w:val="none" w:sz="0" w:space="0" w:color="auto"/>
        <w:left w:val="none" w:sz="0" w:space="0" w:color="auto"/>
        <w:bottom w:val="none" w:sz="0" w:space="0" w:color="auto"/>
        <w:right w:val="none" w:sz="0" w:space="0" w:color="auto"/>
      </w:divBdr>
    </w:div>
    <w:div w:id="563490019">
      <w:bodyDiv w:val="1"/>
      <w:marLeft w:val="0"/>
      <w:marRight w:val="0"/>
      <w:marTop w:val="0"/>
      <w:marBottom w:val="0"/>
      <w:divBdr>
        <w:top w:val="none" w:sz="0" w:space="0" w:color="auto"/>
        <w:left w:val="none" w:sz="0" w:space="0" w:color="auto"/>
        <w:bottom w:val="none" w:sz="0" w:space="0" w:color="auto"/>
        <w:right w:val="none" w:sz="0" w:space="0" w:color="auto"/>
      </w:divBdr>
    </w:div>
    <w:div w:id="597563857">
      <w:bodyDiv w:val="1"/>
      <w:marLeft w:val="0"/>
      <w:marRight w:val="0"/>
      <w:marTop w:val="0"/>
      <w:marBottom w:val="0"/>
      <w:divBdr>
        <w:top w:val="none" w:sz="0" w:space="0" w:color="auto"/>
        <w:left w:val="none" w:sz="0" w:space="0" w:color="auto"/>
        <w:bottom w:val="none" w:sz="0" w:space="0" w:color="auto"/>
        <w:right w:val="none" w:sz="0" w:space="0" w:color="auto"/>
      </w:divBdr>
    </w:div>
    <w:div w:id="606230275">
      <w:bodyDiv w:val="1"/>
      <w:marLeft w:val="0"/>
      <w:marRight w:val="0"/>
      <w:marTop w:val="0"/>
      <w:marBottom w:val="0"/>
      <w:divBdr>
        <w:top w:val="none" w:sz="0" w:space="0" w:color="auto"/>
        <w:left w:val="none" w:sz="0" w:space="0" w:color="auto"/>
        <w:bottom w:val="none" w:sz="0" w:space="0" w:color="auto"/>
        <w:right w:val="none" w:sz="0" w:space="0" w:color="auto"/>
      </w:divBdr>
    </w:div>
    <w:div w:id="611479233">
      <w:bodyDiv w:val="1"/>
      <w:marLeft w:val="0"/>
      <w:marRight w:val="0"/>
      <w:marTop w:val="0"/>
      <w:marBottom w:val="0"/>
      <w:divBdr>
        <w:top w:val="none" w:sz="0" w:space="0" w:color="auto"/>
        <w:left w:val="none" w:sz="0" w:space="0" w:color="auto"/>
        <w:bottom w:val="none" w:sz="0" w:space="0" w:color="auto"/>
        <w:right w:val="none" w:sz="0" w:space="0" w:color="auto"/>
      </w:divBdr>
    </w:div>
    <w:div w:id="619728571">
      <w:bodyDiv w:val="1"/>
      <w:marLeft w:val="0"/>
      <w:marRight w:val="0"/>
      <w:marTop w:val="0"/>
      <w:marBottom w:val="0"/>
      <w:divBdr>
        <w:top w:val="none" w:sz="0" w:space="0" w:color="auto"/>
        <w:left w:val="none" w:sz="0" w:space="0" w:color="auto"/>
        <w:bottom w:val="none" w:sz="0" w:space="0" w:color="auto"/>
        <w:right w:val="none" w:sz="0" w:space="0" w:color="auto"/>
      </w:divBdr>
    </w:div>
    <w:div w:id="621227481">
      <w:bodyDiv w:val="1"/>
      <w:marLeft w:val="0"/>
      <w:marRight w:val="0"/>
      <w:marTop w:val="0"/>
      <w:marBottom w:val="0"/>
      <w:divBdr>
        <w:top w:val="none" w:sz="0" w:space="0" w:color="auto"/>
        <w:left w:val="none" w:sz="0" w:space="0" w:color="auto"/>
        <w:bottom w:val="none" w:sz="0" w:space="0" w:color="auto"/>
        <w:right w:val="none" w:sz="0" w:space="0" w:color="auto"/>
      </w:divBdr>
    </w:div>
    <w:div w:id="628316460">
      <w:bodyDiv w:val="1"/>
      <w:marLeft w:val="0"/>
      <w:marRight w:val="0"/>
      <w:marTop w:val="0"/>
      <w:marBottom w:val="0"/>
      <w:divBdr>
        <w:top w:val="none" w:sz="0" w:space="0" w:color="auto"/>
        <w:left w:val="none" w:sz="0" w:space="0" w:color="auto"/>
        <w:bottom w:val="none" w:sz="0" w:space="0" w:color="auto"/>
        <w:right w:val="none" w:sz="0" w:space="0" w:color="auto"/>
      </w:divBdr>
    </w:div>
    <w:div w:id="632366621">
      <w:bodyDiv w:val="1"/>
      <w:marLeft w:val="0"/>
      <w:marRight w:val="0"/>
      <w:marTop w:val="0"/>
      <w:marBottom w:val="0"/>
      <w:divBdr>
        <w:top w:val="none" w:sz="0" w:space="0" w:color="auto"/>
        <w:left w:val="none" w:sz="0" w:space="0" w:color="auto"/>
        <w:bottom w:val="none" w:sz="0" w:space="0" w:color="auto"/>
        <w:right w:val="none" w:sz="0" w:space="0" w:color="auto"/>
      </w:divBdr>
    </w:div>
    <w:div w:id="633289877">
      <w:bodyDiv w:val="1"/>
      <w:marLeft w:val="0"/>
      <w:marRight w:val="0"/>
      <w:marTop w:val="0"/>
      <w:marBottom w:val="0"/>
      <w:divBdr>
        <w:top w:val="none" w:sz="0" w:space="0" w:color="auto"/>
        <w:left w:val="none" w:sz="0" w:space="0" w:color="auto"/>
        <w:bottom w:val="none" w:sz="0" w:space="0" w:color="auto"/>
        <w:right w:val="none" w:sz="0" w:space="0" w:color="auto"/>
      </w:divBdr>
    </w:div>
    <w:div w:id="655694415">
      <w:bodyDiv w:val="1"/>
      <w:marLeft w:val="0"/>
      <w:marRight w:val="0"/>
      <w:marTop w:val="0"/>
      <w:marBottom w:val="0"/>
      <w:divBdr>
        <w:top w:val="none" w:sz="0" w:space="0" w:color="auto"/>
        <w:left w:val="none" w:sz="0" w:space="0" w:color="auto"/>
        <w:bottom w:val="none" w:sz="0" w:space="0" w:color="auto"/>
        <w:right w:val="none" w:sz="0" w:space="0" w:color="auto"/>
      </w:divBdr>
    </w:div>
    <w:div w:id="669917600">
      <w:bodyDiv w:val="1"/>
      <w:marLeft w:val="0"/>
      <w:marRight w:val="0"/>
      <w:marTop w:val="0"/>
      <w:marBottom w:val="0"/>
      <w:divBdr>
        <w:top w:val="none" w:sz="0" w:space="0" w:color="auto"/>
        <w:left w:val="none" w:sz="0" w:space="0" w:color="auto"/>
        <w:bottom w:val="none" w:sz="0" w:space="0" w:color="auto"/>
        <w:right w:val="none" w:sz="0" w:space="0" w:color="auto"/>
      </w:divBdr>
    </w:div>
    <w:div w:id="671876624">
      <w:bodyDiv w:val="1"/>
      <w:marLeft w:val="0"/>
      <w:marRight w:val="0"/>
      <w:marTop w:val="0"/>
      <w:marBottom w:val="0"/>
      <w:divBdr>
        <w:top w:val="none" w:sz="0" w:space="0" w:color="auto"/>
        <w:left w:val="none" w:sz="0" w:space="0" w:color="auto"/>
        <w:bottom w:val="none" w:sz="0" w:space="0" w:color="auto"/>
        <w:right w:val="none" w:sz="0" w:space="0" w:color="auto"/>
      </w:divBdr>
    </w:div>
    <w:div w:id="717170564">
      <w:bodyDiv w:val="1"/>
      <w:marLeft w:val="0"/>
      <w:marRight w:val="0"/>
      <w:marTop w:val="0"/>
      <w:marBottom w:val="0"/>
      <w:divBdr>
        <w:top w:val="none" w:sz="0" w:space="0" w:color="auto"/>
        <w:left w:val="none" w:sz="0" w:space="0" w:color="auto"/>
        <w:bottom w:val="none" w:sz="0" w:space="0" w:color="auto"/>
        <w:right w:val="none" w:sz="0" w:space="0" w:color="auto"/>
      </w:divBdr>
    </w:div>
    <w:div w:id="719211623">
      <w:bodyDiv w:val="1"/>
      <w:marLeft w:val="0"/>
      <w:marRight w:val="0"/>
      <w:marTop w:val="0"/>
      <w:marBottom w:val="0"/>
      <w:divBdr>
        <w:top w:val="none" w:sz="0" w:space="0" w:color="auto"/>
        <w:left w:val="none" w:sz="0" w:space="0" w:color="auto"/>
        <w:bottom w:val="none" w:sz="0" w:space="0" w:color="auto"/>
        <w:right w:val="none" w:sz="0" w:space="0" w:color="auto"/>
      </w:divBdr>
    </w:div>
    <w:div w:id="722292773">
      <w:bodyDiv w:val="1"/>
      <w:marLeft w:val="0"/>
      <w:marRight w:val="0"/>
      <w:marTop w:val="0"/>
      <w:marBottom w:val="0"/>
      <w:divBdr>
        <w:top w:val="none" w:sz="0" w:space="0" w:color="auto"/>
        <w:left w:val="none" w:sz="0" w:space="0" w:color="auto"/>
        <w:bottom w:val="none" w:sz="0" w:space="0" w:color="auto"/>
        <w:right w:val="none" w:sz="0" w:space="0" w:color="auto"/>
      </w:divBdr>
    </w:div>
    <w:div w:id="740906661">
      <w:bodyDiv w:val="1"/>
      <w:marLeft w:val="0"/>
      <w:marRight w:val="0"/>
      <w:marTop w:val="0"/>
      <w:marBottom w:val="0"/>
      <w:divBdr>
        <w:top w:val="none" w:sz="0" w:space="0" w:color="auto"/>
        <w:left w:val="none" w:sz="0" w:space="0" w:color="auto"/>
        <w:bottom w:val="none" w:sz="0" w:space="0" w:color="auto"/>
        <w:right w:val="none" w:sz="0" w:space="0" w:color="auto"/>
      </w:divBdr>
    </w:div>
    <w:div w:id="781456459">
      <w:bodyDiv w:val="1"/>
      <w:marLeft w:val="0"/>
      <w:marRight w:val="0"/>
      <w:marTop w:val="0"/>
      <w:marBottom w:val="0"/>
      <w:divBdr>
        <w:top w:val="none" w:sz="0" w:space="0" w:color="auto"/>
        <w:left w:val="none" w:sz="0" w:space="0" w:color="auto"/>
        <w:bottom w:val="none" w:sz="0" w:space="0" w:color="auto"/>
        <w:right w:val="none" w:sz="0" w:space="0" w:color="auto"/>
      </w:divBdr>
    </w:div>
    <w:div w:id="814417911">
      <w:bodyDiv w:val="1"/>
      <w:marLeft w:val="0"/>
      <w:marRight w:val="0"/>
      <w:marTop w:val="0"/>
      <w:marBottom w:val="0"/>
      <w:divBdr>
        <w:top w:val="none" w:sz="0" w:space="0" w:color="auto"/>
        <w:left w:val="none" w:sz="0" w:space="0" w:color="auto"/>
        <w:bottom w:val="none" w:sz="0" w:space="0" w:color="auto"/>
        <w:right w:val="none" w:sz="0" w:space="0" w:color="auto"/>
      </w:divBdr>
    </w:div>
    <w:div w:id="870384877">
      <w:bodyDiv w:val="1"/>
      <w:marLeft w:val="0"/>
      <w:marRight w:val="0"/>
      <w:marTop w:val="0"/>
      <w:marBottom w:val="0"/>
      <w:divBdr>
        <w:top w:val="none" w:sz="0" w:space="0" w:color="auto"/>
        <w:left w:val="none" w:sz="0" w:space="0" w:color="auto"/>
        <w:bottom w:val="none" w:sz="0" w:space="0" w:color="auto"/>
        <w:right w:val="none" w:sz="0" w:space="0" w:color="auto"/>
      </w:divBdr>
    </w:div>
    <w:div w:id="882210076">
      <w:bodyDiv w:val="1"/>
      <w:marLeft w:val="0"/>
      <w:marRight w:val="0"/>
      <w:marTop w:val="0"/>
      <w:marBottom w:val="0"/>
      <w:divBdr>
        <w:top w:val="none" w:sz="0" w:space="0" w:color="auto"/>
        <w:left w:val="none" w:sz="0" w:space="0" w:color="auto"/>
        <w:bottom w:val="none" w:sz="0" w:space="0" w:color="auto"/>
        <w:right w:val="none" w:sz="0" w:space="0" w:color="auto"/>
      </w:divBdr>
    </w:div>
    <w:div w:id="898634056">
      <w:bodyDiv w:val="1"/>
      <w:marLeft w:val="0"/>
      <w:marRight w:val="0"/>
      <w:marTop w:val="0"/>
      <w:marBottom w:val="0"/>
      <w:divBdr>
        <w:top w:val="none" w:sz="0" w:space="0" w:color="auto"/>
        <w:left w:val="none" w:sz="0" w:space="0" w:color="auto"/>
        <w:bottom w:val="none" w:sz="0" w:space="0" w:color="auto"/>
        <w:right w:val="none" w:sz="0" w:space="0" w:color="auto"/>
      </w:divBdr>
    </w:div>
    <w:div w:id="899632487">
      <w:bodyDiv w:val="1"/>
      <w:marLeft w:val="0"/>
      <w:marRight w:val="0"/>
      <w:marTop w:val="0"/>
      <w:marBottom w:val="0"/>
      <w:divBdr>
        <w:top w:val="none" w:sz="0" w:space="0" w:color="auto"/>
        <w:left w:val="none" w:sz="0" w:space="0" w:color="auto"/>
        <w:bottom w:val="none" w:sz="0" w:space="0" w:color="auto"/>
        <w:right w:val="none" w:sz="0" w:space="0" w:color="auto"/>
      </w:divBdr>
    </w:div>
    <w:div w:id="903443970">
      <w:bodyDiv w:val="1"/>
      <w:marLeft w:val="0"/>
      <w:marRight w:val="0"/>
      <w:marTop w:val="0"/>
      <w:marBottom w:val="0"/>
      <w:divBdr>
        <w:top w:val="none" w:sz="0" w:space="0" w:color="auto"/>
        <w:left w:val="none" w:sz="0" w:space="0" w:color="auto"/>
        <w:bottom w:val="none" w:sz="0" w:space="0" w:color="auto"/>
        <w:right w:val="none" w:sz="0" w:space="0" w:color="auto"/>
      </w:divBdr>
    </w:div>
    <w:div w:id="923031920">
      <w:bodyDiv w:val="1"/>
      <w:marLeft w:val="0"/>
      <w:marRight w:val="0"/>
      <w:marTop w:val="0"/>
      <w:marBottom w:val="0"/>
      <w:divBdr>
        <w:top w:val="none" w:sz="0" w:space="0" w:color="auto"/>
        <w:left w:val="none" w:sz="0" w:space="0" w:color="auto"/>
        <w:bottom w:val="none" w:sz="0" w:space="0" w:color="auto"/>
        <w:right w:val="none" w:sz="0" w:space="0" w:color="auto"/>
      </w:divBdr>
    </w:div>
    <w:div w:id="927351340">
      <w:bodyDiv w:val="1"/>
      <w:marLeft w:val="0"/>
      <w:marRight w:val="0"/>
      <w:marTop w:val="0"/>
      <w:marBottom w:val="0"/>
      <w:divBdr>
        <w:top w:val="none" w:sz="0" w:space="0" w:color="auto"/>
        <w:left w:val="none" w:sz="0" w:space="0" w:color="auto"/>
        <w:bottom w:val="none" w:sz="0" w:space="0" w:color="auto"/>
        <w:right w:val="none" w:sz="0" w:space="0" w:color="auto"/>
      </w:divBdr>
    </w:div>
    <w:div w:id="937952785">
      <w:bodyDiv w:val="1"/>
      <w:marLeft w:val="0"/>
      <w:marRight w:val="0"/>
      <w:marTop w:val="0"/>
      <w:marBottom w:val="0"/>
      <w:divBdr>
        <w:top w:val="none" w:sz="0" w:space="0" w:color="auto"/>
        <w:left w:val="none" w:sz="0" w:space="0" w:color="auto"/>
        <w:bottom w:val="none" w:sz="0" w:space="0" w:color="auto"/>
        <w:right w:val="none" w:sz="0" w:space="0" w:color="auto"/>
      </w:divBdr>
    </w:div>
    <w:div w:id="939945838">
      <w:bodyDiv w:val="1"/>
      <w:marLeft w:val="0"/>
      <w:marRight w:val="0"/>
      <w:marTop w:val="0"/>
      <w:marBottom w:val="0"/>
      <w:divBdr>
        <w:top w:val="none" w:sz="0" w:space="0" w:color="auto"/>
        <w:left w:val="none" w:sz="0" w:space="0" w:color="auto"/>
        <w:bottom w:val="none" w:sz="0" w:space="0" w:color="auto"/>
        <w:right w:val="none" w:sz="0" w:space="0" w:color="auto"/>
      </w:divBdr>
    </w:div>
    <w:div w:id="941574485">
      <w:bodyDiv w:val="1"/>
      <w:marLeft w:val="0"/>
      <w:marRight w:val="0"/>
      <w:marTop w:val="0"/>
      <w:marBottom w:val="0"/>
      <w:divBdr>
        <w:top w:val="none" w:sz="0" w:space="0" w:color="auto"/>
        <w:left w:val="none" w:sz="0" w:space="0" w:color="auto"/>
        <w:bottom w:val="none" w:sz="0" w:space="0" w:color="auto"/>
        <w:right w:val="none" w:sz="0" w:space="0" w:color="auto"/>
      </w:divBdr>
    </w:div>
    <w:div w:id="957830969">
      <w:bodyDiv w:val="1"/>
      <w:marLeft w:val="0"/>
      <w:marRight w:val="0"/>
      <w:marTop w:val="0"/>
      <w:marBottom w:val="0"/>
      <w:divBdr>
        <w:top w:val="none" w:sz="0" w:space="0" w:color="auto"/>
        <w:left w:val="none" w:sz="0" w:space="0" w:color="auto"/>
        <w:bottom w:val="none" w:sz="0" w:space="0" w:color="auto"/>
        <w:right w:val="none" w:sz="0" w:space="0" w:color="auto"/>
      </w:divBdr>
    </w:div>
    <w:div w:id="960038420">
      <w:bodyDiv w:val="1"/>
      <w:marLeft w:val="0"/>
      <w:marRight w:val="0"/>
      <w:marTop w:val="0"/>
      <w:marBottom w:val="0"/>
      <w:divBdr>
        <w:top w:val="none" w:sz="0" w:space="0" w:color="auto"/>
        <w:left w:val="none" w:sz="0" w:space="0" w:color="auto"/>
        <w:bottom w:val="none" w:sz="0" w:space="0" w:color="auto"/>
        <w:right w:val="none" w:sz="0" w:space="0" w:color="auto"/>
      </w:divBdr>
    </w:div>
    <w:div w:id="960960438">
      <w:bodyDiv w:val="1"/>
      <w:marLeft w:val="0"/>
      <w:marRight w:val="0"/>
      <w:marTop w:val="0"/>
      <w:marBottom w:val="0"/>
      <w:divBdr>
        <w:top w:val="none" w:sz="0" w:space="0" w:color="auto"/>
        <w:left w:val="none" w:sz="0" w:space="0" w:color="auto"/>
        <w:bottom w:val="none" w:sz="0" w:space="0" w:color="auto"/>
        <w:right w:val="none" w:sz="0" w:space="0" w:color="auto"/>
      </w:divBdr>
    </w:div>
    <w:div w:id="982806547">
      <w:bodyDiv w:val="1"/>
      <w:marLeft w:val="0"/>
      <w:marRight w:val="0"/>
      <w:marTop w:val="0"/>
      <w:marBottom w:val="0"/>
      <w:divBdr>
        <w:top w:val="none" w:sz="0" w:space="0" w:color="auto"/>
        <w:left w:val="none" w:sz="0" w:space="0" w:color="auto"/>
        <w:bottom w:val="none" w:sz="0" w:space="0" w:color="auto"/>
        <w:right w:val="none" w:sz="0" w:space="0" w:color="auto"/>
      </w:divBdr>
    </w:div>
    <w:div w:id="984238133">
      <w:bodyDiv w:val="1"/>
      <w:marLeft w:val="0"/>
      <w:marRight w:val="0"/>
      <w:marTop w:val="0"/>
      <w:marBottom w:val="0"/>
      <w:divBdr>
        <w:top w:val="none" w:sz="0" w:space="0" w:color="auto"/>
        <w:left w:val="none" w:sz="0" w:space="0" w:color="auto"/>
        <w:bottom w:val="none" w:sz="0" w:space="0" w:color="auto"/>
        <w:right w:val="none" w:sz="0" w:space="0" w:color="auto"/>
      </w:divBdr>
    </w:div>
    <w:div w:id="987704433">
      <w:bodyDiv w:val="1"/>
      <w:marLeft w:val="0"/>
      <w:marRight w:val="0"/>
      <w:marTop w:val="0"/>
      <w:marBottom w:val="0"/>
      <w:divBdr>
        <w:top w:val="none" w:sz="0" w:space="0" w:color="auto"/>
        <w:left w:val="none" w:sz="0" w:space="0" w:color="auto"/>
        <w:bottom w:val="none" w:sz="0" w:space="0" w:color="auto"/>
        <w:right w:val="none" w:sz="0" w:space="0" w:color="auto"/>
      </w:divBdr>
    </w:div>
    <w:div w:id="998267531">
      <w:bodyDiv w:val="1"/>
      <w:marLeft w:val="0"/>
      <w:marRight w:val="0"/>
      <w:marTop w:val="0"/>
      <w:marBottom w:val="0"/>
      <w:divBdr>
        <w:top w:val="none" w:sz="0" w:space="0" w:color="auto"/>
        <w:left w:val="none" w:sz="0" w:space="0" w:color="auto"/>
        <w:bottom w:val="none" w:sz="0" w:space="0" w:color="auto"/>
        <w:right w:val="none" w:sz="0" w:space="0" w:color="auto"/>
      </w:divBdr>
    </w:div>
    <w:div w:id="1015233044">
      <w:bodyDiv w:val="1"/>
      <w:marLeft w:val="0"/>
      <w:marRight w:val="0"/>
      <w:marTop w:val="0"/>
      <w:marBottom w:val="0"/>
      <w:divBdr>
        <w:top w:val="none" w:sz="0" w:space="0" w:color="auto"/>
        <w:left w:val="none" w:sz="0" w:space="0" w:color="auto"/>
        <w:bottom w:val="none" w:sz="0" w:space="0" w:color="auto"/>
        <w:right w:val="none" w:sz="0" w:space="0" w:color="auto"/>
      </w:divBdr>
    </w:div>
    <w:div w:id="1047877086">
      <w:bodyDiv w:val="1"/>
      <w:marLeft w:val="0"/>
      <w:marRight w:val="0"/>
      <w:marTop w:val="0"/>
      <w:marBottom w:val="0"/>
      <w:divBdr>
        <w:top w:val="none" w:sz="0" w:space="0" w:color="auto"/>
        <w:left w:val="none" w:sz="0" w:space="0" w:color="auto"/>
        <w:bottom w:val="none" w:sz="0" w:space="0" w:color="auto"/>
        <w:right w:val="none" w:sz="0" w:space="0" w:color="auto"/>
      </w:divBdr>
    </w:div>
    <w:div w:id="1064718805">
      <w:bodyDiv w:val="1"/>
      <w:marLeft w:val="0"/>
      <w:marRight w:val="0"/>
      <w:marTop w:val="0"/>
      <w:marBottom w:val="0"/>
      <w:divBdr>
        <w:top w:val="none" w:sz="0" w:space="0" w:color="auto"/>
        <w:left w:val="none" w:sz="0" w:space="0" w:color="auto"/>
        <w:bottom w:val="none" w:sz="0" w:space="0" w:color="auto"/>
        <w:right w:val="none" w:sz="0" w:space="0" w:color="auto"/>
      </w:divBdr>
    </w:div>
    <w:div w:id="1068112660">
      <w:bodyDiv w:val="1"/>
      <w:marLeft w:val="0"/>
      <w:marRight w:val="0"/>
      <w:marTop w:val="0"/>
      <w:marBottom w:val="0"/>
      <w:divBdr>
        <w:top w:val="none" w:sz="0" w:space="0" w:color="auto"/>
        <w:left w:val="none" w:sz="0" w:space="0" w:color="auto"/>
        <w:bottom w:val="none" w:sz="0" w:space="0" w:color="auto"/>
        <w:right w:val="none" w:sz="0" w:space="0" w:color="auto"/>
      </w:divBdr>
    </w:div>
    <w:div w:id="1072656053">
      <w:bodyDiv w:val="1"/>
      <w:marLeft w:val="0"/>
      <w:marRight w:val="0"/>
      <w:marTop w:val="0"/>
      <w:marBottom w:val="0"/>
      <w:divBdr>
        <w:top w:val="none" w:sz="0" w:space="0" w:color="auto"/>
        <w:left w:val="none" w:sz="0" w:space="0" w:color="auto"/>
        <w:bottom w:val="none" w:sz="0" w:space="0" w:color="auto"/>
        <w:right w:val="none" w:sz="0" w:space="0" w:color="auto"/>
      </w:divBdr>
    </w:div>
    <w:div w:id="1088504012">
      <w:bodyDiv w:val="1"/>
      <w:marLeft w:val="0"/>
      <w:marRight w:val="0"/>
      <w:marTop w:val="0"/>
      <w:marBottom w:val="0"/>
      <w:divBdr>
        <w:top w:val="none" w:sz="0" w:space="0" w:color="auto"/>
        <w:left w:val="none" w:sz="0" w:space="0" w:color="auto"/>
        <w:bottom w:val="none" w:sz="0" w:space="0" w:color="auto"/>
        <w:right w:val="none" w:sz="0" w:space="0" w:color="auto"/>
      </w:divBdr>
    </w:div>
    <w:div w:id="1106774169">
      <w:bodyDiv w:val="1"/>
      <w:marLeft w:val="0"/>
      <w:marRight w:val="0"/>
      <w:marTop w:val="0"/>
      <w:marBottom w:val="0"/>
      <w:divBdr>
        <w:top w:val="none" w:sz="0" w:space="0" w:color="auto"/>
        <w:left w:val="none" w:sz="0" w:space="0" w:color="auto"/>
        <w:bottom w:val="none" w:sz="0" w:space="0" w:color="auto"/>
        <w:right w:val="none" w:sz="0" w:space="0" w:color="auto"/>
      </w:divBdr>
    </w:div>
    <w:div w:id="1116216519">
      <w:bodyDiv w:val="1"/>
      <w:marLeft w:val="0"/>
      <w:marRight w:val="0"/>
      <w:marTop w:val="0"/>
      <w:marBottom w:val="0"/>
      <w:divBdr>
        <w:top w:val="none" w:sz="0" w:space="0" w:color="auto"/>
        <w:left w:val="none" w:sz="0" w:space="0" w:color="auto"/>
        <w:bottom w:val="none" w:sz="0" w:space="0" w:color="auto"/>
        <w:right w:val="none" w:sz="0" w:space="0" w:color="auto"/>
      </w:divBdr>
    </w:div>
    <w:div w:id="1117336280">
      <w:bodyDiv w:val="1"/>
      <w:marLeft w:val="0"/>
      <w:marRight w:val="0"/>
      <w:marTop w:val="0"/>
      <w:marBottom w:val="0"/>
      <w:divBdr>
        <w:top w:val="none" w:sz="0" w:space="0" w:color="auto"/>
        <w:left w:val="none" w:sz="0" w:space="0" w:color="auto"/>
        <w:bottom w:val="none" w:sz="0" w:space="0" w:color="auto"/>
        <w:right w:val="none" w:sz="0" w:space="0" w:color="auto"/>
      </w:divBdr>
    </w:div>
    <w:div w:id="1121807289">
      <w:bodyDiv w:val="1"/>
      <w:marLeft w:val="0"/>
      <w:marRight w:val="0"/>
      <w:marTop w:val="0"/>
      <w:marBottom w:val="0"/>
      <w:divBdr>
        <w:top w:val="none" w:sz="0" w:space="0" w:color="auto"/>
        <w:left w:val="none" w:sz="0" w:space="0" w:color="auto"/>
        <w:bottom w:val="none" w:sz="0" w:space="0" w:color="auto"/>
        <w:right w:val="none" w:sz="0" w:space="0" w:color="auto"/>
      </w:divBdr>
    </w:div>
    <w:div w:id="1129592004">
      <w:bodyDiv w:val="1"/>
      <w:marLeft w:val="0"/>
      <w:marRight w:val="0"/>
      <w:marTop w:val="0"/>
      <w:marBottom w:val="0"/>
      <w:divBdr>
        <w:top w:val="none" w:sz="0" w:space="0" w:color="auto"/>
        <w:left w:val="none" w:sz="0" w:space="0" w:color="auto"/>
        <w:bottom w:val="none" w:sz="0" w:space="0" w:color="auto"/>
        <w:right w:val="none" w:sz="0" w:space="0" w:color="auto"/>
      </w:divBdr>
    </w:div>
    <w:div w:id="1137837539">
      <w:bodyDiv w:val="1"/>
      <w:marLeft w:val="0"/>
      <w:marRight w:val="0"/>
      <w:marTop w:val="0"/>
      <w:marBottom w:val="0"/>
      <w:divBdr>
        <w:top w:val="none" w:sz="0" w:space="0" w:color="auto"/>
        <w:left w:val="none" w:sz="0" w:space="0" w:color="auto"/>
        <w:bottom w:val="none" w:sz="0" w:space="0" w:color="auto"/>
        <w:right w:val="none" w:sz="0" w:space="0" w:color="auto"/>
      </w:divBdr>
    </w:div>
    <w:div w:id="1145896963">
      <w:bodyDiv w:val="1"/>
      <w:marLeft w:val="0"/>
      <w:marRight w:val="0"/>
      <w:marTop w:val="0"/>
      <w:marBottom w:val="0"/>
      <w:divBdr>
        <w:top w:val="none" w:sz="0" w:space="0" w:color="auto"/>
        <w:left w:val="none" w:sz="0" w:space="0" w:color="auto"/>
        <w:bottom w:val="none" w:sz="0" w:space="0" w:color="auto"/>
        <w:right w:val="none" w:sz="0" w:space="0" w:color="auto"/>
      </w:divBdr>
    </w:div>
    <w:div w:id="1149634120">
      <w:bodyDiv w:val="1"/>
      <w:marLeft w:val="0"/>
      <w:marRight w:val="0"/>
      <w:marTop w:val="0"/>
      <w:marBottom w:val="0"/>
      <w:divBdr>
        <w:top w:val="none" w:sz="0" w:space="0" w:color="auto"/>
        <w:left w:val="none" w:sz="0" w:space="0" w:color="auto"/>
        <w:bottom w:val="none" w:sz="0" w:space="0" w:color="auto"/>
        <w:right w:val="none" w:sz="0" w:space="0" w:color="auto"/>
      </w:divBdr>
    </w:div>
    <w:div w:id="1176576348">
      <w:bodyDiv w:val="1"/>
      <w:marLeft w:val="0"/>
      <w:marRight w:val="0"/>
      <w:marTop w:val="0"/>
      <w:marBottom w:val="0"/>
      <w:divBdr>
        <w:top w:val="none" w:sz="0" w:space="0" w:color="auto"/>
        <w:left w:val="none" w:sz="0" w:space="0" w:color="auto"/>
        <w:bottom w:val="none" w:sz="0" w:space="0" w:color="auto"/>
        <w:right w:val="none" w:sz="0" w:space="0" w:color="auto"/>
      </w:divBdr>
    </w:div>
    <w:div w:id="1195774354">
      <w:bodyDiv w:val="1"/>
      <w:marLeft w:val="0"/>
      <w:marRight w:val="0"/>
      <w:marTop w:val="0"/>
      <w:marBottom w:val="0"/>
      <w:divBdr>
        <w:top w:val="none" w:sz="0" w:space="0" w:color="auto"/>
        <w:left w:val="none" w:sz="0" w:space="0" w:color="auto"/>
        <w:bottom w:val="none" w:sz="0" w:space="0" w:color="auto"/>
        <w:right w:val="none" w:sz="0" w:space="0" w:color="auto"/>
      </w:divBdr>
    </w:div>
    <w:div w:id="1213885909">
      <w:bodyDiv w:val="1"/>
      <w:marLeft w:val="0"/>
      <w:marRight w:val="0"/>
      <w:marTop w:val="0"/>
      <w:marBottom w:val="0"/>
      <w:divBdr>
        <w:top w:val="none" w:sz="0" w:space="0" w:color="auto"/>
        <w:left w:val="none" w:sz="0" w:space="0" w:color="auto"/>
        <w:bottom w:val="none" w:sz="0" w:space="0" w:color="auto"/>
        <w:right w:val="none" w:sz="0" w:space="0" w:color="auto"/>
      </w:divBdr>
    </w:div>
    <w:div w:id="1223175610">
      <w:bodyDiv w:val="1"/>
      <w:marLeft w:val="0"/>
      <w:marRight w:val="0"/>
      <w:marTop w:val="0"/>
      <w:marBottom w:val="0"/>
      <w:divBdr>
        <w:top w:val="none" w:sz="0" w:space="0" w:color="auto"/>
        <w:left w:val="none" w:sz="0" w:space="0" w:color="auto"/>
        <w:bottom w:val="none" w:sz="0" w:space="0" w:color="auto"/>
        <w:right w:val="none" w:sz="0" w:space="0" w:color="auto"/>
      </w:divBdr>
    </w:div>
    <w:div w:id="1238006841">
      <w:bodyDiv w:val="1"/>
      <w:marLeft w:val="0"/>
      <w:marRight w:val="0"/>
      <w:marTop w:val="0"/>
      <w:marBottom w:val="0"/>
      <w:divBdr>
        <w:top w:val="none" w:sz="0" w:space="0" w:color="auto"/>
        <w:left w:val="none" w:sz="0" w:space="0" w:color="auto"/>
        <w:bottom w:val="none" w:sz="0" w:space="0" w:color="auto"/>
        <w:right w:val="none" w:sz="0" w:space="0" w:color="auto"/>
      </w:divBdr>
    </w:div>
    <w:div w:id="1249926809">
      <w:bodyDiv w:val="1"/>
      <w:marLeft w:val="0"/>
      <w:marRight w:val="0"/>
      <w:marTop w:val="0"/>
      <w:marBottom w:val="0"/>
      <w:divBdr>
        <w:top w:val="none" w:sz="0" w:space="0" w:color="auto"/>
        <w:left w:val="none" w:sz="0" w:space="0" w:color="auto"/>
        <w:bottom w:val="none" w:sz="0" w:space="0" w:color="auto"/>
        <w:right w:val="none" w:sz="0" w:space="0" w:color="auto"/>
      </w:divBdr>
    </w:div>
    <w:div w:id="1262647514">
      <w:bodyDiv w:val="1"/>
      <w:marLeft w:val="0"/>
      <w:marRight w:val="0"/>
      <w:marTop w:val="0"/>
      <w:marBottom w:val="0"/>
      <w:divBdr>
        <w:top w:val="none" w:sz="0" w:space="0" w:color="auto"/>
        <w:left w:val="none" w:sz="0" w:space="0" w:color="auto"/>
        <w:bottom w:val="none" w:sz="0" w:space="0" w:color="auto"/>
        <w:right w:val="none" w:sz="0" w:space="0" w:color="auto"/>
      </w:divBdr>
    </w:div>
    <w:div w:id="1269773414">
      <w:bodyDiv w:val="1"/>
      <w:marLeft w:val="0"/>
      <w:marRight w:val="0"/>
      <w:marTop w:val="0"/>
      <w:marBottom w:val="0"/>
      <w:divBdr>
        <w:top w:val="none" w:sz="0" w:space="0" w:color="auto"/>
        <w:left w:val="none" w:sz="0" w:space="0" w:color="auto"/>
        <w:bottom w:val="none" w:sz="0" w:space="0" w:color="auto"/>
        <w:right w:val="none" w:sz="0" w:space="0" w:color="auto"/>
      </w:divBdr>
      <w:divsChild>
        <w:div w:id="1199970615">
          <w:marLeft w:val="480"/>
          <w:marRight w:val="0"/>
          <w:marTop w:val="0"/>
          <w:marBottom w:val="0"/>
          <w:divBdr>
            <w:top w:val="none" w:sz="0" w:space="0" w:color="auto"/>
            <w:left w:val="none" w:sz="0" w:space="0" w:color="auto"/>
            <w:bottom w:val="none" w:sz="0" w:space="0" w:color="auto"/>
            <w:right w:val="none" w:sz="0" w:space="0" w:color="auto"/>
          </w:divBdr>
        </w:div>
        <w:div w:id="1646739760">
          <w:marLeft w:val="480"/>
          <w:marRight w:val="0"/>
          <w:marTop w:val="0"/>
          <w:marBottom w:val="0"/>
          <w:divBdr>
            <w:top w:val="none" w:sz="0" w:space="0" w:color="auto"/>
            <w:left w:val="none" w:sz="0" w:space="0" w:color="auto"/>
            <w:bottom w:val="none" w:sz="0" w:space="0" w:color="auto"/>
            <w:right w:val="none" w:sz="0" w:space="0" w:color="auto"/>
          </w:divBdr>
        </w:div>
        <w:div w:id="1786775304">
          <w:marLeft w:val="480"/>
          <w:marRight w:val="0"/>
          <w:marTop w:val="0"/>
          <w:marBottom w:val="0"/>
          <w:divBdr>
            <w:top w:val="none" w:sz="0" w:space="0" w:color="auto"/>
            <w:left w:val="none" w:sz="0" w:space="0" w:color="auto"/>
            <w:bottom w:val="none" w:sz="0" w:space="0" w:color="auto"/>
            <w:right w:val="none" w:sz="0" w:space="0" w:color="auto"/>
          </w:divBdr>
        </w:div>
      </w:divsChild>
    </w:div>
    <w:div w:id="1289505586">
      <w:bodyDiv w:val="1"/>
      <w:marLeft w:val="0"/>
      <w:marRight w:val="0"/>
      <w:marTop w:val="0"/>
      <w:marBottom w:val="0"/>
      <w:divBdr>
        <w:top w:val="none" w:sz="0" w:space="0" w:color="auto"/>
        <w:left w:val="none" w:sz="0" w:space="0" w:color="auto"/>
        <w:bottom w:val="none" w:sz="0" w:space="0" w:color="auto"/>
        <w:right w:val="none" w:sz="0" w:space="0" w:color="auto"/>
      </w:divBdr>
    </w:div>
    <w:div w:id="1293289814">
      <w:bodyDiv w:val="1"/>
      <w:marLeft w:val="0"/>
      <w:marRight w:val="0"/>
      <w:marTop w:val="0"/>
      <w:marBottom w:val="0"/>
      <w:divBdr>
        <w:top w:val="none" w:sz="0" w:space="0" w:color="auto"/>
        <w:left w:val="none" w:sz="0" w:space="0" w:color="auto"/>
        <w:bottom w:val="none" w:sz="0" w:space="0" w:color="auto"/>
        <w:right w:val="none" w:sz="0" w:space="0" w:color="auto"/>
      </w:divBdr>
    </w:div>
    <w:div w:id="1297679387">
      <w:bodyDiv w:val="1"/>
      <w:marLeft w:val="0"/>
      <w:marRight w:val="0"/>
      <w:marTop w:val="0"/>
      <w:marBottom w:val="0"/>
      <w:divBdr>
        <w:top w:val="none" w:sz="0" w:space="0" w:color="auto"/>
        <w:left w:val="none" w:sz="0" w:space="0" w:color="auto"/>
        <w:bottom w:val="none" w:sz="0" w:space="0" w:color="auto"/>
        <w:right w:val="none" w:sz="0" w:space="0" w:color="auto"/>
      </w:divBdr>
    </w:div>
    <w:div w:id="1304582321">
      <w:bodyDiv w:val="1"/>
      <w:marLeft w:val="0"/>
      <w:marRight w:val="0"/>
      <w:marTop w:val="0"/>
      <w:marBottom w:val="0"/>
      <w:divBdr>
        <w:top w:val="none" w:sz="0" w:space="0" w:color="auto"/>
        <w:left w:val="none" w:sz="0" w:space="0" w:color="auto"/>
        <w:bottom w:val="none" w:sz="0" w:space="0" w:color="auto"/>
        <w:right w:val="none" w:sz="0" w:space="0" w:color="auto"/>
      </w:divBdr>
    </w:div>
    <w:div w:id="1331446183">
      <w:bodyDiv w:val="1"/>
      <w:marLeft w:val="0"/>
      <w:marRight w:val="0"/>
      <w:marTop w:val="0"/>
      <w:marBottom w:val="0"/>
      <w:divBdr>
        <w:top w:val="none" w:sz="0" w:space="0" w:color="auto"/>
        <w:left w:val="none" w:sz="0" w:space="0" w:color="auto"/>
        <w:bottom w:val="none" w:sz="0" w:space="0" w:color="auto"/>
        <w:right w:val="none" w:sz="0" w:space="0" w:color="auto"/>
      </w:divBdr>
    </w:div>
    <w:div w:id="1353022843">
      <w:bodyDiv w:val="1"/>
      <w:marLeft w:val="0"/>
      <w:marRight w:val="0"/>
      <w:marTop w:val="0"/>
      <w:marBottom w:val="0"/>
      <w:divBdr>
        <w:top w:val="none" w:sz="0" w:space="0" w:color="auto"/>
        <w:left w:val="none" w:sz="0" w:space="0" w:color="auto"/>
        <w:bottom w:val="none" w:sz="0" w:space="0" w:color="auto"/>
        <w:right w:val="none" w:sz="0" w:space="0" w:color="auto"/>
      </w:divBdr>
    </w:div>
    <w:div w:id="1367559834">
      <w:bodyDiv w:val="1"/>
      <w:marLeft w:val="0"/>
      <w:marRight w:val="0"/>
      <w:marTop w:val="0"/>
      <w:marBottom w:val="0"/>
      <w:divBdr>
        <w:top w:val="none" w:sz="0" w:space="0" w:color="auto"/>
        <w:left w:val="none" w:sz="0" w:space="0" w:color="auto"/>
        <w:bottom w:val="none" w:sz="0" w:space="0" w:color="auto"/>
        <w:right w:val="none" w:sz="0" w:space="0" w:color="auto"/>
      </w:divBdr>
    </w:div>
    <w:div w:id="1368600034">
      <w:bodyDiv w:val="1"/>
      <w:marLeft w:val="0"/>
      <w:marRight w:val="0"/>
      <w:marTop w:val="0"/>
      <w:marBottom w:val="0"/>
      <w:divBdr>
        <w:top w:val="none" w:sz="0" w:space="0" w:color="auto"/>
        <w:left w:val="none" w:sz="0" w:space="0" w:color="auto"/>
        <w:bottom w:val="none" w:sz="0" w:space="0" w:color="auto"/>
        <w:right w:val="none" w:sz="0" w:space="0" w:color="auto"/>
      </w:divBdr>
    </w:div>
    <w:div w:id="1371300830">
      <w:bodyDiv w:val="1"/>
      <w:marLeft w:val="0"/>
      <w:marRight w:val="0"/>
      <w:marTop w:val="0"/>
      <w:marBottom w:val="0"/>
      <w:divBdr>
        <w:top w:val="none" w:sz="0" w:space="0" w:color="auto"/>
        <w:left w:val="none" w:sz="0" w:space="0" w:color="auto"/>
        <w:bottom w:val="none" w:sz="0" w:space="0" w:color="auto"/>
        <w:right w:val="none" w:sz="0" w:space="0" w:color="auto"/>
      </w:divBdr>
    </w:div>
    <w:div w:id="1382634141">
      <w:bodyDiv w:val="1"/>
      <w:marLeft w:val="0"/>
      <w:marRight w:val="0"/>
      <w:marTop w:val="0"/>
      <w:marBottom w:val="0"/>
      <w:divBdr>
        <w:top w:val="none" w:sz="0" w:space="0" w:color="auto"/>
        <w:left w:val="none" w:sz="0" w:space="0" w:color="auto"/>
        <w:bottom w:val="none" w:sz="0" w:space="0" w:color="auto"/>
        <w:right w:val="none" w:sz="0" w:space="0" w:color="auto"/>
      </w:divBdr>
    </w:div>
    <w:div w:id="1408647256">
      <w:bodyDiv w:val="1"/>
      <w:marLeft w:val="0"/>
      <w:marRight w:val="0"/>
      <w:marTop w:val="0"/>
      <w:marBottom w:val="0"/>
      <w:divBdr>
        <w:top w:val="none" w:sz="0" w:space="0" w:color="auto"/>
        <w:left w:val="none" w:sz="0" w:space="0" w:color="auto"/>
        <w:bottom w:val="none" w:sz="0" w:space="0" w:color="auto"/>
        <w:right w:val="none" w:sz="0" w:space="0" w:color="auto"/>
      </w:divBdr>
    </w:div>
    <w:div w:id="1410539628">
      <w:bodyDiv w:val="1"/>
      <w:marLeft w:val="0"/>
      <w:marRight w:val="0"/>
      <w:marTop w:val="0"/>
      <w:marBottom w:val="0"/>
      <w:divBdr>
        <w:top w:val="none" w:sz="0" w:space="0" w:color="auto"/>
        <w:left w:val="none" w:sz="0" w:space="0" w:color="auto"/>
        <w:bottom w:val="none" w:sz="0" w:space="0" w:color="auto"/>
        <w:right w:val="none" w:sz="0" w:space="0" w:color="auto"/>
      </w:divBdr>
    </w:div>
    <w:div w:id="1415858307">
      <w:bodyDiv w:val="1"/>
      <w:marLeft w:val="0"/>
      <w:marRight w:val="0"/>
      <w:marTop w:val="0"/>
      <w:marBottom w:val="0"/>
      <w:divBdr>
        <w:top w:val="none" w:sz="0" w:space="0" w:color="auto"/>
        <w:left w:val="none" w:sz="0" w:space="0" w:color="auto"/>
        <w:bottom w:val="none" w:sz="0" w:space="0" w:color="auto"/>
        <w:right w:val="none" w:sz="0" w:space="0" w:color="auto"/>
      </w:divBdr>
    </w:div>
    <w:div w:id="1441994628">
      <w:bodyDiv w:val="1"/>
      <w:marLeft w:val="0"/>
      <w:marRight w:val="0"/>
      <w:marTop w:val="0"/>
      <w:marBottom w:val="0"/>
      <w:divBdr>
        <w:top w:val="none" w:sz="0" w:space="0" w:color="auto"/>
        <w:left w:val="none" w:sz="0" w:space="0" w:color="auto"/>
        <w:bottom w:val="none" w:sz="0" w:space="0" w:color="auto"/>
        <w:right w:val="none" w:sz="0" w:space="0" w:color="auto"/>
      </w:divBdr>
    </w:div>
    <w:div w:id="1445424136">
      <w:bodyDiv w:val="1"/>
      <w:marLeft w:val="0"/>
      <w:marRight w:val="0"/>
      <w:marTop w:val="0"/>
      <w:marBottom w:val="0"/>
      <w:divBdr>
        <w:top w:val="none" w:sz="0" w:space="0" w:color="auto"/>
        <w:left w:val="none" w:sz="0" w:space="0" w:color="auto"/>
        <w:bottom w:val="none" w:sz="0" w:space="0" w:color="auto"/>
        <w:right w:val="none" w:sz="0" w:space="0" w:color="auto"/>
      </w:divBdr>
    </w:div>
    <w:div w:id="1466042430">
      <w:bodyDiv w:val="1"/>
      <w:marLeft w:val="0"/>
      <w:marRight w:val="0"/>
      <w:marTop w:val="0"/>
      <w:marBottom w:val="0"/>
      <w:divBdr>
        <w:top w:val="none" w:sz="0" w:space="0" w:color="auto"/>
        <w:left w:val="none" w:sz="0" w:space="0" w:color="auto"/>
        <w:bottom w:val="none" w:sz="0" w:space="0" w:color="auto"/>
        <w:right w:val="none" w:sz="0" w:space="0" w:color="auto"/>
      </w:divBdr>
    </w:div>
    <w:div w:id="1473937202">
      <w:bodyDiv w:val="1"/>
      <w:marLeft w:val="0"/>
      <w:marRight w:val="0"/>
      <w:marTop w:val="0"/>
      <w:marBottom w:val="0"/>
      <w:divBdr>
        <w:top w:val="none" w:sz="0" w:space="0" w:color="auto"/>
        <w:left w:val="none" w:sz="0" w:space="0" w:color="auto"/>
        <w:bottom w:val="none" w:sz="0" w:space="0" w:color="auto"/>
        <w:right w:val="none" w:sz="0" w:space="0" w:color="auto"/>
      </w:divBdr>
    </w:div>
    <w:div w:id="1497529040">
      <w:bodyDiv w:val="1"/>
      <w:marLeft w:val="0"/>
      <w:marRight w:val="0"/>
      <w:marTop w:val="0"/>
      <w:marBottom w:val="0"/>
      <w:divBdr>
        <w:top w:val="none" w:sz="0" w:space="0" w:color="auto"/>
        <w:left w:val="none" w:sz="0" w:space="0" w:color="auto"/>
        <w:bottom w:val="none" w:sz="0" w:space="0" w:color="auto"/>
        <w:right w:val="none" w:sz="0" w:space="0" w:color="auto"/>
      </w:divBdr>
    </w:div>
    <w:div w:id="1527331806">
      <w:bodyDiv w:val="1"/>
      <w:marLeft w:val="0"/>
      <w:marRight w:val="0"/>
      <w:marTop w:val="0"/>
      <w:marBottom w:val="0"/>
      <w:divBdr>
        <w:top w:val="none" w:sz="0" w:space="0" w:color="auto"/>
        <w:left w:val="none" w:sz="0" w:space="0" w:color="auto"/>
        <w:bottom w:val="none" w:sz="0" w:space="0" w:color="auto"/>
        <w:right w:val="none" w:sz="0" w:space="0" w:color="auto"/>
      </w:divBdr>
    </w:div>
    <w:div w:id="1570574649">
      <w:bodyDiv w:val="1"/>
      <w:marLeft w:val="0"/>
      <w:marRight w:val="0"/>
      <w:marTop w:val="0"/>
      <w:marBottom w:val="0"/>
      <w:divBdr>
        <w:top w:val="none" w:sz="0" w:space="0" w:color="auto"/>
        <w:left w:val="none" w:sz="0" w:space="0" w:color="auto"/>
        <w:bottom w:val="none" w:sz="0" w:space="0" w:color="auto"/>
        <w:right w:val="none" w:sz="0" w:space="0" w:color="auto"/>
      </w:divBdr>
    </w:div>
    <w:div w:id="1573537941">
      <w:bodyDiv w:val="1"/>
      <w:marLeft w:val="0"/>
      <w:marRight w:val="0"/>
      <w:marTop w:val="0"/>
      <w:marBottom w:val="0"/>
      <w:divBdr>
        <w:top w:val="none" w:sz="0" w:space="0" w:color="auto"/>
        <w:left w:val="none" w:sz="0" w:space="0" w:color="auto"/>
        <w:bottom w:val="none" w:sz="0" w:space="0" w:color="auto"/>
        <w:right w:val="none" w:sz="0" w:space="0" w:color="auto"/>
      </w:divBdr>
    </w:div>
    <w:div w:id="1578056728">
      <w:bodyDiv w:val="1"/>
      <w:marLeft w:val="0"/>
      <w:marRight w:val="0"/>
      <w:marTop w:val="0"/>
      <w:marBottom w:val="0"/>
      <w:divBdr>
        <w:top w:val="none" w:sz="0" w:space="0" w:color="auto"/>
        <w:left w:val="none" w:sz="0" w:space="0" w:color="auto"/>
        <w:bottom w:val="none" w:sz="0" w:space="0" w:color="auto"/>
        <w:right w:val="none" w:sz="0" w:space="0" w:color="auto"/>
      </w:divBdr>
    </w:div>
    <w:div w:id="1599680410">
      <w:bodyDiv w:val="1"/>
      <w:marLeft w:val="0"/>
      <w:marRight w:val="0"/>
      <w:marTop w:val="0"/>
      <w:marBottom w:val="0"/>
      <w:divBdr>
        <w:top w:val="none" w:sz="0" w:space="0" w:color="auto"/>
        <w:left w:val="none" w:sz="0" w:space="0" w:color="auto"/>
        <w:bottom w:val="none" w:sz="0" w:space="0" w:color="auto"/>
        <w:right w:val="none" w:sz="0" w:space="0" w:color="auto"/>
      </w:divBdr>
    </w:div>
    <w:div w:id="1614560270">
      <w:bodyDiv w:val="1"/>
      <w:marLeft w:val="0"/>
      <w:marRight w:val="0"/>
      <w:marTop w:val="0"/>
      <w:marBottom w:val="0"/>
      <w:divBdr>
        <w:top w:val="none" w:sz="0" w:space="0" w:color="auto"/>
        <w:left w:val="none" w:sz="0" w:space="0" w:color="auto"/>
        <w:bottom w:val="none" w:sz="0" w:space="0" w:color="auto"/>
        <w:right w:val="none" w:sz="0" w:space="0" w:color="auto"/>
      </w:divBdr>
    </w:div>
    <w:div w:id="1629894019">
      <w:bodyDiv w:val="1"/>
      <w:marLeft w:val="0"/>
      <w:marRight w:val="0"/>
      <w:marTop w:val="0"/>
      <w:marBottom w:val="0"/>
      <w:divBdr>
        <w:top w:val="none" w:sz="0" w:space="0" w:color="auto"/>
        <w:left w:val="none" w:sz="0" w:space="0" w:color="auto"/>
        <w:bottom w:val="none" w:sz="0" w:space="0" w:color="auto"/>
        <w:right w:val="none" w:sz="0" w:space="0" w:color="auto"/>
      </w:divBdr>
    </w:div>
    <w:div w:id="1632977655">
      <w:bodyDiv w:val="1"/>
      <w:marLeft w:val="0"/>
      <w:marRight w:val="0"/>
      <w:marTop w:val="0"/>
      <w:marBottom w:val="0"/>
      <w:divBdr>
        <w:top w:val="none" w:sz="0" w:space="0" w:color="auto"/>
        <w:left w:val="none" w:sz="0" w:space="0" w:color="auto"/>
        <w:bottom w:val="none" w:sz="0" w:space="0" w:color="auto"/>
        <w:right w:val="none" w:sz="0" w:space="0" w:color="auto"/>
      </w:divBdr>
    </w:div>
    <w:div w:id="1636107453">
      <w:bodyDiv w:val="1"/>
      <w:marLeft w:val="0"/>
      <w:marRight w:val="0"/>
      <w:marTop w:val="0"/>
      <w:marBottom w:val="0"/>
      <w:divBdr>
        <w:top w:val="none" w:sz="0" w:space="0" w:color="auto"/>
        <w:left w:val="none" w:sz="0" w:space="0" w:color="auto"/>
        <w:bottom w:val="none" w:sz="0" w:space="0" w:color="auto"/>
        <w:right w:val="none" w:sz="0" w:space="0" w:color="auto"/>
      </w:divBdr>
    </w:div>
    <w:div w:id="1653943512">
      <w:bodyDiv w:val="1"/>
      <w:marLeft w:val="0"/>
      <w:marRight w:val="0"/>
      <w:marTop w:val="0"/>
      <w:marBottom w:val="0"/>
      <w:divBdr>
        <w:top w:val="none" w:sz="0" w:space="0" w:color="auto"/>
        <w:left w:val="none" w:sz="0" w:space="0" w:color="auto"/>
        <w:bottom w:val="none" w:sz="0" w:space="0" w:color="auto"/>
        <w:right w:val="none" w:sz="0" w:space="0" w:color="auto"/>
      </w:divBdr>
    </w:div>
    <w:div w:id="1663194775">
      <w:bodyDiv w:val="1"/>
      <w:marLeft w:val="0"/>
      <w:marRight w:val="0"/>
      <w:marTop w:val="0"/>
      <w:marBottom w:val="0"/>
      <w:divBdr>
        <w:top w:val="none" w:sz="0" w:space="0" w:color="auto"/>
        <w:left w:val="none" w:sz="0" w:space="0" w:color="auto"/>
        <w:bottom w:val="none" w:sz="0" w:space="0" w:color="auto"/>
        <w:right w:val="none" w:sz="0" w:space="0" w:color="auto"/>
      </w:divBdr>
    </w:div>
    <w:div w:id="1687445377">
      <w:bodyDiv w:val="1"/>
      <w:marLeft w:val="0"/>
      <w:marRight w:val="0"/>
      <w:marTop w:val="0"/>
      <w:marBottom w:val="0"/>
      <w:divBdr>
        <w:top w:val="none" w:sz="0" w:space="0" w:color="auto"/>
        <w:left w:val="none" w:sz="0" w:space="0" w:color="auto"/>
        <w:bottom w:val="none" w:sz="0" w:space="0" w:color="auto"/>
        <w:right w:val="none" w:sz="0" w:space="0" w:color="auto"/>
      </w:divBdr>
    </w:div>
    <w:div w:id="1733114811">
      <w:bodyDiv w:val="1"/>
      <w:marLeft w:val="0"/>
      <w:marRight w:val="0"/>
      <w:marTop w:val="0"/>
      <w:marBottom w:val="0"/>
      <w:divBdr>
        <w:top w:val="none" w:sz="0" w:space="0" w:color="auto"/>
        <w:left w:val="none" w:sz="0" w:space="0" w:color="auto"/>
        <w:bottom w:val="none" w:sz="0" w:space="0" w:color="auto"/>
        <w:right w:val="none" w:sz="0" w:space="0" w:color="auto"/>
      </w:divBdr>
    </w:div>
    <w:div w:id="1761363665">
      <w:bodyDiv w:val="1"/>
      <w:marLeft w:val="0"/>
      <w:marRight w:val="0"/>
      <w:marTop w:val="0"/>
      <w:marBottom w:val="0"/>
      <w:divBdr>
        <w:top w:val="none" w:sz="0" w:space="0" w:color="auto"/>
        <w:left w:val="none" w:sz="0" w:space="0" w:color="auto"/>
        <w:bottom w:val="none" w:sz="0" w:space="0" w:color="auto"/>
        <w:right w:val="none" w:sz="0" w:space="0" w:color="auto"/>
      </w:divBdr>
    </w:div>
    <w:div w:id="1762948551">
      <w:bodyDiv w:val="1"/>
      <w:marLeft w:val="0"/>
      <w:marRight w:val="0"/>
      <w:marTop w:val="0"/>
      <w:marBottom w:val="0"/>
      <w:divBdr>
        <w:top w:val="none" w:sz="0" w:space="0" w:color="auto"/>
        <w:left w:val="none" w:sz="0" w:space="0" w:color="auto"/>
        <w:bottom w:val="none" w:sz="0" w:space="0" w:color="auto"/>
        <w:right w:val="none" w:sz="0" w:space="0" w:color="auto"/>
      </w:divBdr>
    </w:div>
    <w:div w:id="1791194955">
      <w:bodyDiv w:val="1"/>
      <w:marLeft w:val="0"/>
      <w:marRight w:val="0"/>
      <w:marTop w:val="0"/>
      <w:marBottom w:val="0"/>
      <w:divBdr>
        <w:top w:val="none" w:sz="0" w:space="0" w:color="auto"/>
        <w:left w:val="none" w:sz="0" w:space="0" w:color="auto"/>
        <w:bottom w:val="none" w:sz="0" w:space="0" w:color="auto"/>
        <w:right w:val="none" w:sz="0" w:space="0" w:color="auto"/>
      </w:divBdr>
    </w:div>
    <w:div w:id="1792089719">
      <w:bodyDiv w:val="1"/>
      <w:marLeft w:val="0"/>
      <w:marRight w:val="0"/>
      <w:marTop w:val="0"/>
      <w:marBottom w:val="0"/>
      <w:divBdr>
        <w:top w:val="none" w:sz="0" w:space="0" w:color="auto"/>
        <w:left w:val="none" w:sz="0" w:space="0" w:color="auto"/>
        <w:bottom w:val="none" w:sz="0" w:space="0" w:color="auto"/>
        <w:right w:val="none" w:sz="0" w:space="0" w:color="auto"/>
      </w:divBdr>
    </w:div>
    <w:div w:id="1801193903">
      <w:bodyDiv w:val="1"/>
      <w:marLeft w:val="0"/>
      <w:marRight w:val="0"/>
      <w:marTop w:val="0"/>
      <w:marBottom w:val="0"/>
      <w:divBdr>
        <w:top w:val="none" w:sz="0" w:space="0" w:color="auto"/>
        <w:left w:val="none" w:sz="0" w:space="0" w:color="auto"/>
        <w:bottom w:val="none" w:sz="0" w:space="0" w:color="auto"/>
        <w:right w:val="none" w:sz="0" w:space="0" w:color="auto"/>
      </w:divBdr>
    </w:div>
    <w:div w:id="1851143333">
      <w:bodyDiv w:val="1"/>
      <w:marLeft w:val="0"/>
      <w:marRight w:val="0"/>
      <w:marTop w:val="0"/>
      <w:marBottom w:val="0"/>
      <w:divBdr>
        <w:top w:val="none" w:sz="0" w:space="0" w:color="auto"/>
        <w:left w:val="none" w:sz="0" w:space="0" w:color="auto"/>
        <w:bottom w:val="none" w:sz="0" w:space="0" w:color="auto"/>
        <w:right w:val="none" w:sz="0" w:space="0" w:color="auto"/>
      </w:divBdr>
    </w:div>
    <w:div w:id="1862477617">
      <w:bodyDiv w:val="1"/>
      <w:marLeft w:val="0"/>
      <w:marRight w:val="0"/>
      <w:marTop w:val="0"/>
      <w:marBottom w:val="0"/>
      <w:divBdr>
        <w:top w:val="none" w:sz="0" w:space="0" w:color="auto"/>
        <w:left w:val="none" w:sz="0" w:space="0" w:color="auto"/>
        <w:bottom w:val="none" w:sz="0" w:space="0" w:color="auto"/>
        <w:right w:val="none" w:sz="0" w:space="0" w:color="auto"/>
      </w:divBdr>
    </w:div>
    <w:div w:id="1878466927">
      <w:bodyDiv w:val="1"/>
      <w:marLeft w:val="0"/>
      <w:marRight w:val="0"/>
      <w:marTop w:val="0"/>
      <w:marBottom w:val="0"/>
      <w:divBdr>
        <w:top w:val="none" w:sz="0" w:space="0" w:color="auto"/>
        <w:left w:val="none" w:sz="0" w:space="0" w:color="auto"/>
        <w:bottom w:val="none" w:sz="0" w:space="0" w:color="auto"/>
        <w:right w:val="none" w:sz="0" w:space="0" w:color="auto"/>
      </w:divBdr>
    </w:div>
    <w:div w:id="1886864065">
      <w:bodyDiv w:val="1"/>
      <w:marLeft w:val="0"/>
      <w:marRight w:val="0"/>
      <w:marTop w:val="0"/>
      <w:marBottom w:val="0"/>
      <w:divBdr>
        <w:top w:val="none" w:sz="0" w:space="0" w:color="auto"/>
        <w:left w:val="none" w:sz="0" w:space="0" w:color="auto"/>
        <w:bottom w:val="none" w:sz="0" w:space="0" w:color="auto"/>
        <w:right w:val="none" w:sz="0" w:space="0" w:color="auto"/>
      </w:divBdr>
    </w:div>
    <w:div w:id="1891453324">
      <w:bodyDiv w:val="1"/>
      <w:marLeft w:val="0"/>
      <w:marRight w:val="0"/>
      <w:marTop w:val="0"/>
      <w:marBottom w:val="0"/>
      <w:divBdr>
        <w:top w:val="none" w:sz="0" w:space="0" w:color="auto"/>
        <w:left w:val="none" w:sz="0" w:space="0" w:color="auto"/>
        <w:bottom w:val="none" w:sz="0" w:space="0" w:color="auto"/>
        <w:right w:val="none" w:sz="0" w:space="0" w:color="auto"/>
      </w:divBdr>
    </w:div>
    <w:div w:id="1897663700">
      <w:bodyDiv w:val="1"/>
      <w:marLeft w:val="0"/>
      <w:marRight w:val="0"/>
      <w:marTop w:val="0"/>
      <w:marBottom w:val="0"/>
      <w:divBdr>
        <w:top w:val="none" w:sz="0" w:space="0" w:color="auto"/>
        <w:left w:val="none" w:sz="0" w:space="0" w:color="auto"/>
        <w:bottom w:val="none" w:sz="0" w:space="0" w:color="auto"/>
        <w:right w:val="none" w:sz="0" w:space="0" w:color="auto"/>
      </w:divBdr>
    </w:div>
    <w:div w:id="1918245709">
      <w:bodyDiv w:val="1"/>
      <w:marLeft w:val="0"/>
      <w:marRight w:val="0"/>
      <w:marTop w:val="0"/>
      <w:marBottom w:val="0"/>
      <w:divBdr>
        <w:top w:val="none" w:sz="0" w:space="0" w:color="auto"/>
        <w:left w:val="none" w:sz="0" w:space="0" w:color="auto"/>
        <w:bottom w:val="none" w:sz="0" w:space="0" w:color="auto"/>
        <w:right w:val="none" w:sz="0" w:space="0" w:color="auto"/>
      </w:divBdr>
    </w:div>
    <w:div w:id="1921256606">
      <w:bodyDiv w:val="1"/>
      <w:marLeft w:val="0"/>
      <w:marRight w:val="0"/>
      <w:marTop w:val="0"/>
      <w:marBottom w:val="0"/>
      <w:divBdr>
        <w:top w:val="none" w:sz="0" w:space="0" w:color="auto"/>
        <w:left w:val="none" w:sz="0" w:space="0" w:color="auto"/>
        <w:bottom w:val="none" w:sz="0" w:space="0" w:color="auto"/>
        <w:right w:val="none" w:sz="0" w:space="0" w:color="auto"/>
      </w:divBdr>
    </w:div>
    <w:div w:id="1955164564">
      <w:bodyDiv w:val="1"/>
      <w:marLeft w:val="0"/>
      <w:marRight w:val="0"/>
      <w:marTop w:val="0"/>
      <w:marBottom w:val="0"/>
      <w:divBdr>
        <w:top w:val="none" w:sz="0" w:space="0" w:color="auto"/>
        <w:left w:val="none" w:sz="0" w:space="0" w:color="auto"/>
        <w:bottom w:val="none" w:sz="0" w:space="0" w:color="auto"/>
        <w:right w:val="none" w:sz="0" w:space="0" w:color="auto"/>
      </w:divBdr>
    </w:div>
    <w:div w:id="1957248534">
      <w:bodyDiv w:val="1"/>
      <w:marLeft w:val="0"/>
      <w:marRight w:val="0"/>
      <w:marTop w:val="0"/>
      <w:marBottom w:val="0"/>
      <w:divBdr>
        <w:top w:val="none" w:sz="0" w:space="0" w:color="auto"/>
        <w:left w:val="none" w:sz="0" w:space="0" w:color="auto"/>
        <w:bottom w:val="none" w:sz="0" w:space="0" w:color="auto"/>
        <w:right w:val="none" w:sz="0" w:space="0" w:color="auto"/>
      </w:divBdr>
    </w:div>
    <w:div w:id="1959599632">
      <w:bodyDiv w:val="1"/>
      <w:marLeft w:val="0"/>
      <w:marRight w:val="0"/>
      <w:marTop w:val="0"/>
      <w:marBottom w:val="0"/>
      <w:divBdr>
        <w:top w:val="none" w:sz="0" w:space="0" w:color="auto"/>
        <w:left w:val="none" w:sz="0" w:space="0" w:color="auto"/>
        <w:bottom w:val="none" w:sz="0" w:space="0" w:color="auto"/>
        <w:right w:val="none" w:sz="0" w:space="0" w:color="auto"/>
      </w:divBdr>
    </w:div>
    <w:div w:id="1964799284">
      <w:bodyDiv w:val="1"/>
      <w:marLeft w:val="0"/>
      <w:marRight w:val="0"/>
      <w:marTop w:val="0"/>
      <w:marBottom w:val="0"/>
      <w:divBdr>
        <w:top w:val="none" w:sz="0" w:space="0" w:color="auto"/>
        <w:left w:val="none" w:sz="0" w:space="0" w:color="auto"/>
        <w:bottom w:val="none" w:sz="0" w:space="0" w:color="auto"/>
        <w:right w:val="none" w:sz="0" w:space="0" w:color="auto"/>
      </w:divBdr>
    </w:div>
    <w:div w:id="1965623217">
      <w:bodyDiv w:val="1"/>
      <w:marLeft w:val="0"/>
      <w:marRight w:val="0"/>
      <w:marTop w:val="0"/>
      <w:marBottom w:val="0"/>
      <w:divBdr>
        <w:top w:val="none" w:sz="0" w:space="0" w:color="auto"/>
        <w:left w:val="none" w:sz="0" w:space="0" w:color="auto"/>
        <w:bottom w:val="none" w:sz="0" w:space="0" w:color="auto"/>
        <w:right w:val="none" w:sz="0" w:space="0" w:color="auto"/>
      </w:divBdr>
    </w:div>
    <w:div w:id="1969821515">
      <w:bodyDiv w:val="1"/>
      <w:marLeft w:val="0"/>
      <w:marRight w:val="0"/>
      <w:marTop w:val="0"/>
      <w:marBottom w:val="0"/>
      <w:divBdr>
        <w:top w:val="none" w:sz="0" w:space="0" w:color="auto"/>
        <w:left w:val="none" w:sz="0" w:space="0" w:color="auto"/>
        <w:bottom w:val="none" w:sz="0" w:space="0" w:color="auto"/>
        <w:right w:val="none" w:sz="0" w:space="0" w:color="auto"/>
      </w:divBdr>
    </w:div>
    <w:div w:id="1988633427">
      <w:bodyDiv w:val="1"/>
      <w:marLeft w:val="0"/>
      <w:marRight w:val="0"/>
      <w:marTop w:val="0"/>
      <w:marBottom w:val="0"/>
      <w:divBdr>
        <w:top w:val="none" w:sz="0" w:space="0" w:color="auto"/>
        <w:left w:val="none" w:sz="0" w:space="0" w:color="auto"/>
        <w:bottom w:val="none" w:sz="0" w:space="0" w:color="auto"/>
        <w:right w:val="none" w:sz="0" w:space="0" w:color="auto"/>
      </w:divBdr>
    </w:div>
    <w:div w:id="2007784514">
      <w:bodyDiv w:val="1"/>
      <w:marLeft w:val="0"/>
      <w:marRight w:val="0"/>
      <w:marTop w:val="0"/>
      <w:marBottom w:val="0"/>
      <w:divBdr>
        <w:top w:val="none" w:sz="0" w:space="0" w:color="auto"/>
        <w:left w:val="none" w:sz="0" w:space="0" w:color="auto"/>
        <w:bottom w:val="none" w:sz="0" w:space="0" w:color="auto"/>
        <w:right w:val="none" w:sz="0" w:space="0" w:color="auto"/>
      </w:divBdr>
    </w:div>
    <w:div w:id="2018772180">
      <w:bodyDiv w:val="1"/>
      <w:marLeft w:val="0"/>
      <w:marRight w:val="0"/>
      <w:marTop w:val="0"/>
      <w:marBottom w:val="0"/>
      <w:divBdr>
        <w:top w:val="none" w:sz="0" w:space="0" w:color="auto"/>
        <w:left w:val="none" w:sz="0" w:space="0" w:color="auto"/>
        <w:bottom w:val="none" w:sz="0" w:space="0" w:color="auto"/>
        <w:right w:val="none" w:sz="0" w:space="0" w:color="auto"/>
      </w:divBdr>
    </w:div>
    <w:div w:id="2042171179">
      <w:bodyDiv w:val="1"/>
      <w:marLeft w:val="0"/>
      <w:marRight w:val="0"/>
      <w:marTop w:val="0"/>
      <w:marBottom w:val="0"/>
      <w:divBdr>
        <w:top w:val="none" w:sz="0" w:space="0" w:color="auto"/>
        <w:left w:val="none" w:sz="0" w:space="0" w:color="auto"/>
        <w:bottom w:val="none" w:sz="0" w:space="0" w:color="auto"/>
        <w:right w:val="none" w:sz="0" w:space="0" w:color="auto"/>
      </w:divBdr>
    </w:div>
    <w:div w:id="2104106620">
      <w:bodyDiv w:val="1"/>
      <w:marLeft w:val="0"/>
      <w:marRight w:val="0"/>
      <w:marTop w:val="0"/>
      <w:marBottom w:val="0"/>
      <w:divBdr>
        <w:top w:val="none" w:sz="0" w:space="0" w:color="auto"/>
        <w:left w:val="none" w:sz="0" w:space="0" w:color="auto"/>
        <w:bottom w:val="none" w:sz="0" w:space="0" w:color="auto"/>
        <w:right w:val="none" w:sz="0" w:space="0" w:color="auto"/>
      </w:divBdr>
    </w:div>
    <w:div w:id="2118483673">
      <w:bodyDiv w:val="1"/>
      <w:marLeft w:val="0"/>
      <w:marRight w:val="0"/>
      <w:marTop w:val="0"/>
      <w:marBottom w:val="0"/>
      <w:divBdr>
        <w:top w:val="none" w:sz="0" w:space="0" w:color="auto"/>
        <w:left w:val="none" w:sz="0" w:space="0" w:color="auto"/>
        <w:bottom w:val="none" w:sz="0" w:space="0" w:color="auto"/>
        <w:right w:val="none" w:sz="0" w:space="0" w:color="auto"/>
      </w:divBdr>
    </w:div>
    <w:div w:id="2126386834">
      <w:bodyDiv w:val="1"/>
      <w:marLeft w:val="0"/>
      <w:marRight w:val="0"/>
      <w:marTop w:val="0"/>
      <w:marBottom w:val="0"/>
      <w:divBdr>
        <w:top w:val="none" w:sz="0" w:space="0" w:color="auto"/>
        <w:left w:val="none" w:sz="0" w:space="0" w:color="auto"/>
        <w:bottom w:val="none" w:sz="0" w:space="0" w:color="auto"/>
        <w:right w:val="none" w:sz="0" w:space="0" w:color="auto"/>
      </w:divBdr>
    </w:div>
    <w:div w:id="2132553058">
      <w:bodyDiv w:val="1"/>
      <w:marLeft w:val="0"/>
      <w:marRight w:val="0"/>
      <w:marTop w:val="0"/>
      <w:marBottom w:val="0"/>
      <w:divBdr>
        <w:top w:val="none" w:sz="0" w:space="0" w:color="auto"/>
        <w:left w:val="none" w:sz="0" w:space="0" w:color="auto"/>
        <w:bottom w:val="none" w:sz="0" w:space="0" w:color="auto"/>
        <w:right w:val="none" w:sz="0" w:space="0" w:color="auto"/>
      </w:divBdr>
    </w:div>
    <w:div w:id="214631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ai.mk.gov.lv/book/1/chapter/97" TargetMode="External"/><Relationship Id="rId18" Type="http://schemas.openxmlformats.org/officeDocument/2006/relationships/hyperlink" Target="http://polsis.mk.gov.lv/documents/694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c.europa.eu/environment/air/pdf/reduction_napcp/LV%20final%20NAPCP%2016Apr20.pdf" TargetMode="External"/><Relationship Id="rId2" Type="http://schemas.openxmlformats.org/officeDocument/2006/relationships/numbering" Target="numbering.xml"/><Relationship Id="rId16" Type="http://schemas.openxmlformats.org/officeDocument/2006/relationships/hyperlink" Target="https://www.statista.com/statistics/955066/public-and-semi-public-charging-stations-for-electric-vehicles-in-netherland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u-central-1.protection.sophos.com?d=pkc.gov.lv&amp;u=aHR0cHM6Ly93d3cucGtjLmdvdi5sdi9zaXRlcy9kZWZhdWx0L2ZpbGVzL2lubGluZS1maWxlcy9OQVAyMDI3X2Fwc3RpcHJpbiVDNCU4MXRzJTIwU2FlaW0lQzQlODFfMS5wZGY=&amp;i=NWZjZjllOTZmOTIxY2QwZTA1Mzk1OWM1&amp;t=S2hjSGNDOU5JSW1LY042WEJFZkw5NnM4KzUzZk5rVUU0aGpmQmJtcDQ1dz0=&amp;h=7a9f3688db9440e88451d2a49047cb0c" TargetMode="External"/><Relationship Id="rId10" Type="http://schemas.openxmlformats.org/officeDocument/2006/relationships/footer" Target="footer1.xml"/><Relationship Id="rId19" Type="http://schemas.openxmlformats.org/officeDocument/2006/relationships/hyperlink" Target="mailto:Helena.Rimsa@em.gov.l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olsis.mk.gov.lv/documents/6645"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m.gov.lv/lv/diskusiju-dokumenti" TargetMode="External"/><Relationship Id="rId7" Type="http://schemas.openxmlformats.org/officeDocument/2006/relationships/hyperlink" Target="https://lvportals.lv/skaidrojumi/321550-ka-nosaka-administrativa-soda-veidu-un-apmeru-2020" TargetMode="External"/><Relationship Id="rId2" Type="http://schemas.openxmlformats.org/officeDocument/2006/relationships/hyperlink" Target="https://www.em.gov.lv/lv/diskusiju-dokumenti" TargetMode="External"/><Relationship Id="rId1" Type="http://schemas.openxmlformats.org/officeDocument/2006/relationships/hyperlink" Target="http://tap.mk.gov.lv/mk/vsssanaksmes/saraksts/protokols/?protokols=2020-01-09" TargetMode="External"/><Relationship Id="rId6" Type="http://schemas.openxmlformats.org/officeDocument/2006/relationships/hyperlink" Target="https://www.statista.com/statistics/955066/public-and-semi-public-charging-stations-for-electric-vehicles-in-netherlands/" TargetMode="External"/><Relationship Id="rId5" Type="http://schemas.openxmlformats.org/officeDocument/2006/relationships/hyperlink" Target="https://emobility.lv/lv/" TargetMode="External"/><Relationship Id="rId4" Type="http://schemas.openxmlformats.org/officeDocument/2006/relationships/hyperlink" Target="https://www.em.gov.lv/lv/diskusiju-dokum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7C03B-4E46-405F-A5BC-698EB4E0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TotalTime>
  <Pages>213</Pages>
  <Words>37068</Words>
  <Characters>263198</Characters>
  <Application>Microsoft Office Word</Application>
  <DocSecurity>0</DocSecurity>
  <Lines>2193</Lines>
  <Paragraphs>599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projekts “Transporta enerģijas aprites cikla siltumnīcefekta gāzu emisiju daudzuma un tā samazinājuma aprēķināšanas un ziņošanas kārtība”</vt:lpstr>
      <vt:lpstr>MK noteikumu projekts "Ministru kabineta kārtības rullis"</vt:lpstr>
    </vt:vector>
  </TitlesOfParts>
  <Manager>Helēna Rimša</Manager>
  <Company>Ekonomikas ministrija</Company>
  <LinksUpToDate>false</LinksUpToDate>
  <CharactersWithSpaces>299667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“Transporta enerģijas aprites cikla siltumnīcefekta gāzu emisiju daudzuma un tā samazinājuma aprēķināšanas un ziņošanas kārtība”</dc:title>
  <dc:subject>Izziņa par atzinumos iesniegtajiem iebildumiem</dc:subject>
  <dc:creator>Helēna Rimša</dc:creator>
  <dc:description>Rimša, 67013244, Helena.Rimsa@em.gov.lv</dc:description>
  <cp:lastModifiedBy>Helēna Rimša</cp:lastModifiedBy>
  <cp:revision>54</cp:revision>
  <cp:lastPrinted>2021-07-20T09:28:00Z</cp:lastPrinted>
  <dcterms:created xsi:type="dcterms:W3CDTF">2021-06-04T11:55:00Z</dcterms:created>
  <dcterms:modified xsi:type="dcterms:W3CDTF">2021-08-26T12:40:00Z</dcterms:modified>
</cp:coreProperties>
</file>